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040B60" w14:textId="77777777" w:rsidR="0061411C" w:rsidRPr="0061411C" w:rsidRDefault="0061411C" w:rsidP="0061411C">
      <w:pPr>
        <w:jc w:val="center"/>
        <w:rPr>
          <w:b/>
          <w:color w:val="000000" w:themeColor="text1"/>
          <w:lang w:val="en-GB"/>
        </w:rPr>
      </w:pPr>
      <w:r w:rsidRPr="0061411C">
        <w:rPr>
          <w:b/>
          <w:color w:val="000000" w:themeColor="text1"/>
          <w:lang w:val="en-GB"/>
        </w:rPr>
        <w:t xml:space="preserve">Biomarker-Guided Versus Evidence-Based Treatment </w:t>
      </w:r>
      <w:proofErr w:type="gramStart"/>
      <w:r w:rsidRPr="0061411C">
        <w:rPr>
          <w:b/>
          <w:color w:val="000000" w:themeColor="text1"/>
          <w:lang w:val="en-GB"/>
        </w:rPr>
        <w:t>In</w:t>
      </w:r>
      <w:proofErr w:type="gramEnd"/>
      <w:r w:rsidRPr="0061411C">
        <w:rPr>
          <w:b/>
          <w:color w:val="000000" w:themeColor="text1"/>
          <w:lang w:val="en-GB"/>
        </w:rPr>
        <w:t xml:space="preserve"> Heart Failure</w:t>
      </w:r>
      <w:r w:rsidR="00025C98" w:rsidRPr="0061411C">
        <w:rPr>
          <w:b/>
          <w:color w:val="000000" w:themeColor="text1"/>
          <w:lang w:val="en-GB"/>
        </w:rPr>
        <w:t>: results from BIOSTAT-CHF</w:t>
      </w:r>
    </w:p>
    <w:p w14:paraId="1ABCB666" w14:textId="7C9A8306" w:rsidR="00025C98" w:rsidRPr="006841D0" w:rsidRDefault="00025C98" w:rsidP="0061411C">
      <w:pPr>
        <w:rPr>
          <w:color w:val="000000" w:themeColor="text1"/>
          <w:lang w:val="en-GB"/>
        </w:rPr>
      </w:pPr>
      <w:proofErr w:type="spellStart"/>
      <w:r w:rsidRPr="0061411C">
        <w:rPr>
          <w:color w:val="000000" w:themeColor="text1"/>
          <w:lang w:val="en-GB"/>
        </w:rPr>
        <w:t>W</w:t>
      </w:r>
      <w:r w:rsidR="00C374CD" w:rsidRPr="0061411C">
        <w:rPr>
          <w:color w:val="000000" w:themeColor="text1"/>
          <w:lang w:val="en-GB"/>
        </w:rPr>
        <w:t>outer</w:t>
      </w:r>
      <w:proofErr w:type="spellEnd"/>
      <w:r w:rsidRPr="0061411C">
        <w:rPr>
          <w:color w:val="000000" w:themeColor="text1"/>
          <w:lang w:val="en-GB"/>
        </w:rPr>
        <w:t xml:space="preserve"> </w:t>
      </w:r>
      <w:proofErr w:type="spellStart"/>
      <w:r w:rsidRPr="0061411C">
        <w:rPr>
          <w:color w:val="000000" w:themeColor="text1"/>
          <w:lang w:val="en-GB"/>
        </w:rPr>
        <w:t>Ouwerkerk</w:t>
      </w:r>
      <w:proofErr w:type="spellEnd"/>
      <w:r w:rsidR="006841D0" w:rsidRPr="006841D0">
        <w:rPr>
          <w:color w:val="000000" w:themeColor="text1"/>
          <w:w w:val="105"/>
          <w:lang w:val="en-GB"/>
        </w:rPr>
        <w:t>, PhD</w:t>
      </w:r>
      <w:r w:rsidR="006841D0" w:rsidRPr="0061411C">
        <w:rPr>
          <w:color w:val="000000" w:themeColor="text1"/>
          <w:vertAlign w:val="superscript"/>
          <w:lang w:val="en-GB"/>
        </w:rPr>
        <w:t>1</w:t>
      </w:r>
      <w:r w:rsidRPr="0061411C">
        <w:rPr>
          <w:color w:val="000000" w:themeColor="text1"/>
          <w:lang w:val="en-GB"/>
        </w:rPr>
        <w:t xml:space="preserve">, </w:t>
      </w:r>
      <w:proofErr w:type="spellStart"/>
      <w:r w:rsidRPr="0061411C">
        <w:rPr>
          <w:color w:val="000000" w:themeColor="text1"/>
          <w:lang w:val="en-GB"/>
        </w:rPr>
        <w:t>A</w:t>
      </w:r>
      <w:r w:rsidR="00C374CD" w:rsidRPr="0061411C">
        <w:rPr>
          <w:color w:val="000000" w:themeColor="text1"/>
          <w:lang w:val="en-GB"/>
        </w:rPr>
        <w:t>eilko</w:t>
      </w:r>
      <w:proofErr w:type="spellEnd"/>
      <w:r w:rsidR="00C374CD" w:rsidRPr="0061411C">
        <w:rPr>
          <w:color w:val="000000" w:themeColor="text1"/>
          <w:lang w:val="en-GB"/>
        </w:rPr>
        <w:t xml:space="preserve"> </w:t>
      </w:r>
      <w:r w:rsidRPr="0061411C">
        <w:rPr>
          <w:color w:val="000000" w:themeColor="text1"/>
          <w:lang w:val="en-GB"/>
        </w:rPr>
        <w:t xml:space="preserve">H. </w:t>
      </w:r>
      <w:proofErr w:type="spellStart"/>
      <w:r w:rsidRPr="0061411C">
        <w:rPr>
          <w:color w:val="000000" w:themeColor="text1"/>
          <w:lang w:val="en-GB"/>
        </w:rPr>
        <w:t>Zwinderman</w:t>
      </w:r>
      <w:proofErr w:type="spellEnd"/>
      <w:r w:rsidRPr="006841D0">
        <w:rPr>
          <w:color w:val="000000" w:themeColor="text1"/>
          <w:w w:val="105"/>
          <w:lang w:val="en-GB"/>
        </w:rPr>
        <w:t>,</w:t>
      </w:r>
      <w:r w:rsidRPr="006841D0">
        <w:rPr>
          <w:color w:val="000000" w:themeColor="text1"/>
          <w:spacing w:val="16"/>
          <w:w w:val="105"/>
          <w:lang w:val="en-GB"/>
        </w:rPr>
        <w:t xml:space="preserve"> </w:t>
      </w:r>
      <w:r w:rsidRPr="006841D0">
        <w:rPr>
          <w:color w:val="000000" w:themeColor="text1"/>
          <w:w w:val="105"/>
          <w:lang w:val="en-GB"/>
        </w:rPr>
        <w:t>PhD</w:t>
      </w:r>
      <w:r w:rsidRPr="0061411C">
        <w:rPr>
          <w:color w:val="000000" w:themeColor="text1"/>
          <w:vertAlign w:val="superscript"/>
          <w:lang w:val="en-GB"/>
        </w:rPr>
        <w:t xml:space="preserve"> 1</w:t>
      </w:r>
      <w:r w:rsidR="00C374CD" w:rsidRPr="0061411C">
        <w:rPr>
          <w:color w:val="000000" w:themeColor="text1"/>
          <w:lang w:val="en-GB"/>
        </w:rPr>
        <w:t xml:space="preserve">, Leong </w:t>
      </w:r>
      <w:r w:rsidRPr="0061411C">
        <w:rPr>
          <w:color w:val="000000" w:themeColor="text1"/>
          <w:lang w:val="en-GB"/>
        </w:rPr>
        <w:t>L. Ng</w:t>
      </w:r>
      <w:r w:rsidRPr="006841D0">
        <w:rPr>
          <w:color w:val="000000" w:themeColor="text1"/>
          <w:w w:val="105"/>
          <w:lang w:val="en-GB"/>
        </w:rPr>
        <w:t>,</w:t>
      </w:r>
      <w:r w:rsidRPr="006841D0">
        <w:rPr>
          <w:color w:val="000000" w:themeColor="text1"/>
          <w:spacing w:val="18"/>
          <w:w w:val="105"/>
          <w:lang w:val="en-GB"/>
        </w:rPr>
        <w:t xml:space="preserve"> </w:t>
      </w:r>
      <w:r w:rsidRPr="006841D0">
        <w:rPr>
          <w:color w:val="000000" w:themeColor="text1"/>
          <w:w w:val="105"/>
          <w:lang w:val="en-GB"/>
        </w:rPr>
        <w:t>MD</w:t>
      </w:r>
      <w:r w:rsidR="00C374CD" w:rsidRPr="0061411C">
        <w:rPr>
          <w:color w:val="000000" w:themeColor="text1"/>
          <w:lang w:val="en-GB"/>
        </w:rPr>
        <w:t>,</w:t>
      </w:r>
      <w:r w:rsidR="006841D0" w:rsidRPr="006841D0">
        <w:rPr>
          <w:color w:val="000000" w:themeColor="text1"/>
          <w:w w:val="105"/>
          <w:lang w:val="en-GB"/>
        </w:rPr>
        <w:t xml:space="preserve"> PhD</w:t>
      </w:r>
      <w:r w:rsidR="006841D0" w:rsidRPr="0061411C">
        <w:rPr>
          <w:color w:val="000000" w:themeColor="text1"/>
          <w:vertAlign w:val="superscript"/>
          <w:lang w:val="en-GB"/>
        </w:rPr>
        <w:t>2</w:t>
      </w:r>
      <w:r w:rsidR="006841D0">
        <w:rPr>
          <w:color w:val="000000" w:themeColor="text1"/>
          <w:w w:val="105"/>
          <w:lang w:val="en-GB"/>
        </w:rPr>
        <w:t>,</w:t>
      </w:r>
      <w:r w:rsidR="00C374CD" w:rsidRPr="0061411C">
        <w:rPr>
          <w:color w:val="000000" w:themeColor="text1"/>
          <w:lang w:val="en-GB"/>
        </w:rPr>
        <w:t xml:space="preserve"> </w:t>
      </w:r>
      <w:proofErr w:type="spellStart"/>
      <w:r w:rsidR="00C374CD" w:rsidRPr="0061411C">
        <w:rPr>
          <w:color w:val="000000" w:themeColor="text1"/>
          <w:lang w:val="en-GB"/>
        </w:rPr>
        <w:t>Biniyam</w:t>
      </w:r>
      <w:proofErr w:type="spellEnd"/>
      <w:r w:rsidRPr="0061411C">
        <w:rPr>
          <w:color w:val="000000" w:themeColor="text1"/>
          <w:lang w:val="en-GB"/>
        </w:rPr>
        <w:t xml:space="preserve"> </w:t>
      </w:r>
      <w:proofErr w:type="spellStart"/>
      <w:r w:rsidRPr="0061411C">
        <w:rPr>
          <w:color w:val="000000" w:themeColor="text1"/>
          <w:lang w:val="en-GB"/>
        </w:rPr>
        <w:t>Demissei</w:t>
      </w:r>
      <w:proofErr w:type="spellEnd"/>
      <w:r w:rsidRPr="006841D0">
        <w:rPr>
          <w:color w:val="000000" w:themeColor="text1"/>
          <w:w w:val="105"/>
          <w:lang w:val="en-GB"/>
        </w:rPr>
        <w:t>,</w:t>
      </w:r>
      <w:r w:rsidRPr="006841D0">
        <w:rPr>
          <w:color w:val="000000" w:themeColor="text1"/>
          <w:spacing w:val="18"/>
          <w:w w:val="105"/>
          <w:lang w:val="en-GB"/>
        </w:rPr>
        <w:t xml:space="preserve"> </w:t>
      </w:r>
      <w:r w:rsidRPr="006841D0">
        <w:rPr>
          <w:color w:val="000000" w:themeColor="text1"/>
          <w:w w:val="105"/>
          <w:lang w:val="en-GB"/>
        </w:rPr>
        <w:t>MD,</w:t>
      </w:r>
      <w:r w:rsidRPr="006841D0">
        <w:rPr>
          <w:color w:val="000000" w:themeColor="text1"/>
          <w:spacing w:val="16"/>
          <w:w w:val="105"/>
          <w:lang w:val="en-GB"/>
        </w:rPr>
        <w:t xml:space="preserve"> </w:t>
      </w:r>
      <w:r w:rsidRPr="006841D0">
        <w:rPr>
          <w:color w:val="000000" w:themeColor="text1"/>
          <w:w w:val="105"/>
          <w:lang w:val="en-GB"/>
        </w:rPr>
        <w:t>PhD</w:t>
      </w:r>
      <w:r w:rsidRPr="0061411C">
        <w:rPr>
          <w:color w:val="000000" w:themeColor="text1"/>
          <w:vertAlign w:val="superscript"/>
          <w:lang w:val="en-GB"/>
        </w:rPr>
        <w:t>3</w:t>
      </w:r>
      <w:r w:rsidR="00C374CD" w:rsidRPr="0061411C">
        <w:rPr>
          <w:color w:val="000000" w:themeColor="text1"/>
          <w:lang w:val="en-GB"/>
        </w:rPr>
        <w:t xml:space="preserve">, Hans </w:t>
      </w:r>
      <w:r w:rsidRPr="0061411C">
        <w:rPr>
          <w:color w:val="000000" w:themeColor="text1"/>
          <w:lang w:val="en-GB"/>
        </w:rPr>
        <w:t xml:space="preserve">L. </w:t>
      </w:r>
      <w:proofErr w:type="spellStart"/>
      <w:r w:rsidRPr="0061411C">
        <w:rPr>
          <w:color w:val="000000" w:themeColor="text1"/>
          <w:lang w:val="en-GB"/>
        </w:rPr>
        <w:t>Hillege</w:t>
      </w:r>
      <w:proofErr w:type="spellEnd"/>
      <w:r w:rsidRPr="006841D0">
        <w:rPr>
          <w:color w:val="000000" w:themeColor="text1"/>
          <w:w w:val="105"/>
          <w:lang w:val="en-GB"/>
        </w:rPr>
        <w:t>,</w:t>
      </w:r>
      <w:r w:rsidRPr="006841D0">
        <w:rPr>
          <w:color w:val="000000" w:themeColor="text1"/>
          <w:spacing w:val="18"/>
          <w:w w:val="105"/>
          <w:lang w:val="en-GB"/>
        </w:rPr>
        <w:t xml:space="preserve"> </w:t>
      </w:r>
      <w:r w:rsidRPr="006841D0">
        <w:rPr>
          <w:color w:val="000000" w:themeColor="text1"/>
          <w:w w:val="105"/>
          <w:lang w:val="en-GB"/>
        </w:rPr>
        <w:t>MD,</w:t>
      </w:r>
      <w:r w:rsidRPr="006841D0">
        <w:rPr>
          <w:color w:val="000000" w:themeColor="text1"/>
          <w:spacing w:val="16"/>
          <w:w w:val="105"/>
          <w:lang w:val="en-GB"/>
        </w:rPr>
        <w:t xml:space="preserve"> </w:t>
      </w:r>
      <w:r w:rsidRPr="006841D0">
        <w:rPr>
          <w:color w:val="000000" w:themeColor="text1"/>
          <w:w w:val="105"/>
          <w:lang w:val="en-GB"/>
        </w:rPr>
        <w:t>PhD</w:t>
      </w:r>
      <w:r w:rsidRPr="0061411C">
        <w:rPr>
          <w:color w:val="000000" w:themeColor="text1"/>
          <w:vertAlign w:val="superscript"/>
          <w:lang w:val="en-GB"/>
        </w:rPr>
        <w:t>3</w:t>
      </w:r>
      <w:r w:rsidRPr="0061411C">
        <w:rPr>
          <w:color w:val="000000" w:themeColor="text1"/>
          <w:lang w:val="en-GB"/>
        </w:rPr>
        <w:t xml:space="preserve">, </w:t>
      </w:r>
      <w:proofErr w:type="spellStart"/>
      <w:r w:rsidR="00C374CD" w:rsidRPr="006841D0">
        <w:rPr>
          <w:color w:val="000000" w:themeColor="text1"/>
          <w:w w:val="105"/>
          <w:lang w:val="en-GB"/>
        </w:rPr>
        <w:t>Faiez</w:t>
      </w:r>
      <w:proofErr w:type="spellEnd"/>
      <w:r w:rsidRPr="006841D0">
        <w:rPr>
          <w:color w:val="000000" w:themeColor="text1"/>
          <w:spacing w:val="16"/>
          <w:w w:val="105"/>
          <w:lang w:val="en-GB"/>
        </w:rPr>
        <w:t xml:space="preserve"> </w:t>
      </w:r>
      <w:proofErr w:type="spellStart"/>
      <w:r w:rsidRPr="006841D0">
        <w:rPr>
          <w:color w:val="000000" w:themeColor="text1"/>
          <w:w w:val="105"/>
          <w:lang w:val="en-GB"/>
        </w:rPr>
        <w:t>Zannad</w:t>
      </w:r>
      <w:proofErr w:type="spellEnd"/>
      <w:r w:rsidRPr="006841D0">
        <w:rPr>
          <w:color w:val="000000" w:themeColor="text1"/>
          <w:w w:val="105"/>
          <w:lang w:val="en-GB"/>
        </w:rPr>
        <w:t>,</w:t>
      </w:r>
      <w:r w:rsidRPr="006841D0">
        <w:rPr>
          <w:color w:val="000000" w:themeColor="text1"/>
          <w:spacing w:val="18"/>
          <w:w w:val="105"/>
          <w:lang w:val="en-GB"/>
        </w:rPr>
        <w:t xml:space="preserve"> </w:t>
      </w:r>
      <w:r w:rsidRPr="006841D0">
        <w:rPr>
          <w:color w:val="000000" w:themeColor="text1"/>
          <w:w w:val="105"/>
          <w:lang w:val="en-GB"/>
        </w:rPr>
        <w:t>MD,</w:t>
      </w:r>
      <w:r w:rsidRPr="006841D0">
        <w:rPr>
          <w:color w:val="000000" w:themeColor="text1"/>
          <w:spacing w:val="16"/>
          <w:w w:val="105"/>
          <w:lang w:val="en-GB"/>
        </w:rPr>
        <w:t xml:space="preserve"> </w:t>
      </w:r>
      <w:r w:rsidRPr="006841D0">
        <w:rPr>
          <w:color w:val="000000" w:themeColor="text1"/>
          <w:w w:val="105"/>
          <w:lang w:val="en-GB"/>
        </w:rPr>
        <w:t>PhD</w:t>
      </w:r>
      <w:r w:rsidR="0061411C" w:rsidRPr="006841D0">
        <w:rPr>
          <w:color w:val="000000" w:themeColor="text1"/>
          <w:w w:val="105"/>
          <w:vertAlign w:val="superscript"/>
          <w:lang w:val="en-GB"/>
        </w:rPr>
        <w:t>4</w:t>
      </w:r>
      <w:r w:rsidRPr="006841D0">
        <w:rPr>
          <w:color w:val="000000" w:themeColor="text1"/>
          <w:w w:val="105"/>
          <w:lang w:val="en-GB"/>
        </w:rPr>
        <w:t>,</w:t>
      </w:r>
      <w:r w:rsidRPr="006841D0">
        <w:rPr>
          <w:color w:val="000000" w:themeColor="text1"/>
          <w:spacing w:val="17"/>
          <w:w w:val="105"/>
          <w:lang w:val="en-GB"/>
        </w:rPr>
        <w:t xml:space="preserve"> </w:t>
      </w:r>
      <w:r w:rsidRPr="006841D0">
        <w:rPr>
          <w:color w:val="000000" w:themeColor="text1"/>
          <w:w w:val="105"/>
          <w:lang w:val="en-GB"/>
        </w:rPr>
        <w:t>D</w:t>
      </w:r>
      <w:r w:rsidR="00C374CD" w:rsidRPr="006841D0">
        <w:rPr>
          <w:color w:val="000000" w:themeColor="text1"/>
          <w:w w:val="105"/>
          <w:lang w:val="en-GB"/>
        </w:rPr>
        <w:t>irk</w:t>
      </w:r>
      <w:r w:rsidR="00701659">
        <w:rPr>
          <w:color w:val="000000" w:themeColor="text1"/>
          <w:w w:val="105"/>
          <w:lang w:val="en-GB"/>
        </w:rPr>
        <w:t xml:space="preserve"> J</w:t>
      </w:r>
      <w:r w:rsidRPr="006841D0">
        <w:rPr>
          <w:color w:val="000000" w:themeColor="text1"/>
          <w:spacing w:val="17"/>
          <w:w w:val="105"/>
          <w:lang w:val="en-GB"/>
        </w:rPr>
        <w:t xml:space="preserve"> </w:t>
      </w:r>
      <w:r w:rsidRPr="006841D0">
        <w:rPr>
          <w:color w:val="000000" w:themeColor="text1"/>
          <w:spacing w:val="-14"/>
          <w:w w:val="105"/>
          <w:lang w:val="en-GB"/>
        </w:rPr>
        <w:t>v</w:t>
      </w:r>
      <w:r w:rsidRPr="006841D0">
        <w:rPr>
          <w:color w:val="000000" w:themeColor="text1"/>
          <w:w w:val="105"/>
          <w:lang w:val="en-GB"/>
        </w:rPr>
        <w:t>an</w:t>
      </w:r>
      <w:r w:rsidRPr="006841D0">
        <w:rPr>
          <w:color w:val="000000" w:themeColor="text1"/>
          <w:w w:val="109"/>
          <w:lang w:val="en-GB"/>
        </w:rPr>
        <w:t xml:space="preserve"> </w:t>
      </w:r>
      <w:proofErr w:type="spellStart"/>
      <w:r w:rsidRPr="006841D0">
        <w:rPr>
          <w:color w:val="000000" w:themeColor="text1"/>
          <w:spacing w:val="-21"/>
          <w:w w:val="105"/>
          <w:lang w:val="en-GB"/>
        </w:rPr>
        <w:t>V</w:t>
      </w:r>
      <w:r w:rsidRPr="006841D0">
        <w:rPr>
          <w:color w:val="000000" w:themeColor="text1"/>
          <w:w w:val="105"/>
          <w:lang w:val="en-GB"/>
        </w:rPr>
        <w:t>eld</w:t>
      </w:r>
      <w:r w:rsidRPr="006841D0">
        <w:rPr>
          <w:color w:val="000000" w:themeColor="text1"/>
          <w:spacing w:val="-7"/>
          <w:w w:val="105"/>
          <w:lang w:val="en-GB"/>
        </w:rPr>
        <w:t>h</w:t>
      </w:r>
      <w:r w:rsidRPr="006841D0">
        <w:rPr>
          <w:color w:val="000000" w:themeColor="text1"/>
          <w:w w:val="105"/>
          <w:lang w:val="en-GB"/>
        </w:rPr>
        <w:t>uisen</w:t>
      </w:r>
      <w:proofErr w:type="spellEnd"/>
      <w:r w:rsidRPr="006841D0">
        <w:rPr>
          <w:color w:val="000000" w:themeColor="text1"/>
          <w:w w:val="105"/>
          <w:lang w:val="en-GB"/>
        </w:rPr>
        <w:t>,</w:t>
      </w:r>
      <w:r w:rsidRPr="006841D0">
        <w:rPr>
          <w:color w:val="000000" w:themeColor="text1"/>
          <w:spacing w:val="5"/>
          <w:w w:val="105"/>
          <w:lang w:val="en-GB"/>
        </w:rPr>
        <w:t xml:space="preserve"> </w:t>
      </w:r>
      <w:r w:rsidRPr="006841D0">
        <w:rPr>
          <w:color w:val="000000" w:themeColor="text1"/>
          <w:w w:val="105"/>
          <w:lang w:val="en-GB"/>
        </w:rPr>
        <w:t>MD, PhD</w:t>
      </w:r>
      <w:r w:rsidR="0061411C" w:rsidRPr="006841D0">
        <w:rPr>
          <w:color w:val="000000" w:themeColor="text1"/>
          <w:w w:val="105"/>
          <w:vertAlign w:val="superscript"/>
          <w:lang w:val="en-GB"/>
        </w:rPr>
        <w:t>3</w:t>
      </w:r>
      <w:r w:rsidRPr="006841D0">
        <w:rPr>
          <w:color w:val="000000" w:themeColor="text1"/>
          <w:w w:val="105"/>
          <w:lang w:val="en-GB"/>
        </w:rPr>
        <w:t>,</w:t>
      </w:r>
      <w:r w:rsidRPr="006841D0">
        <w:rPr>
          <w:color w:val="000000" w:themeColor="text1"/>
          <w:spacing w:val="4"/>
          <w:w w:val="105"/>
          <w:lang w:val="en-GB"/>
        </w:rPr>
        <w:t xml:space="preserve"> </w:t>
      </w:r>
      <w:proofErr w:type="spellStart"/>
      <w:r w:rsidR="00C374CD" w:rsidRPr="006841D0">
        <w:rPr>
          <w:color w:val="000000" w:themeColor="text1"/>
          <w:w w:val="105"/>
          <w:lang w:val="en-GB"/>
        </w:rPr>
        <w:t>Nilesh</w:t>
      </w:r>
      <w:proofErr w:type="spellEnd"/>
      <w:r w:rsidR="00C374CD" w:rsidRPr="006841D0">
        <w:rPr>
          <w:color w:val="000000" w:themeColor="text1"/>
          <w:w w:val="105"/>
          <w:lang w:val="en-GB"/>
        </w:rPr>
        <w:t xml:space="preserve"> </w:t>
      </w:r>
      <w:r w:rsidRPr="006841D0">
        <w:rPr>
          <w:color w:val="000000" w:themeColor="text1"/>
          <w:w w:val="105"/>
          <w:lang w:val="en-GB"/>
        </w:rPr>
        <w:t>J</w:t>
      </w:r>
      <w:r w:rsidRPr="006841D0">
        <w:rPr>
          <w:color w:val="000000" w:themeColor="text1"/>
          <w:spacing w:val="5"/>
          <w:w w:val="105"/>
          <w:lang w:val="en-GB"/>
        </w:rPr>
        <w:t xml:space="preserve"> </w:t>
      </w:r>
      <w:proofErr w:type="spellStart"/>
      <w:r w:rsidRPr="006841D0">
        <w:rPr>
          <w:color w:val="000000" w:themeColor="text1"/>
          <w:w w:val="105"/>
          <w:lang w:val="en-GB"/>
        </w:rPr>
        <w:t>Samani</w:t>
      </w:r>
      <w:proofErr w:type="spellEnd"/>
      <w:r w:rsidRPr="006841D0">
        <w:rPr>
          <w:color w:val="000000" w:themeColor="text1"/>
          <w:w w:val="105"/>
          <w:lang w:val="en-GB"/>
        </w:rPr>
        <w:t>,</w:t>
      </w:r>
      <w:r w:rsidRPr="006841D0">
        <w:rPr>
          <w:color w:val="000000" w:themeColor="text1"/>
          <w:spacing w:val="5"/>
          <w:w w:val="105"/>
          <w:lang w:val="en-GB"/>
        </w:rPr>
        <w:t xml:space="preserve"> </w:t>
      </w:r>
      <w:r w:rsidRPr="006841D0">
        <w:rPr>
          <w:color w:val="000000" w:themeColor="text1"/>
          <w:w w:val="105"/>
          <w:lang w:val="en-GB"/>
        </w:rPr>
        <w:t>MD</w:t>
      </w:r>
      <w:r w:rsidR="006841D0" w:rsidRPr="006841D0">
        <w:rPr>
          <w:color w:val="000000" w:themeColor="text1"/>
          <w:w w:val="105"/>
          <w:lang w:val="en-GB"/>
        </w:rPr>
        <w:t>, PhD</w:t>
      </w:r>
      <w:r w:rsidR="006841D0" w:rsidRPr="006841D0">
        <w:rPr>
          <w:color w:val="000000" w:themeColor="text1"/>
          <w:w w:val="105"/>
          <w:vertAlign w:val="superscript"/>
          <w:lang w:val="en-GB"/>
        </w:rPr>
        <w:t xml:space="preserve"> </w:t>
      </w:r>
      <w:r w:rsidR="0061411C" w:rsidRPr="006841D0">
        <w:rPr>
          <w:color w:val="000000" w:themeColor="text1"/>
          <w:w w:val="105"/>
          <w:vertAlign w:val="superscript"/>
          <w:lang w:val="en-GB"/>
        </w:rPr>
        <w:t>2</w:t>
      </w:r>
      <w:r w:rsidRPr="006841D0">
        <w:rPr>
          <w:color w:val="000000" w:themeColor="text1"/>
          <w:w w:val="105"/>
          <w:lang w:val="en-GB"/>
        </w:rPr>
        <w:t>,</w:t>
      </w:r>
      <w:r w:rsidRPr="006841D0">
        <w:rPr>
          <w:color w:val="000000" w:themeColor="text1"/>
          <w:spacing w:val="5"/>
          <w:w w:val="105"/>
          <w:lang w:val="en-GB"/>
        </w:rPr>
        <w:t xml:space="preserve"> </w:t>
      </w:r>
      <w:r w:rsidRPr="006841D0">
        <w:rPr>
          <w:color w:val="000000" w:themeColor="text1"/>
          <w:spacing w:val="-18"/>
          <w:w w:val="105"/>
          <w:lang w:val="en-GB"/>
        </w:rPr>
        <w:t>P</w:t>
      </w:r>
      <w:r w:rsidR="00C374CD" w:rsidRPr="006841D0">
        <w:rPr>
          <w:color w:val="000000" w:themeColor="text1"/>
          <w:w w:val="105"/>
          <w:lang w:val="en-GB"/>
        </w:rPr>
        <w:t>iotr</w:t>
      </w:r>
      <w:r w:rsidRPr="006841D0">
        <w:rPr>
          <w:color w:val="000000" w:themeColor="text1"/>
          <w:spacing w:val="4"/>
          <w:w w:val="105"/>
          <w:lang w:val="en-GB"/>
        </w:rPr>
        <w:t xml:space="preserve"> </w:t>
      </w:r>
      <w:proofErr w:type="spellStart"/>
      <w:r w:rsidRPr="006841D0">
        <w:rPr>
          <w:color w:val="000000" w:themeColor="text1"/>
          <w:spacing w:val="-7"/>
          <w:w w:val="105"/>
          <w:lang w:val="en-GB"/>
        </w:rPr>
        <w:t>P</w:t>
      </w:r>
      <w:r w:rsidRPr="006841D0">
        <w:rPr>
          <w:color w:val="000000" w:themeColor="text1"/>
          <w:w w:val="105"/>
          <w:lang w:val="en-GB"/>
        </w:rPr>
        <w:t>oni</w:t>
      </w:r>
      <w:r w:rsidRPr="006841D0">
        <w:rPr>
          <w:color w:val="000000" w:themeColor="text1"/>
          <w:spacing w:val="-7"/>
          <w:w w:val="105"/>
          <w:lang w:val="en-GB"/>
        </w:rPr>
        <w:t>k</w:t>
      </w:r>
      <w:r w:rsidRPr="006841D0">
        <w:rPr>
          <w:color w:val="000000" w:themeColor="text1"/>
          <w:spacing w:val="-8"/>
          <w:w w:val="105"/>
          <w:lang w:val="en-GB"/>
        </w:rPr>
        <w:t>o</w:t>
      </w:r>
      <w:r w:rsidRPr="006841D0">
        <w:rPr>
          <w:color w:val="000000" w:themeColor="text1"/>
          <w:w w:val="105"/>
          <w:lang w:val="en-GB"/>
        </w:rPr>
        <w:t>wski</w:t>
      </w:r>
      <w:proofErr w:type="spellEnd"/>
      <w:r w:rsidRPr="006841D0">
        <w:rPr>
          <w:color w:val="000000" w:themeColor="text1"/>
          <w:w w:val="105"/>
          <w:lang w:val="en-GB"/>
        </w:rPr>
        <w:t>,</w:t>
      </w:r>
      <w:r w:rsidRPr="006841D0">
        <w:rPr>
          <w:color w:val="000000" w:themeColor="text1"/>
          <w:spacing w:val="4"/>
          <w:w w:val="105"/>
          <w:lang w:val="en-GB"/>
        </w:rPr>
        <w:t xml:space="preserve"> </w:t>
      </w:r>
      <w:r w:rsidRPr="006841D0">
        <w:rPr>
          <w:color w:val="000000" w:themeColor="text1"/>
          <w:w w:val="105"/>
          <w:lang w:val="en-GB"/>
        </w:rPr>
        <w:t>MD, PhD</w:t>
      </w:r>
      <w:r w:rsidR="0061411C" w:rsidRPr="006841D0">
        <w:rPr>
          <w:color w:val="000000" w:themeColor="text1"/>
          <w:w w:val="105"/>
          <w:vertAlign w:val="superscript"/>
          <w:lang w:val="en-GB"/>
        </w:rPr>
        <w:t>5</w:t>
      </w:r>
      <w:r w:rsidRPr="006841D0">
        <w:rPr>
          <w:color w:val="000000" w:themeColor="text1"/>
          <w:w w:val="105"/>
          <w:lang w:val="en-GB"/>
        </w:rPr>
        <w:t>,</w:t>
      </w:r>
      <w:r w:rsidRPr="006841D0">
        <w:rPr>
          <w:color w:val="000000" w:themeColor="text1"/>
          <w:spacing w:val="4"/>
          <w:w w:val="105"/>
          <w:lang w:val="en-GB"/>
        </w:rPr>
        <w:t xml:space="preserve"> </w:t>
      </w:r>
      <w:r w:rsidRPr="006841D0">
        <w:rPr>
          <w:color w:val="000000" w:themeColor="text1"/>
          <w:w w:val="105"/>
          <w:lang w:val="en-GB"/>
        </w:rPr>
        <w:t>M</w:t>
      </w:r>
      <w:r w:rsidR="00C374CD" w:rsidRPr="006841D0">
        <w:rPr>
          <w:color w:val="000000" w:themeColor="text1"/>
          <w:w w:val="105"/>
          <w:lang w:val="en-GB"/>
        </w:rPr>
        <w:t>arco</w:t>
      </w:r>
      <w:r w:rsidRPr="006841D0">
        <w:rPr>
          <w:color w:val="000000" w:themeColor="text1"/>
          <w:w w:val="102"/>
          <w:lang w:val="en-GB"/>
        </w:rPr>
        <w:t xml:space="preserve"> </w:t>
      </w:r>
      <w:proofErr w:type="spellStart"/>
      <w:r w:rsidRPr="006841D0">
        <w:rPr>
          <w:color w:val="000000" w:themeColor="text1"/>
          <w:w w:val="105"/>
          <w:lang w:val="en-GB"/>
        </w:rPr>
        <w:t>Metra</w:t>
      </w:r>
      <w:proofErr w:type="spellEnd"/>
      <w:r w:rsidRPr="006841D0">
        <w:rPr>
          <w:color w:val="000000" w:themeColor="text1"/>
          <w:w w:val="105"/>
          <w:lang w:val="en-GB"/>
        </w:rPr>
        <w:t>,</w:t>
      </w:r>
      <w:r w:rsidRPr="006841D0">
        <w:rPr>
          <w:color w:val="000000" w:themeColor="text1"/>
          <w:spacing w:val="12"/>
          <w:w w:val="105"/>
          <w:lang w:val="en-GB"/>
        </w:rPr>
        <w:t xml:space="preserve"> </w:t>
      </w:r>
      <w:r w:rsidRPr="006841D0">
        <w:rPr>
          <w:color w:val="000000" w:themeColor="text1"/>
          <w:w w:val="105"/>
          <w:lang w:val="en-GB"/>
        </w:rPr>
        <w:t>MD</w:t>
      </w:r>
      <w:r w:rsidR="0061411C" w:rsidRPr="006841D0">
        <w:rPr>
          <w:color w:val="000000" w:themeColor="text1"/>
          <w:w w:val="105"/>
          <w:vertAlign w:val="superscript"/>
          <w:lang w:val="en-GB"/>
        </w:rPr>
        <w:t>6</w:t>
      </w:r>
      <w:r w:rsidRPr="006841D0">
        <w:rPr>
          <w:color w:val="000000" w:themeColor="text1"/>
          <w:w w:val="105"/>
          <w:lang w:val="en-GB"/>
        </w:rPr>
        <w:t>,</w:t>
      </w:r>
      <w:r w:rsidRPr="006841D0">
        <w:rPr>
          <w:color w:val="000000" w:themeColor="text1"/>
          <w:spacing w:val="12"/>
          <w:w w:val="105"/>
          <w:lang w:val="en-GB"/>
        </w:rPr>
        <w:t xml:space="preserve"> </w:t>
      </w:r>
      <w:proofErr w:type="spellStart"/>
      <w:r w:rsidR="00C374CD" w:rsidRPr="006841D0">
        <w:rPr>
          <w:color w:val="000000" w:themeColor="text1"/>
          <w:w w:val="105"/>
          <w:lang w:val="en-GB"/>
        </w:rPr>
        <w:t>Jozine</w:t>
      </w:r>
      <w:proofErr w:type="spellEnd"/>
      <w:r w:rsidR="00C374CD" w:rsidRPr="006841D0">
        <w:rPr>
          <w:color w:val="000000" w:themeColor="text1"/>
          <w:w w:val="105"/>
          <w:lang w:val="en-GB"/>
        </w:rPr>
        <w:t xml:space="preserve"> </w:t>
      </w:r>
      <w:r w:rsidRPr="006841D0">
        <w:rPr>
          <w:color w:val="000000" w:themeColor="text1"/>
          <w:w w:val="105"/>
          <w:lang w:val="en-GB"/>
        </w:rPr>
        <w:t>M.</w:t>
      </w:r>
      <w:r w:rsidRPr="006841D0">
        <w:rPr>
          <w:color w:val="000000" w:themeColor="text1"/>
          <w:spacing w:val="12"/>
          <w:w w:val="105"/>
          <w:lang w:val="en-GB"/>
        </w:rPr>
        <w:t xml:space="preserve"> </w:t>
      </w:r>
      <w:proofErr w:type="spellStart"/>
      <w:r w:rsidRPr="006841D0">
        <w:rPr>
          <w:color w:val="000000" w:themeColor="text1"/>
          <w:w w:val="105"/>
          <w:lang w:val="en-GB"/>
        </w:rPr>
        <w:t>ter</w:t>
      </w:r>
      <w:proofErr w:type="spellEnd"/>
      <w:r w:rsidRPr="006841D0">
        <w:rPr>
          <w:color w:val="000000" w:themeColor="text1"/>
          <w:spacing w:val="12"/>
          <w:w w:val="105"/>
          <w:lang w:val="en-GB"/>
        </w:rPr>
        <w:t xml:space="preserve"> </w:t>
      </w:r>
      <w:proofErr w:type="spellStart"/>
      <w:r w:rsidRPr="006841D0">
        <w:rPr>
          <w:color w:val="000000" w:themeColor="text1"/>
          <w:w w:val="105"/>
          <w:lang w:val="en-GB"/>
        </w:rPr>
        <w:t>Maaten</w:t>
      </w:r>
      <w:proofErr w:type="spellEnd"/>
      <w:r w:rsidRPr="006841D0">
        <w:rPr>
          <w:color w:val="000000" w:themeColor="text1"/>
          <w:w w:val="105"/>
          <w:lang w:val="en-GB"/>
        </w:rPr>
        <w:t>,</w:t>
      </w:r>
      <w:r w:rsidRPr="006841D0">
        <w:rPr>
          <w:color w:val="000000" w:themeColor="text1"/>
          <w:spacing w:val="12"/>
          <w:w w:val="105"/>
          <w:lang w:val="en-GB"/>
        </w:rPr>
        <w:t xml:space="preserve"> </w:t>
      </w:r>
      <w:r w:rsidRPr="006841D0">
        <w:rPr>
          <w:color w:val="000000" w:themeColor="text1"/>
          <w:w w:val="105"/>
          <w:lang w:val="en-GB"/>
        </w:rPr>
        <w:t>MD</w:t>
      </w:r>
      <w:r w:rsidR="006841D0" w:rsidRPr="006841D0">
        <w:rPr>
          <w:color w:val="000000" w:themeColor="text1"/>
          <w:w w:val="105"/>
          <w:lang w:val="en-GB"/>
        </w:rPr>
        <w:t>, PhD</w:t>
      </w:r>
      <w:r w:rsidR="006841D0" w:rsidRPr="006841D0">
        <w:rPr>
          <w:color w:val="000000" w:themeColor="text1"/>
          <w:w w:val="105"/>
          <w:vertAlign w:val="superscript"/>
          <w:lang w:val="en-GB"/>
        </w:rPr>
        <w:t xml:space="preserve"> </w:t>
      </w:r>
      <w:r w:rsidR="0061411C" w:rsidRPr="006841D0">
        <w:rPr>
          <w:color w:val="000000" w:themeColor="text1"/>
          <w:w w:val="105"/>
          <w:vertAlign w:val="superscript"/>
          <w:lang w:val="en-GB"/>
        </w:rPr>
        <w:t>3</w:t>
      </w:r>
      <w:r w:rsidRPr="006841D0">
        <w:rPr>
          <w:color w:val="000000" w:themeColor="text1"/>
          <w:w w:val="105"/>
          <w:lang w:val="en-GB"/>
        </w:rPr>
        <w:t>,</w:t>
      </w:r>
      <w:r w:rsidRPr="006841D0">
        <w:rPr>
          <w:color w:val="000000" w:themeColor="text1"/>
          <w:spacing w:val="12"/>
          <w:w w:val="105"/>
          <w:lang w:val="en-GB"/>
        </w:rPr>
        <w:t xml:space="preserve"> </w:t>
      </w:r>
      <w:proofErr w:type="spellStart"/>
      <w:r w:rsidR="00C374CD" w:rsidRPr="006841D0">
        <w:rPr>
          <w:color w:val="000000" w:themeColor="text1"/>
          <w:w w:val="105"/>
          <w:lang w:val="en-GB"/>
        </w:rPr>
        <w:t>Chim</w:t>
      </w:r>
      <w:proofErr w:type="spellEnd"/>
      <w:r w:rsidR="00C374CD" w:rsidRPr="006841D0">
        <w:rPr>
          <w:color w:val="000000" w:themeColor="text1"/>
          <w:w w:val="105"/>
          <w:lang w:val="en-GB"/>
        </w:rPr>
        <w:t xml:space="preserve"> </w:t>
      </w:r>
      <w:r w:rsidRPr="006841D0">
        <w:rPr>
          <w:color w:val="000000" w:themeColor="text1"/>
          <w:w w:val="105"/>
          <w:lang w:val="en-GB"/>
        </w:rPr>
        <w:t>C.</w:t>
      </w:r>
      <w:r w:rsidRPr="006841D0">
        <w:rPr>
          <w:color w:val="000000" w:themeColor="text1"/>
          <w:spacing w:val="12"/>
          <w:w w:val="105"/>
          <w:lang w:val="en-GB"/>
        </w:rPr>
        <w:t xml:space="preserve"> </w:t>
      </w:r>
      <w:r w:rsidRPr="006841D0">
        <w:rPr>
          <w:color w:val="000000" w:themeColor="text1"/>
          <w:w w:val="105"/>
          <w:lang w:val="en-GB"/>
        </w:rPr>
        <w:t>Lang,</w:t>
      </w:r>
      <w:r w:rsidRPr="006841D0">
        <w:rPr>
          <w:color w:val="000000" w:themeColor="text1"/>
          <w:spacing w:val="13"/>
          <w:w w:val="105"/>
          <w:lang w:val="en-GB"/>
        </w:rPr>
        <w:t xml:space="preserve"> </w:t>
      </w:r>
      <w:r w:rsidRPr="006841D0">
        <w:rPr>
          <w:color w:val="000000" w:themeColor="text1"/>
          <w:w w:val="105"/>
          <w:lang w:val="en-GB"/>
        </w:rPr>
        <w:t>MD</w:t>
      </w:r>
      <w:r w:rsidR="0061411C" w:rsidRPr="006841D0">
        <w:rPr>
          <w:color w:val="000000" w:themeColor="text1"/>
          <w:w w:val="105"/>
          <w:vertAlign w:val="superscript"/>
          <w:lang w:val="en-GB"/>
        </w:rPr>
        <w:t>7</w:t>
      </w:r>
      <w:r w:rsidRPr="006841D0">
        <w:rPr>
          <w:color w:val="000000" w:themeColor="text1"/>
          <w:w w:val="105"/>
          <w:lang w:val="en-GB"/>
        </w:rPr>
        <w:t>,</w:t>
      </w:r>
      <w:r w:rsidRPr="006841D0">
        <w:rPr>
          <w:color w:val="000000" w:themeColor="text1"/>
          <w:spacing w:val="12"/>
          <w:w w:val="105"/>
          <w:lang w:val="en-GB"/>
        </w:rPr>
        <w:t xml:space="preserve"> </w:t>
      </w:r>
      <w:proofErr w:type="spellStart"/>
      <w:r w:rsidR="006841D0">
        <w:rPr>
          <w:color w:val="000000" w:themeColor="text1"/>
          <w:spacing w:val="-18"/>
          <w:w w:val="105"/>
          <w:lang w:val="en-GB"/>
        </w:rPr>
        <w:t>Pim</w:t>
      </w:r>
      <w:proofErr w:type="spellEnd"/>
      <w:r w:rsidR="006841D0" w:rsidRPr="006841D0">
        <w:rPr>
          <w:color w:val="000000" w:themeColor="text1"/>
          <w:spacing w:val="12"/>
          <w:w w:val="105"/>
          <w:lang w:val="en-GB"/>
        </w:rPr>
        <w:t xml:space="preserve"> </w:t>
      </w:r>
      <w:r w:rsidRPr="006841D0">
        <w:rPr>
          <w:color w:val="000000" w:themeColor="text1"/>
          <w:spacing w:val="-14"/>
          <w:w w:val="105"/>
          <w:lang w:val="en-GB"/>
        </w:rPr>
        <w:t>v</w:t>
      </w:r>
      <w:r w:rsidRPr="006841D0">
        <w:rPr>
          <w:color w:val="000000" w:themeColor="text1"/>
          <w:w w:val="105"/>
          <w:lang w:val="en-GB"/>
        </w:rPr>
        <w:t>an</w:t>
      </w:r>
      <w:r w:rsidRPr="006841D0">
        <w:rPr>
          <w:color w:val="000000" w:themeColor="text1"/>
          <w:w w:val="109"/>
          <w:lang w:val="en-GB"/>
        </w:rPr>
        <w:t xml:space="preserve"> </w:t>
      </w:r>
      <w:r w:rsidRPr="006841D0">
        <w:rPr>
          <w:color w:val="000000" w:themeColor="text1"/>
          <w:w w:val="105"/>
          <w:lang w:val="en-GB"/>
        </w:rPr>
        <w:t>der</w:t>
      </w:r>
      <w:r w:rsidRPr="006841D0">
        <w:rPr>
          <w:color w:val="000000" w:themeColor="text1"/>
          <w:spacing w:val="13"/>
          <w:w w:val="105"/>
          <w:lang w:val="en-GB"/>
        </w:rPr>
        <w:t xml:space="preserve"> </w:t>
      </w:r>
      <w:proofErr w:type="spellStart"/>
      <w:r w:rsidRPr="006841D0">
        <w:rPr>
          <w:color w:val="000000" w:themeColor="text1"/>
          <w:w w:val="105"/>
          <w:lang w:val="en-GB"/>
        </w:rPr>
        <w:t>Harst</w:t>
      </w:r>
      <w:proofErr w:type="spellEnd"/>
      <w:r w:rsidRPr="006841D0">
        <w:rPr>
          <w:color w:val="000000" w:themeColor="text1"/>
          <w:w w:val="105"/>
          <w:lang w:val="en-GB"/>
        </w:rPr>
        <w:t>,</w:t>
      </w:r>
      <w:r w:rsidRPr="006841D0">
        <w:rPr>
          <w:color w:val="000000" w:themeColor="text1"/>
          <w:spacing w:val="15"/>
          <w:w w:val="105"/>
          <w:lang w:val="en-GB"/>
        </w:rPr>
        <w:t xml:space="preserve"> </w:t>
      </w:r>
      <w:r w:rsidRPr="006841D0">
        <w:rPr>
          <w:color w:val="000000" w:themeColor="text1"/>
          <w:w w:val="105"/>
          <w:lang w:val="en-GB"/>
        </w:rPr>
        <w:t>MD, PhD</w:t>
      </w:r>
      <w:r w:rsidR="0061411C" w:rsidRPr="006841D0">
        <w:rPr>
          <w:color w:val="000000" w:themeColor="text1"/>
          <w:w w:val="105"/>
          <w:vertAlign w:val="superscript"/>
          <w:lang w:val="en-GB"/>
        </w:rPr>
        <w:t>3</w:t>
      </w:r>
      <w:r w:rsidRPr="006841D0">
        <w:rPr>
          <w:color w:val="000000" w:themeColor="text1"/>
          <w:w w:val="105"/>
          <w:lang w:val="en-GB"/>
        </w:rPr>
        <w:t>,</w:t>
      </w:r>
      <w:r w:rsidRPr="006841D0">
        <w:rPr>
          <w:color w:val="000000" w:themeColor="text1"/>
          <w:spacing w:val="14"/>
          <w:w w:val="105"/>
          <w:lang w:val="en-GB"/>
        </w:rPr>
        <w:t xml:space="preserve"> </w:t>
      </w:r>
      <w:proofErr w:type="spellStart"/>
      <w:r w:rsidR="00C374CD" w:rsidRPr="006841D0">
        <w:rPr>
          <w:color w:val="000000" w:themeColor="text1"/>
          <w:w w:val="105"/>
          <w:lang w:val="en-GB"/>
        </w:rPr>
        <w:t>Gerasimos</w:t>
      </w:r>
      <w:proofErr w:type="spellEnd"/>
      <w:r w:rsidRPr="006841D0">
        <w:rPr>
          <w:color w:val="000000" w:themeColor="text1"/>
          <w:spacing w:val="13"/>
          <w:w w:val="105"/>
          <w:lang w:val="en-GB"/>
        </w:rPr>
        <w:t xml:space="preserve"> </w:t>
      </w:r>
      <w:proofErr w:type="spellStart"/>
      <w:r w:rsidRPr="006841D0">
        <w:rPr>
          <w:color w:val="000000" w:themeColor="text1"/>
          <w:w w:val="105"/>
          <w:lang w:val="en-GB"/>
        </w:rPr>
        <w:t>Filippatos</w:t>
      </w:r>
      <w:proofErr w:type="spellEnd"/>
      <w:r w:rsidRPr="006841D0">
        <w:rPr>
          <w:color w:val="000000" w:themeColor="text1"/>
          <w:w w:val="105"/>
          <w:lang w:val="en-GB"/>
        </w:rPr>
        <w:t>,</w:t>
      </w:r>
      <w:r w:rsidRPr="006841D0">
        <w:rPr>
          <w:color w:val="000000" w:themeColor="text1"/>
          <w:spacing w:val="15"/>
          <w:w w:val="105"/>
          <w:lang w:val="en-GB"/>
        </w:rPr>
        <w:t xml:space="preserve"> </w:t>
      </w:r>
      <w:r w:rsidRPr="006841D0">
        <w:rPr>
          <w:color w:val="000000" w:themeColor="text1"/>
          <w:w w:val="105"/>
          <w:lang w:val="en-GB"/>
        </w:rPr>
        <w:t>MD</w:t>
      </w:r>
      <w:r w:rsidR="006841D0" w:rsidRPr="006841D0">
        <w:rPr>
          <w:color w:val="000000" w:themeColor="text1"/>
          <w:w w:val="105"/>
          <w:lang w:val="en-GB"/>
        </w:rPr>
        <w:t>, PhD</w:t>
      </w:r>
      <w:r w:rsidR="006841D0" w:rsidRPr="006841D0">
        <w:rPr>
          <w:color w:val="000000" w:themeColor="text1"/>
          <w:w w:val="105"/>
          <w:vertAlign w:val="superscript"/>
          <w:lang w:val="en-GB"/>
        </w:rPr>
        <w:t xml:space="preserve"> </w:t>
      </w:r>
      <w:r w:rsidR="0061411C" w:rsidRPr="006841D0">
        <w:rPr>
          <w:color w:val="000000" w:themeColor="text1"/>
          <w:w w:val="105"/>
          <w:vertAlign w:val="superscript"/>
          <w:lang w:val="en-GB"/>
        </w:rPr>
        <w:t>8</w:t>
      </w:r>
      <w:r w:rsidRPr="006841D0">
        <w:rPr>
          <w:color w:val="000000" w:themeColor="text1"/>
          <w:w w:val="105"/>
          <w:lang w:val="en-GB"/>
        </w:rPr>
        <w:t>,</w:t>
      </w:r>
      <w:r w:rsidRPr="006841D0">
        <w:rPr>
          <w:color w:val="000000" w:themeColor="text1"/>
          <w:spacing w:val="14"/>
          <w:w w:val="105"/>
          <w:lang w:val="en-GB"/>
        </w:rPr>
        <w:t xml:space="preserve"> </w:t>
      </w:r>
      <w:r w:rsidR="003977AD" w:rsidRPr="006841D0">
        <w:rPr>
          <w:color w:val="000000" w:themeColor="text1"/>
          <w:w w:val="105"/>
          <w:lang w:val="en-GB"/>
        </w:rPr>
        <w:t xml:space="preserve">Kenneth </w:t>
      </w:r>
      <w:r w:rsidRPr="006841D0">
        <w:rPr>
          <w:color w:val="000000" w:themeColor="text1"/>
          <w:w w:val="105"/>
          <w:lang w:val="en-GB"/>
        </w:rPr>
        <w:t>Di</w:t>
      </w:r>
      <w:r w:rsidRPr="006841D0">
        <w:rPr>
          <w:color w:val="000000" w:themeColor="text1"/>
          <w:spacing w:val="-8"/>
          <w:w w:val="105"/>
          <w:lang w:val="en-GB"/>
        </w:rPr>
        <w:t>c</w:t>
      </w:r>
      <w:r w:rsidRPr="006841D0">
        <w:rPr>
          <w:color w:val="000000" w:themeColor="text1"/>
          <w:spacing w:val="-2"/>
          <w:w w:val="105"/>
          <w:lang w:val="en-GB"/>
        </w:rPr>
        <w:t>k</w:t>
      </w:r>
      <w:r w:rsidRPr="006841D0">
        <w:rPr>
          <w:color w:val="000000" w:themeColor="text1"/>
          <w:w w:val="105"/>
          <w:lang w:val="en-GB"/>
        </w:rPr>
        <w:t>s</w:t>
      </w:r>
      <w:r w:rsidRPr="006841D0">
        <w:rPr>
          <w:color w:val="000000" w:themeColor="text1"/>
          <w:spacing w:val="-1"/>
          <w:w w:val="105"/>
          <w:lang w:val="en-GB"/>
        </w:rPr>
        <w:t>t</w:t>
      </w:r>
      <w:r w:rsidRPr="006841D0">
        <w:rPr>
          <w:color w:val="000000" w:themeColor="text1"/>
          <w:w w:val="105"/>
          <w:lang w:val="en-GB"/>
        </w:rPr>
        <w:t>ein,</w:t>
      </w:r>
      <w:r w:rsidRPr="006841D0">
        <w:rPr>
          <w:color w:val="000000" w:themeColor="text1"/>
          <w:spacing w:val="13"/>
          <w:w w:val="105"/>
          <w:lang w:val="en-GB"/>
        </w:rPr>
        <w:t xml:space="preserve"> </w:t>
      </w:r>
      <w:r w:rsidRPr="006841D0">
        <w:rPr>
          <w:color w:val="000000" w:themeColor="text1"/>
          <w:w w:val="105"/>
          <w:lang w:val="en-GB"/>
        </w:rPr>
        <w:t>MD</w:t>
      </w:r>
      <w:r w:rsidR="006841D0" w:rsidRPr="006841D0">
        <w:rPr>
          <w:color w:val="000000" w:themeColor="text1"/>
          <w:w w:val="105"/>
          <w:lang w:val="en-GB"/>
        </w:rPr>
        <w:t>, PhD</w:t>
      </w:r>
      <w:r w:rsidR="006841D0" w:rsidRPr="006841D0">
        <w:rPr>
          <w:color w:val="000000" w:themeColor="text1"/>
          <w:w w:val="105"/>
          <w:vertAlign w:val="superscript"/>
          <w:lang w:val="en-GB"/>
        </w:rPr>
        <w:t xml:space="preserve"> </w:t>
      </w:r>
      <w:r w:rsidR="0061411C" w:rsidRPr="006841D0">
        <w:rPr>
          <w:color w:val="000000" w:themeColor="text1"/>
          <w:w w:val="105"/>
          <w:vertAlign w:val="superscript"/>
          <w:lang w:val="en-GB"/>
        </w:rPr>
        <w:t>9,10</w:t>
      </w:r>
      <w:r w:rsidR="0061411C" w:rsidRPr="006841D0">
        <w:rPr>
          <w:color w:val="000000" w:themeColor="text1"/>
          <w:spacing w:val="14"/>
          <w:w w:val="105"/>
          <w:lang w:val="en-GB"/>
        </w:rPr>
        <w:t xml:space="preserve">; </w:t>
      </w:r>
      <w:r w:rsidRPr="006841D0">
        <w:rPr>
          <w:color w:val="000000" w:themeColor="text1"/>
          <w:w w:val="105"/>
          <w:lang w:val="en-GB"/>
        </w:rPr>
        <w:t>J</w:t>
      </w:r>
      <w:r w:rsidR="003977AD" w:rsidRPr="006841D0">
        <w:rPr>
          <w:color w:val="000000" w:themeColor="text1"/>
          <w:w w:val="105"/>
          <w:lang w:val="en-GB"/>
        </w:rPr>
        <w:t xml:space="preserve">ohn </w:t>
      </w:r>
      <w:r w:rsidRPr="006841D0">
        <w:rPr>
          <w:color w:val="000000" w:themeColor="text1"/>
          <w:w w:val="105"/>
          <w:lang w:val="en-GB"/>
        </w:rPr>
        <w:t>G.</w:t>
      </w:r>
      <w:r w:rsidRPr="006841D0">
        <w:rPr>
          <w:color w:val="000000" w:themeColor="text1"/>
          <w:spacing w:val="14"/>
          <w:w w:val="105"/>
          <w:lang w:val="en-GB"/>
        </w:rPr>
        <w:t xml:space="preserve"> </w:t>
      </w:r>
      <w:r w:rsidRPr="006841D0">
        <w:rPr>
          <w:color w:val="000000" w:themeColor="text1"/>
          <w:w w:val="105"/>
          <w:lang w:val="en-GB"/>
        </w:rPr>
        <w:t>Cleland,</w:t>
      </w:r>
      <w:r w:rsidRPr="006841D0">
        <w:rPr>
          <w:color w:val="000000" w:themeColor="text1"/>
          <w:spacing w:val="15"/>
          <w:w w:val="105"/>
          <w:lang w:val="en-GB"/>
        </w:rPr>
        <w:t xml:space="preserve"> </w:t>
      </w:r>
      <w:r w:rsidRPr="006841D0">
        <w:rPr>
          <w:color w:val="000000" w:themeColor="text1"/>
          <w:w w:val="105"/>
          <w:lang w:val="en-GB"/>
        </w:rPr>
        <w:t>MD</w:t>
      </w:r>
      <w:r w:rsidR="006841D0" w:rsidRPr="006841D0">
        <w:rPr>
          <w:color w:val="000000" w:themeColor="text1"/>
          <w:w w:val="105"/>
          <w:lang w:val="en-GB"/>
        </w:rPr>
        <w:t>, PhD</w:t>
      </w:r>
      <w:r w:rsidR="006841D0" w:rsidRPr="006841D0">
        <w:rPr>
          <w:color w:val="000000" w:themeColor="text1"/>
          <w:w w:val="105"/>
          <w:vertAlign w:val="superscript"/>
          <w:lang w:val="en-GB"/>
        </w:rPr>
        <w:t xml:space="preserve"> </w:t>
      </w:r>
      <w:r w:rsidR="0061411C" w:rsidRPr="006841D0">
        <w:rPr>
          <w:color w:val="000000" w:themeColor="text1"/>
          <w:w w:val="105"/>
          <w:vertAlign w:val="superscript"/>
          <w:lang w:val="en-GB"/>
        </w:rPr>
        <w:t>11</w:t>
      </w:r>
      <w:r w:rsidRPr="006841D0">
        <w:rPr>
          <w:color w:val="000000" w:themeColor="text1"/>
          <w:w w:val="105"/>
          <w:lang w:val="en-GB"/>
        </w:rPr>
        <w:t>,</w:t>
      </w:r>
      <w:r w:rsidR="003977AD" w:rsidRPr="006841D0">
        <w:rPr>
          <w:color w:val="000000" w:themeColor="text1"/>
          <w:w w:val="105"/>
          <w:lang w:val="en-GB"/>
        </w:rPr>
        <w:t xml:space="preserve"> Stefan </w:t>
      </w:r>
      <w:r w:rsidRPr="006841D0">
        <w:rPr>
          <w:color w:val="000000" w:themeColor="text1"/>
          <w:w w:val="105"/>
          <w:lang w:val="en-GB"/>
        </w:rPr>
        <w:t>D.</w:t>
      </w:r>
      <w:r w:rsidRPr="006841D0">
        <w:rPr>
          <w:color w:val="000000" w:themeColor="text1"/>
          <w:spacing w:val="-1"/>
          <w:w w:val="105"/>
          <w:lang w:val="en-GB"/>
        </w:rPr>
        <w:t xml:space="preserve"> </w:t>
      </w:r>
      <w:r w:rsidRPr="006841D0">
        <w:rPr>
          <w:color w:val="000000" w:themeColor="text1"/>
          <w:w w:val="105"/>
          <w:lang w:val="en-GB"/>
        </w:rPr>
        <w:t>An</w:t>
      </w:r>
      <w:r w:rsidRPr="006841D0">
        <w:rPr>
          <w:color w:val="000000" w:themeColor="text1"/>
          <w:spacing w:val="-7"/>
          <w:w w:val="105"/>
          <w:lang w:val="en-GB"/>
        </w:rPr>
        <w:t>k</w:t>
      </w:r>
      <w:r w:rsidRPr="006841D0">
        <w:rPr>
          <w:color w:val="000000" w:themeColor="text1"/>
          <w:w w:val="105"/>
          <w:lang w:val="en-GB"/>
        </w:rPr>
        <w:t>er, MD, PhD</w:t>
      </w:r>
      <w:r w:rsidR="0061411C" w:rsidRPr="006841D0">
        <w:rPr>
          <w:color w:val="000000" w:themeColor="text1"/>
          <w:w w:val="105"/>
          <w:vertAlign w:val="superscript"/>
          <w:lang w:val="en-GB"/>
        </w:rPr>
        <w:t>12</w:t>
      </w:r>
      <w:r w:rsidRPr="0061411C">
        <w:rPr>
          <w:color w:val="000000" w:themeColor="text1"/>
          <w:lang w:val="en-GB"/>
        </w:rPr>
        <w:t xml:space="preserve">, </w:t>
      </w:r>
      <w:proofErr w:type="spellStart"/>
      <w:r w:rsidRPr="0061411C">
        <w:rPr>
          <w:color w:val="000000" w:themeColor="text1"/>
          <w:lang w:val="en-GB"/>
        </w:rPr>
        <w:t>A</w:t>
      </w:r>
      <w:r w:rsidR="003977AD" w:rsidRPr="0061411C">
        <w:rPr>
          <w:color w:val="000000" w:themeColor="text1"/>
          <w:lang w:val="en-GB"/>
        </w:rPr>
        <w:t>driaan</w:t>
      </w:r>
      <w:proofErr w:type="spellEnd"/>
      <w:r w:rsidRPr="0061411C">
        <w:rPr>
          <w:color w:val="000000" w:themeColor="text1"/>
          <w:lang w:val="en-GB"/>
        </w:rPr>
        <w:t xml:space="preserve"> A. </w:t>
      </w:r>
      <w:proofErr w:type="spellStart"/>
      <w:r w:rsidRPr="0061411C">
        <w:rPr>
          <w:color w:val="000000" w:themeColor="text1"/>
          <w:lang w:val="en-GB"/>
        </w:rPr>
        <w:t>Voors</w:t>
      </w:r>
      <w:proofErr w:type="spellEnd"/>
      <w:r w:rsidR="006841D0">
        <w:rPr>
          <w:color w:val="000000" w:themeColor="text1"/>
          <w:lang w:val="en-GB"/>
        </w:rPr>
        <w:t>, MD</w:t>
      </w:r>
      <w:r w:rsidR="006841D0" w:rsidRPr="006841D0">
        <w:rPr>
          <w:color w:val="000000" w:themeColor="text1"/>
          <w:w w:val="105"/>
          <w:lang w:val="en-GB"/>
        </w:rPr>
        <w:t>, PhD</w:t>
      </w:r>
      <w:r w:rsidR="006841D0" w:rsidRPr="0061411C">
        <w:rPr>
          <w:color w:val="000000" w:themeColor="text1"/>
          <w:vertAlign w:val="superscript"/>
          <w:lang w:val="en-GB"/>
        </w:rPr>
        <w:t xml:space="preserve"> </w:t>
      </w:r>
      <w:r w:rsidRPr="0061411C">
        <w:rPr>
          <w:color w:val="000000" w:themeColor="text1"/>
          <w:vertAlign w:val="superscript"/>
          <w:lang w:val="en-GB"/>
        </w:rPr>
        <w:t>3</w:t>
      </w:r>
    </w:p>
    <w:p w14:paraId="53CA19CF" w14:textId="77777777" w:rsidR="00CE2D72" w:rsidRPr="006841D0" w:rsidRDefault="00CE2D72" w:rsidP="0061411C">
      <w:pPr>
        <w:rPr>
          <w:lang w:val="en-GB"/>
        </w:rPr>
      </w:pPr>
      <w:bookmarkStart w:id="0" w:name="_GoBack"/>
      <w:bookmarkEnd w:id="0"/>
    </w:p>
    <w:p w14:paraId="2E9CA30E" w14:textId="77777777" w:rsidR="0061411C" w:rsidRPr="0061411C" w:rsidRDefault="00025C98" w:rsidP="0061411C">
      <w:pPr>
        <w:pStyle w:val="Lijstalinea"/>
        <w:numPr>
          <w:ilvl w:val="0"/>
          <w:numId w:val="7"/>
        </w:numPr>
        <w:spacing w:line="240" w:lineRule="auto"/>
        <w:rPr>
          <w:rFonts w:ascii="Times New Roman" w:hAnsi="Times New Roman" w:cs="Times New Roman"/>
          <w:sz w:val="24"/>
          <w:szCs w:val="24"/>
        </w:rPr>
      </w:pPr>
      <w:r w:rsidRPr="0061411C">
        <w:rPr>
          <w:rFonts w:ascii="Times New Roman" w:hAnsi="Times New Roman" w:cs="Times New Roman"/>
          <w:sz w:val="24"/>
          <w:szCs w:val="24"/>
        </w:rPr>
        <w:t xml:space="preserve">Department of Clinical Epidemiology, Biostatistics &amp; Bioinformatics, Academic Medical </w:t>
      </w:r>
      <w:proofErr w:type="spellStart"/>
      <w:r w:rsidRPr="0061411C">
        <w:rPr>
          <w:rFonts w:ascii="Times New Roman" w:hAnsi="Times New Roman" w:cs="Times New Roman"/>
          <w:sz w:val="24"/>
          <w:szCs w:val="24"/>
        </w:rPr>
        <w:t>Center</w:t>
      </w:r>
      <w:proofErr w:type="spellEnd"/>
      <w:r w:rsidRPr="0061411C">
        <w:rPr>
          <w:rFonts w:ascii="Times New Roman" w:hAnsi="Times New Roman" w:cs="Times New Roman"/>
          <w:sz w:val="24"/>
          <w:szCs w:val="24"/>
        </w:rPr>
        <w:t>, University of Amsterdam, the Netherland</w:t>
      </w:r>
      <w:r w:rsidR="0039021E" w:rsidRPr="0061411C">
        <w:rPr>
          <w:rFonts w:ascii="Times New Roman" w:hAnsi="Times New Roman" w:cs="Times New Roman"/>
          <w:sz w:val="24"/>
          <w:szCs w:val="24"/>
        </w:rPr>
        <w:t>s</w:t>
      </w:r>
    </w:p>
    <w:p w14:paraId="7B4DF97D" w14:textId="77777777" w:rsidR="0061411C" w:rsidRPr="0061411C" w:rsidRDefault="00025C98" w:rsidP="0061411C">
      <w:pPr>
        <w:pStyle w:val="Lijstalinea"/>
        <w:numPr>
          <w:ilvl w:val="0"/>
          <w:numId w:val="7"/>
        </w:numPr>
        <w:spacing w:line="240" w:lineRule="auto"/>
        <w:rPr>
          <w:rFonts w:ascii="Times New Roman" w:hAnsi="Times New Roman" w:cs="Times New Roman"/>
          <w:sz w:val="24"/>
          <w:szCs w:val="24"/>
        </w:rPr>
      </w:pPr>
      <w:r w:rsidRPr="0061411C">
        <w:rPr>
          <w:rFonts w:ascii="Times New Roman" w:hAnsi="Times New Roman" w:cs="Times New Roman"/>
          <w:sz w:val="24"/>
          <w:szCs w:val="24"/>
        </w:rPr>
        <w:t xml:space="preserve">Department of Cardiovascular Sciences, University of Leicester, Glenfield Hospital, Leicester, UK and NIHR Leicester Biomedical Research </w:t>
      </w:r>
      <w:r w:rsidR="00471AC2" w:rsidRPr="0061411C">
        <w:rPr>
          <w:rFonts w:ascii="Times New Roman" w:hAnsi="Times New Roman" w:cs="Times New Roman"/>
          <w:sz w:val="24"/>
          <w:szCs w:val="24"/>
        </w:rPr>
        <w:t>Centre</w:t>
      </w:r>
      <w:r w:rsidRPr="0061411C">
        <w:rPr>
          <w:rFonts w:ascii="Times New Roman" w:hAnsi="Times New Roman" w:cs="Times New Roman"/>
          <w:sz w:val="24"/>
          <w:szCs w:val="24"/>
        </w:rPr>
        <w:t>, Glenfield Hospital, Leicester, LE3 9QP, UK</w:t>
      </w:r>
    </w:p>
    <w:p w14:paraId="06A95905" w14:textId="77777777" w:rsidR="0061411C" w:rsidRPr="0061411C" w:rsidRDefault="001C2656" w:rsidP="0061411C">
      <w:pPr>
        <w:pStyle w:val="Lijstalinea"/>
        <w:numPr>
          <w:ilvl w:val="0"/>
          <w:numId w:val="7"/>
        </w:numPr>
        <w:spacing w:line="240" w:lineRule="auto"/>
        <w:rPr>
          <w:rFonts w:ascii="Times New Roman" w:hAnsi="Times New Roman" w:cs="Times New Roman"/>
          <w:sz w:val="24"/>
          <w:szCs w:val="24"/>
        </w:rPr>
      </w:pPr>
      <w:r w:rsidRPr="0061411C">
        <w:rPr>
          <w:rFonts w:ascii="Times New Roman" w:hAnsi="Times New Roman" w:cs="Times New Roman"/>
          <w:sz w:val="24"/>
          <w:szCs w:val="24"/>
        </w:rPr>
        <w:t>University of Groningen,</w:t>
      </w:r>
      <w:r w:rsidR="00025C98" w:rsidRPr="0061411C">
        <w:rPr>
          <w:rFonts w:ascii="Times New Roman" w:hAnsi="Times New Roman" w:cs="Times New Roman"/>
          <w:sz w:val="24"/>
          <w:szCs w:val="24"/>
        </w:rPr>
        <w:t xml:space="preserve"> </w:t>
      </w:r>
      <w:r w:rsidR="00D8478D" w:rsidRPr="0061411C">
        <w:rPr>
          <w:rFonts w:ascii="Times New Roman" w:hAnsi="Times New Roman" w:cs="Times New Roman"/>
          <w:sz w:val="24"/>
          <w:szCs w:val="24"/>
        </w:rPr>
        <w:t xml:space="preserve">Department of Cardiology, </w:t>
      </w:r>
      <w:r w:rsidR="00025C98" w:rsidRPr="0061411C">
        <w:rPr>
          <w:rFonts w:ascii="Times New Roman" w:hAnsi="Times New Roman" w:cs="Times New Roman"/>
          <w:sz w:val="24"/>
          <w:szCs w:val="24"/>
        </w:rPr>
        <w:t>Groningen, the Netherlands</w:t>
      </w:r>
    </w:p>
    <w:p w14:paraId="70BB66B2" w14:textId="77777777" w:rsidR="0061411C" w:rsidRPr="0061411C" w:rsidRDefault="00025C98" w:rsidP="0061411C">
      <w:pPr>
        <w:pStyle w:val="Lijstalinea"/>
        <w:numPr>
          <w:ilvl w:val="0"/>
          <w:numId w:val="7"/>
        </w:numPr>
        <w:spacing w:line="240" w:lineRule="auto"/>
        <w:rPr>
          <w:rFonts w:ascii="Times New Roman" w:hAnsi="Times New Roman" w:cs="Times New Roman"/>
          <w:sz w:val="24"/>
          <w:szCs w:val="24"/>
        </w:rPr>
      </w:pPr>
      <w:proofErr w:type="spellStart"/>
      <w:r w:rsidRPr="0061411C">
        <w:rPr>
          <w:rFonts w:ascii="Times New Roman" w:hAnsi="Times New Roman" w:cs="Times New Roman"/>
          <w:sz w:val="24"/>
          <w:szCs w:val="24"/>
        </w:rPr>
        <w:t>Inserm</w:t>
      </w:r>
      <w:proofErr w:type="spellEnd"/>
      <w:r w:rsidRPr="0061411C">
        <w:rPr>
          <w:rFonts w:ascii="Times New Roman" w:hAnsi="Times New Roman" w:cs="Times New Roman"/>
          <w:sz w:val="24"/>
          <w:szCs w:val="24"/>
        </w:rPr>
        <w:t xml:space="preserve"> CIC 1433, </w:t>
      </w:r>
      <w:proofErr w:type="spellStart"/>
      <w:r w:rsidRPr="0061411C">
        <w:rPr>
          <w:rFonts w:ascii="Times New Roman" w:hAnsi="Times New Roman" w:cs="Times New Roman"/>
          <w:sz w:val="24"/>
          <w:szCs w:val="24"/>
        </w:rPr>
        <w:t>Université</w:t>
      </w:r>
      <w:proofErr w:type="spellEnd"/>
      <w:r w:rsidRPr="0061411C">
        <w:rPr>
          <w:rFonts w:ascii="Times New Roman" w:hAnsi="Times New Roman" w:cs="Times New Roman"/>
          <w:sz w:val="24"/>
          <w:szCs w:val="24"/>
        </w:rPr>
        <w:t xml:space="preserve"> de Lorrain, CHU de Nancy, Nancy, France</w:t>
      </w:r>
    </w:p>
    <w:p w14:paraId="5B69732E" w14:textId="3FF1B0E7" w:rsidR="0061411C" w:rsidRPr="0061411C" w:rsidRDefault="00025C98" w:rsidP="0061411C">
      <w:pPr>
        <w:pStyle w:val="Lijstalinea"/>
        <w:numPr>
          <w:ilvl w:val="0"/>
          <w:numId w:val="7"/>
        </w:numPr>
        <w:spacing w:line="240" w:lineRule="auto"/>
        <w:rPr>
          <w:rFonts w:ascii="Times New Roman" w:hAnsi="Times New Roman" w:cs="Times New Roman"/>
          <w:sz w:val="24"/>
          <w:szCs w:val="24"/>
        </w:rPr>
      </w:pPr>
      <w:r w:rsidRPr="0061411C">
        <w:rPr>
          <w:rFonts w:ascii="Times New Roman" w:hAnsi="Times New Roman" w:cs="Times New Roman"/>
          <w:sz w:val="24"/>
          <w:szCs w:val="24"/>
        </w:rPr>
        <w:t xml:space="preserve">Department of Heart Diseases, Wroclaw Medical University, Poland and Cardiology Department, Military Hospital, Wroclaw, </w:t>
      </w:r>
      <w:r w:rsidR="0061411C" w:rsidRPr="0061411C">
        <w:rPr>
          <w:rFonts w:ascii="Times New Roman" w:hAnsi="Times New Roman" w:cs="Times New Roman"/>
          <w:sz w:val="24"/>
          <w:szCs w:val="24"/>
        </w:rPr>
        <w:t>Poland</w:t>
      </w:r>
    </w:p>
    <w:p w14:paraId="4078BE81" w14:textId="77777777" w:rsidR="0061411C" w:rsidRPr="0061411C" w:rsidRDefault="00025C98" w:rsidP="0061411C">
      <w:pPr>
        <w:pStyle w:val="Lijstalinea"/>
        <w:numPr>
          <w:ilvl w:val="0"/>
          <w:numId w:val="7"/>
        </w:numPr>
        <w:spacing w:line="240" w:lineRule="auto"/>
        <w:rPr>
          <w:rFonts w:ascii="Times New Roman" w:hAnsi="Times New Roman" w:cs="Times New Roman"/>
          <w:sz w:val="24"/>
          <w:szCs w:val="24"/>
        </w:rPr>
      </w:pPr>
      <w:r w:rsidRPr="0061411C">
        <w:rPr>
          <w:rFonts w:ascii="Times New Roman" w:hAnsi="Times New Roman" w:cs="Times New Roman"/>
          <w:sz w:val="24"/>
          <w:szCs w:val="24"/>
        </w:rPr>
        <w:t>Institute of Cardiology, Department of medical and surgical specialties, radiological sciences and public</w:t>
      </w:r>
      <w:r w:rsidR="0061411C" w:rsidRPr="0061411C">
        <w:rPr>
          <w:rFonts w:ascii="Times New Roman" w:hAnsi="Times New Roman" w:cs="Times New Roman"/>
          <w:sz w:val="24"/>
          <w:szCs w:val="24"/>
        </w:rPr>
        <w:t xml:space="preserve"> </w:t>
      </w:r>
      <w:r w:rsidRPr="0061411C">
        <w:rPr>
          <w:rFonts w:ascii="Times New Roman" w:hAnsi="Times New Roman" w:cs="Times New Roman"/>
          <w:sz w:val="24"/>
          <w:szCs w:val="24"/>
        </w:rPr>
        <w:t>health; University of Brescia, Italy</w:t>
      </w:r>
    </w:p>
    <w:p w14:paraId="062DF779" w14:textId="77777777" w:rsidR="0061411C" w:rsidRPr="0061411C" w:rsidRDefault="00025C98" w:rsidP="0061411C">
      <w:pPr>
        <w:pStyle w:val="Lijstalinea"/>
        <w:numPr>
          <w:ilvl w:val="0"/>
          <w:numId w:val="7"/>
        </w:numPr>
        <w:spacing w:line="240" w:lineRule="auto"/>
        <w:rPr>
          <w:rFonts w:ascii="Times New Roman" w:hAnsi="Times New Roman" w:cs="Times New Roman"/>
          <w:sz w:val="24"/>
          <w:szCs w:val="24"/>
        </w:rPr>
      </w:pPr>
      <w:r w:rsidRPr="0061411C">
        <w:rPr>
          <w:rFonts w:ascii="Times New Roman" w:hAnsi="Times New Roman" w:cs="Times New Roman"/>
          <w:sz w:val="24"/>
          <w:szCs w:val="24"/>
        </w:rPr>
        <w:t xml:space="preserve">School of Medicine Centre for Cardiovascular and Lung Biology, Division of Medical Sciences, University of Dundee, </w:t>
      </w:r>
      <w:proofErr w:type="spellStart"/>
      <w:r w:rsidRPr="0061411C">
        <w:rPr>
          <w:rFonts w:ascii="Times New Roman" w:hAnsi="Times New Roman" w:cs="Times New Roman"/>
          <w:sz w:val="24"/>
          <w:szCs w:val="24"/>
        </w:rPr>
        <w:t>Ninewells</w:t>
      </w:r>
      <w:proofErr w:type="spellEnd"/>
      <w:r w:rsidRPr="0061411C">
        <w:rPr>
          <w:rFonts w:ascii="Times New Roman" w:hAnsi="Times New Roman" w:cs="Times New Roman"/>
          <w:sz w:val="24"/>
          <w:szCs w:val="24"/>
        </w:rPr>
        <w:t xml:space="preserve"> Hospital and Medical School, Dundee, UK</w:t>
      </w:r>
    </w:p>
    <w:p w14:paraId="4D830DD6" w14:textId="77777777" w:rsidR="0061411C" w:rsidRPr="0061411C" w:rsidRDefault="00025C98" w:rsidP="0061411C">
      <w:pPr>
        <w:pStyle w:val="Lijstalinea"/>
        <w:numPr>
          <w:ilvl w:val="0"/>
          <w:numId w:val="7"/>
        </w:numPr>
        <w:spacing w:line="240" w:lineRule="auto"/>
        <w:rPr>
          <w:rFonts w:ascii="Times New Roman" w:hAnsi="Times New Roman" w:cs="Times New Roman"/>
          <w:sz w:val="24"/>
          <w:szCs w:val="24"/>
        </w:rPr>
      </w:pPr>
      <w:r w:rsidRPr="0061411C">
        <w:rPr>
          <w:rFonts w:ascii="Times New Roman" w:hAnsi="Times New Roman" w:cs="Times New Roman"/>
          <w:sz w:val="24"/>
          <w:szCs w:val="24"/>
        </w:rPr>
        <w:t xml:space="preserve">Department of Cardiology, Heart Failure Unit, Athens University Hospital </w:t>
      </w:r>
      <w:proofErr w:type="spellStart"/>
      <w:r w:rsidRPr="0061411C">
        <w:rPr>
          <w:rFonts w:ascii="Times New Roman" w:hAnsi="Times New Roman" w:cs="Times New Roman"/>
          <w:sz w:val="24"/>
          <w:szCs w:val="24"/>
        </w:rPr>
        <w:t>Attikon</w:t>
      </w:r>
      <w:proofErr w:type="spellEnd"/>
      <w:r w:rsidRPr="0061411C">
        <w:rPr>
          <w:rFonts w:ascii="Times New Roman" w:hAnsi="Times New Roman" w:cs="Times New Roman"/>
          <w:sz w:val="24"/>
          <w:szCs w:val="24"/>
        </w:rPr>
        <w:t xml:space="preserve">, National and </w:t>
      </w:r>
      <w:proofErr w:type="spellStart"/>
      <w:r w:rsidRPr="0061411C">
        <w:rPr>
          <w:rFonts w:ascii="Times New Roman" w:hAnsi="Times New Roman" w:cs="Times New Roman"/>
          <w:sz w:val="24"/>
          <w:szCs w:val="24"/>
        </w:rPr>
        <w:t>Kapodistrian</w:t>
      </w:r>
      <w:proofErr w:type="spellEnd"/>
      <w:r w:rsidRPr="0061411C">
        <w:rPr>
          <w:rFonts w:ascii="Times New Roman" w:hAnsi="Times New Roman" w:cs="Times New Roman"/>
          <w:sz w:val="24"/>
          <w:szCs w:val="24"/>
        </w:rPr>
        <w:t xml:space="preserve"> University of Athens, Athens, Greece</w:t>
      </w:r>
    </w:p>
    <w:p w14:paraId="4F722EC8" w14:textId="77777777" w:rsidR="0061411C" w:rsidRPr="0061411C" w:rsidRDefault="00025C98" w:rsidP="0061411C">
      <w:pPr>
        <w:pStyle w:val="Lijstalinea"/>
        <w:numPr>
          <w:ilvl w:val="0"/>
          <w:numId w:val="7"/>
        </w:numPr>
        <w:spacing w:line="240" w:lineRule="auto"/>
        <w:rPr>
          <w:rFonts w:ascii="Times New Roman" w:hAnsi="Times New Roman" w:cs="Times New Roman"/>
          <w:sz w:val="24"/>
          <w:szCs w:val="24"/>
        </w:rPr>
      </w:pPr>
      <w:r w:rsidRPr="0061411C">
        <w:rPr>
          <w:rFonts w:ascii="Times New Roman" w:hAnsi="Times New Roman" w:cs="Times New Roman"/>
          <w:sz w:val="24"/>
          <w:szCs w:val="24"/>
        </w:rPr>
        <w:t>University of Stavanger, Stavanger, Norway</w:t>
      </w:r>
    </w:p>
    <w:p w14:paraId="0B8147EC" w14:textId="77777777" w:rsidR="0061411C" w:rsidRPr="0061411C" w:rsidRDefault="00025C98" w:rsidP="0061411C">
      <w:pPr>
        <w:pStyle w:val="Lijstalinea"/>
        <w:numPr>
          <w:ilvl w:val="0"/>
          <w:numId w:val="7"/>
        </w:numPr>
        <w:spacing w:line="240" w:lineRule="auto"/>
        <w:rPr>
          <w:rFonts w:ascii="Times New Roman" w:hAnsi="Times New Roman" w:cs="Times New Roman"/>
          <w:sz w:val="24"/>
          <w:szCs w:val="24"/>
        </w:rPr>
      </w:pPr>
      <w:r w:rsidRPr="0061411C">
        <w:rPr>
          <w:rFonts w:ascii="Times New Roman" w:hAnsi="Times New Roman" w:cs="Times New Roman"/>
          <w:sz w:val="24"/>
          <w:szCs w:val="24"/>
        </w:rPr>
        <w:t>University of Bergen, Bergen, Norway</w:t>
      </w:r>
    </w:p>
    <w:p w14:paraId="3228FE72" w14:textId="77777777" w:rsidR="0061411C" w:rsidRPr="0061411C" w:rsidRDefault="00025C98" w:rsidP="0061411C">
      <w:pPr>
        <w:pStyle w:val="Lijstalinea"/>
        <w:numPr>
          <w:ilvl w:val="0"/>
          <w:numId w:val="7"/>
        </w:numPr>
        <w:spacing w:line="240" w:lineRule="auto"/>
        <w:rPr>
          <w:rFonts w:ascii="Times New Roman" w:hAnsi="Times New Roman" w:cs="Times New Roman"/>
          <w:sz w:val="24"/>
          <w:szCs w:val="24"/>
        </w:rPr>
      </w:pPr>
      <w:r w:rsidRPr="0061411C">
        <w:rPr>
          <w:rFonts w:ascii="Times New Roman" w:hAnsi="Times New Roman" w:cs="Times New Roman"/>
          <w:sz w:val="24"/>
          <w:szCs w:val="24"/>
        </w:rPr>
        <w:t xml:space="preserve">National Heart and Lung Institute, Royal Brompton and </w:t>
      </w:r>
      <w:proofErr w:type="spellStart"/>
      <w:r w:rsidRPr="0061411C">
        <w:rPr>
          <w:rFonts w:ascii="Times New Roman" w:hAnsi="Times New Roman" w:cs="Times New Roman"/>
          <w:sz w:val="24"/>
          <w:szCs w:val="24"/>
        </w:rPr>
        <w:t>Harefield</w:t>
      </w:r>
      <w:proofErr w:type="spellEnd"/>
      <w:r w:rsidRPr="0061411C">
        <w:rPr>
          <w:rFonts w:ascii="Times New Roman" w:hAnsi="Times New Roman" w:cs="Times New Roman"/>
          <w:sz w:val="24"/>
          <w:szCs w:val="24"/>
        </w:rPr>
        <w:t xml:space="preserve"> Hospitals, Imperial College, London, United </w:t>
      </w:r>
      <w:r w:rsidR="0061411C" w:rsidRPr="0061411C">
        <w:rPr>
          <w:rFonts w:ascii="Times New Roman" w:hAnsi="Times New Roman" w:cs="Times New Roman"/>
          <w:sz w:val="24"/>
          <w:szCs w:val="24"/>
        </w:rPr>
        <w:t>Kingdom</w:t>
      </w:r>
    </w:p>
    <w:p w14:paraId="3C181FB4" w14:textId="77777777" w:rsidR="0061411C" w:rsidRPr="0061411C" w:rsidRDefault="00025C98" w:rsidP="0061411C">
      <w:pPr>
        <w:pStyle w:val="Lijstalinea"/>
        <w:numPr>
          <w:ilvl w:val="0"/>
          <w:numId w:val="7"/>
        </w:numPr>
        <w:spacing w:line="240" w:lineRule="auto"/>
        <w:rPr>
          <w:rFonts w:ascii="Times New Roman" w:hAnsi="Times New Roman" w:cs="Times New Roman"/>
          <w:sz w:val="24"/>
          <w:szCs w:val="24"/>
        </w:rPr>
      </w:pPr>
      <w:r w:rsidRPr="0061411C">
        <w:rPr>
          <w:rFonts w:ascii="Times New Roman" w:hAnsi="Times New Roman" w:cs="Times New Roman"/>
          <w:sz w:val="24"/>
          <w:szCs w:val="24"/>
        </w:rPr>
        <w:t xml:space="preserve">Innovative Clinical Trials, Department of Cardiology and </w:t>
      </w:r>
      <w:proofErr w:type="spellStart"/>
      <w:r w:rsidRPr="0061411C">
        <w:rPr>
          <w:rFonts w:ascii="Times New Roman" w:hAnsi="Times New Roman" w:cs="Times New Roman"/>
          <w:sz w:val="24"/>
          <w:szCs w:val="24"/>
        </w:rPr>
        <w:t>Pneumology</w:t>
      </w:r>
      <w:proofErr w:type="spellEnd"/>
      <w:r w:rsidRPr="0061411C">
        <w:rPr>
          <w:rFonts w:ascii="Times New Roman" w:hAnsi="Times New Roman" w:cs="Times New Roman"/>
          <w:sz w:val="24"/>
          <w:szCs w:val="24"/>
        </w:rPr>
        <w:t xml:space="preserve">, University Medical </w:t>
      </w:r>
      <w:proofErr w:type="spellStart"/>
      <w:r w:rsidRPr="0061411C">
        <w:rPr>
          <w:rFonts w:ascii="Times New Roman" w:hAnsi="Times New Roman" w:cs="Times New Roman"/>
          <w:sz w:val="24"/>
          <w:szCs w:val="24"/>
        </w:rPr>
        <w:t>Center</w:t>
      </w:r>
      <w:proofErr w:type="spellEnd"/>
      <w:r w:rsidR="0061411C" w:rsidRPr="0061411C">
        <w:rPr>
          <w:rFonts w:ascii="Times New Roman" w:hAnsi="Times New Roman" w:cs="Times New Roman"/>
          <w:sz w:val="24"/>
          <w:szCs w:val="24"/>
        </w:rPr>
        <w:t xml:space="preserve">, </w:t>
      </w:r>
      <w:proofErr w:type="spellStart"/>
      <w:r w:rsidRPr="0061411C">
        <w:rPr>
          <w:rFonts w:ascii="Times New Roman" w:hAnsi="Times New Roman" w:cs="Times New Roman"/>
          <w:sz w:val="24"/>
          <w:szCs w:val="24"/>
        </w:rPr>
        <w:t>Göttingen</w:t>
      </w:r>
      <w:proofErr w:type="spellEnd"/>
      <w:r w:rsidRPr="0061411C">
        <w:rPr>
          <w:rFonts w:ascii="Times New Roman" w:hAnsi="Times New Roman" w:cs="Times New Roman"/>
          <w:sz w:val="24"/>
          <w:szCs w:val="24"/>
        </w:rPr>
        <w:t xml:space="preserve"> (UMG), </w:t>
      </w:r>
      <w:proofErr w:type="spellStart"/>
      <w:r w:rsidRPr="0061411C">
        <w:rPr>
          <w:rFonts w:ascii="Times New Roman" w:hAnsi="Times New Roman" w:cs="Times New Roman"/>
          <w:sz w:val="24"/>
          <w:szCs w:val="24"/>
        </w:rPr>
        <w:t>Göttingen</w:t>
      </w:r>
      <w:proofErr w:type="spellEnd"/>
      <w:r w:rsidRPr="0061411C">
        <w:rPr>
          <w:rFonts w:ascii="Times New Roman" w:hAnsi="Times New Roman" w:cs="Times New Roman"/>
          <w:sz w:val="24"/>
          <w:szCs w:val="24"/>
        </w:rPr>
        <w:t>, Germany</w:t>
      </w:r>
    </w:p>
    <w:p w14:paraId="20C14E30" w14:textId="77777777" w:rsidR="0061411C" w:rsidRPr="006841D0" w:rsidRDefault="009B3314" w:rsidP="0061411C">
      <w:pPr>
        <w:rPr>
          <w:b/>
          <w:lang w:val="en-US"/>
        </w:rPr>
      </w:pPr>
      <w:r w:rsidRPr="006841D0">
        <w:rPr>
          <w:b/>
          <w:lang w:val="en-US"/>
        </w:rPr>
        <w:t>Address for correspondence</w:t>
      </w:r>
    </w:p>
    <w:p w14:paraId="0F52CA9D" w14:textId="77777777" w:rsidR="0061411C" w:rsidRPr="006841D0" w:rsidRDefault="009B3314" w:rsidP="0061411C">
      <w:pPr>
        <w:rPr>
          <w:lang w:val="en-US"/>
        </w:rPr>
      </w:pPr>
      <w:proofErr w:type="spellStart"/>
      <w:r w:rsidRPr="006841D0">
        <w:rPr>
          <w:lang w:val="en-US"/>
        </w:rPr>
        <w:t>Wouter</w:t>
      </w:r>
      <w:proofErr w:type="spellEnd"/>
      <w:r w:rsidRPr="006841D0">
        <w:rPr>
          <w:lang w:val="en-US"/>
        </w:rPr>
        <w:t xml:space="preserve"> </w:t>
      </w:r>
      <w:proofErr w:type="spellStart"/>
      <w:r w:rsidRPr="006841D0">
        <w:rPr>
          <w:lang w:val="en-US"/>
        </w:rPr>
        <w:t>Ouwerkerk</w:t>
      </w:r>
      <w:proofErr w:type="spellEnd"/>
    </w:p>
    <w:p w14:paraId="0E3EA515" w14:textId="77777777" w:rsidR="0061411C" w:rsidRPr="006841D0" w:rsidRDefault="009B3314" w:rsidP="001C748B">
      <w:pPr>
        <w:rPr>
          <w:lang w:val="en-US"/>
        </w:rPr>
      </w:pPr>
      <w:r w:rsidRPr="006841D0">
        <w:rPr>
          <w:lang w:val="en-US"/>
        </w:rPr>
        <w:t>Department of Clinical Epidemiology, Biostatistics and Bioinformatics</w:t>
      </w:r>
    </w:p>
    <w:p w14:paraId="16FDEC0F" w14:textId="77777777" w:rsidR="0061411C" w:rsidRPr="006841D0" w:rsidRDefault="009B3314" w:rsidP="001C748B">
      <w:pPr>
        <w:rPr>
          <w:lang w:val="en-US"/>
        </w:rPr>
      </w:pPr>
      <w:r w:rsidRPr="006841D0">
        <w:rPr>
          <w:lang w:val="en-US"/>
        </w:rPr>
        <w:t>Academic Medical Center</w:t>
      </w:r>
    </w:p>
    <w:p w14:paraId="12E803E1" w14:textId="77777777" w:rsidR="0061411C" w:rsidRPr="006841D0" w:rsidRDefault="009B3314" w:rsidP="001C748B">
      <w:pPr>
        <w:rPr>
          <w:lang w:val="en-US"/>
        </w:rPr>
      </w:pPr>
      <w:r w:rsidRPr="006841D0">
        <w:rPr>
          <w:lang w:val="en-US"/>
        </w:rPr>
        <w:t>Postbus 22660, room J1B-207</w:t>
      </w:r>
    </w:p>
    <w:p w14:paraId="42157435" w14:textId="77777777" w:rsidR="0061411C" w:rsidRPr="006841D0" w:rsidRDefault="009B3314" w:rsidP="001C748B">
      <w:pPr>
        <w:rPr>
          <w:lang w:val="en-US"/>
        </w:rPr>
      </w:pPr>
      <w:proofErr w:type="spellStart"/>
      <w:r w:rsidRPr="006841D0">
        <w:rPr>
          <w:lang w:val="en-US"/>
        </w:rPr>
        <w:t>Meibergdreef</w:t>
      </w:r>
      <w:proofErr w:type="spellEnd"/>
      <w:r w:rsidRPr="006841D0">
        <w:rPr>
          <w:lang w:val="en-US"/>
        </w:rPr>
        <w:t xml:space="preserve"> 9, 1105 AZ Amsterdam</w:t>
      </w:r>
    </w:p>
    <w:p w14:paraId="18E2FCE2" w14:textId="77777777" w:rsidR="0061411C" w:rsidRPr="006841D0" w:rsidRDefault="009B3314" w:rsidP="001C748B">
      <w:pPr>
        <w:rPr>
          <w:lang w:val="en-US"/>
        </w:rPr>
      </w:pPr>
      <w:r w:rsidRPr="006841D0">
        <w:rPr>
          <w:lang w:val="en-US"/>
        </w:rPr>
        <w:t>The Netherlands</w:t>
      </w:r>
    </w:p>
    <w:p w14:paraId="22978C55" w14:textId="1F82CAAA" w:rsidR="009B3314" w:rsidRPr="006841D0" w:rsidRDefault="009B3314" w:rsidP="001C748B">
      <w:pPr>
        <w:rPr>
          <w:lang w:val="en-US"/>
        </w:rPr>
      </w:pPr>
      <w:r w:rsidRPr="006841D0">
        <w:rPr>
          <w:lang w:val="en-US"/>
        </w:rPr>
        <w:t>Tel</w:t>
      </w:r>
      <w:r w:rsidR="0061411C" w:rsidRPr="006841D0">
        <w:rPr>
          <w:lang w:val="en-US"/>
        </w:rPr>
        <w:t>ephone</w:t>
      </w:r>
      <w:r w:rsidRPr="006841D0">
        <w:rPr>
          <w:lang w:val="en-US"/>
        </w:rPr>
        <w:t>: +31 20 566 6950</w:t>
      </w:r>
    </w:p>
    <w:p w14:paraId="2AEF6E60" w14:textId="77777777" w:rsidR="009B3314" w:rsidRPr="006841D0" w:rsidRDefault="009B3314" w:rsidP="001C748B">
      <w:pPr>
        <w:rPr>
          <w:lang w:val="en-US"/>
        </w:rPr>
      </w:pPr>
      <w:r w:rsidRPr="006841D0">
        <w:rPr>
          <w:lang w:val="en-US"/>
        </w:rPr>
        <w:t>Fax: +31 20 691 2683</w:t>
      </w:r>
    </w:p>
    <w:p w14:paraId="70F09181" w14:textId="77777777" w:rsidR="0061411C" w:rsidRPr="006841D0" w:rsidRDefault="009B3314" w:rsidP="001C748B">
      <w:pPr>
        <w:rPr>
          <w:lang w:val="en-US"/>
        </w:rPr>
      </w:pPr>
      <w:r w:rsidRPr="006841D0">
        <w:rPr>
          <w:lang w:val="en-US"/>
        </w:rPr>
        <w:t>E</w:t>
      </w:r>
      <w:r w:rsidR="0061411C" w:rsidRPr="006841D0">
        <w:rPr>
          <w:lang w:val="en-US"/>
        </w:rPr>
        <w:t>-</w:t>
      </w:r>
      <w:r w:rsidRPr="006841D0">
        <w:rPr>
          <w:lang w:val="en-US"/>
        </w:rPr>
        <w:t xml:space="preserve">mail: </w:t>
      </w:r>
      <w:hyperlink r:id="rId8">
        <w:r w:rsidRPr="006841D0">
          <w:rPr>
            <w:rStyle w:val="Hyperlink"/>
            <w:lang w:val="en-US"/>
          </w:rPr>
          <w:t>w.ouwerkerk@amc.uva.nl</w:t>
        </w:r>
      </w:hyperlink>
    </w:p>
    <w:p w14:paraId="03A5CC0D" w14:textId="77777777" w:rsidR="001C748B" w:rsidRPr="006841D0" w:rsidRDefault="001C748B" w:rsidP="001C748B">
      <w:pPr>
        <w:rPr>
          <w:b/>
          <w:lang w:val="en-US"/>
        </w:rPr>
      </w:pPr>
    </w:p>
    <w:p w14:paraId="6E837608" w14:textId="48050536" w:rsidR="001C748B" w:rsidRPr="006841D0" w:rsidRDefault="001C748B" w:rsidP="001C748B">
      <w:pPr>
        <w:rPr>
          <w:lang w:val="en-US"/>
        </w:rPr>
      </w:pPr>
      <w:r w:rsidRPr="006841D0">
        <w:rPr>
          <w:b/>
          <w:lang w:val="en-US"/>
        </w:rPr>
        <w:t>Funding</w:t>
      </w:r>
      <w:r w:rsidRPr="006841D0">
        <w:rPr>
          <w:lang w:val="en-US"/>
        </w:rPr>
        <w:t>: This work was supported by a grant from the European Commission [FP7-242209-BIOSTAT-CHF; EudraCT 2010-020808-29]</w:t>
      </w:r>
    </w:p>
    <w:p w14:paraId="6843AF5D" w14:textId="77777777" w:rsidR="001C748B" w:rsidRPr="006841D0" w:rsidRDefault="001C748B" w:rsidP="001C748B">
      <w:pPr>
        <w:rPr>
          <w:lang w:val="en-US"/>
        </w:rPr>
      </w:pPr>
      <w:r w:rsidRPr="006841D0">
        <w:rPr>
          <w:lang w:val="en-US"/>
        </w:rPr>
        <w:t>Declaration of interests (alphabetical order):</w:t>
      </w:r>
    </w:p>
    <w:p w14:paraId="07AB7E6C" w14:textId="77777777" w:rsidR="001C748B" w:rsidRPr="006841D0" w:rsidRDefault="001C748B" w:rsidP="001C748B">
      <w:pPr>
        <w:rPr>
          <w:lang w:val="en-US"/>
        </w:rPr>
      </w:pPr>
      <w:r w:rsidRPr="006841D0">
        <w:rPr>
          <w:lang w:val="en-US"/>
        </w:rPr>
        <w:lastRenderedPageBreak/>
        <w:t xml:space="preserve">A.A. </w:t>
      </w:r>
      <w:proofErr w:type="spellStart"/>
      <w:r w:rsidRPr="006841D0">
        <w:rPr>
          <w:lang w:val="en-US"/>
        </w:rPr>
        <w:t>Voors</w:t>
      </w:r>
      <w:proofErr w:type="spellEnd"/>
      <w:r w:rsidRPr="006841D0">
        <w:rPr>
          <w:lang w:val="en-US"/>
        </w:rPr>
        <w:t xml:space="preserve"> reports consultancy fees and/or research grants from: </w:t>
      </w:r>
      <w:proofErr w:type="spellStart"/>
      <w:r w:rsidRPr="006841D0">
        <w:rPr>
          <w:lang w:val="en-US"/>
        </w:rPr>
        <w:t>Alere</w:t>
      </w:r>
      <w:proofErr w:type="spellEnd"/>
      <w:r w:rsidRPr="006841D0">
        <w:rPr>
          <w:lang w:val="en-US"/>
        </w:rPr>
        <w:t xml:space="preserve">, Amgen, Bayer, </w:t>
      </w:r>
      <w:proofErr w:type="spellStart"/>
      <w:r w:rsidRPr="006841D0">
        <w:rPr>
          <w:lang w:val="en-US"/>
        </w:rPr>
        <w:t>Boehringer</w:t>
      </w:r>
      <w:proofErr w:type="spellEnd"/>
      <w:r w:rsidRPr="006841D0">
        <w:rPr>
          <w:lang w:val="en-US"/>
        </w:rPr>
        <w:t xml:space="preserve"> </w:t>
      </w:r>
      <w:proofErr w:type="spellStart"/>
      <w:r w:rsidRPr="006841D0">
        <w:rPr>
          <w:lang w:val="en-US"/>
        </w:rPr>
        <w:t>Ingelheim</w:t>
      </w:r>
      <w:proofErr w:type="spellEnd"/>
      <w:r w:rsidRPr="006841D0">
        <w:rPr>
          <w:lang w:val="en-US"/>
        </w:rPr>
        <w:t xml:space="preserve">, Cardio3Biosciences, </w:t>
      </w:r>
      <w:proofErr w:type="spellStart"/>
      <w:r w:rsidRPr="006841D0">
        <w:rPr>
          <w:lang w:val="en-US"/>
        </w:rPr>
        <w:t>Celladon</w:t>
      </w:r>
      <w:proofErr w:type="spellEnd"/>
      <w:r w:rsidRPr="006841D0">
        <w:rPr>
          <w:lang w:val="en-US"/>
        </w:rPr>
        <w:t xml:space="preserve">, GSK, Merck/MSD, Novartis, </w:t>
      </w:r>
      <w:proofErr w:type="spellStart"/>
      <w:r w:rsidRPr="006841D0">
        <w:rPr>
          <w:lang w:val="en-US"/>
        </w:rPr>
        <w:t>Servier</w:t>
      </w:r>
      <w:proofErr w:type="spellEnd"/>
      <w:r w:rsidRPr="006841D0">
        <w:rPr>
          <w:lang w:val="en-US"/>
        </w:rPr>
        <w:t xml:space="preserve">, Stealth Peptides, Singulex, </w:t>
      </w:r>
      <w:proofErr w:type="spellStart"/>
      <w:r w:rsidRPr="006841D0">
        <w:rPr>
          <w:lang w:val="en-US"/>
        </w:rPr>
        <w:t>Sphingotec</w:t>
      </w:r>
      <w:proofErr w:type="spellEnd"/>
      <w:r w:rsidRPr="006841D0">
        <w:rPr>
          <w:lang w:val="en-US"/>
        </w:rPr>
        <w:t xml:space="preserve">, Trevena, </w:t>
      </w:r>
      <w:proofErr w:type="spellStart"/>
      <w:r w:rsidRPr="006841D0">
        <w:rPr>
          <w:lang w:val="en-US"/>
        </w:rPr>
        <w:t>Vifor</w:t>
      </w:r>
      <w:proofErr w:type="spellEnd"/>
      <w:r w:rsidRPr="006841D0">
        <w:rPr>
          <w:lang w:val="en-US"/>
        </w:rPr>
        <w:t xml:space="preserve">, and ZS Pharma. </w:t>
      </w:r>
    </w:p>
    <w:p w14:paraId="602EF330" w14:textId="77777777" w:rsidR="001C748B" w:rsidRPr="006841D0" w:rsidRDefault="001C748B" w:rsidP="001C748B">
      <w:pPr>
        <w:rPr>
          <w:lang w:val="en-US"/>
        </w:rPr>
      </w:pPr>
      <w:r w:rsidRPr="006841D0">
        <w:rPr>
          <w:lang w:val="en-US"/>
        </w:rPr>
        <w:t xml:space="preserve">S.A. Anker reports grants from </w:t>
      </w:r>
      <w:proofErr w:type="spellStart"/>
      <w:r w:rsidRPr="006841D0">
        <w:rPr>
          <w:lang w:val="en-US"/>
        </w:rPr>
        <w:t>Vifor</w:t>
      </w:r>
      <w:proofErr w:type="spellEnd"/>
      <w:r w:rsidRPr="006841D0">
        <w:rPr>
          <w:lang w:val="en-US"/>
        </w:rPr>
        <w:t xml:space="preserve"> and Abbott Vascular, and fees for consultancy from </w:t>
      </w:r>
      <w:proofErr w:type="spellStart"/>
      <w:r w:rsidRPr="006841D0">
        <w:rPr>
          <w:lang w:val="en-US"/>
        </w:rPr>
        <w:t>Vifor</w:t>
      </w:r>
      <w:proofErr w:type="spellEnd"/>
      <w:r w:rsidRPr="006841D0">
        <w:rPr>
          <w:lang w:val="en-US"/>
        </w:rPr>
        <w:t xml:space="preserve">, Bayer, </w:t>
      </w:r>
      <w:proofErr w:type="spellStart"/>
      <w:r w:rsidRPr="006841D0">
        <w:rPr>
          <w:lang w:val="en-US"/>
        </w:rPr>
        <w:t>Boehringer</w:t>
      </w:r>
      <w:proofErr w:type="spellEnd"/>
      <w:r w:rsidRPr="006841D0">
        <w:rPr>
          <w:lang w:val="en-US"/>
        </w:rPr>
        <w:t xml:space="preserve"> </w:t>
      </w:r>
      <w:proofErr w:type="spellStart"/>
      <w:r w:rsidRPr="006841D0">
        <w:rPr>
          <w:lang w:val="en-US"/>
        </w:rPr>
        <w:t>Ingelheim</w:t>
      </w:r>
      <w:proofErr w:type="spellEnd"/>
      <w:r w:rsidRPr="006841D0">
        <w:rPr>
          <w:lang w:val="en-US"/>
        </w:rPr>
        <w:t xml:space="preserve">, Brahms, </w:t>
      </w:r>
      <w:proofErr w:type="spellStart"/>
      <w:r w:rsidRPr="006841D0">
        <w:rPr>
          <w:lang w:val="en-US"/>
        </w:rPr>
        <w:t>Cardiorentis</w:t>
      </w:r>
      <w:proofErr w:type="spellEnd"/>
      <w:r w:rsidRPr="006841D0">
        <w:rPr>
          <w:lang w:val="en-US"/>
        </w:rPr>
        <w:t xml:space="preserve">, Janssen, Novartis, </w:t>
      </w:r>
      <w:proofErr w:type="spellStart"/>
      <w:r w:rsidRPr="006841D0">
        <w:rPr>
          <w:lang w:val="en-US"/>
        </w:rPr>
        <w:t>Relypsa</w:t>
      </w:r>
      <w:proofErr w:type="spellEnd"/>
      <w:r w:rsidRPr="006841D0">
        <w:rPr>
          <w:lang w:val="en-US"/>
        </w:rPr>
        <w:t xml:space="preserve">, </w:t>
      </w:r>
      <w:proofErr w:type="spellStart"/>
      <w:r w:rsidRPr="006841D0">
        <w:rPr>
          <w:lang w:val="en-US"/>
        </w:rPr>
        <w:t>Servier</w:t>
      </w:r>
      <w:proofErr w:type="spellEnd"/>
      <w:r w:rsidRPr="006841D0">
        <w:rPr>
          <w:lang w:val="en-US"/>
        </w:rPr>
        <w:t xml:space="preserve">, Stealth Peptides, and ZS Pharma. </w:t>
      </w:r>
    </w:p>
    <w:p w14:paraId="66DAB8BD" w14:textId="77777777" w:rsidR="001C748B" w:rsidRPr="006841D0" w:rsidRDefault="001C748B" w:rsidP="001C748B">
      <w:pPr>
        <w:rPr>
          <w:lang w:val="en-US"/>
        </w:rPr>
      </w:pPr>
      <w:r w:rsidRPr="006841D0">
        <w:rPr>
          <w:lang w:val="en-US"/>
        </w:rPr>
        <w:t xml:space="preserve">K. Dickstein. has received honoraria and/or research support from Medtronic, Boston Scientific St Jude, </w:t>
      </w:r>
      <w:proofErr w:type="spellStart"/>
      <w:r w:rsidRPr="006841D0">
        <w:rPr>
          <w:lang w:val="en-US"/>
        </w:rPr>
        <w:t>Biotronik</w:t>
      </w:r>
      <w:proofErr w:type="spellEnd"/>
      <w:r w:rsidRPr="006841D0">
        <w:rPr>
          <w:lang w:val="en-US"/>
        </w:rPr>
        <w:t xml:space="preserve"> and </w:t>
      </w:r>
      <w:proofErr w:type="spellStart"/>
      <w:r w:rsidRPr="006841D0">
        <w:rPr>
          <w:lang w:val="en-US"/>
        </w:rPr>
        <w:t>Sorin</w:t>
      </w:r>
      <w:proofErr w:type="spellEnd"/>
      <w:r w:rsidRPr="006841D0">
        <w:rPr>
          <w:lang w:val="en-US"/>
        </w:rPr>
        <w:t xml:space="preserve"> (device companies), and Merck, Novartis, Amgen, </w:t>
      </w:r>
      <w:proofErr w:type="spellStart"/>
      <w:r w:rsidRPr="006841D0">
        <w:rPr>
          <w:lang w:val="en-US"/>
        </w:rPr>
        <w:t>Boehringer</w:t>
      </w:r>
      <w:proofErr w:type="spellEnd"/>
      <w:r w:rsidRPr="006841D0">
        <w:rPr>
          <w:lang w:val="en-US"/>
        </w:rPr>
        <w:t xml:space="preserve"> </w:t>
      </w:r>
      <w:proofErr w:type="spellStart"/>
      <w:r w:rsidRPr="006841D0">
        <w:rPr>
          <w:lang w:val="en-US"/>
        </w:rPr>
        <w:t>Ingelheim</w:t>
      </w:r>
      <w:proofErr w:type="spellEnd"/>
      <w:r w:rsidRPr="006841D0">
        <w:rPr>
          <w:lang w:val="en-US"/>
        </w:rPr>
        <w:t xml:space="preserve">, Astra Zeneca, Pfizer, Bayer, GSK, Roche, Sanofi, Abbott, Otsuka, Leo, </w:t>
      </w:r>
      <w:proofErr w:type="spellStart"/>
      <w:r w:rsidRPr="006841D0">
        <w:rPr>
          <w:lang w:val="en-US"/>
        </w:rPr>
        <w:t>Servier</w:t>
      </w:r>
      <w:proofErr w:type="spellEnd"/>
      <w:r w:rsidRPr="006841D0">
        <w:rPr>
          <w:lang w:val="en-US"/>
        </w:rPr>
        <w:t xml:space="preserve">, and Bristol Meyers Squibb (pharmaceutical companies). </w:t>
      </w:r>
    </w:p>
    <w:p w14:paraId="1B7F9989" w14:textId="77777777" w:rsidR="001C748B" w:rsidRPr="006841D0" w:rsidRDefault="001C748B" w:rsidP="001C748B">
      <w:pPr>
        <w:rPr>
          <w:lang w:val="en-US"/>
        </w:rPr>
      </w:pPr>
      <w:r w:rsidRPr="006841D0">
        <w:rPr>
          <w:lang w:val="en-US"/>
        </w:rPr>
        <w:t xml:space="preserve">G. </w:t>
      </w:r>
      <w:proofErr w:type="spellStart"/>
      <w:r w:rsidRPr="006841D0">
        <w:rPr>
          <w:lang w:val="en-US"/>
        </w:rPr>
        <w:t>Filippatos</w:t>
      </w:r>
      <w:proofErr w:type="spellEnd"/>
      <w:r w:rsidRPr="006841D0">
        <w:rPr>
          <w:lang w:val="en-US"/>
        </w:rPr>
        <w:t xml:space="preserve"> has received fees and/or research grants from Novartis, Bayer, </w:t>
      </w:r>
      <w:proofErr w:type="spellStart"/>
      <w:r w:rsidRPr="006841D0">
        <w:rPr>
          <w:lang w:val="en-US"/>
        </w:rPr>
        <w:t>Cardiorentis</w:t>
      </w:r>
      <w:proofErr w:type="spellEnd"/>
      <w:r w:rsidRPr="006841D0">
        <w:rPr>
          <w:lang w:val="en-US"/>
        </w:rPr>
        <w:t xml:space="preserve">, </w:t>
      </w:r>
      <w:proofErr w:type="spellStart"/>
      <w:r w:rsidRPr="006841D0">
        <w:rPr>
          <w:lang w:val="en-US"/>
        </w:rPr>
        <w:t>Vifor</w:t>
      </w:r>
      <w:proofErr w:type="spellEnd"/>
      <w:r w:rsidRPr="006841D0">
        <w:rPr>
          <w:lang w:val="en-US"/>
        </w:rPr>
        <w:t xml:space="preserve">, </w:t>
      </w:r>
      <w:proofErr w:type="spellStart"/>
      <w:r w:rsidRPr="006841D0">
        <w:rPr>
          <w:lang w:val="en-US"/>
        </w:rPr>
        <w:t>Servier</w:t>
      </w:r>
      <w:proofErr w:type="spellEnd"/>
      <w:r w:rsidRPr="006841D0">
        <w:rPr>
          <w:lang w:val="en-US"/>
        </w:rPr>
        <w:t xml:space="preserve">, </w:t>
      </w:r>
      <w:proofErr w:type="spellStart"/>
      <w:r w:rsidRPr="006841D0">
        <w:rPr>
          <w:lang w:val="en-US"/>
        </w:rPr>
        <w:t>Alere</w:t>
      </w:r>
      <w:proofErr w:type="spellEnd"/>
      <w:r w:rsidRPr="006841D0">
        <w:rPr>
          <w:lang w:val="en-US"/>
        </w:rPr>
        <w:t xml:space="preserve">, and Abbott. </w:t>
      </w:r>
    </w:p>
    <w:p w14:paraId="563FDBDE" w14:textId="77777777" w:rsidR="001C748B" w:rsidRPr="006841D0" w:rsidRDefault="001C748B" w:rsidP="001C748B">
      <w:pPr>
        <w:rPr>
          <w:lang w:val="en-US"/>
        </w:rPr>
      </w:pPr>
      <w:r w:rsidRPr="006841D0">
        <w:rPr>
          <w:lang w:val="en-US"/>
        </w:rPr>
        <w:t xml:space="preserve">P. van der </w:t>
      </w:r>
      <w:proofErr w:type="spellStart"/>
      <w:r w:rsidRPr="006841D0">
        <w:rPr>
          <w:lang w:val="en-US"/>
        </w:rPr>
        <w:t>Harst</w:t>
      </w:r>
      <w:proofErr w:type="spellEnd"/>
      <w:r w:rsidRPr="006841D0">
        <w:rPr>
          <w:lang w:val="en-US"/>
        </w:rPr>
        <w:t xml:space="preserve"> received a research grant from Abbott.</w:t>
      </w:r>
    </w:p>
    <w:p w14:paraId="194DF63C" w14:textId="77777777" w:rsidR="001C748B" w:rsidRPr="006841D0" w:rsidRDefault="001C748B" w:rsidP="001C748B">
      <w:pPr>
        <w:rPr>
          <w:lang w:val="en-US"/>
        </w:rPr>
      </w:pPr>
      <w:r w:rsidRPr="006841D0">
        <w:rPr>
          <w:lang w:val="en-US"/>
        </w:rPr>
        <w:t xml:space="preserve">C.C. Lang received consultancy fees and/or research grants from Amgen, Astra Zeneca, MSD, Novartis, and </w:t>
      </w:r>
      <w:proofErr w:type="spellStart"/>
      <w:r w:rsidRPr="006841D0">
        <w:rPr>
          <w:lang w:val="en-US"/>
        </w:rPr>
        <w:t>Servier</w:t>
      </w:r>
      <w:proofErr w:type="spellEnd"/>
      <w:r w:rsidRPr="006841D0">
        <w:rPr>
          <w:lang w:val="en-US"/>
        </w:rPr>
        <w:t xml:space="preserve">. </w:t>
      </w:r>
    </w:p>
    <w:p w14:paraId="22773211" w14:textId="1B344319" w:rsidR="001C748B" w:rsidRPr="006841D0" w:rsidRDefault="001C748B" w:rsidP="001C748B">
      <w:pPr>
        <w:rPr>
          <w:lang w:val="en-US"/>
        </w:rPr>
      </w:pPr>
      <w:r w:rsidRPr="006841D0">
        <w:rPr>
          <w:lang w:val="en-US"/>
        </w:rPr>
        <w:t>D.</w:t>
      </w:r>
      <w:r w:rsidR="00701659">
        <w:rPr>
          <w:lang w:val="en-US"/>
        </w:rPr>
        <w:t>J.</w:t>
      </w:r>
      <w:r w:rsidRPr="006841D0">
        <w:rPr>
          <w:lang w:val="en-US"/>
        </w:rPr>
        <w:t xml:space="preserve"> van </w:t>
      </w:r>
      <w:proofErr w:type="spellStart"/>
      <w:r w:rsidRPr="006841D0">
        <w:rPr>
          <w:lang w:val="en-US"/>
        </w:rPr>
        <w:t>Veldhuisen</w:t>
      </w:r>
      <w:proofErr w:type="spellEnd"/>
      <w:r w:rsidRPr="006841D0">
        <w:rPr>
          <w:lang w:val="en-US"/>
        </w:rPr>
        <w:t xml:space="preserve"> reports board membership fees/travel expenses from </w:t>
      </w:r>
      <w:proofErr w:type="spellStart"/>
      <w:r w:rsidRPr="006841D0">
        <w:rPr>
          <w:lang w:val="en-US"/>
        </w:rPr>
        <w:t>BioControl</w:t>
      </w:r>
      <w:proofErr w:type="spellEnd"/>
      <w:r w:rsidRPr="006841D0">
        <w:rPr>
          <w:lang w:val="en-US"/>
        </w:rPr>
        <w:t xml:space="preserve">, </w:t>
      </w:r>
      <w:proofErr w:type="spellStart"/>
      <w:r w:rsidRPr="006841D0">
        <w:rPr>
          <w:lang w:val="en-US"/>
        </w:rPr>
        <w:t>Cardiorentis</w:t>
      </w:r>
      <w:proofErr w:type="spellEnd"/>
      <w:r w:rsidRPr="006841D0">
        <w:rPr>
          <w:lang w:val="en-US"/>
        </w:rPr>
        <w:t xml:space="preserve">, Johnson &amp; </w:t>
      </w:r>
      <w:proofErr w:type="spellStart"/>
      <w:r w:rsidRPr="006841D0">
        <w:rPr>
          <w:lang w:val="en-US"/>
        </w:rPr>
        <w:t>Johnson</w:t>
      </w:r>
      <w:proofErr w:type="spellEnd"/>
      <w:r w:rsidRPr="006841D0">
        <w:rPr>
          <w:lang w:val="en-US"/>
        </w:rPr>
        <w:t xml:space="preserve">, Novartis, </w:t>
      </w:r>
      <w:proofErr w:type="spellStart"/>
      <w:r w:rsidRPr="006841D0">
        <w:rPr>
          <w:lang w:val="en-US"/>
        </w:rPr>
        <w:t>Vifor</w:t>
      </w:r>
      <w:proofErr w:type="spellEnd"/>
      <w:r w:rsidRPr="006841D0">
        <w:rPr>
          <w:lang w:val="en-US"/>
        </w:rPr>
        <w:t xml:space="preserve">, and </w:t>
      </w:r>
      <w:proofErr w:type="spellStart"/>
      <w:r w:rsidRPr="006841D0">
        <w:rPr>
          <w:lang w:val="en-US"/>
        </w:rPr>
        <w:t>Zoll</w:t>
      </w:r>
      <w:proofErr w:type="spellEnd"/>
      <w:r w:rsidRPr="006841D0">
        <w:rPr>
          <w:lang w:val="en-US"/>
        </w:rPr>
        <w:t xml:space="preserve"> Medical. </w:t>
      </w:r>
    </w:p>
    <w:p w14:paraId="1461111D" w14:textId="77777777" w:rsidR="001C748B" w:rsidRPr="006841D0" w:rsidRDefault="001C748B" w:rsidP="001C748B">
      <w:pPr>
        <w:rPr>
          <w:lang w:val="en-US"/>
        </w:rPr>
      </w:pPr>
      <w:r w:rsidRPr="006841D0">
        <w:rPr>
          <w:lang w:val="en-US"/>
        </w:rPr>
        <w:t xml:space="preserve">M. Metra has received consulting honoraria from Amgen, Bayer, Novartis, and </w:t>
      </w:r>
      <w:proofErr w:type="spellStart"/>
      <w:r w:rsidRPr="006841D0">
        <w:rPr>
          <w:lang w:val="en-US"/>
        </w:rPr>
        <w:t>Servier</w:t>
      </w:r>
      <w:proofErr w:type="spellEnd"/>
      <w:r w:rsidRPr="006841D0">
        <w:rPr>
          <w:lang w:val="en-US"/>
        </w:rPr>
        <w:t xml:space="preserve">, and speaker’s fees from Abbott Vascular, Bayer, and </w:t>
      </w:r>
      <w:proofErr w:type="spellStart"/>
      <w:r w:rsidRPr="006841D0">
        <w:rPr>
          <w:lang w:val="en-US"/>
        </w:rPr>
        <w:t>ResMed</w:t>
      </w:r>
      <w:proofErr w:type="spellEnd"/>
      <w:r w:rsidRPr="006841D0">
        <w:rPr>
          <w:lang w:val="en-US"/>
        </w:rPr>
        <w:t>.</w:t>
      </w:r>
    </w:p>
    <w:p w14:paraId="374A2FB8" w14:textId="5239E935" w:rsidR="0061411C" w:rsidRPr="006841D0" w:rsidRDefault="001C748B" w:rsidP="001C748B">
      <w:pPr>
        <w:spacing w:after="160" w:line="259" w:lineRule="auto"/>
        <w:rPr>
          <w:lang w:val="en-US"/>
        </w:rPr>
      </w:pPr>
      <w:r w:rsidRPr="006841D0">
        <w:rPr>
          <w:lang w:val="en-US"/>
        </w:rPr>
        <w:t>All other authors declare no conflict of interest.</w:t>
      </w:r>
      <w:r w:rsidR="0061411C" w:rsidRPr="006841D0">
        <w:rPr>
          <w:lang w:val="en-US"/>
        </w:rPr>
        <w:br w:type="page"/>
      </w:r>
    </w:p>
    <w:p w14:paraId="117759E3" w14:textId="77777777" w:rsidR="0061411C" w:rsidRDefault="00025C98" w:rsidP="0061411C">
      <w:pPr>
        <w:rPr>
          <w:b/>
          <w:color w:val="000000" w:themeColor="text1"/>
          <w:lang w:val="en-US"/>
        </w:rPr>
      </w:pPr>
      <w:r w:rsidRPr="00824204">
        <w:rPr>
          <w:b/>
          <w:color w:val="000000" w:themeColor="text1"/>
          <w:lang w:val="en-US"/>
        </w:rPr>
        <w:lastRenderedPageBreak/>
        <w:t>ABSTRACT</w:t>
      </w:r>
    </w:p>
    <w:p w14:paraId="45236CF8" w14:textId="77777777" w:rsidR="0061411C" w:rsidRDefault="00025C98" w:rsidP="0061411C">
      <w:pPr>
        <w:rPr>
          <w:color w:val="000000" w:themeColor="text1"/>
          <w:lang w:val="en-GB"/>
        </w:rPr>
      </w:pPr>
      <w:r w:rsidRPr="00824204">
        <w:rPr>
          <w:b/>
          <w:color w:val="000000" w:themeColor="text1"/>
          <w:lang w:val="en-US"/>
        </w:rPr>
        <w:t>Background</w:t>
      </w:r>
      <w:r w:rsidR="0061411C">
        <w:rPr>
          <w:b/>
          <w:color w:val="000000" w:themeColor="text1"/>
          <w:lang w:val="en-US"/>
        </w:rPr>
        <w:t xml:space="preserve">: </w:t>
      </w:r>
      <w:r w:rsidRPr="00824204">
        <w:rPr>
          <w:color w:val="000000" w:themeColor="text1"/>
          <w:lang w:val="en-GB"/>
        </w:rPr>
        <w:t xml:space="preserve">Heart failure guidelines recommend up-titration of </w:t>
      </w:r>
      <w:r w:rsidR="00221B4B" w:rsidRPr="00824204">
        <w:rPr>
          <w:color w:val="000000" w:themeColor="text1"/>
          <w:lang w:val="en-GB"/>
        </w:rPr>
        <w:t>ACE</w:t>
      </w:r>
      <w:r w:rsidR="0092199B" w:rsidRPr="00824204">
        <w:rPr>
          <w:color w:val="000000" w:themeColor="text1"/>
          <w:lang w:val="en-GB"/>
        </w:rPr>
        <w:t>-</w:t>
      </w:r>
      <w:r w:rsidR="00221B4B" w:rsidRPr="00824204">
        <w:rPr>
          <w:color w:val="000000" w:themeColor="text1"/>
          <w:lang w:val="en-GB"/>
        </w:rPr>
        <w:t>i</w:t>
      </w:r>
      <w:r w:rsidR="0092199B" w:rsidRPr="00824204">
        <w:rPr>
          <w:color w:val="000000" w:themeColor="text1"/>
          <w:lang w:val="en-GB"/>
        </w:rPr>
        <w:t>nhibitor</w:t>
      </w:r>
      <w:r w:rsidR="00A62216" w:rsidRPr="00824204">
        <w:rPr>
          <w:color w:val="000000" w:themeColor="text1"/>
          <w:lang w:val="en-GB"/>
        </w:rPr>
        <w:t>s</w:t>
      </w:r>
      <w:r w:rsidR="00221B4B" w:rsidRPr="00824204">
        <w:rPr>
          <w:color w:val="000000" w:themeColor="text1"/>
          <w:lang w:val="en-GB"/>
        </w:rPr>
        <w:t>/ARB</w:t>
      </w:r>
      <w:r w:rsidR="00A62216" w:rsidRPr="00824204">
        <w:rPr>
          <w:color w:val="000000" w:themeColor="text1"/>
          <w:lang w:val="en-GB"/>
        </w:rPr>
        <w:t>s</w:t>
      </w:r>
      <w:r w:rsidR="0001133E">
        <w:rPr>
          <w:color w:val="000000" w:themeColor="text1"/>
          <w:lang w:val="en-GB"/>
        </w:rPr>
        <w:t>,</w:t>
      </w:r>
      <w:r w:rsidR="00221B4B" w:rsidRPr="00B96B3A">
        <w:rPr>
          <w:color w:val="000000" w:themeColor="text1"/>
          <w:lang w:val="en-GB"/>
        </w:rPr>
        <w:t xml:space="preserve"> beta</w:t>
      </w:r>
      <w:r w:rsidR="0092199B" w:rsidRPr="00B96B3A">
        <w:rPr>
          <w:color w:val="000000" w:themeColor="text1"/>
          <w:lang w:val="en-GB"/>
        </w:rPr>
        <w:t>-</w:t>
      </w:r>
      <w:r w:rsidR="00221B4B" w:rsidRPr="00B96B3A">
        <w:rPr>
          <w:color w:val="000000" w:themeColor="text1"/>
          <w:lang w:val="en-GB"/>
        </w:rPr>
        <w:t>block</w:t>
      </w:r>
      <w:r w:rsidR="00F53F09" w:rsidRPr="00B96B3A">
        <w:rPr>
          <w:color w:val="000000" w:themeColor="text1"/>
          <w:lang w:val="en-GB"/>
        </w:rPr>
        <w:t>ers</w:t>
      </w:r>
      <w:r w:rsidR="0001133E">
        <w:rPr>
          <w:color w:val="000000" w:themeColor="text1"/>
          <w:lang w:val="en-GB"/>
        </w:rPr>
        <w:t xml:space="preserve"> and MRA’s</w:t>
      </w:r>
      <w:r w:rsidRPr="00B96B3A">
        <w:rPr>
          <w:color w:val="000000" w:themeColor="text1"/>
          <w:lang w:val="en-GB"/>
        </w:rPr>
        <w:t xml:space="preserve"> to doses used in randomized clinical trials, but these recommended doses are often not reached. Up-titration might however not be necessary in all patients. We aimed to establish the role of </w:t>
      </w:r>
      <w:r w:rsidR="00A839CC" w:rsidRPr="00B96B3A">
        <w:rPr>
          <w:color w:val="000000" w:themeColor="text1"/>
          <w:lang w:val="en-GB"/>
        </w:rPr>
        <w:t xml:space="preserve">blood </w:t>
      </w:r>
      <w:r w:rsidRPr="00B96B3A">
        <w:rPr>
          <w:color w:val="000000" w:themeColor="text1"/>
          <w:lang w:val="en-GB"/>
        </w:rPr>
        <w:t xml:space="preserve">biomarkers to determine which patients should or should not be up-titrated. </w:t>
      </w:r>
    </w:p>
    <w:p w14:paraId="0735F7E2" w14:textId="77777777" w:rsidR="0061411C" w:rsidRDefault="00025C98" w:rsidP="0061411C">
      <w:pPr>
        <w:rPr>
          <w:color w:val="000000" w:themeColor="text1"/>
          <w:lang w:val="en-GB"/>
        </w:rPr>
      </w:pPr>
      <w:r w:rsidRPr="00B96B3A">
        <w:rPr>
          <w:b/>
          <w:color w:val="000000" w:themeColor="text1"/>
          <w:lang w:val="en-GB"/>
        </w:rPr>
        <w:t>Methods</w:t>
      </w:r>
      <w:r w:rsidR="0061411C">
        <w:rPr>
          <w:b/>
          <w:color w:val="000000" w:themeColor="text1"/>
          <w:lang w:val="en-GB"/>
        </w:rPr>
        <w:t xml:space="preserve">: </w:t>
      </w:r>
      <w:r w:rsidR="00B74538" w:rsidRPr="00B96B3A">
        <w:rPr>
          <w:color w:val="000000" w:themeColor="text1"/>
          <w:lang w:val="en-US"/>
        </w:rPr>
        <w:t>Clinical o</w:t>
      </w:r>
      <w:r w:rsidR="00F53F09" w:rsidRPr="00B96B3A">
        <w:rPr>
          <w:color w:val="000000" w:themeColor="text1"/>
          <w:lang w:val="en-US"/>
        </w:rPr>
        <w:t>u</w:t>
      </w:r>
      <w:r w:rsidR="00B74538" w:rsidRPr="00B96B3A">
        <w:rPr>
          <w:color w:val="000000" w:themeColor="text1"/>
          <w:lang w:val="en-US"/>
        </w:rPr>
        <w:t>t</w:t>
      </w:r>
      <w:r w:rsidR="00F53F09" w:rsidRPr="00B96B3A">
        <w:rPr>
          <w:color w:val="000000" w:themeColor="text1"/>
          <w:lang w:val="en-US"/>
        </w:rPr>
        <w:t xml:space="preserve">comes of </w:t>
      </w:r>
      <w:r w:rsidR="00221B4B" w:rsidRPr="00B96B3A">
        <w:rPr>
          <w:color w:val="000000" w:themeColor="text1"/>
          <w:lang w:val="en-US"/>
        </w:rPr>
        <w:t>2516 patients</w:t>
      </w:r>
      <w:r w:rsidR="00B74538" w:rsidRPr="00B96B3A">
        <w:rPr>
          <w:color w:val="000000" w:themeColor="text1"/>
          <w:lang w:val="en-US"/>
        </w:rPr>
        <w:t xml:space="preserve"> with worsening heart fai</w:t>
      </w:r>
      <w:r w:rsidR="00F53F09" w:rsidRPr="00B96B3A">
        <w:rPr>
          <w:color w:val="000000" w:themeColor="text1"/>
          <w:lang w:val="en-US"/>
        </w:rPr>
        <w:t>lure</w:t>
      </w:r>
      <w:r w:rsidR="00221B4B" w:rsidRPr="00B96B3A">
        <w:rPr>
          <w:color w:val="000000" w:themeColor="text1"/>
          <w:lang w:val="en-US"/>
        </w:rPr>
        <w:t xml:space="preserve"> </w:t>
      </w:r>
      <w:r w:rsidR="00F53F09" w:rsidRPr="00B96B3A">
        <w:rPr>
          <w:color w:val="000000" w:themeColor="text1"/>
          <w:lang w:val="en-US"/>
        </w:rPr>
        <w:t xml:space="preserve">from </w:t>
      </w:r>
      <w:r w:rsidR="0092199B" w:rsidRPr="00B96B3A">
        <w:rPr>
          <w:color w:val="000000" w:themeColor="text1"/>
          <w:lang w:val="en-US"/>
        </w:rPr>
        <w:t>BIOSTAT-</w:t>
      </w:r>
      <w:r w:rsidR="00B74538" w:rsidRPr="00B96B3A">
        <w:rPr>
          <w:color w:val="000000" w:themeColor="text1"/>
          <w:lang w:val="en-US"/>
        </w:rPr>
        <w:t>CHF</w:t>
      </w:r>
      <w:r w:rsidR="00221B4B" w:rsidRPr="00B96B3A">
        <w:rPr>
          <w:color w:val="000000" w:themeColor="text1"/>
          <w:lang w:val="en-US"/>
        </w:rPr>
        <w:t xml:space="preserve"> were </w:t>
      </w:r>
      <w:r w:rsidR="00F53F09" w:rsidRPr="00B96B3A">
        <w:rPr>
          <w:color w:val="000000" w:themeColor="text1"/>
          <w:lang w:val="en-US"/>
        </w:rPr>
        <w:t xml:space="preserve">compared between </w:t>
      </w:r>
      <w:r w:rsidRPr="00B96B3A">
        <w:rPr>
          <w:color w:val="000000" w:themeColor="text1"/>
          <w:lang w:val="en-US"/>
        </w:rPr>
        <w:t xml:space="preserve">3 theoretical treatment </w:t>
      </w:r>
      <w:r w:rsidR="005D55AE" w:rsidRPr="00B96B3A">
        <w:rPr>
          <w:color w:val="000000" w:themeColor="text1"/>
          <w:lang w:val="en-US"/>
        </w:rPr>
        <w:t>scenarios</w:t>
      </w:r>
      <w:r w:rsidRPr="00B96B3A">
        <w:rPr>
          <w:color w:val="000000" w:themeColor="text1"/>
          <w:lang w:val="en-US"/>
        </w:rPr>
        <w:t xml:space="preserve">: A) all patients are up-titrated to </w:t>
      </w:r>
      <w:r w:rsidR="009D582A" w:rsidRPr="00B96B3A">
        <w:rPr>
          <w:color w:val="000000" w:themeColor="text1"/>
          <w:lang w:val="en-US"/>
        </w:rPr>
        <w:t>&gt;50%</w:t>
      </w:r>
      <w:r w:rsidR="00407A0F" w:rsidRPr="00B96B3A">
        <w:rPr>
          <w:color w:val="000000" w:themeColor="text1"/>
          <w:lang w:val="en-US"/>
        </w:rPr>
        <w:t xml:space="preserve"> of recommended </w:t>
      </w:r>
      <w:r w:rsidRPr="00B96B3A">
        <w:rPr>
          <w:color w:val="000000" w:themeColor="text1"/>
          <w:lang w:val="en-US"/>
        </w:rPr>
        <w:t xml:space="preserve">doses; B) patients </w:t>
      </w:r>
      <w:r w:rsidR="00221B4B" w:rsidRPr="00B96B3A">
        <w:rPr>
          <w:color w:val="000000" w:themeColor="text1"/>
          <w:lang w:val="en-US"/>
        </w:rPr>
        <w:t>are</w:t>
      </w:r>
      <w:r w:rsidRPr="00B96B3A">
        <w:rPr>
          <w:color w:val="000000" w:themeColor="text1"/>
          <w:lang w:val="en-US"/>
        </w:rPr>
        <w:t xml:space="preserve"> up-titrated according to a biomarker-based treatment-selection model; </w:t>
      </w:r>
      <w:r w:rsidR="00221B4B" w:rsidRPr="00B96B3A">
        <w:rPr>
          <w:color w:val="000000" w:themeColor="text1"/>
          <w:lang w:val="en-US"/>
        </w:rPr>
        <w:t xml:space="preserve">C) no patient is up-titrated to </w:t>
      </w:r>
      <w:r w:rsidR="009D582A" w:rsidRPr="00B96B3A">
        <w:rPr>
          <w:color w:val="000000" w:themeColor="text1"/>
          <w:lang w:val="en-US"/>
        </w:rPr>
        <w:t>&gt;50%</w:t>
      </w:r>
      <w:r w:rsidR="00F53F09" w:rsidRPr="00B96B3A">
        <w:rPr>
          <w:color w:val="000000" w:themeColor="text1"/>
          <w:lang w:val="en-US"/>
        </w:rPr>
        <w:t xml:space="preserve"> of </w:t>
      </w:r>
      <w:r w:rsidR="00221B4B" w:rsidRPr="00B96B3A">
        <w:rPr>
          <w:color w:val="000000" w:themeColor="text1"/>
          <w:lang w:val="en-US"/>
        </w:rPr>
        <w:t xml:space="preserve">recommended doses. </w:t>
      </w:r>
      <w:r w:rsidRPr="00B96B3A">
        <w:rPr>
          <w:color w:val="000000" w:themeColor="text1"/>
          <w:lang w:val="en-GB"/>
        </w:rPr>
        <w:t>We conducted multivariable Cox regression using 161 biomarkers and their interaction with treatment, weighted for treatment-indication bias</w:t>
      </w:r>
      <w:r w:rsidR="00AD297B" w:rsidRPr="00B96B3A">
        <w:rPr>
          <w:color w:val="000000" w:themeColor="text1"/>
          <w:lang w:val="en-GB"/>
        </w:rPr>
        <w:t xml:space="preserve"> to estimate</w:t>
      </w:r>
      <w:r w:rsidRPr="00B96B3A">
        <w:rPr>
          <w:color w:val="000000" w:themeColor="text1"/>
          <w:lang w:val="en-GB"/>
        </w:rPr>
        <w:t xml:space="preserve"> the </w:t>
      </w:r>
      <w:r w:rsidR="00221B4B" w:rsidRPr="00B96B3A">
        <w:rPr>
          <w:color w:val="000000" w:themeColor="text1"/>
          <w:lang w:val="en-GB"/>
        </w:rPr>
        <w:t xml:space="preserve">expected </w:t>
      </w:r>
      <w:r w:rsidR="00204046" w:rsidRPr="00B96B3A">
        <w:rPr>
          <w:color w:val="000000" w:themeColor="text1"/>
          <w:lang w:val="en-GB"/>
        </w:rPr>
        <w:t>number of deaths and/or heart-</w:t>
      </w:r>
      <w:r w:rsidRPr="00B96B3A">
        <w:rPr>
          <w:color w:val="000000" w:themeColor="text1"/>
          <w:lang w:val="en-GB"/>
        </w:rPr>
        <w:t xml:space="preserve">failure hospitalizations at 24 months for all three </w:t>
      </w:r>
      <w:r w:rsidR="005D55AE" w:rsidRPr="00B96B3A">
        <w:rPr>
          <w:color w:val="000000" w:themeColor="text1"/>
          <w:lang w:val="en-GB"/>
        </w:rPr>
        <w:t>scenarios</w:t>
      </w:r>
      <w:r w:rsidRPr="00B96B3A">
        <w:rPr>
          <w:color w:val="000000" w:themeColor="text1"/>
          <w:lang w:val="en-GB"/>
        </w:rPr>
        <w:t>.</w:t>
      </w:r>
    </w:p>
    <w:p w14:paraId="16121273" w14:textId="77777777" w:rsidR="0061411C" w:rsidRDefault="00025C98" w:rsidP="0061411C">
      <w:pPr>
        <w:rPr>
          <w:color w:val="000000" w:themeColor="text1"/>
          <w:lang w:val="en-GB"/>
        </w:rPr>
      </w:pPr>
      <w:r w:rsidRPr="00B96B3A">
        <w:rPr>
          <w:b/>
          <w:color w:val="000000" w:themeColor="text1"/>
          <w:lang w:val="en-GB"/>
        </w:rPr>
        <w:t>Results</w:t>
      </w:r>
      <w:r w:rsidR="0061411C">
        <w:rPr>
          <w:b/>
          <w:color w:val="000000" w:themeColor="text1"/>
          <w:lang w:val="en-GB"/>
        </w:rPr>
        <w:t xml:space="preserve">: </w:t>
      </w:r>
      <w:r w:rsidRPr="00B96B3A">
        <w:rPr>
          <w:color w:val="000000" w:themeColor="text1"/>
          <w:lang w:val="en-GB"/>
        </w:rPr>
        <w:t xml:space="preserve">Estimated </w:t>
      </w:r>
      <w:r w:rsidR="00221B4B" w:rsidRPr="00B96B3A">
        <w:rPr>
          <w:color w:val="000000" w:themeColor="text1"/>
          <w:lang w:val="en-GB"/>
        </w:rPr>
        <w:t xml:space="preserve">death/hospitalization </w:t>
      </w:r>
      <w:r w:rsidRPr="00B96B3A">
        <w:rPr>
          <w:color w:val="000000" w:themeColor="text1"/>
          <w:lang w:val="en-GB"/>
        </w:rPr>
        <w:t>rate</w:t>
      </w:r>
      <w:r w:rsidR="00221B4B" w:rsidRPr="00B96B3A">
        <w:rPr>
          <w:color w:val="000000" w:themeColor="text1"/>
          <w:lang w:val="en-GB"/>
        </w:rPr>
        <w:t>s</w:t>
      </w:r>
      <w:r w:rsidR="001C2656" w:rsidRPr="00B96B3A">
        <w:rPr>
          <w:color w:val="000000" w:themeColor="text1"/>
          <w:lang w:val="en-GB"/>
        </w:rPr>
        <w:t xml:space="preserve"> in </w:t>
      </w:r>
      <w:r w:rsidR="00155D0C" w:rsidRPr="00B96B3A">
        <w:rPr>
          <w:color w:val="000000" w:themeColor="text1"/>
          <w:lang w:val="en-GB"/>
        </w:rPr>
        <w:t xml:space="preserve">1802 </w:t>
      </w:r>
      <w:r w:rsidR="001C2656" w:rsidRPr="00B96B3A">
        <w:rPr>
          <w:color w:val="000000" w:themeColor="text1"/>
          <w:lang w:val="en-GB"/>
        </w:rPr>
        <w:t xml:space="preserve">patients with available (bio)markers were </w:t>
      </w:r>
      <w:r w:rsidR="00612598" w:rsidRPr="00B96B3A">
        <w:rPr>
          <w:color w:val="000000" w:themeColor="text1"/>
          <w:lang w:val="en-GB"/>
        </w:rPr>
        <w:t>16</w:t>
      </w:r>
      <w:r w:rsidRPr="00B96B3A">
        <w:rPr>
          <w:color w:val="000000" w:themeColor="text1"/>
          <w:lang w:val="en-GB"/>
        </w:rPr>
        <w:t xml:space="preserve">%, </w:t>
      </w:r>
      <w:r w:rsidR="00612598" w:rsidRPr="00B96B3A">
        <w:rPr>
          <w:color w:val="000000" w:themeColor="text1"/>
          <w:lang w:val="en-GB"/>
        </w:rPr>
        <w:t>16</w:t>
      </w:r>
      <w:r w:rsidRPr="00B96B3A">
        <w:rPr>
          <w:color w:val="000000" w:themeColor="text1"/>
          <w:lang w:val="en-GB"/>
        </w:rPr>
        <w:t>%,</w:t>
      </w:r>
      <w:r w:rsidR="00E2509A" w:rsidRPr="00B96B3A">
        <w:rPr>
          <w:color w:val="000000" w:themeColor="text1"/>
          <w:lang w:val="en-GB"/>
        </w:rPr>
        <w:t xml:space="preserve"> </w:t>
      </w:r>
      <w:r w:rsidRPr="00B96B3A">
        <w:rPr>
          <w:color w:val="000000" w:themeColor="text1"/>
          <w:lang w:val="en-GB"/>
        </w:rPr>
        <w:t xml:space="preserve">and </w:t>
      </w:r>
      <w:r w:rsidR="00612598" w:rsidRPr="00B96B3A">
        <w:rPr>
          <w:color w:val="000000" w:themeColor="text1"/>
          <w:lang w:val="en-GB"/>
        </w:rPr>
        <w:t>26</w:t>
      </w:r>
      <w:r w:rsidRPr="00B96B3A">
        <w:rPr>
          <w:color w:val="000000" w:themeColor="text1"/>
          <w:lang w:val="en-GB"/>
        </w:rPr>
        <w:t>%</w:t>
      </w:r>
      <w:r w:rsidR="001C2656" w:rsidRPr="00B96B3A">
        <w:rPr>
          <w:color w:val="000000" w:themeColor="text1"/>
          <w:lang w:val="en-GB"/>
        </w:rPr>
        <w:t xml:space="preserve"> re</w:t>
      </w:r>
      <w:r w:rsidR="00BA6C69" w:rsidRPr="00B96B3A">
        <w:rPr>
          <w:color w:val="000000" w:themeColor="text1"/>
          <w:lang w:val="en-GB"/>
        </w:rPr>
        <w:t>s</w:t>
      </w:r>
      <w:r w:rsidR="00806203" w:rsidRPr="00B96B3A">
        <w:rPr>
          <w:color w:val="000000" w:themeColor="text1"/>
          <w:lang w:val="en-GB"/>
        </w:rPr>
        <w:t>pectively</w:t>
      </w:r>
      <w:r w:rsidRPr="00B96B3A">
        <w:rPr>
          <w:color w:val="000000" w:themeColor="text1"/>
          <w:lang w:val="en-GB"/>
        </w:rPr>
        <w:t xml:space="preserve"> in </w:t>
      </w:r>
      <w:r w:rsidR="00BA6C69" w:rsidRPr="00B96B3A">
        <w:rPr>
          <w:color w:val="000000" w:themeColor="text1"/>
          <w:lang w:val="en-GB"/>
        </w:rPr>
        <w:t>ACE-inhibitor/ARB up</w:t>
      </w:r>
      <w:r w:rsidR="00A47E12" w:rsidRPr="00B96B3A">
        <w:rPr>
          <w:color w:val="000000" w:themeColor="text1"/>
          <w:lang w:val="en-GB"/>
        </w:rPr>
        <w:t>-</w:t>
      </w:r>
      <w:r w:rsidR="00BA6C69" w:rsidRPr="00B96B3A">
        <w:rPr>
          <w:color w:val="000000" w:themeColor="text1"/>
          <w:lang w:val="en-GB"/>
        </w:rPr>
        <w:t xml:space="preserve">titration </w:t>
      </w:r>
      <w:r w:rsidRPr="00B96B3A">
        <w:rPr>
          <w:color w:val="000000" w:themeColor="text1"/>
          <w:lang w:val="en-GB"/>
        </w:rPr>
        <w:t>scenario A, B and C</w:t>
      </w:r>
      <w:r w:rsidR="00BA6C69" w:rsidRPr="00B96B3A">
        <w:rPr>
          <w:color w:val="000000" w:themeColor="text1"/>
          <w:lang w:val="en-GB"/>
        </w:rPr>
        <w:t>. Similar rates for</w:t>
      </w:r>
      <w:r w:rsidR="00BA6C69" w:rsidRPr="00B96B3A">
        <w:rPr>
          <w:color w:val="000000" w:themeColor="text1"/>
          <w:lang w:val="en-US"/>
        </w:rPr>
        <w:t xml:space="preserve"> </w:t>
      </w:r>
      <w:r w:rsidR="00BA6C69" w:rsidRPr="00B96B3A">
        <w:rPr>
          <w:color w:val="000000" w:themeColor="text1"/>
          <w:lang w:val="en-GB"/>
        </w:rPr>
        <w:t xml:space="preserve">beta-blocker </w:t>
      </w:r>
      <w:r w:rsidR="0001133E">
        <w:rPr>
          <w:color w:val="000000" w:themeColor="text1"/>
          <w:lang w:val="en-GB"/>
        </w:rPr>
        <w:t xml:space="preserve">and MRA </w:t>
      </w:r>
      <w:r w:rsidR="00BA6C69" w:rsidRPr="00B96B3A">
        <w:rPr>
          <w:color w:val="000000" w:themeColor="text1"/>
          <w:lang w:val="en-GB"/>
        </w:rPr>
        <w:t>up-titration scenarios A,</w:t>
      </w:r>
      <w:r w:rsidR="00E2509A" w:rsidRPr="00B96B3A">
        <w:rPr>
          <w:color w:val="000000" w:themeColor="text1"/>
          <w:lang w:val="en-GB"/>
        </w:rPr>
        <w:t xml:space="preserve"> </w:t>
      </w:r>
      <w:r w:rsidR="00BA6C69" w:rsidRPr="00B96B3A">
        <w:rPr>
          <w:color w:val="000000" w:themeColor="text1"/>
          <w:lang w:val="en-GB"/>
        </w:rPr>
        <w:t xml:space="preserve">B, and C were </w:t>
      </w:r>
      <w:r w:rsidR="00612598" w:rsidRPr="00B96B3A">
        <w:rPr>
          <w:color w:val="000000" w:themeColor="text1"/>
          <w:lang w:val="en-GB"/>
        </w:rPr>
        <w:t>23</w:t>
      </w:r>
      <w:r w:rsidR="00C532D8" w:rsidRPr="00B96B3A">
        <w:rPr>
          <w:color w:val="000000" w:themeColor="text1"/>
          <w:lang w:val="en-GB"/>
        </w:rPr>
        <w:t xml:space="preserve">%, </w:t>
      </w:r>
      <w:r w:rsidR="00612598" w:rsidRPr="00B96B3A">
        <w:rPr>
          <w:color w:val="000000" w:themeColor="text1"/>
          <w:lang w:val="en-GB"/>
        </w:rPr>
        <w:t>19</w:t>
      </w:r>
      <w:r w:rsidR="0066285D" w:rsidRPr="00B96B3A">
        <w:rPr>
          <w:color w:val="000000" w:themeColor="text1"/>
          <w:lang w:val="en-GB"/>
        </w:rPr>
        <w:t xml:space="preserve">%, and </w:t>
      </w:r>
      <w:r w:rsidR="00612598" w:rsidRPr="00B96B3A">
        <w:rPr>
          <w:color w:val="000000" w:themeColor="text1"/>
          <w:lang w:val="en-GB"/>
        </w:rPr>
        <w:t>24</w:t>
      </w:r>
      <w:r w:rsidR="0066285D" w:rsidRPr="00B96B3A">
        <w:rPr>
          <w:color w:val="000000" w:themeColor="text1"/>
          <w:lang w:val="en-GB"/>
        </w:rPr>
        <w:t>%</w:t>
      </w:r>
      <w:r w:rsidR="00BA6C69" w:rsidRPr="00B96B3A">
        <w:rPr>
          <w:color w:val="000000" w:themeColor="text1"/>
          <w:lang w:val="en-GB"/>
        </w:rPr>
        <w:t xml:space="preserve">, </w:t>
      </w:r>
      <w:r w:rsidR="0001133E">
        <w:rPr>
          <w:color w:val="000000" w:themeColor="text1"/>
          <w:lang w:val="en-GB"/>
        </w:rPr>
        <w:t xml:space="preserve">and 12%, 11% and 24 %, </w:t>
      </w:r>
      <w:r w:rsidR="0001133E" w:rsidRPr="00147D69">
        <w:rPr>
          <w:color w:val="000000" w:themeColor="text1"/>
          <w:lang w:val="en-GB"/>
        </w:rPr>
        <w:t>respectively</w:t>
      </w:r>
      <w:r w:rsidR="009E1D89" w:rsidRPr="00B96B3A">
        <w:rPr>
          <w:color w:val="000000" w:themeColor="text1"/>
          <w:lang w:val="en-GB"/>
        </w:rPr>
        <w:t>.</w:t>
      </w:r>
      <w:r w:rsidR="004459BE" w:rsidRPr="00B96B3A">
        <w:rPr>
          <w:color w:val="000000" w:themeColor="text1"/>
          <w:lang w:val="en-GB"/>
        </w:rPr>
        <w:t xml:space="preserve"> </w:t>
      </w:r>
      <w:r w:rsidR="009E1D89" w:rsidRPr="00B96B3A">
        <w:rPr>
          <w:color w:val="000000" w:themeColor="text1"/>
          <w:lang w:val="en-GB"/>
        </w:rPr>
        <w:t>I</w:t>
      </w:r>
      <w:r w:rsidRPr="00B96B3A">
        <w:rPr>
          <w:color w:val="000000" w:themeColor="text1"/>
          <w:lang w:val="en-GB"/>
        </w:rPr>
        <w:t xml:space="preserve">f up-titration was successful in all patients, an estimated </w:t>
      </w:r>
      <w:r w:rsidR="00612598" w:rsidRPr="00B96B3A">
        <w:rPr>
          <w:color w:val="000000" w:themeColor="text1"/>
          <w:lang w:val="en-GB"/>
        </w:rPr>
        <w:t>9.8</w:t>
      </w:r>
      <w:r w:rsidR="00656B6B" w:rsidRPr="00B96B3A">
        <w:rPr>
          <w:color w:val="000000" w:themeColor="text1"/>
          <w:lang w:val="en-GB"/>
        </w:rPr>
        <w:t xml:space="preserve">, </w:t>
      </w:r>
      <w:r w:rsidR="00612598" w:rsidRPr="00B96B3A">
        <w:rPr>
          <w:color w:val="000000" w:themeColor="text1"/>
          <w:lang w:val="en-GB"/>
        </w:rPr>
        <w:t>1.3</w:t>
      </w:r>
      <w:r w:rsidR="00656B6B" w:rsidRPr="00B96B3A">
        <w:rPr>
          <w:color w:val="000000" w:themeColor="text1"/>
          <w:lang w:val="en-GB"/>
        </w:rPr>
        <w:t xml:space="preserve"> </w:t>
      </w:r>
      <w:r w:rsidR="0001133E">
        <w:rPr>
          <w:color w:val="000000" w:themeColor="text1"/>
          <w:lang w:val="en-GB"/>
        </w:rPr>
        <w:t xml:space="preserve">and </w:t>
      </w:r>
      <w:r w:rsidR="0001133E" w:rsidRPr="0001133E">
        <w:rPr>
          <w:color w:val="000000" w:themeColor="text1"/>
          <w:lang w:val="en-GB"/>
        </w:rPr>
        <w:t>12.3</w:t>
      </w:r>
      <w:r w:rsidR="0001133E">
        <w:rPr>
          <w:color w:val="000000" w:themeColor="text1"/>
          <w:lang w:val="en-GB"/>
        </w:rPr>
        <w:t xml:space="preserve"> </w:t>
      </w:r>
      <w:r w:rsidRPr="00B96B3A">
        <w:rPr>
          <w:color w:val="000000" w:themeColor="text1"/>
          <w:lang w:val="en-GB"/>
        </w:rPr>
        <w:t xml:space="preserve">events </w:t>
      </w:r>
      <w:r w:rsidR="00ED6890" w:rsidRPr="00B96B3A">
        <w:rPr>
          <w:color w:val="000000" w:themeColor="text1"/>
          <w:lang w:val="en-GB"/>
        </w:rPr>
        <w:t xml:space="preserve">per 100 treated patients </w:t>
      </w:r>
      <w:r w:rsidRPr="00B96B3A">
        <w:rPr>
          <w:color w:val="000000" w:themeColor="text1"/>
          <w:lang w:val="en-GB"/>
        </w:rPr>
        <w:t>could be prevented at 24 months</w:t>
      </w:r>
      <w:r w:rsidR="00656B6B" w:rsidRPr="00B96B3A">
        <w:rPr>
          <w:color w:val="000000" w:themeColor="text1"/>
          <w:lang w:val="en-GB"/>
        </w:rPr>
        <w:t xml:space="preserve"> </w:t>
      </w:r>
      <w:r w:rsidR="000344F0" w:rsidRPr="00B96B3A">
        <w:rPr>
          <w:color w:val="000000" w:themeColor="text1"/>
          <w:lang w:val="en-GB"/>
        </w:rPr>
        <w:t>by</w:t>
      </w:r>
      <w:r w:rsidR="00656B6B" w:rsidRPr="00B96B3A">
        <w:rPr>
          <w:color w:val="000000" w:themeColor="text1"/>
          <w:lang w:val="en-GB"/>
        </w:rPr>
        <w:t xml:space="preserve"> AC</w:t>
      </w:r>
      <w:r w:rsidR="000344F0" w:rsidRPr="00B96B3A">
        <w:rPr>
          <w:color w:val="000000" w:themeColor="text1"/>
          <w:lang w:val="en-GB"/>
        </w:rPr>
        <w:t>E</w:t>
      </w:r>
      <w:r w:rsidR="00656B6B" w:rsidRPr="00B96B3A">
        <w:rPr>
          <w:color w:val="000000" w:themeColor="text1"/>
          <w:lang w:val="en-GB"/>
        </w:rPr>
        <w:t>-inhibitor/ARB</w:t>
      </w:r>
      <w:r w:rsidR="0001133E">
        <w:rPr>
          <w:color w:val="000000" w:themeColor="text1"/>
          <w:lang w:val="en-GB"/>
        </w:rPr>
        <w:t>,</w:t>
      </w:r>
      <w:r w:rsidR="00656B6B" w:rsidRPr="00B96B3A">
        <w:rPr>
          <w:color w:val="000000" w:themeColor="text1"/>
          <w:lang w:val="en-GB"/>
        </w:rPr>
        <w:t xml:space="preserve"> beta-blocker</w:t>
      </w:r>
      <w:r w:rsidR="000344F0" w:rsidRPr="00B96B3A">
        <w:rPr>
          <w:color w:val="000000" w:themeColor="text1"/>
          <w:lang w:val="en-GB"/>
        </w:rPr>
        <w:t xml:space="preserve"> </w:t>
      </w:r>
      <w:r w:rsidR="0001133E">
        <w:rPr>
          <w:color w:val="000000" w:themeColor="text1"/>
          <w:lang w:val="en-GB"/>
        </w:rPr>
        <w:t xml:space="preserve">and MRA </w:t>
      </w:r>
      <w:r w:rsidR="000344F0" w:rsidRPr="00B96B3A">
        <w:rPr>
          <w:color w:val="000000" w:themeColor="text1"/>
          <w:lang w:val="en-GB"/>
        </w:rPr>
        <w:t>therapy</w:t>
      </w:r>
      <w:r w:rsidR="001C2656" w:rsidRPr="00B96B3A">
        <w:rPr>
          <w:color w:val="000000" w:themeColor="text1"/>
          <w:lang w:val="en-GB"/>
        </w:rPr>
        <w:t xml:space="preserve">. </w:t>
      </w:r>
      <w:r w:rsidR="00BA6C69" w:rsidRPr="00B96B3A">
        <w:rPr>
          <w:color w:val="000000" w:themeColor="text1"/>
          <w:lang w:val="en-GB"/>
        </w:rPr>
        <w:t>Similar</w:t>
      </w:r>
      <w:r w:rsidR="006607C1" w:rsidRPr="00B96B3A">
        <w:rPr>
          <w:color w:val="000000" w:themeColor="text1"/>
          <w:lang w:val="en-GB"/>
        </w:rPr>
        <w:t xml:space="preserve"> </w:t>
      </w:r>
      <w:r w:rsidR="00BA6C69" w:rsidRPr="00B96B3A">
        <w:rPr>
          <w:color w:val="000000" w:themeColor="text1"/>
          <w:lang w:val="en-GB"/>
        </w:rPr>
        <w:t xml:space="preserve">numbers were </w:t>
      </w:r>
      <w:r w:rsidR="00612598" w:rsidRPr="00B96B3A">
        <w:rPr>
          <w:color w:val="000000" w:themeColor="text1"/>
          <w:lang w:val="en-GB"/>
        </w:rPr>
        <w:t>9.9</w:t>
      </w:r>
      <w:r w:rsidR="0001133E">
        <w:rPr>
          <w:color w:val="000000" w:themeColor="text1"/>
          <w:lang w:val="en-GB"/>
        </w:rPr>
        <w:t>,</w:t>
      </w:r>
      <w:r w:rsidR="00BA6C69" w:rsidRPr="00B96B3A">
        <w:rPr>
          <w:color w:val="000000" w:themeColor="text1"/>
          <w:lang w:val="en-GB"/>
        </w:rPr>
        <w:t xml:space="preserve"> </w:t>
      </w:r>
      <w:r w:rsidR="00ED6890" w:rsidRPr="00B96B3A">
        <w:rPr>
          <w:color w:val="000000" w:themeColor="text1"/>
          <w:lang w:val="en-GB"/>
        </w:rPr>
        <w:t>4.</w:t>
      </w:r>
      <w:r w:rsidR="00612598" w:rsidRPr="00B96B3A">
        <w:rPr>
          <w:color w:val="000000" w:themeColor="text1"/>
          <w:lang w:val="en-GB"/>
        </w:rPr>
        <w:t>7</w:t>
      </w:r>
      <w:r w:rsidR="0001133E">
        <w:rPr>
          <w:color w:val="000000" w:themeColor="text1"/>
          <w:lang w:val="en-GB"/>
        </w:rPr>
        <w:t xml:space="preserve"> and </w:t>
      </w:r>
      <w:r w:rsidR="0001133E" w:rsidRPr="0001133E">
        <w:rPr>
          <w:color w:val="000000" w:themeColor="text1"/>
          <w:lang w:val="en-GB"/>
        </w:rPr>
        <w:t>13.1</w:t>
      </w:r>
      <w:r w:rsidR="00612598" w:rsidRPr="00B96B3A">
        <w:rPr>
          <w:color w:val="000000" w:themeColor="text1"/>
          <w:lang w:val="en-GB"/>
        </w:rPr>
        <w:t xml:space="preserve"> </w:t>
      </w:r>
      <w:r w:rsidR="00BA6C69" w:rsidRPr="00B96B3A">
        <w:rPr>
          <w:color w:val="000000" w:themeColor="text1"/>
          <w:lang w:val="en-GB"/>
        </w:rPr>
        <w:t xml:space="preserve">if up-titration </w:t>
      </w:r>
      <w:r w:rsidR="001C2656" w:rsidRPr="00B96B3A">
        <w:rPr>
          <w:color w:val="000000" w:themeColor="text1"/>
          <w:lang w:val="en-GB"/>
        </w:rPr>
        <w:t xml:space="preserve">treatment decision was based on </w:t>
      </w:r>
      <w:r w:rsidR="00BA6C69" w:rsidRPr="00B96B3A">
        <w:rPr>
          <w:color w:val="000000" w:themeColor="text1"/>
          <w:lang w:val="en-GB"/>
        </w:rPr>
        <w:t>a biomarker-based treatment-selection model.</w:t>
      </w:r>
    </w:p>
    <w:p w14:paraId="7F42AE21" w14:textId="77777777" w:rsidR="0061411C" w:rsidRDefault="00025C98" w:rsidP="0061411C">
      <w:pPr>
        <w:rPr>
          <w:color w:val="000000" w:themeColor="text1"/>
          <w:lang w:val="en-GB"/>
        </w:rPr>
      </w:pPr>
      <w:r w:rsidRPr="00B96B3A">
        <w:rPr>
          <w:b/>
          <w:color w:val="000000" w:themeColor="text1"/>
          <w:lang w:val="en-GB"/>
        </w:rPr>
        <w:t>Conclusion</w:t>
      </w:r>
      <w:r w:rsidR="0061411C">
        <w:rPr>
          <w:b/>
          <w:color w:val="000000" w:themeColor="text1"/>
          <w:lang w:val="en-GB"/>
        </w:rPr>
        <w:t xml:space="preserve">: </w:t>
      </w:r>
      <w:r w:rsidR="008824E7" w:rsidRPr="00B96B3A">
        <w:rPr>
          <w:color w:val="000000" w:themeColor="text1"/>
          <w:lang w:val="en-US"/>
        </w:rPr>
        <w:t>Up-titrating patient</w:t>
      </w:r>
      <w:r w:rsidR="00CC7E8A" w:rsidRPr="00B96B3A">
        <w:rPr>
          <w:color w:val="000000" w:themeColor="text1"/>
          <w:lang w:val="en-US"/>
        </w:rPr>
        <w:t>s</w:t>
      </w:r>
      <w:r w:rsidR="00FB152F" w:rsidRPr="00B96B3A">
        <w:rPr>
          <w:color w:val="000000" w:themeColor="text1"/>
          <w:lang w:val="en-US"/>
        </w:rPr>
        <w:t xml:space="preserve"> with heart failure</w:t>
      </w:r>
      <w:r w:rsidR="008824E7" w:rsidRPr="00B96B3A">
        <w:rPr>
          <w:color w:val="000000" w:themeColor="text1"/>
          <w:lang w:val="en-US"/>
        </w:rPr>
        <w:t xml:space="preserve"> based on biomarker values might </w:t>
      </w:r>
      <w:r w:rsidR="00FB152F" w:rsidRPr="00B96B3A">
        <w:rPr>
          <w:color w:val="000000" w:themeColor="text1"/>
          <w:lang w:val="en-US"/>
        </w:rPr>
        <w:t xml:space="preserve">have </w:t>
      </w:r>
      <w:r w:rsidR="008824E7" w:rsidRPr="00B96B3A">
        <w:rPr>
          <w:color w:val="000000" w:themeColor="text1"/>
          <w:lang w:val="en-US"/>
        </w:rPr>
        <w:t>result</w:t>
      </w:r>
      <w:r w:rsidR="00FB152F" w:rsidRPr="00B96B3A">
        <w:rPr>
          <w:color w:val="000000" w:themeColor="text1"/>
          <w:lang w:val="en-US"/>
        </w:rPr>
        <w:t>ed</w:t>
      </w:r>
      <w:r w:rsidR="008824E7" w:rsidRPr="00B96B3A">
        <w:rPr>
          <w:color w:val="000000" w:themeColor="text1"/>
          <w:lang w:val="en-US"/>
        </w:rPr>
        <w:t xml:space="preserve"> in fewer deaths and/or hospitalizations </w:t>
      </w:r>
      <w:r w:rsidR="008824E7" w:rsidRPr="00B96B3A">
        <w:rPr>
          <w:color w:val="000000" w:themeColor="text1"/>
          <w:lang w:val="en-GB"/>
        </w:rPr>
        <w:t xml:space="preserve">compared to </w:t>
      </w:r>
      <w:r w:rsidR="00FB152F" w:rsidRPr="00B96B3A">
        <w:rPr>
          <w:color w:val="000000" w:themeColor="text1"/>
          <w:lang w:val="en-GB"/>
        </w:rPr>
        <w:t xml:space="preserve">a hypothetical </w:t>
      </w:r>
      <w:r w:rsidR="008824E7" w:rsidRPr="00B96B3A">
        <w:rPr>
          <w:color w:val="000000" w:themeColor="text1"/>
          <w:lang w:val="en-GB"/>
        </w:rPr>
        <w:t xml:space="preserve">scenario in which all patients </w:t>
      </w:r>
      <w:r w:rsidR="00FB152F" w:rsidRPr="00B96B3A">
        <w:rPr>
          <w:color w:val="000000" w:themeColor="text1"/>
          <w:lang w:val="en-GB"/>
        </w:rPr>
        <w:t xml:space="preserve">were </w:t>
      </w:r>
      <w:r w:rsidR="008824E7" w:rsidRPr="00B96B3A">
        <w:rPr>
          <w:color w:val="000000" w:themeColor="text1"/>
          <w:lang w:val="en-GB"/>
        </w:rPr>
        <w:t>successfully up-titrated.</w:t>
      </w:r>
    </w:p>
    <w:p w14:paraId="4ED3C025" w14:textId="77777777" w:rsidR="0061411C" w:rsidRDefault="0061411C" w:rsidP="0061411C">
      <w:pPr>
        <w:rPr>
          <w:b/>
          <w:color w:val="000000" w:themeColor="text1"/>
          <w:lang w:val="en-GB"/>
        </w:rPr>
      </w:pPr>
    </w:p>
    <w:p w14:paraId="0FF3216B" w14:textId="24EA628F" w:rsidR="0061411C" w:rsidRDefault="0061411C" w:rsidP="0061411C">
      <w:pPr>
        <w:rPr>
          <w:color w:val="000000" w:themeColor="text1"/>
          <w:lang w:val="en-GB"/>
        </w:rPr>
      </w:pPr>
      <w:r w:rsidRPr="0061411C">
        <w:rPr>
          <w:b/>
          <w:color w:val="000000" w:themeColor="text1"/>
          <w:lang w:val="en-GB"/>
        </w:rPr>
        <w:t>Keywords</w:t>
      </w:r>
      <w:r>
        <w:rPr>
          <w:color w:val="000000" w:themeColor="text1"/>
          <w:lang w:val="en-GB"/>
        </w:rPr>
        <w:t xml:space="preserve">: </w:t>
      </w:r>
      <w:r w:rsidRPr="006841D0">
        <w:rPr>
          <w:lang w:val="en-US"/>
        </w:rPr>
        <w:t>treatment-decision, biomarkers, Ace-inhibitor/ACE, beta-blocker, MRA</w:t>
      </w:r>
    </w:p>
    <w:p w14:paraId="150A8DBF" w14:textId="77777777" w:rsidR="001C748B" w:rsidRDefault="001C748B" w:rsidP="0061411C">
      <w:pPr>
        <w:rPr>
          <w:b/>
          <w:color w:val="000000" w:themeColor="text1"/>
          <w:lang w:val="en-US"/>
        </w:rPr>
      </w:pPr>
    </w:p>
    <w:p w14:paraId="4E0EB2B3" w14:textId="45EFF7A8" w:rsidR="0061411C" w:rsidRDefault="0061411C" w:rsidP="0061411C">
      <w:pPr>
        <w:rPr>
          <w:b/>
          <w:color w:val="000000" w:themeColor="text1"/>
          <w:lang w:val="en-US"/>
        </w:rPr>
      </w:pPr>
      <w:r>
        <w:rPr>
          <w:b/>
          <w:color w:val="000000" w:themeColor="text1"/>
          <w:lang w:val="en-US"/>
        </w:rPr>
        <w:t xml:space="preserve">Abbreviations: </w:t>
      </w:r>
    </w:p>
    <w:p w14:paraId="20B5B42B" w14:textId="0B92FAEB" w:rsidR="004555E1" w:rsidRPr="0081347A" w:rsidRDefault="004555E1" w:rsidP="004555E1">
      <w:pPr>
        <w:rPr>
          <w:color w:val="000000" w:themeColor="text1"/>
          <w:lang w:val="en-GB"/>
        </w:rPr>
      </w:pPr>
      <w:r w:rsidRPr="0081347A">
        <w:rPr>
          <w:color w:val="000000" w:themeColor="text1"/>
          <w:lang w:val="en-GB"/>
        </w:rPr>
        <w:t xml:space="preserve">ACE-inhibitors: </w:t>
      </w:r>
      <w:r>
        <w:rPr>
          <w:color w:val="000000" w:themeColor="text1"/>
          <w:lang w:val="en-GB"/>
        </w:rPr>
        <w:t>A</w:t>
      </w:r>
      <w:r w:rsidRPr="0081347A">
        <w:rPr>
          <w:color w:val="000000" w:themeColor="text1"/>
          <w:lang w:val="en-GB"/>
        </w:rPr>
        <w:t>ngiotensin-converting-enzyme inhibitors</w:t>
      </w:r>
    </w:p>
    <w:p w14:paraId="61071563" w14:textId="77777777" w:rsidR="004555E1" w:rsidRPr="006841D0" w:rsidRDefault="004555E1" w:rsidP="004555E1">
      <w:pPr>
        <w:rPr>
          <w:bCs/>
          <w:color w:val="000000" w:themeColor="text1"/>
          <w:lang w:val="en-US"/>
        </w:rPr>
      </w:pPr>
      <w:r w:rsidRPr="0081347A">
        <w:rPr>
          <w:color w:val="000000" w:themeColor="text1"/>
          <w:lang w:val="en-GB"/>
        </w:rPr>
        <w:t xml:space="preserve">ARB: </w:t>
      </w:r>
      <w:r w:rsidRPr="006841D0">
        <w:rPr>
          <w:bCs/>
          <w:color w:val="000000" w:themeColor="text1"/>
          <w:lang w:val="en-US"/>
        </w:rPr>
        <w:t>Angiotensin Receptor Blocker</w:t>
      </w:r>
    </w:p>
    <w:p w14:paraId="6AB7E2BE" w14:textId="71D74A9B" w:rsidR="004555E1" w:rsidRPr="0081347A" w:rsidRDefault="004555E1" w:rsidP="004555E1">
      <w:pPr>
        <w:rPr>
          <w:color w:val="000000" w:themeColor="text1"/>
          <w:lang w:val="en-GB"/>
        </w:rPr>
      </w:pPr>
      <w:r w:rsidRPr="0081347A">
        <w:rPr>
          <w:color w:val="000000" w:themeColor="text1"/>
          <w:lang w:val="en-GB"/>
        </w:rPr>
        <w:t>AF: Atrial fibrillation</w:t>
      </w:r>
    </w:p>
    <w:p w14:paraId="2B827482" w14:textId="6B077D6A" w:rsidR="004555E1" w:rsidRPr="0081347A" w:rsidRDefault="004555E1" w:rsidP="004555E1">
      <w:pPr>
        <w:rPr>
          <w:color w:val="000000" w:themeColor="text1"/>
          <w:lang w:val="en-GB"/>
        </w:rPr>
      </w:pPr>
      <w:r w:rsidRPr="0081347A">
        <w:rPr>
          <w:color w:val="000000" w:themeColor="text1"/>
          <w:lang w:val="en-GB"/>
        </w:rPr>
        <w:t>BMI: Body mass index</w:t>
      </w:r>
    </w:p>
    <w:p w14:paraId="46BC5EC4" w14:textId="0534CE65" w:rsidR="004555E1" w:rsidRPr="0081347A" w:rsidRDefault="004555E1" w:rsidP="004555E1">
      <w:pPr>
        <w:rPr>
          <w:color w:val="000000" w:themeColor="text1"/>
          <w:lang w:val="en-US"/>
        </w:rPr>
      </w:pPr>
      <w:r w:rsidRPr="0081347A">
        <w:rPr>
          <w:color w:val="000000" w:themeColor="text1"/>
          <w:lang w:val="en-US"/>
        </w:rPr>
        <w:t xml:space="preserve">BNP: </w:t>
      </w:r>
      <w:r>
        <w:rPr>
          <w:color w:val="000000" w:themeColor="text1"/>
          <w:lang w:val="en-US"/>
        </w:rPr>
        <w:t>Brain natriuretic peptide</w:t>
      </w:r>
    </w:p>
    <w:p w14:paraId="438C603E" w14:textId="30A8CD64" w:rsidR="004555E1" w:rsidRPr="0081347A" w:rsidRDefault="004555E1" w:rsidP="004555E1">
      <w:pPr>
        <w:rPr>
          <w:color w:val="000000" w:themeColor="text1"/>
          <w:lang w:val="en-US"/>
        </w:rPr>
      </w:pPr>
      <w:r w:rsidRPr="0081347A">
        <w:rPr>
          <w:color w:val="000000" w:themeColor="text1"/>
          <w:lang w:val="en-US"/>
        </w:rPr>
        <w:t xml:space="preserve">BUN: </w:t>
      </w:r>
      <w:r>
        <w:rPr>
          <w:color w:val="000000" w:themeColor="text1"/>
          <w:lang w:val="en-US"/>
        </w:rPr>
        <w:t>Blood urea nitrogen</w:t>
      </w:r>
    </w:p>
    <w:p w14:paraId="7B54F898" w14:textId="7FE83255" w:rsidR="004555E1" w:rsidRPr="0081347A" w:rsidRDefault="004555E1" w:rsidP="004555E1">
      <w:pPr>
        <w:rPr>
          <w:color w:val="000000" w:themeColor="text1"/>
          <w:lang w:val="en-GB"/>
        </w:rPr>
      </w:pPr>
      <w:r w:rsidRPr="0081347A">
        <w:rPr>
          <w:color w:val="000000" w:themeColor="text1"/>
          <w:lang w:val="en-GB"/>
        </w:rPr>
        <w:t xml:space="preserve">DBP: </w:t>
      </w:r>
      <w:r>
        <w:rPr>
          <w:color w:val="000000" w:themeColor="text1"/>
          <w:lang w:val="en-GB"/>
        </w:rPr>
        <w:t>D</w:t>
      </w:r>
      <w:r w:rsidRPr="0081347A">
        <w:rPr>
          <w:color w:val="000000" w:themeColor="text1"/>
          <w:lang w:val="en-GB"/>
        </w:rPr>
        <w:t>iastolic blood pressure</w:t>
      </w:r>
    </w:p>
    <w:p w14:paraId="05D1E9C4" w14:textId="08F3BCB3" w:rsidR="004555E1" w:rsidRPr="0081347A" w:rsidRDefault="004555E1" w:rsidP="004555E1">
      <w:pPr>
        <w:rPr>
          <w:color w:val="000000" w:themeColor="text1"/>
          <w:lang w:val="en-US"/>
        </w:rPr>
      </w:pPr>
      <w:r w:rsidRPr="0081347A">
        <w:rPr>
          <w:color w:val="000000" w:themeColor="text1"/>
          <w:lang w:val="en-GB"/>
        </w:rPr>
        <w:t xml:space="preserve">CRP: </w:t>
      </w:r>
      <w:r w:rsidRPr="0081347A">
        <w:rPr>
          <w:bCs/>
          <w:color w:val="000000" w:themeColor="text1"/>
          <w:lang w:val="en-US"/>
        </w:rPr>
        <w:t>C-reactive protein</w:t>
      </w:r>
    </w:p>
    <w:p w14:paraId="6101B222" w14:textId="0424A179" w:rsidR="004555E1" w:rsidRPr="004555E1" w:rsidRDefault="004555E1" w:rsidP="004555E1">
      <w:pPr>
        <w:rPr>
          <w:i/>
          <w:color w:val="000000" w:themeColor="text1"/>
          <w:lang w:val="en-US"/>
        </w:rPr>
      </w:pPr>
      <w:r w:rsidRPr="004555E1">
        <w:rPr>
          <w:color w:val="000000" w:themeColor="text1"/>
          <w:lang w:val="en-US"/>
        </w:rPr>
        <w:t>CRT</w:t>
      </w:r>
      <w:r w:rsidRPr="004555E1">
        <w:rPr>
          <w:i/>
          <w:color w:val="000000" w:themeColor="text1"/>
          <w:lang w:val="en-US"/>
        </w:rPr>
        <w:t xml:space="preserve">: </w:t>
      </w:r>
      <w:r w:rsidRPr="004555E1">
        <w:rPr>
          <w:rStyle w:val="Nadruk"/>
          <w:rFonts w:eastAsia="Times New Roman"/>
          <w:bCs/>
          <w:i w:val="0"/>
          <w:color w:val="000000" w:themeColor="text1"/>
          <w:lang w:val="en-US"/>
        </w:rPr>
        <w:t>Cardiac resynchronization therapy</w:t>
      </w:r>
    </w:p>
    <w:p w14:paraId="191BA975" w14:textId="4A99B58A" w:rsidR="004555E1" w:rsidRPr="0081347A" w:rsidRDefault="004555E1" w:rsidP="004555E1">
      <w:pPr>
        <w:rPr>
          <w:color w:val="000000" w:themeColor="text1"/>
          <w:sz w:val="27"/>
          <w:szCs w:val="27"/>
          <w:lang w:val="en-US"/>
        </w:rPr>
      </w:pPr>
      <w:r w:rsidRPr="0081347A">
        <w:rPr>
          <w:color w:val="000000" w:themeColor="text1"/>
          <w:lang w:val="en-GB"/>
        </w:rPr>
        <w:t xml:space="preserve">ESC: </w:t>
      </w:r>
      <w:r w:rsidRPr="0081347A">
        <w:rPr>
          <w:color w:val="000000" w:themeColor="text1"/>
          <w:lang w:val="en-US"/>
        </w:rPr>
        <w:t>European Society of Cardiology</w:t>
      </w:r>
    </w:p>
    <w:p w14:paraId="55409E95" w14:textId="08D79AB4" w:rsidR="004555E1" w:rsidRPr="0081347A" w:rsidRDefault="004555E1" w:rsidP="004555E1">
      <w:pPr>
        <w:rPr>
          <w:color w:val="000000" w:themeColor="text1"/>
          <w:lang w:val="en-US"/>
        </w:rPr>
      </w:pPr>
      <w:r w:rsidRPr="0081347A">
        <w:rPr>
          <w:color w:val="000000" w:themeColor="text1"/>
          <w:lang w:val="en-US"/>
        </w:rPr>
        <w:t xml:space="preserve">FGF23: </w:t>
      </w:r>
      <w:r w:rsidRPr="0081347A">
        <w:rPr>
          <w:color w:val="000000" w:themeColor="text1"/>
          <w:shd w:val="clear" w:color="auto" w:fill="FFFFFF"/>
          <w:lang w:val="en-US"/>
        </w:rPr>
        <w:t>Fibroblast Growth Factor 23</w:t>
      </w:r>
    </w:p>
    <w:p w14:paraId="2B1092FF" w14:textId="760A24B1" w:rsidR="004555E1" w:rsidRPr="0081347A" w:rsidRDefault="004555E1" w:rsidP="004555E1">
      <w:pPr>
        <w:rPr>
          <w:color w:val="000000" w:themeColor="text1"/>
          <w:lang w:val="en-US"/>
        </w:rPr>
      </w:pPr>
      <w:r w:rsidRPr="0081347A">
        <w:rPr>
          <w:color w:val="000000" w:themeColor="text1"/>
          <w:lang w:val="en-US"/>
        </w:rPr>
        <w:t xml:space="preserve">GFR: </w:t>
      </w:r>
      <w:r>
        <w:rPr>
          <w:color w:val="000000" w:themeColor="text1"/>
          <w:lang w:val="en-US"/>
        </w:rPr>
        <w:t>Glomerular filtration rate</w:t>
      </w:r>
    </w:p>
    <w:p w14:paraId="35E40473" w14:textId="257FA7A4" w:rsidR="004555E1" w:rsidRPr="0081347A" w:rsidRDefault="004555E1" w:rsidP="004555E1">
      <w:pPr>
        <w:rPr>
          <w:color w:val="000000" w:themeColor="text1"/>
          <w:lang w:val="en-US"/>
        </w:rPr>
      </w:pPr>
      <w:r w:rsidRPr="0081347A">
        <w:rPr>
          <w:color w:val="000000" w:themeColor="text1"/>
          <w:lang w:val="en-GB"/>
        </w:rPr>
        <w:t>HDL:</w:t>
      </w:r>
      <w:r w:rsidRPr="0081347A">
        <w:rPr>
          <w:rStyle w:val="Nadruk"/>
          <w:rFonts w:eastAsia="Times New Roman"/>
          <w:bCs/>
          <w:color w:val="000000" w:themeColor="text1"/>
          <w:lang w:val="en-US"/>
        </w:rPr>
        <w:t xml:space="preserve"> </w:t>
      </w:r>
      <w:r>
        <w:rPr>
          <w:bCs/>
          <w:color w:val="000000" w:themeColor="text1"/>
          <w:lang w:val="en-US"/>
        </w:rPr>
        <w:t>H</w:t>
      </w:r>
      <w:r w:rsidRPr="0081347A">
        <w:rPr>
          <w:bCs/>
          <w:color w:val="000000" w:themeColor="text1"/>
          <w:lang w:val="en-US"/>
        </w:rPr>
        <w:t>igh-density lipoprotein</w:t>
      </w:r>
    </w:p>
    <w:p w14:paraId="078B7205" w14:textId="5A8BF353" w:rsidR="004555E1" w:rsidRPr="0081347A" w:rsidRDefault="004555E1" w:rsidP="004555E1">
      <w:pPr>
        <w:rPr>
          <w:color w:val="000000" w:themeColor="text1"/>
          <w:lang w:val="en-US"/>
        </w:rPr>
      </w:pPr>
      <w:r w:rsidRPr="0081347A">
        <w:rPr>
          <w:color w:val="000000" w:themeColor="text1"/>
          <w:lang w:val="en-GB"/>
        </w:rPr>
        <w:t xml:space="preserve">HF: </w:t>
      </w:r>
      <w:r>
        <w:rPr>
          <w:color w:val="000000" w:themeColor="text1"/>
          <w:lang w:val="en-GB"/>
        </w:rPr>
        <w:t>H</w:t>
      </w:r>
      <w:r w:rsidRPr="0081347A">
        <w:rPr>
          <w:color w:val="000000" w:themeColor="text1"/>
          <w:lang w:val="en-GB"/>
        </w:rPr>
        <w:t>eart failure</w:t>
      </w:r>
    </w:p>
    <w:p w14:paraId="0BA1CCD0" w14:textId="79D91685" w:rsidR="004555E1" w:rsidRPr="0081347A" w:rsidRDefault="004555E1" w:rsidP="004555E1">
      <w:pPr>
        <w:rPr>
          <w:color w:val="000000" w:themeColor="text1"/>
          <w:lang w:val="en-GB"/>
        </w:rPr>
      </w:pPr>
      <w:proofErr w:type="spellStart"/>
      <w:r w:rsidRPr="0081347A">
        <w:rPr>
          <w:color w:val="000000" w:themeColor="text1"/>
          <w:lang w:val="en-GB"/>
        </w:rPr>
        <w:t>HFrEF</w:t>
      </w:r>
      <w:proofErr w:type="spellEnd"/>
      <w:r w:rsidRPr="0081347A">
        <w:rPr>
          <w:color w:val="000000" w:themeColor="text1"/>
          <w:lang w:val="en-GB"/>
        </w:rPr>
        <w:t>: Heart failure with reduced ejection fraction</w:t>
      </w:r>
    </w:p>
    <w:p w14:paraId="593AF45E" w14:textId="78577C19" w:rsidR="004555E1" w:rsidRPr="0081347A" w:rsidRDefault="004555E1" w:rsidP="004555E1">
      <w:pPr>
        <w:rPr>
          <w:color w:val="000000" w:themeColor="text1"/>
          <w:lang w:val="en-US"/>
        </w:rPr>
      </w:pPr>
      <w:r w:rsidRPr="0081347A">
        <w:rPr>
          <w:color w:val="000000" w:themeColor="text1"/>
          <w:lang w:val="en-US"/>
        </w:rPr>
        <w:t>ICD:</w:t>
      </w:r>
      <w:r w:rsidRPr="0081347A">
        <w:rPr>
          <w:color w:val="000000" w:themeColor="text1"/>
          <w:shd w:val="clear" w:color="auto" w:fill="FFFFFF"/>
          <w:lang w:val="en-US"/>
        </w:rPr>
        <w:t xml:space="preserve"> </w:t>
      </w:r>
      <w:r>
        <w:rPr>
          <w:color w:val="000000" w:themeColor="text1"/>
          <w:shd w:val="clear" w:color="auto" w:fill="FFFFFF"/>
          <w:lang w:val="en-US"/>
        </w:rPr>
        <w:t>I</w:t>
      </w:r>
      <w:r w:rsidRPr="0081347A">
        <w:rPr>
          <w:color w:val="000000" w:themeColor="text1"/>
          <w:shd w:val="clear" w:color="auto" w:fill="FFFFFF"/>
          <w:lang w:val="en-US"/>
        </w:rPr>
        <w:t>mplantable cardioverter-</w:t>
      </w:r>
      <w:r w:rsidRPr="0081347A">
        <w:rPr>
          <w:bCs/>
          <w:color w:val="000000" w:themeColor="text1"/>
          <w:lang w:val="en-US"/>
        </w:rPr>
        <w:t>defibrillator</w:t>
      </w:r>
    </w:p>
    <w:p w14:paraId="45BDABD1" w14:textId="689C72B7" w:rsidR="004555E1" w:rsidRPr="0081347A" w:rsidRDefault="004555E1" w:rsidP="004555E1">
      <w:pPr>
        <w:rPr>
          <w:color w:val="000000" w:themeColor="text1"/>
          <w:lang w:val="en-US"/>
        </w:rPr>
      </w:pPr>
      <w:r w:rsidRPr="0081347A">
        <w:rPr>
          <w:color w:val="000000" w:themeColor="text1"/>
          <w:lang w:val="en-GB"/>
        </w:rPr>
        <w:t xml:space="preserve">IGFBP-2: </w:t>
      </w:r>
      <w:r w:rsidRPr="0081347A">
        <w:rPr>
          <w:color w:val="000000" w:themeColor="text1"/>
          <w:shd w:val="clear" w:color="auto" w:fill="FFFFFF"/>
          <w:lang w:val="en-US"/>
        </w:rPr>
        <w:t>Insulin-like growth factor binding protein</w:t>
      </w:r>
      <w:r w:rsidRPr="0081347A">
        <w:rPr>
          <w:color w:val="000000" w:themeColor="text1"/>
          <w:lang w:val="en-US"/>
        </w:rPr>
        <w:t>-2</w:t>
      </w:r>
    </w:p>
    <w:p w14:paraId="18753976" w14:textId="5A7B0984" w:rsidR="004555E1" w:rsidRPr="0081347A" w:rsidRDefault="004555E1" w:rsidP="004555E1">
      <w:pPr>
        <w:rPr>
          <w:color w:val="000000" w:themeColor="text1"/>
          <w:lang w:val="en-US"/>
        </w:rPr>
      </w:pPr>
      <w:r w:rsidRPr="0081347A">
        <w:rPr>
          <w:color w:val="000000" w:themeColor="text1"/>
          <w:lang w:val="en-US"/>
        </w:rPr>
        <w:t xml:space="preserve">IQR: </w:t>
      </w:r>
      <w:r>
        <w:rPr>
          <w:color w:val="000000" w:themeColor="text1"/>
          <w:lang w:val="en-US"/>
        </w:rPr>
        <w:t>Interquartile range</w:t>
      </w:r>
    </w:p>
    <w:p w14:paraId="642A10BF" w14:textId="2D937F79" w:rsidR="004555E1" w:rsidRPr="0081347A" w:rsidRDefault="004555E1" w:rsidP="004555E1">
      <w:pPr>
        <w:rPr>
          <w:color w:val="000000" w:themeColor="text1"/>
          <w:lang w:val="en-US"/>
        </w:rPr>
      </w:pPr>
      <w:r w:rsidRPr="0081347A">
        <w:rPr>
          <w:color w:val="000000" w:themeColor="text1"/>
          <w:lang w:val="en-US"/>
        </w:rPr>
        <w:t xml:space="preserve">LDL: </w:t>
      </w:r>
      <w:r>
        <w:rPr>
          <w:bCs/>
          <w:color w:val="000000" w:themeColor="text1"/>
          <w:lang w:val="en-US"/>
        </w:rPr>
        <w:t>L</w:t>
      </w:r>
      <w:r w:rsidRPr="0081347A">
        <w:rPr>
          <w:bCs/>
          <w:color w:val="000000" w:themeColor="text1"/>
          <w:lang w:val="en-US"/>
        </w:rPr>
        <w:t>ow-density lipoprotein</w:t>
      </w:r>
    </w:p>
    <w:p w14:paraId="3CD16806" w14:textId="53EB190E" w:rsidR="004555E1" w:rsidRPr="0081347A" w:rsidRDefault="004555E1" w:rsidP="004555E1">
      <w:pPr>
        <w:rPr>
          <w:color w:val="000000" w:themeColor="text1"/>
          <w:lang w:val="en-US"/>
        </w:rPr>
      </w:pPr>
      <w:r w:rsidRPr="0081347A">
        <w:rPr>
          <w:color w:val="000000" w:themeColor="text1"/>
          <w:lang w:val="en-US"/>
        </w:rPr>
        <w:lastRenderedPageBreak/>
        <w:t xml:space="preserve">LVEF: </w:t>
      </w:r>
      <w:r>
        <w:rPr>
          <w:color w:val="000000" w:themeColor="text1"/>
          <w:lang w:val="en-US"/>
        </w:rPr>
        <w:t>L</w:t>
      </w:r>
      <w:r w:rsidRPr="0081347A">
        <w:rPr>
          <w:color w:val="000000" w:themeColor="text1"/>
          <w:lang w:val="en-US"/>
        </w:rPr>
        <w:t>eft</w:t>
      </w:r>
      <w:r>
        <w:rPr>
          <w:color w:val="000000" w:themeColor="text1"/>
          <w:lang w:val="en-US"/>
        </w:rPr>
        <w:t xml:space="preserve"> ventricular ejection fraction</w:t>
      </w:r>
    </w:p>
    <w:p w14:paraId="48907297" w14:textId="65B7A0AD" w:rsidR="004555E1" w:rsidRPr="0081347A" w:rsidRDefault="004555E1" w:rsidP="004555E1">
      <w:pPr>
        <w:rPr>
          <w:color w:val="000000" w:themeColor="text1"/>
          <w:lang w:val="en-US"/>
        </w:rPr>
      </w:pPr>
      <w:r w:rsidRPr="0081347A">
        <w:rPr>
          <w:color w:val="000000" w:themeColor="text1"/>
          <w:lang w:val="en-GB"/>
        </w:rPr>
        <w:t xml:space="preserve">MRA: </w:t>
      </w:r>
      <w:r>
        <w:rPr>
          <w:color w:val="000000" w:themeColor="text1"/>
          <w:lang w:val="en-GB"/>
        </w:rPr>
        <w:t>M</w:t>
      </w:r>
      <w:r>
        <w:rPr>
          <w:color w:val="000000" w:themeColor="text1"/>
          <w:lang w:val="en-US"/>
        </w:rPr>
        <w:t>BNP: N-terminal prohormone of BNP</w:t>
      </w:r>
    </w:p>
    <w:p w14:paraId="6888DE79" w14:textId="7780E89E" w:rsidR="004555E1" w:rsidRPr="0081347A" w:rsidRDefault="004555E1" w:rsidP="004555E1">
      <w:pPr>
        <w:rPr>
          <w:color w:val="000000" w:themeColor="text1"/>
          <w:lang w:val="en-US"/>
        </w:rPr>
      </w:pPr>
      <w:r w:rsidRPr="0081347A">
        <w:rPr>
          <w:color w:val="000000" w:themeColor="text1"/>
          <w:lang w:val="en-US"/>
        </w:rPr>
        <w:t>NY</w:t>
      </w:r>
      <w:r>
        <w:rPr>
          <w:color w:val="000000" w:themeColor="text1"/>
          <w:lang w:val="en-US"/>
        </w:rPr>
        <w:t>HA: New York Heart Association</w:t>
      </w:r>
    </w:p>
    <w:p w14:paraId="65CBBD11" w14:textId="77777777" w:rsidR="004555E1" w:rsidRPr="0081347A" w:rsidRDefault="004555E1" w:rsidP="004555E1">
      <w:pPr>
        <w:rPr>
          <w:color w:val="000000" w:themeColor="text1"/>
          <w:lang w:val="en-US"/>
        </w:rPr>
      </w:pPr>
      <w:r w:rsidRPr="0081347A">
        <w:rPr>
          <w:color w:val="000000" w:themeColor="text1"/>
          <w:lang w:val="en-US"/>
        </w:rPr>
        <w:t xml:space="preserve">SD: </w:t>
      </w:r>
      <w:r>
        <w:rPr>
          <w:color w:val="000000" w:themeColor="text1"/>
          <w:lang w:val="en-US"/>
        </w:rPr>
        <w:t>S</w:t>
      </w:r>
      <w:r w:rsidRPr="0081347A">
        <w:rPr>
          <w:color w:val="000000" w:themeColor="text1"/>
          <w:lang w:val="en-US"/>
        </w:rPr>
        <w:t>tandard deviation</w:t>
      </w:r>
    </w:p>
    <w:p w14:paraId="28DEF1DF" w14:textId="77777777" w:rsidR="0061411C" w:rsidRDefault="0061411C" w:rsidP="0061411C">
      <w:pPr>
        <w:rPr>
          <w:b/>
          <w:color w:val="000000" w:themeColor="text1"/>
          <w:lang w:val="en-US"/>
        </w:rPr>
      </w:pPr>
    </w:p>
    <w:p w14:paraId="7D55BBBE" w14:textId="766CFC0F" w:rsidR="0061411C" w:rsidRPr="0061411C" w:rsidRDefault="0061411C" w:rsidP="0061411C">
      <w:pPr>
        <w:rPr>
          <w:color w:val="000000" w:themeColor="text1"/>
          <w:lang w:val="en-US"/>
        </w:rPr>
      </w:pPr>
      <w:r>
        <w:rPr>
          <w:b/>
          <w:color w:val="000000" w:themeColor="text1"/>
          <w:lang w:val="en-US"/>
        </w:rPr>
        <w:t xml:space="preserve">Condensed Abstract: </w:t>
      </w:r>
      <w:r w:rsidRPr="0061411C">
        <w:rPr>
          <w:color w:val="000000" w:themeColor="text1"/>
          <w:lang w:val="en-GB"/>
        </w:rPr>
        <w:t xml:space="preserve">Heart-failure guidelines recommend up-titration of ACE-inhibitors/ARBs, beta-blockers and MRA to doses used in RCTs. These doses are often not reached, and might not benefit all patients. We determined the probability of mortality and/or heart-failure hospitalization based on a biomarker-profile using </w:t>
      </w:r>
      <w:r w:rsidRPr="0061411C">
        <w:rPr>
          <w:color w:val="000000" w:themeColor="text1"/>
          <w:lang w:val="en-US"/>
        </w:rPr>
        <w:t xml:space="preserve">3 theoretical treatment scenarios: A) all patients are up-titrated to &gt;50% recommended doses; B) patients are up-titrated according to a biomarker-based treatment-selection model; C) no patient is up-titrated to &gt;50% recommended doses. Up-titrating patients with heart-failure based on biomarker values might have resulted in fewer deaths and/or hospitalizations </w:t>
      </w:r>
      <w:r w:rsidRPr="0061411C">
        <w:rPr>
          <w:color w:val="000000" w:themeColor="text1"/>
          <w:lang w:val="en-GB"/>
        </w:rPr>
        <w:t>compared to a scenario in which all patients were successfully up-titrated.</w:t>
      </w:r>
    </w:p>
    <w:p w14:paraId="1110E03D" w14:textId="1B791A50" w:rsidR="0061411C" w:rsidRDefault="0061411C">
      <w:pPr>
        <w:spacing w:after="160" w:line="259" w:lineRule="auto"/>
        <w:rPr>
          <w:color w:val="000000" w:themeColor="text1"/>
          <w:lang w:val="en-GB"/>
        </w:rPr>
      </w:pPr>
      <w:r>
        <w:rPr>
          <w:color w:val="000000" w:themeColor="text1"/>
          <w:lang w:val="en-GB"/>
        </w:rPr>
        <w:br w:type="page"/>
      </w:r>
    </w:p>
    <w:p w14:paraId="09FF36B0" w14:textId="3DFADF1B" w:rsidR="00025C98" w:rsidRPr="00B96B3A" w:rsidRDefault="0061411C" w:rsidP="0061411C">
      <w:pPr>
        <w:rPr>
          <w:b/>
          <w:color w:val="000000" w:themeColor="text1"/>
          <w:lang w:val="en-GB"/>
        </w:rPr>
      </w:pPr>
      <w:r w:rsidRPr="00B96B3A">
        <w:rPr>
          <w:b/>
          <w:color w:val="000000" w:themeColor="text1"/>
          <w:lang w:val="en-GB"/>
        </w:rPr>
        <w:lastRenderedPageBreak/>
        <w:t>Introduction</w:t>
      </w:r>
    </w:p>
    <w:p w14:paraId="7D896730" w14:textId="77777777" w:rsidR="0061411C" w:rsidRDefault="00A6050F" w:rsidP="0061411C">
      <w:pPr>
        <w:spacing w:line="480" w:lineRule="auto"/>
        <w:ind w:firstLine="720"/>
        <w:rPr>
          <w:color w:val="000000" w:themeColor="text1"/>
          <w:lang w:val="en-GB"/>
        </w:rPr>
      </w:pPr>
      <w:r w:rsidRPr="00B96B3A">
        <w:rPr>
          <w:color w:val="000000" w:themeColor="text1"/>
          <w:lang w:val="en-GB"/>
        </w:rPr>
        <w:t>M</w:t>
      </w:r>
      <w:r w:rsidR="00025C98" w:rsidRPr="00B96B3A">
        <w:rPr>
          <w:color w:val="000000" w:themeColor="text1"/>
          <w:lang w:val="en-GB"/>
        </w:rPr>
        <w:t xml:space="preserve">ajor improvements in pharmaceutical and device heart failure treatment </w:t>
      </w:r>
      <w:r w:rsidRPr="00B96B3A">
        <w:rPr>
          <w:color w:val="000000" w:themeColor="text1"/>
          <w:lang w:val="en-GB"/>
        </w:rPr>
        <w:t xml:space="preserve">of heart failure </w:t>
      </w:r>
      <w:r w:rsidR="00025C98" w:rsidRPr="00B96B3A">
        <w:rPr>
          <w:color w:val="000000" w:themeColor="text1"/>
          <w:lang w:val="en-GB"/>
        </w:rPr>
        <w:t>have been achieved</w:t>
      </w:r>
      <w:r w:rsidRPr="00B96B3A">
        <w:rPr>
          <w:color w:val="000000" w:themeColor="text1"/>
          <w:lang w:val="en-GB"/>
        </w:rPr>
        <w:t xml:space="preserve"> in the past year</w:t>
      </w:r>
      <w:r w:rsidR="00025C98" w:rsidRPr="00B96B3A">
        <w:rPr>
          <w:color w:val="000000" w:themeColor="text1"/>
          <w:lang w:val="en-GB"/>
        </w:rPr>
        <w:t xml:space="preserve">. Evidence from large randomized clinical trials </w:t>
      </w:r>
      <w:r w:rsidRPr="00B96B3A">
        <w:rPr>
          <w:color w:val="000000" w:themeColor="text1"/>
          <w:lang w:val="en-GB"/>
        </w:rPr>
        <w:t>demonstrates that</w:t>
      </w:r>
      <w:r w:rsidR="00025C98" w:rsidRPr="00B96B3A">
        <w:rPr>
          <w:color w:val="000000" w:themeColor="text1"/>
          <w:lang w:val="en-GB"/>
        </w:rPr>
        <w:t xml:space="preserve"> that </w:t>
      </w:r>
      <w:r w:rsidR="000344F0" w:rsidRPr="00B96B3A">
        <w:rPr>
          <w:color w:val="000000" w:themeColor="text1"/>
          <w:lang w:val="en-GB"/>
        </w:rPr>
        <w:t>a</w:t>
      </w:r>
      <w:r w:rsidR="00025C98" w:rsidRPr="00B96B3A">
        <w:rPr>
          <w:color w:val="000000" w:themeColor="text1"/>
          <w:lang w:val="en-GB"/>
        </w:rPr>
        <w:t>ngiotensin-converting-enzyme inhibitors (ACE-inhibitors)</w:t>
      </w:r>
      <w:r w:rsidR="00A032C6">
        <w:rPr>
          <w:color w:val="000000" w:themeColor="text1"/>
          <w:lang w:val="en-GB"/>
        </w:rPr>
        <w:t>,</w:t>
      </w:r>
      <w:r w:rsidR="00025C98" w:rsidRPr="00B96B3A">
        <w:rPr>
          <w:color w:val="000000" w:themeColor="text1"/>
          <w:lang w:val="en-GB"/>
        </w:rPr>
        <w:t xml:space="preserve"> beta-blockers </w:t>
      </w:r>
      <w:r w:rsidR="00A032C6">
        <w:rPr>
          <w:color w:val="000000" w:themeColor="text1"/>
          <w:lang w:val="en-GB"/>
        </w:rPr>
        <w:t xml:space="preserve">and </w:t>
      </w:r>
      <w:r w:rsidR="00B96B3A" w:rsidRPr="00B96B3A">
        <w:rPr>
          <w:color w:val="000000" w:themeColor="text1"/>
          <w:lang w:val="en-GB"/>
        </w:rPr>
        <w:t>mineralocorticoid receptor antagonist</w:t>
      </w:r>
      <w:r w:rsidR="00B96B3A">
        <w:rPr>
          <w:color w:val="000000" w:themeColor="text1"/>
          <w:lang w:val="en-GB"/>
        </w:rPr>
        <w:t>s (</w:t>
      </w:r>
      <w:r w:rsidR="00A032C6">
        <w:rPr>
          <w:color w:val="000000" w:themeColor="text1"/>
          <w:lang w:val="en-GB"/>
        </w:rPr>
        <w:t>MRA</w:t>
      </w:r>
      <w:r w:rsidR="00B96B3A">
        <w:rPr>
          <w:color w:val="000000" w:themeColor="text1"/>
          <w:lang w:val="en-GB"/>
        </w:rPr>
        <w:t>s)</w:t>
      </w:r>
      <w:r w:rsidR="00A032C6">
        <w:rPr>
          <w:color w:val="000000" w:themeColor="text1"/>
          <w:lang w:val="en-GB"/>
        </w:rPr>
        <w:t xml:space="preserve"> </w:t>
      </w:r>
      <w:r w:rsidR="00025C98" w:rsidRPr="00B96B3A">
        <w:rPr>
          <w:color w:val="000000" w:themeColor="text1"/>
          <w:lang w:val="en-GB"/>
        </w:rPr>
        <w:t xml:space="preserve">improve clinical outcome in patients with mild to moderate heart failure </w:t>
      </w:r>
      <w:r w:rsidR="00025C98" w:rsidRPr="00071C5B">
        <w:rPr>
          <w:color w:val="000000" w:themeColor="text1"/>
          <w:lang w:val="en-GB"/>
        </w:rPr>
        <w:fldChar w:fldCharType="begin" w:fldLock="1"/>
      </w:r>
      <w:r w:rsidR="00894948" w:rsidRPr="00071C5B">
        <w:rPr>
          <w:color w:val="000000" w:themeColor="text1"/>
          <w:lang w:val="en-GB"/>
        </w:rPr>
        <w:instrText>ADDIN CSL_CITATION { "citationItems" : [ { "id" : "ITEM-1", "itemData" : { "DOI" : "10.1056/NEJM199108013250501", "ISSN" : "0028-4793", "PMID" : "2057034", "abstract" : "BACKGROUND Patients with congestive heart failure have a high mortality rate and are also hospitalized frequently. We studied the effect of an angiotensin-converting-enzyme inhibitor, enalapril, on mortality and hospitalization in patients with chronic heart failure and ejection fractions less than or equal to 0.35. METHODS Patients receiving conventional treatment for heart failure were randomly assigned to receive either placebo (n = 1284) or enalapril (n = 1285) at doses of 2.5 to 20 mg per day in a double-bind trial. Approximately 90 percent of the patients were in New York Heart Association functional classes II and III. The follow-up averaged 41.4 months. RESULTS There were 510 deaths in the placebo group (39.7 percent), as compared with 452 in the enalapril group (35.2 percent) (reduction in risk, 16 percent; 95 percent confidence interval, 5 to 26 percent; P = 0.0036). Although reductions in mortality were observed in several categories of cardiac deaths, the largest reduction occurred among the deaths attributed to progressive heart failure (251 in the placebo group vs. 209 in the enalapril group; reduction in risk, 22 percent; 95 percent confidence interval, 6 to 35 percent). There was little apparent effect of treatment on deaths classified as due to arrhythmia without pump failure. Fewer patients died or were hospitalized for worsening heart failure (736 in the placebo group and 613 in the enalapril group; risk reduction, 26 percent; 95 percent confidence interval, 18 to 34 percent; P less than 0.0001). CONCLUSIONS The addition of enalapril to conventional therapy significantly reduced mortality and hospitalizations for heart failure in patients with chronic congestive heart failure and reduced ejection fractions.", "author" : [ { "dropping-particle" : "", "family" : "The SOLVD Investigators", "given" : "", "non-dropping-particle" : "", "parse-names" : false, "suffix" : "" } ], "container-title" : "The New England journal of medicine", "id" : "ITEM-1", "issue" : "5", "issued" : { "date-parts" : [ [ "1991", "8", "1" ] ] }, "note" : "From Duplicate 2 (Effect of enalapril on survival in patients with reduced left ventricular ejection fractions and congestive heart failure - The SOLVD Investigators)\n\nFrom Duplicate 2 (Effect of enalapril on survival in patients with reduced left ventricular ejection fractions and congestive heart failure - SOLVD Investigators, The)\n\nFrom Duplicate 2 ( \n\nEffect of enalapril on survival in patients with reduced left ventricular ejection fractions and congestive heart failure\n\n- SOLVD Investigators, The )\n\n\n\nFrom Duplicate 3 (Effect of enalapril on survival in patients with reduced left ventricular ejection fractions and congestive heart failure - SOLVD Investigators, The)\n\nFrom Duplicate 2 ( \n\nEffect of enalapril on survival in patients with reduced left ventricular ejection fractions and congestive heart failure\n\n- SOLVD Investigators, The )\n\n", "page" : "293-302", "title" : "Effect of enalapril on survival in patients with reduced left ventricular ejection fractions and congestive heart failure.", "type" : "article-journal", "volume" : "325" }, "uris" : [ "http://www.mendeley.com/documents/?uuid=41b2281a-bf6a-4f0c-95b6-b41450c895d2" ] }, { "id" : "ITEM-2", "itemData" : { "DOI" : "10.1001/jama.1995.03520420066040", "ISSN" : "0098-7484", "PMID" : "7654275", "abstract" : "OBJECTIVE To evaluate the effect of angiotensin-converting enzyme (ACE) inhibitors on mortality and morbidity in patients with symptomatic congestive heart failure. DATA SOURCE AND STUDY SELECTION Data were obtained for all completed, published or unpublished, randomized, placebo-controlled trials of ACE inhibitors that were at least 8 weeks in duration and had determined total mortality by intention to treat, regardless of sample size. Trials were identified based on literature review and correspondence with investigators and pharmaceutical firms. DATA EXTRACTION Using standard tables, data were extracted by one author and confirmed where necessary by the other author or the principal investigator of the trial. Unpublished data were obtained by direct correspondence with the principal investigator of each study or pharmaceutical firm. DATA SYNTHESIS The data for each outcome were combined using the Yusuf-Peto adaptation of the Mantel-Haenszel method. Overall, there was a statistically significant reduction in total mortality (odds ratio [OR], 0.77; 95% confidence interval [CI], 0.67 to 0.88; P &lt; .001) and in the combined endpoint of mortality or hospitalization for congestive heart failure (OR, 0.65; 95% CI, 0.57 to 0.74; P &lt; .001). Similar benefits were observed with several different ACE inhibitors, although the data were largely based on enalapril maleate, captopril, ramipril, quinapril hydrochloride, and lisinopril. Reductions for total mortality and the combined endpoint were similar for various subgroups examined (age, sex, etiology, and New York Heart Association class). However, patients with the lowest ejection fraction appeared to have the greatest benefit. The greatest effect was seen during the first 3 months, but additional benefit was observed during further treatment. The reduction in mortality was primarily due to fewer deaths from progressive heart failure (OR, 0.69; 95% CI, 0.58 to 0.83); point estimates for effects on sudden or presumed arrhythmic deaths (OR, 0.91; 95% CI, 0.73 to 1.12) and fatal myocardial infarction (OR, 0.82; 95% CI, 0.60 to 1.11) were less than 1 but were not significant. CONCLUSIONS Total mortality and hospitalization for congestive heart failure are significantly reduced by ACE inhibitors with consistent effects in a broad range of patients.", "author" : [ { "dropping-particle" : "", "family" : "Garg", "given" : "Rekha", "non-dropping-particle" : "", "parse-names" : false, "suffix" : "" }, { "dropping-particle" : "", "family" : "Yusuf", "given" : "Salim", "non-dropping-particle" : "", "parse-names" : false, "suffix" : "" } ], "container-title" : "JAMA", "id" : "ITEM-2", "issue" : "18", "issued" : { "date-parts" : [ [ "1995", "5", "10" ] ] }, "page" : "1450-6", "title" : "Overview of randomized trials of angiotensin-converting enzyme inhibitors on mortality and morbidity in patients with heart failure. Collaborative Group on ACE Inhibitor Trials.", "type" : "article-journal", "volume" : "273" }, "uris" : [ "http://www.mendeley.com/documents/?uuid=10302d85-77f1-47ac-b93d-3916c869a1dc" ] }, { "id" : "ITEM-3", "itemData" : { "DOI" : "10.1056/NEJM199605233342101", "ISSN" : "0028-4793", "PMID" : "8614419", "abstract" : "BACKGROUND Controlled clinical trials have shown that beta-blockers can produce hemodynamic and symptomatic improvement in chronic heart failure, but the effect of these drugs on survival has not been determined. METHODS We enrolled 1094 patients with chronic heart failure in a double-blind, placebo-controlled, stratified program, in which patients were assigned to one of the four treatment protocols on the basis of their exercise capacity. Within each of the four protocols patients with mild, moderate, or severe heart failure with left ventricular ejection fractions &lt; or = 0.35 were randomly assigned to receive either placebo (n = 398) or the beta-blocker carvedilol (n = 696); background therapy with digoxin, diuretics, and an angiotensin-converting-enzyme inhibitor remained constant. Patient were observed for the occurrence death or hospitalization for cardiovascular reasons during the following 6 months, after the beginning (12 months for the group with mild heart failure). RESULTS The overall mortality rate was 7.8 percent in the placebo group and 3.2 percent in the carvedilol group; the reduction in risk attributable to carvedilol was 65 percent (95 percent confidence interval, 39 to 80 percent; P &lt; 0.001). This finding led the Data and Safety Monitoring Board to recommend termination of the study before its scheduled completion. In addition, as compared with placebo, carvedilol therapy was accompanied by a 27 percent reduction in the risk of hospitalization for cardiovascular causes (19.6 percent vs. 14.1 percent, P = 0.036), as well as a 38 percent reduction in the combined risk of hospitalization or death (24.6 percent vs, 15.8 percent, P &lt; 0.001). Worsening heart failure as an adverse reaction during treatment was less frequent in the carvedilol than in the placebo group. CONCLUSIONS Carvedilol reduces the risk or death as well as the risk of hospitalization for cardiovascular causes in patients with heart failure who are receiving treatment with digoxin, diuretics, and an angiotensin-converting-enzyme inhibitor.", "author" : [ { "dropping-particle" : "", "family" : "Packer", "given" : "Milton", "non-dropping-particle" : "", "parse-names" : false, "suffix" : "" }, { "dropping-particle" : "", "family" : "Bristow", "given" : "Michael R.", "non-dropping-particle" : "", "parse-names" : false, "suffix" : "" }, { "dropping-particle" : "", "family" : "Cohn", "given" : "Jay N.", "non-dropping-particle" : "", "parse-names" : false, "suffix" : "" }, { "dropping-particle" : "", "family" : "Colucci", "given" : "Wilson S.", "non-dropping-particle" : "", "parse-names" : false, "suffix" : "" }, { "dropping-particle" : "", "family" : "Fowler", "given" : "Michael B.", "non-dropping-particle" : "", "parse-names" : false, "suffix" : "" }, { "dropping-particle" : "", "family" : "Gilbert", "given" : "Edward M.", "non-dropping-particle" : "", "parse-names" : false, "suffix" : "" }, { "dropping-particle" : "", "family" : "Shusterman", "given" : "Neil H.", "non-dropping-particle" : "", "parse-names" : false, "suffix" : "" } ], "container-title" : "The New England journal of medicine", "id" : "ITEM-3", "issue" : "21", "issued" : { "date-parts" : [ [ "1996", "5", "23" ] ] }, "page" : "1349-55", "title" : "The effect of carvedilol on morbidity and mortality in patients with chronic heart failure. U.S. Carvedilol Heart Failure Study Group.", "type" : "article-journal", "volume" : "334" }, "uris" : [ "http://www.mendeley.com/documents/?uuid=e8631f56-3abf-4538-a48a-9bc03619c00a" ] }, { "id" : "ITEM-4", "itemData" : { "DOI" : "10.1016/S0140-6736(98)11181-9", "ISBN" : "0140-6736 (Print) 0140-6736 (Linking)", "ISSN" : "0140-6736", "PMID" : "10023943", "abstract" : "BACKGROUND In patients with heart failure, beta-blockade has improved morbidity and left-ventricular function, but the impact on survival is uncertain. We investigated the efficacy of bisoprolol, a beta1 selective adrenoceptor blocker in decreasing all-cause mortality in chronic heart failure. METHODS In a multicentre double-blind randomised placebo-controlled trial in Europe, we enrolled 2647 symptomatic patients in New York Heart Association class III or IV, with left-ventricular ejection fraction of 35% or less receiving standard therapy with diuretics and inhibitors of angiotensin-converting enzyme. We randomly assigned patients bisoprolol 1.25 mg (n=1327) or placebo (n=1320) daily, the drug being progressively increased to a maximum of 10 mg per day. Patients were followed up for a mean of 1.3 years. Analysis was by intention to treat. FINDINGS CIBIS-II was stopped early, after the second interim analysis, because bisoprolol showed a significant mortality benefit. All-cause mortality was significantly lower with bisoprolol than on placebo (156 [11.8%] vs 228 [17.3%] deaths with a hazard ratio of 0.66 (95% CI 0.54-0.81, p&lt;0.0001). There were significantly fewer sudden deaths among patients on bisoprolol than in those on placebo (48 [3.6%] vs 83 [6.3%] deaths), with a hazard ratio of 0.56 (0.39-0.80, p=0.0011). Treatment effects were independent of the severity or cause of heart failure. INTERPRETATION Beta-blocker therapy had benefits for survival in stable heart-failure patients. Results should not, however, be extrapolated to patients with severe class IV symptoms and recent instability because safety and efficacy has not been established in these patients.", "author" : [ { "dropping-particle" : "", "family" : "CIBIS-II Investigators and Committees", "given" : "", "non-dropping-particle" : "", "parse-names" : false, "suffix" : "" } ], "container-title" : "Lancet (London, England)", "id" : "ITEM-4", "issue" : "9146", "issued" : { "date-parts" : [ [ "1999", "1", "2" ] ] }, "page" : "9-13", "title" : "The Cardiac Insufficiency Bisoprolol Study II (CIBIS-II): a randomised trial.", "type" : "article-journal", "volume" : "353" }, "uris" : [ "http://www.mendeley.com/documents/?uuid=bf6fa4b9-9dc6-460c-85e8-d52be28d93c6" ] }, { "id" : "ITEM-5", "itemData" : { "ISSN" : "0098-7484", "PMID" : "10714728", "abstract" : "CONTEXT Results from recent studies on the effects of beta1-blockade in patients with heart failure demonstrated a 34% reduction in total mortality. However, the effect of beta1-blockade on the frequency of hospitalizations, symptoms, and quality of life in patients with heart failure has not been fully explored. OBJECTIVE To examine the effects of the beta1-blocker controlled-release/extended-release metoprolol succinate (metoprolol CR/XL) on mortality, hospitalization, symptoms, and quality of life in patients with heart failure. DESIGN Randomized, double-blind controlled trial, preceded by a 2-week single-blind placebo run-in period, conducted from February 14, 1997, to October 31, 1998, with a mean follow-up of 1 year. SETTING Three hundred thirteen sites in 14 countries. PARTICIPANTS Patients (n = 3991) with chronic heart failure, New York Heart Association (NYHA) functional class II to IV, and ejection fraction of 0.40 or less who were stabilized with optimum standard therapy. INTERVENTIONS Patients were randomized to metoprolol CR/XL, 25 mg once per day (NYHA class II), or 12.5 mg once per day (NYHA class III or IV), titrated for 6 to 8 weeks up to a target dosage of 200 mg once per day (n = 1990); or matching placebo (n = 2001). MAIN OUTCOME MEASURES Total mortality or any hospitalization (time to first event), number of hospitalizations for worsening heart failure, and change in NYHA class, by intervention group; quality of life was assessed in a substudy of 741 patients. RESULTS The incidence of all predefined end points was lower in the metoprolol CR/XL group than in the placebo group, including total mortality or all-cause hospitalizations (the prespecified second primary end point; 641 vs 767 events; risk reduction, 19%; 95% confidence interval [CI], 10%-27%; P&lt;.001); total mortality or hospitalizations due to worsening heart failure (311 vs 439 events; risk reduction, 31%; 95% CI, 20%-40%; P&lt;.001), number of hospitalizations due to worsening heart failure (317 vs 451; P&lt;.001); and number of days in hospital due to worsening heart failure (3401 vs 5303 days; P&lt;.001). NYHA functional class, assessed by physicians, and McMaster Overall Treatment Evaluation score, assessed by patients, both improved in the metoprolol CR/XL group compared with the placebo group (P = .003 and P = .009, respectively). CONCLUSIONS In this study of patients with symptomatic heartfailure, metoprolol CR/XL improved survival, reduced the need for hospitalizations due \u2026", "author" : [ { "dropping-particle" : "", "family" : "Hjalmarson", "given" : "A", "non-dropping-particle" : "", "parse-names" : false, "suffix" : "" }, { "dropping-particle" : "", "family" : "Goldstein", "given" : "Sidney", "non-dropping-particle" : "", "parse-names" : false, "suffix" : "" }, { "dropping-particle" : "", "family" : "Fagerberg", "given" : "Bj\u00f6rn", "non-dropping-particle" : "", "parse-names" : false, "suffix" : "" }, { "dropping-particle" : "", "family" : "Wedel", "given" : "Hans", "non-dropping-particle" : "", "parse-names" : false, "suffix" : "" }, { "dropping-particle" : "", "family" : "Waagstein", "given" : "Finn", "non-dropping-particle" : "", "parse-names" : false, "suffix" : "" }, { "dropping-particle" : "", "family" : "Kjekshus", "given" : "John", "non-dropping-particle" : "", "parse-names" : false, "suffix" : "" }, { "dropping-particle" : "", "family" : "Wikstrand", "given" : "John", "non-dropping-particle" : "", "parse-names" : false, "suffix" : "" }, { "dropping-particle" : "", "family" : "Allaf", "given" : "D", "non-dropping-particle" : "El", "parse-names" : false, "suffix" : "" }, { "dropping-particle" : "", "family" : "V\u00edtovec", "given" : "Jir\u00ed", "non-dropping-particle" : "", "parse-names" : false, "suffix" : "" }, { "dropping-particle" : "", "family" : "Aldershvile", "given" : "Jan", "non-dropping-particle" : "", "parse-names" : false, "suffix" : "" }, { "dropping-particle" : "", "family" : "Halinen", "given" : "Matti", "non-dropping-particle" : "", "parse-names" : false, "suffix" : "" }, { "dropping-particle" : "", "family" : "Dietz", "given" : "Rainer", "non-dropping-particle" : "", "parse-names" : false, "suffix" : "" }, { "dropping-particle" : "", "family" : "Neuhaus", "given" : "K L", "non-dropping-particle" : "", "parse-names" : false, "suffix" : "" }, { "dropping-particle" : "", "family" : "J\u00e1nosi", "given" : "Andr\u00e1s", "non-dropping-particle" : "", "parse-names" : false, "suffix" : "" }, { "dropping-particle" : "", "family" : "Thorgeirsson", "given" : "Gudmundur", "non-dropping-particle" : "", "parse-names" : false, "suffix" : "" }, { "dropping-particle" : "", "family" : "Dunselman", "given" : "P H", "non-dropping-particle" : "", "parse-names" : false, "suffix" : "" }, { "dropping-particle" : "", "family" : "Gullestad", "given" : "Lars", "non-dropping-particle" : "", "parse-names" : false, "suffix" : "" }, { "dropping-particle" : "", "family" : "Kuch", "given" : "Jerzy", "non-dropping-particle" : "", "parse-names" : false, "suffix" : "" }, { "dropping-particle" : "", "family" : "Herlitz", "given" : "Johan", "non-dropping-particle" : "", "parse-names" : false, "suffix" : "" }, { "dropping-particle" : "", "family" : "Rickenbacher", "given" : "Peter", "non-dropping-particle" : "", "parse-names" : false, "suffix" : "" }, { "dropping-particle" : "", "family" : "Ball", "given" : "Stephen", "non-dropping-particle" : "", "parse-names" : false, "suffix" : "" }, { "dropping-particle" : "", "family" : "Gottlieb", "given" : "Stephen", "non-dropping-particle" : "", "parse-names" : false, "suffix" : "" }, { "dropping-particle" : "", "family" : "Deedwania", "given" : "Prakash", "non-dropping-particle" : "", "parse-names" : false, "suffix" : "" } ], "container-title" : "JAMA", "id" : "ITEM-5", "issue" : "10", "issued" : { "date-parts" : [ [ "2000", "3", "8" ] ] }, "page" : "1295-302", "title" : "Effects of controlled-release metoprolol on total mortality, hospitalizations, and well-being in patients with heart failure: the Metoprolol CR/XL Randomized Intervention Trial in congestive heart failure (MERIT-HF). MERIT-HF Study Group.", "type" : "article-journal", "volume" : "283" }, "uris" : [ "http://www.mendeley.com/documents/?uuid=4960f195-0de6-4fec-a852-724db1babf72" ] }, { "id" : "ITEM-6", "itemData" : { "DOI" : "10.1056/NEJM200105313442201", "ISSN" : "0028-4793", "PMID" : "11386263", "abstract" : "BACKGROUND Beta-blocking agents reduce the risk of hospitalization and death in patients with mild-to-moderate heart failure, but little is known about their effects in severe heart failure. METHODS We evaluated 2289 patients who had symptoms of heart failure at rest or on minimal exertion, who were clinically euvolemic, and who had an ejection fraction of less than 25 percent. In a double-blind fashion, we randomly assigned 1133 patients to placebo and 1156 patients to treatment with carvedilol for a mean period of 10.4 months, during which standard therapy for heart failure was continued. Patients who required intensive care, had marked fluid retention, or were receiving intravenous vasodilators or positive inotropic drugs were excluded. RESULTS There were 190 deaths in the placebo group and 130 deaths in the carvedilol group. This difference reflected a 35 percent decrease in the risk of death with carvedilol (95 percent confidence interval, 19 to 48 percent; P=0.00013, unadjusted; P=0.0014, adjusted for interim analyses). A total of 507 patients died or were hospitalized in the placebo group, as compared with 425 in the carvedilol group. This difference reflected a 24 percent decrease in the combined risk of death or hospitalization with carvedilol (95 percent confidence interval, 13 to 33 percent; P&lt;0.001). The favorable effects on both end points were seen consistently in all the subgroups we examined, including patients with a history of recent or recurrent cardiac decompensation. Fewer patients in the carvedilol group than in the placebo group withdrew because of adverse effects or for other reasons (P=0.02). CONCLUSIONS The previously reported benefits of carvedilol with regard to morbidity and mortality in patients with mild-to-moderate heart failure were also apparent in the patients with severe heart failure who were evaluated in this trial.", "author" : [ { "dropping-particle" : "", "family" : "Packer", "given" : "Milton", "non-dropping-particle" : "", "parse-names" : false, "suffix" : "" }, { "dropping-particle" : "", "family" : "Coats", "given" : "Andrew J.S.", "non-dropping-particle" : "", "parse-names" : false, "suffix" : "" }, { "dropping-particle" : "", "family" : "Fowler", "given" : "Michael B.", "non-dropping-particle" : "", "parse-names" : false, "suffix" : "" }, { "dropping-particle" : "", "family" : "Katus", "given" : "Hugo A.", "non-dropping-particle" : "", "parse-names" : false, "suffix" : "" }, { "dropping-particle" : "", "family" : "Krum", "given" : "Henry", "non-dropping-particle" : "", "parse-names" : false, "suffix" : "" }, { "dropping-particle" : "", "family" : "Mohacsi", "given" : "Paul", "non-dropping-particle" : "", "parse-names" : false, "suffix" : "" }, { "dropping-particle" : "", "family" : "Rouleau", "given" : "Jean L.", "non-dropping-particle" : "", "parse-names" : false, "suffix" : "" }, { "dropping-particle" : "", "family" : "Tendera", "given" : "Michal", "non-dropping-particle" : "", "parse-names" : false, "suffix" : "" }, { "dropping-particle" : "", "family" : "Castaigne", "given" : "Alain", "non-dropping-particle" : "", "parse-names" : false, "suffix" : "" }, { "dropping-particle" : "", "family" : "Roecker", "given" : "Ellen B.", "non-dropping-particle" : "", "parse-names" : false, "suffix" : "" }, { "dropping-particle" : "", "family" : "Schultz", "given" : "Melissa K.", "non-dropping-particle" : "", "parse-names" : false, "suffix" : "" }, { "dropping-particle" : "", "family" : "DeMets", "given" : "David L.", "non-dropping-particle" : "", "parse-names" : false, "suffix" : "" }, { "dropping-particle" : "", "family" : "Carvedilol Prospective Randomized Cumulative Survival Study Group", "given" : "", "non-dropping-particle" : "", "parse-names" : false, "suffix" : "" } ], "container-title" : "The New England journal of medicine", "id" : "ITEM-6", "issue" : "22", "issued" : { "date-parts" : [ [ "2001", "5", "31" ] ] }, "page" : "1651-8", "title" : "Effect of carvedilol on survival in severe chronic heart failure.", "type" : "article-journal", "volume" : "344" }, "uris" : [ "http://www.mendeley.com/documents/?uuid=029522b9-a6cd-4dc2-ab75-87185481df75" ] }, { "id" : "ITEM-7", "itemData" : { "DOI" : "10.1016/S0140-6736(03)13800-7", "ISBN" : "1468-201X (Electronic)\\n1355-6037 (Linking)", "ISSN" : "1474-547X", "PMID" : "12853193", "abstract" : "BACKGROUND Beta blockers reduce mortality in patients who have chronic heart failure, systolic dysfunction, and are on background treatment with diuretics and angiotensin-converting enzyme inhibitors. We aimed to compare the effects of carvedilol and metoprolol on clinical outcome. METHODS In a multicentre, double-blind, and randomised parallel group trial, we assigned 1511 patients with chronic heart failure to treatment with carvedilol (target dose 25 mg twice daily) and 1518 to metoprolol (metoprolol tartrate, target dose 50 mg twice daily). Patients were required to have chronic heart failure (NYHA II-IV), previous admission for a cardiovascular reason, an ejection fraction of less than 0.35, and to have been treated optimally with diuretics and angiotensin-converting enzyme inhibitors unless not tolerated. The primary endpoints were all-cause mortality and the composite endpoint of all-cause mortality or all-cause admission. Analysis was done by intention to treat. FINDINGS The mean study duration was 58 months (SD 6). The mean ejection fraction was 0.26 (0.07) and the mean age 62 years (11). The all-cause mortality was 34% (512 of 1511) for carvedilol and 40% (600 of 1518) for metoprolol (hazard ratio 0.83 [95% CI 0.74-0.93], p=0.0017). The reduction of all-cause mortality was consistent across predefined subgroups. The composite endpoint of mortality or all-cause admission occurred in 1116 (74%) of 1511 on carvedilol and in 1160 (76%) of 1518 on metoprolol (0.94 [0.86-1.02], p=0.122). Incidence of side-effects and drug withdrawals did not differ by much between the two study groups. INTERPRETATION Our results suggest that carvedilol extends survival compared with metoprolol.", "author" : [ { "dropping-particle" : "", "family" : "Poole-Wilson", "given" : "Philip a", "non-dropping-particle" : "", "parse-names" : false, "suffix" : "" }, { "dropping-particle" : "", "family" : "Swedberg", "given" : "Karl", "non-dropping-particle" : "", "parse-names" : false, "suffix" : "" }, { "dropping-particle" : "", "family" : "Cleland", "given" : "John G F", "non-dropping-particle" : "", "parse-names" : false, "suffix" : "" }, { "dropping-particle" : "", "family" : "Lenarda", "given" : "Andrea", "non-dropping-particle" : "Di", "parse-names" : false, "suffix" : "" }, { "dropping-particle" : "", "family" : "Hanrath", "given" : "Peter", "non-dropping-particle" : "", "parse-names" : false, "suffix" : "" }, { "dropping-particle" : "", "family" : "Komajda", "given" : "Michel", "non-dropping-particle" : "", "parse-names" : false, "suffix" : "" }, { "dropping-particle" : "", "family" : "Lubsen", "given" : "Jacobus", "non-dropping-particle" : "", "parse-names" : false, "suffix" : "" }, { "dropping-particle" : "", "family" : "Lutiger", "given" : "Beatrix", "non-dropping-particle" : "", "parse-names" : false, "suffix" : "" }, { "dropping-particle" : "", "family" : "Metra", "given" : "Marco", "non-dropping-particle" : "", "parse-names" : false, "suffix" : "" }, { "dropping-particle" : "", "family" : "Remme", "given" : "Willem J", "non-dropping-particle" : "", "parse-names" : false, "suffix" : "" }, { "dropping-particle" : "", "family" : "Torp-Pedersen", "given" : "Christian", "non-dropping-particle" : "", "parse-names" : false, "suffix" : "" }, { "dropping-particle" : "", "family" : "Scherhag", "given" : "Armin", "non-dropping-particle" : "", "parse-names" : false, "suffix" : "" }, { "dropping-particle" : "", "family" : "Skene", "given" : "Allan", "non-dropping-particle" : "", "parse-names" : false, "suffix" : "" }, { "dropping-particle" : "", "family" : "Carvedilol Or Metoprolol European Trial Investigators", "given" : "", "non-dropping-particle" : "", "parse-names" : false, "suffix" : "" } ], "container-title" : "Lancet (London, England)", "id" : "ITEM-7", "issue" : "9377", "issued" : { "date-parts" : [ [ "2003", "7", "5" ] ] }, "page" : "7-13", "title" : "Comparison of carvedilol and metoprolol on clinical outcomes in patients with chronic heart failure in the Carvedilol Or Metoprolol European Trial (COMET): randomised controlled trial.", "type" : "article-journal", "volume" : "362" }, "uris" : [ "http://www.mendeley.com/documents/?uuid=fd1b8368-164b-487d-9619-dc7436776d4a" ] }, { "id" : "ITEM-8", "itemData" : { "DOI" : "10.1093/eurheartj/ehi115", "ISBN" : "0195-668X", "ISSN" : "0195-668X", "PMID" : "15642700", "abstract" : "AIMS Large randomized trials have shown that beta-blockers reduce mortality and hospital admissions in patients with heart failure. The effects of beta-blockers in elderly patients with a broad range of left ventricular ejection fraction are uncertain. The SENIORS study was performed to assess effects of the beta-blocker, nebivolol, in patients &gt;/=70 years, regardless of ejection fraction. METHODS AND RESULTS We randomly assigned 2128 patients aged &gt;/=70 years with a history of heart failure (hospital admission for heart failure within the previous year or known ejection fraction &lt;/=35%), 1067 to nebivolol (titrated from 1.25 mg once daily to 10 mg once daily), and 1061 to placebo. The primary outcome was a composite of all cause mortality or cardiovascular hospital admission (time to first event). Analysis was by intention to treat. Mean duration of follow-up was 21 months. Mean age was 76 years (SD 4.7), 37% were female, mean ejection fraction was 36% (with 35% having ejection fraction &gt;35%), and 68% had a prior history of coronary heart disease. The mean maintenance dose of nebivolol was 7.7 mg and of placebo 8.5 mg. The primary outcome occurred in 332 patients (31.1%) on nebivolol compared with 375 (35.3%) on placebo [hazard ratio (HR) 0.86, 95% CI 0.74-0.99; P=0.039]. There was no significant influence of age, gender, or ejection fraction on the effect of nebivolol on the primary outcome. Death (all causes) occurred in 169 (15.8%) on nebivolol and 192 (18.1%) on placebo (HR 0.88, 95% CI 0.71-1.08; P=0.21). CONCLUSION Nebivolol, a beta-blocker with vasodilating properties, is an effective and well-tolerated treatment for heart failure in the elderly.", "author" : [ { "dropping-particle" : "", "family" : "Flather", "given" : "Marcus D", "non-dropping-particle" : "", "parse-names" : false, "suffix" : "" }, { "dropping-particle" : "", "family" : "Shibata", "given" : "Marcelo C", "non-dropping-particle" : "", "parse-names" : false, "suffix" : "" }, { "dropping-particle" : "", "family" : "Coats", "given" : "Andrew J S", "non-dropping-particle" : "", "parse-names" : false, "suffix" : "" }, { "dropping-particle" : "", "family" : "Veldhuisen", "given" : "Dirk J", "non-dropping-particle" : "Van", "parse-names" : false, "suffix" : "" }, { "dropping-particle" : "", "family" : "Parkhomenko", "given" : "Aleksandr", "non-dropping-particle" : "", "parse-names" : false, "suffix" : "" }, { "dropping-particle" : "", "family" : "Borbola", "given" : "Joszef", "non-dropping-particle" : "", "parse-names" : false, "suffix" : "" }, { "dropping-particle" : "", "family" : "Cohen-Solal", "given" : "Alain", "non-dropping-particle" : "", "parse-names" : false, "suffix" : "" }, { "dropping-particle" : "", "family" : "Dumitrascu", "given" : "Dan", "non-dropping-particle" : "", "parse-names" : false, "suffix" : "" }, { "dropping-particle" : "", "family" : "Ferrari", "given" : "Roberto", "non-dropping-particle" : "", "parse-names" : false, "suffix" : "" }, { "dropping-particle" : "", "family" : "Lechat", "given" : "Philippe", "non-dropping-particle" : "", "parse-names" : false, "suffix" : "" }, { "dropping-particle" : "", "family" : "Soler-Soler", "given" : "Jordi", "non-dropping-particle" : "", "parse-names" : false, "suffix" : "" }, { "dropping-particle" : "", "family" : "Tavazzi", "given" : "Luigi", "non-dropping-particle" : "", "parse-names" : false, "suffix" : "" }, { "dropping-particle" : "", "family" : "Spinarova", "given" : "Lenka", "non-dropping-particle" : "", "parse-names" : false, "suffix" : "" }, { "dropping-particle" : "", "family" : "Toman", "given" : "Jiri", "non-dropping-particle" : "", "parse-names" : false, "suffix" : "" }, { "dropping-particle" : "", "family" : "B\u00f6hm", "given" : "Michael", "non-dropping-particle" : "", "parse-names" : false, "suffix" : "" }, { "dropping-particle" : "", "family" : "Anker", "given" : "Stefan D", "non-dropping-particle" : "", "parse-names" : false, "suffix" : "" }, { "dropping-particle" : "", "family" : "Thompson", "given" : "Simon G", "non-dropping-particle" : "", "parse-names" : false, "suffix" : "" }, { "dropping-particle" : "", "family" : "Poole-Wilson", "given" : "Philip A", "non-dropping-particle" : "", "parse-names" : false, "suffix" : "" }, { "dropping-particle" : "", "family" : "SENIORS Investigators", "given" : "", "non-dropping-particle" : "", "parse-names" : false, "suffix" : "" } ], "container-title" : "European heart journal", "id" : "ITEM-8", "issue" : "3", "issued" : { "date-parts" : [ [ "2005", "2", "1" ] ] }, "page" : "215-25", "title" : "Randomized trial to determine the effect of nebivolol on mortality and cardiovascular hospital admission in elderly patients with heart failure (SENIORS).", "type" : "article-journal", "volume" : "26" }, "uris" : [ "http://www.mendeley.com/documents/?uuid=b2ef0c8d-6eb2-4b16-b430-417a9bc3355a" ] } ], "mendeley" : { "formattedCitation" : "(1\u20138)", "plainTextFormattedCitation" : "(1\u20138)", "previouslyFormattedCitation" : "(1\u20138)" }, "properties" : { "noteIndex" : 0 }, "schema" : "https://github.com/citation-style-language/schema/raw/master/csl-citation.json" }</w:instrText>
      </w:r>
      <w:r w:rsidR="00025C98" w:rsidRPr="00071C5B">
        <w:rPr>
          <w:color w:val="000000" w:themeColor="text1"/>
          <w:lang w:val="en-GB"/>
        </w:rPr>
        <w:fldChar w:fldCharType="separate"/>
      </w:r>
      <w:r w:rsidR="00C374CD" w:rsidRPr="00071C5B">
        <w:rPr>
          <w:noProof/>
          <w:color w:val="000000" w:themeColor="text1"/>
          <w:lang w:val="en-GB"/>
        </w:rPr>
        <w:t>(1–8)</w:t>
      </w:r>
      <w:r w:rsidR="00025C98" w:rsidRPr="00071C5B">
        <w:rPr>
          <w:color w:val="000000" w:themeColor="text1"/>
          <w:lang w:val="en-GB"/>
        </w:rPr>
        <w:fldChar w:fldCharType="end"/>
      </w:r>
      <w:r w:rsidR="00025C98" w:rsidRPr="00071C5B">
        <w:rPr>
          <w:color w:val="000000" w:themeColor="text1"/>
          <w:lang w:val="en-GB"/>
        </w:rPr>
        <w:t>. In large randomized clinical trials</w:t>
      </w:r>
      <w:r w:rsidR="00BA6C69" w:rsidRPr="00071C5B">
        <w:rPr>
          <w:color w:val="000000" w:themeColor="text1"/>
          <w:lang w:val="en-GB"/>
        </w:rPr>
        <w:t>,</w:t>
      </w:r>
      <w:r w:rsidR="00025C98" w:rsidRPr="00071C5B">
        <w:rPr>
          <w:color w:val="000000" w:themeColor="text1"/>
          <w:lang w:val="en-GB"/>
        </w:rPr>
        <w:t xml:space="preserve"> treatment dose</w:t>
      </w:r>
      <w:r w:rsidR="00BA6C69" w:rsidRPr="00071C5B">
        <w:rPr>
          <w:color w:val="000000" w:themeColor="text1"/>
          <w:lang w:val="en-GB"/>
        </w:rPr>
        <w:t>s</w:t>
      </w:r>
      <w:r w:rsidR="00025C98" w:rsidRPr="00071C5B">
        <w:rPr>
          <w:color w:val="000000" w:themeColor="text1"/>
          <w:lang w:val="en-GB"/>
        </w:rPr>
        <w:t xml:space="preserve"> w</w:t>
      </w:r>
      <w:r w:rsidR="00BA6C69" w:rsidRPr="00071C5B">
        <w:rPr>
          <w:color w:val="000000" w:themeColor="text1"/>
          <w:lang w:val="en-GB"/>
        </w:rPr>
        <w:t>ere</w:t>
      </w:r>
      <w:r w:rsidR="00025C98" w:rsidRPr="00071C5B">
        <w:rPr>
          <w:color w:val="000000" w:themeColor="text1"/>
          <w:lang w:val="en-GB"/>
        </w:rPr>
        <w:t xml:space="preserve"> up-titrated to pre-specified doses, </w:t>
      </w:r>
      <w:r w:rsidR="009153BE" w:rsidRPr="00071C5B">
        <w:rPr>
          <w:color w:val="000000" w:themeColor="text1"/>
          <w:lang w:val="en-GB"/>
        </w:rPr>
        <w:t xml:space="preserve">which have become the guideline-recommended doses. </w:t>
      </w:r>
      <w:r w:rsidR="00025C98" w:rsidRPr="00071C5B">
        <w:rPr>
          <w:color w:val="000000" w:themeColor="text1"/>
          <w:lang w:val="en-GB"/>
        </w:rPr>
        <w:fldChar w:fldCharType="begin" w:fldLock="1"/>
      </w:r>
      <w:r w:rsidR="00A032C6">
        <w:rPr>
          <w:color w:val="000000" w:themeColor="text1"/>
          <w:lang w:val="en-GB"/>
        </w:rPr>
        <w:instrText>ADDIN CSL_CITATION { "citationItems" : [ { "id" : "ITEM-1", "itemData" : { "DOI" : "10.1093/eurheartj/ehn309", "ISSN" : "1522-9645", "PMID" : "18799522", "author" : [ { "dropping-particle" : "", "family" : "Dickstein", "given" : "Kenneth", "non-dropping-particle" : "", "parse-names" : false, "suffix" : "" }, { "dropping-particle" : "", "family" : "Cohen-Solal", "given" : "Alain", "non-dropping-particle" : "", "parse-names" : false, "suffix" : "" }, { "dropping-particle" : "", "family" : "Filippatos", "given" : "Gerasimos", "non-dropping-particle" : "", "parse-names" : false, "suffix" : "" }, { "dropping-particle" : "V", "family" : "McMurray", "given" : "John J", "non-dropping-particle" : "", "parse-names" : false, "suffix" : "" }, { "dropping-particle" : "", "family" : "Ponikowski", "given" : "Piotr", "non-dropping-particle" : "", "parse-names" : false, "suffix" : "" }, { "dropping-particle" : "", "family" : "Poole-Wilson", "given" : "Philip Alexander", "non-dropping-particle" : "", "parse-names" : false, "suffix" : "" }, { "dropping-particle" : "", "family" : "Str\u00f6mberg", "given" : "Anna", "non-dropping-particle" : "", "parse-names" : false, "suffix" : "" }, { "dropping-particle" : "", "family" : "Veldhuisen", "given" : "Dirk J", "non-dropping-particle" : "van", "parse-names" : false, "suffix" : "" }, { "dropping-particle" : "", "family" : "Atar", "given" : "Dan", "non-dropping-particle" : "", "parse-names" : false, "suffix" : "" }, { "dropping-particle" : "", "family" : "Hoes", "given" : "Arno W", "non-dropping-particle" : "", "parse-names" : false, "suffix" : "" }, { "dropping-particle" : "", "family" : "Keren", "given" : "Andre", "non-dropping-particle" : "", "parse-names" : false, "suffix" : "" }, { "dropping-particle" : "", "family" : "Mebazaa", "given" : "Alexandre", "non-dropping-particle" : "", "parse-names" : false, "suffix" : "" }, { "dropping-particle" : "", "family" : "Nieminen", "given" : "Markku", "non-dropping-particle" : "", "parse-names" : false, "suffix" : "" }, { "dropping-particle" : "", "family" : "Priori", "given" : "Silvia Giuliana", "non-dropping-particle" : "", "parse-names" : false, "suffix" : "" }, { "dropping-particle" : "", "family" : "Swedberg", "given" : "Karl", "non-dropping-particle" : "", "parse-names" : false, "suffix" : "" }, { "dropping-particle" : "", "family" : "ESC Committee for Practice Guidelines (CPG)", "given" : "", "non-dropping-particle" : "", "parse-names" : false, "suffix" : "" } ], "container-title" : "European heart journal", "id" : "ITEM-1", "issue" : "19", "issued" : { "date-parts" : [ [ "2008", "10", "1" ] ] }, "page" : "2388-442", "title" : "ESC Guidelines for the diagnosis and treatment of acute and chronic heart failure 2008: the Task Force for the Diagnosis and Treatment of Acute and Chronic Heart Failure 2008 of the European Society of Cardiology. Developed in collaboration with the Heart", "type" : "article-journal", "volume" : "29" }, "uris" : [ "http://www.mendeley.com/documents/?uuid=66357fde-93a9-4fac-ac3b-6e977b367958" ] }, { "id" : "ITEM-2", "itemData" : { "DOI" : "10.1093/eurjhf/hfs105", "ISSN" : "1879-0844", "PMID" : "22828712", "author" : [ { "dropping-particle" : "V", "family" : "McMurray", "given" : "John J", "non-dropping-particle" : "", "parse-names" : false, "suffix" : "" }, { "dropping-particle" : "", "family" : "Adamopoulos", "given" : "Stamatis", "non-dropping-particle" : "", "parse-names" : false, "suffix" : "" }, { "dropping-particle" : "", "family" : "Anker", "given" : "Stefan D", "non-dropping-particle" : "", "parse-names" : false, "suffix" : "" }, { "dropping-particle" : "", "family" : "Auricchio", "given" : "Angelo", "non-dropping-particle" : "", "parse-names" : false, "suffix" : "" }, { "dropping-particle" : "", "family" : "B\u00f6hm", "given" : "Michael", "non-dropping-particle" : "", "parse-names" : false, "suffix" : "" }, { "dropping-particle" : "", "family" : "Dickstein", "given" : "Kenneth", "non-dropping-particle" : "", "parse-names" : false, "suffix" : "" }, { "dropping-particle" : "", "family" : "Falk", "given" : "Volkmar", "non-dropping-particle" : "", "parse-names" : false, "suffix" : "" }, { "dropping-particle" : "", "family" : "Filippatos", "given" : "Gerasimos", "non-dropping-particle" : "", "parse-names" : false, "suffix" : "" }, { "dropping-particle" : "", "family" : "Fonseca", "given" : "C\u00e2ndida", "non-dropping-particle" : "", "parse-names" : false, "suffix" : "" }, { "dropping-particle" : "", "family" : "Gomez-Sanchez", "given" : "Miguel Angel", "non-dropping-particle" : "", "parse-names" : false, "suffix" : "" }, { "dropping-particle" : "", "family" : "Jaarsma", "given" : "Tiny", "non-dropping-particle" : "", "parse-names" : false, "suffix" : "" }, { "dropping-particle" : "", "family" : "K\u00f8ber", "given" : "Lars", "non-dropping-particle" : "", "parse-names" : false, "suffix" : "" }, { "dropping-particle" : "", "family" : "Lip", "given" : "Gregory Y H", "non-dropping-particle" : "", "parse-names" : false, "suffix" : "" }, { "dropping-particle" : "Pietro", "family" : "Maggioni", "given" : "Aldo", "non-dropping-particle" : "", "parse-names" : false, "suffix" : "" }, { "dropping-particle" : "", "family" : "Parkhomenko", "given" : "Alexander", "non-dropping-particle" : "", "parse-names" : false, "suffix" : "" }, { "dropping-particle" : "", "family" : "Pieske", "given" : "Burkert M", "non-dropping-particle" : "", "parse-names" : false, "suffix" : "" }, { "dropping-particle" : "", "family" : "Popescu", "given" : "Bogdan a", "non-dropping-particle" : "", "parse-names" : false, "suffix" : "" }, { "dropping-particle" : "", "family" : "R\u00f8nnevik", "given" : "Per K", "non-dropping-particle" : "", "parse-names" : false, "suffix" : "" }, { "dropping-particle" : "", "family" : "Rutten", "given" : "Frans H", "non-dropping-particle" : "", "parse-names" : false, "suffix" : "" }, { "dropping-particle" : "", "family" : "Schwitter", "given" : "Juerg", "non-dropping-particle" : "", "parse-names" : false, "suffix" : "" }, { "dropping-particle" : "", "family" : "Seferovic", "given" : "Petar", "non-dropping-particle" : "", "parse-names" : false, "suffix" : "" }, { "dropping-particle" : "", "family" : "Stepinska", "given" : "Janina", "non-dropping-particle" : "", "parse-names" : false, "suffix" : "" }, { "dropping-particle" : "", "family" : "Trindade", "given" : "Pedro T", "non-dropping-particle" : "", "parse-names" : false, "suffix" : "" }, { "dropping-particle" : "", "family" : "Voors", "given" : "Adriaan a", "non-dropping-particle" : "", "parse-names" : false, "suffix" : "" }, { "dropping-particle" : "", "family" : "Zannad", "given" : "Faiez", "non-dropping-particle" : "", "parse-names" : false, "suffix" : "" }, { "dropping-particle" : "", "family" : "Zeiher", "given" : "Andreas", "non-dropping-particle" : "", "parse-names" : false, "suffix" : "" }, { "dropping-particle" : "", "family" : "Task Force for the Diagnosis and Treatment of Acute and Chronic Heart Failure 2012 of the European Society of Cardiology", "given" : "", "non-dropping-particle" : "", "parse-names" : false, "suffix" : "" }, { "dropping-particle" : "", "family" : "Bax", "given" : "Jeroen J",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"Tendera", "given" : "Michal",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"McDonagh", "given" : "Theresa", "non-dropping-particle" : "", "parse-names" : false, "suffix" : "" }, { "dropping-particle" : "", "family" : "Sechtem", "given" : "Udo", "non-dropping-particle" : "", "parse-names" : false, "suffix" : "" }, { "dropping-particle" : "", "family" : "Bonet", "given" : "Luis Almenar", "non-dropping-particle" : "", "parse-names" : false, "suffix" : "" }, { "dropping-particle" : "", "family" : "Avraamides", "given" : "Panayiotis", "non-dropping-particle" : "", "parse-names" : false, "suffix" : "" }, { "dropping-particle" : "", "family" : "Lamin", "given" : "Hisham a", "non-dropping-particle" : "Ben", "parse-names" : false, "suffix" : "" }, { "dropping-particle" : "", "family" : "Brignole", "given" : "Michele", "non-dropping-particle" : "", "parse-names" : false, "suffix" : "" }, { "dropping-particle" : "", "family" : "Coca", "given" : "Antonio", "non-dropping-particle" : "", "parse-names" : false, "suffix" : "" }, { "dropping-particle" : "", "family" : "Cowburn", "given" : "Peter", "non-dropping-particle" : "", "parse-names" : false, "suffix" : "" }, { "dropping-particle" : "", "family" : "Dargie", "given" : "Henry", "non-dropping-particle" : "", "parse-names" : false, "suffix" : "" }, { "dropping-particle" : "", "family" : "Elliott", "given" : "Perry", "non-dropping-particle" : "", "parse-names" : false, "suffix" : "" }, { "dropping-particle" : "", "family" : "Flachskampf", "given" : "Frank Arnold", "non-dropping-particle" : "", "parse-names" : false, "suffix" : "" }, { "dropping-particle" : "", "family" : "Guida", "given" : "Guido Francesco", "non-dropping-particle" : "", "parse-names" : false, "suffix" : "" }, { "dropping-particle" : "", "family" : "Hardman", "given" : "Suzanna", "non-dropping-particle" : "", "parse-names" : false, "suffix" : "" }, { "dropping-particle" : "", "family" : "Iung", "given" : "Bernard", "non-dropping-particle" : "", "parse-names" : false, "suffix" : "" }, { "dropping-particle" : "", "family" : "Merkely", "given" : "Bela", "non-dropping-particle" : "", "parse-names" : false, "suffix" : "" }, { "dropping-particle" : "", "family" : "Mueller", "given" : "Christian", "non-dropping-particle" : "", "parse-names" : false, "suffix" : "" }, { "dropping-particle" : "", "family" : "Nanas", "given" : "John N", "non-dropping-particle" : "", "parse-names" : false, "suffix" : "" }, { "dropping-particle" : "", "family" : "Nielsen", "given" : "Olav Wendelboe", "non-dropping-particle" : "", "parse-names" : false, "suffix" : "" }, { "dropping-particle" : "", "family" : "Orn", "given" : "Stein", "non-dropping-particle" : "", "parse-names" : false, "suffix" : "" }, { "dropping-particle" : "", "family" : "Parissis", "given" : "John T", "non-dropping-particle" : "", "parse-names" : false, "suffix" : "" }, { "dropping-particle" : "", "family" : "Ponikowski", "given" : "Piotr", "non-dropping-particle" : "", "parse-names" : false, "suffix" : "" }, { "dropping-particle" : "", "family" : "ESC Committee for Practice Guidelines", "given" : "", "non-dropping-particle" : "", "parse-names" : false, "suffix" : "" } ], "container-title" : "European journal of heart failure", "id" : "ITEM-2", "issue" : "8", "issued" : { "date-parts" : [ [ "2012", "8" ] ] }, "page" : "803-69", "title" : "ESC guidelines for the diagnosis and treatment of acute and chronic heart failure 2012: The Task Force for the Diagnosis and Treatment of Acute and Chronic Heart Failure 2012 of the European Society of Cardiology. Developed in collaboration with the Heart", "type" : "article-journal", "volume" : "14" }, "uris" : [ "http://www.mendeley.com/documents/?uuid=127cc366-5d5d-4141-9aaf-dadce2574fb0" ] }, { "id" : "ITEM-3", "itemData" : { "DOI" : "10.1002/ejhf.592", "ISSN" : "1879-0844", "PMID" : "27207191", "author" : [ { "dropping-particle" : "", "family" : "Ponikowski", "given" : "Piotr", "non-dropping-particle" : "", "parse-names" : false, "suffix" : "" }, { "dropping-particle" : "", "family" : "Voors", "given" : "Adriaan A", "non-dropping-particle" : "", "parse-names" : false, "suffix" : "" }, { "dropping-particle" : "", "family" : "Anker", "given" : "Stefan D", "non-dropping-particle" : "", "parse-names" : false, "suffix" : "" }, { "dropping-particle" : "", "family" : "Bueno", "given" : "H\u00e9ctor", "non-dropping-particle" : "", "parse-names" : false, "suffix" : "" }, { "dropping-particle" : "", "family" : "Cleland", "given" : "John G F", "non-dropping-particle" : "", "parse-names" : false, "suffix" : "" }, { "dropping-particle" : "", "family" : "Coats", "given" : "Andrew J S", "non-dropping-particle" : "", "parse-names" : false, "suffix" : "" }, { "dropping-particle" : "", "family" : "Falk", "given" : "Volkmar", "non-dropping-particle" : "", "parse-names" : false, "suffix" : "" }, { "dropping-particle" : "", "family" : "Gonz\u00e1lez-Juanatey", "given" : "Jos\u00e9 Ram\u00f3n", "non-dropping-particle" : "", "parse-names" : false, "suffix" : "" }, { "dropping-particle" : "", "family" : "Harjola", "given" : "Veli-Pekka", "non-dropping-particle" : "", "parse-names" : false, "suffix" : "" }, { "dropping-particle" : "", "family" : "Jankowska", "given" : "Ewa A", "non-dropping-particle" : "", "parse-names" : false, "suffix" : "" }, { "dropping-particle" : "", "family" : "Jessup", "given" : "Mariell", "non-dropping-particle" : "", "parse-names" : false, "suffix" : "" }, { "dropping-particle" : "", "family" : "Linde", "given" : "Cecilia", "non-dropping-particle" : "", "parse-names" : false, "suffix" : "" }, { "dropping-particle" : "", "family" : "Nihoyannopoulos", "given" : "Petros", "non-dropping-particle" : "", "parse-names" : false, "suffix" : "" }, { "dropping-particle" : "", "family" : "Parissis", "given" : "John T", "non-dropping-particle" : "", "parse-names" : false, "suffix" : "" }, { "dropping-particle" : "", "family" : "Pieske", "given" : "Burkert", "non-dropping-particle" : "", "parse-names" : false, "suffix" : "" }, { "dropping-particle" : "", "family" : "Riley", "given" : "Jillian P", "non-dropping-particle" : "", "parse-names" : false, "suffix" : "" }, { "dropping-particle" : "", "family" : "Rosano", "given" : "Giuseppe M C", "non-dropping-particle" : "", "parse-names" : false, "suffix" : "" }, { "dropping-particle" : "", "family" : "Ruilope", "given" : "Luis M", "non-dropping-particle" : "", "parse-names" : false, "suffix" : "" }, { "dropping-particle" : "", "family" : "Ruschitzka", "given" : "Frank", "non-dropping-particle" : "", "parse-names" : false, "suffix" : "" }, { "dropping-particle" : "", "family" : "Rutten", "given" : "Frans H", "non-dropping-particle" : "", "parse-names" : false, "suffix" : "" }, { "dropping-particle" : "", "family" : "Meer", "given" : "Peter", "non-dropping-particle" : "van der", "parse-names" : false, "suffix" : "" }, { "dropping-particle" : "", "family" : "Authors/Task Force Members", "given" : "", "non-dropping-particle" : "", "parse-names" : false, "suffix" : "" }, { "dropping-particle" : "", "family" : "Document Reviewers", "given" : "", "non-dropping-particle" : "", "parse-names" : false, "suffix" : "" } ], "container-title" : "European journal of heart failure", "id" : "ITEM-3", "issue" : "8", "issued" : { "date-parts" : [ [ "2016", "8", "20" ] ] }, "page" : "891-975", "title" : "2016 ESC Guidelines for the diagnosis and treatment of acute and chronic heart failure: The Task Force for the diagnosis and treatment of acute and chronic heart failure of the European Society of Cardiology (ESC). Developed with the special contribution", "type" : "article-journal", "volume" : "18" }, "uris" : [ "http://www.mendeley.com/documents/?uuid=b52716cf-f7ad-4c20-84c1-bf81fa7ae1a7" ] }, { "id" : "ITEM-4", "itemData" : { "abstract" : "Background and Methods Aldosterone is important in the pathophysiology of heart failure. In a double- blind study, we enrolled 1663 patients who had se- vere heart failure and a left ventricular ejection frac- tion of no more than 35 percent and who were being treated with an angiotensin-converting\u2013enzyme inhib- itor, a loop diuretic, and in most cases digoxin. A total of 822 patients were randomly assigned to receive 25 mg of spironolactone daily, and 841 to receive place- bo. The primary end point was death from all causes. Results The trial was discontinued early, after a mean follow-up period of 24 months, because an in- terim analysis determined that spironolactone was efficacious. There were 386 deaths in the placebo group (46 percent) and 284 in the spironolactone group (35 percent; relative risk of death, 0.70; 95 per- cent confidence interval, 0.60 to 0.82; P&lt;0.001). This 30 percent reduction in the risk of death among pa- tients in the spironolactone group was attributed to a lower risk of both death from progressive heart failure and sudden death from cardiac causes. The frequency of hospitalization for worsening heart failure was 35 percent lower in the spironolactone group than in the placebo group (relative risk of hos- pitalization, 0.65; 95 percent confidence interval, 0.54 to 0.77; P&lt;0.001). In addition, patients who received spironolactone had a significant improvement in the symptoms of heart failure, as assessed on the basis of the New York Heart Association functional class (P&lt;0.001). Gynecomastia or breast pain was reported in 10 percent of men who were treated with spirono- lactone, as compared with 1 percent of men in the placebo group (P&lt;0.001). The incidence of serious hyperkalemia was minimal in both groups of patients. Conclusions Blockade of aldosterone receptors by spironolactone, in addition to standard therapy, substantially reduces the risk of both morbidity and death among patients with severe heart failure. (N Engl J Med 1999:341:709-17.)", "author" : [ { "dropping-particle" : "", "family" : "Pitt", "given" : "Bertran", "non-dropping-particle" : "", "parse-names" : false, "suffix" : "" }, { "dropping-particle" : "", "family" : "Zannad", "given" : "Faiez", "non-dropping-particle" : "", "parse-names" : false, "suffix" : "" }, { "dropping-particle" : "", "family" : "Remme", "given" : "Willem J.", "non-dropping-particle" : "", "parse-names" : false, "suffix" : "" }, { "dropping-particle" : "", "family" : "Cody", "given" : "Robert", "non-dropping-particle" : "", "parse-names" : false, "suffix" : "" }, { "dropping-particle" : "", "family" : "Castaigne", "given" : "Alain", "non-dropping-particle" : "", "parse-names" : false, "suffix" : "" }, { "dropping-particle" : "", "family" : "Perez", "given" : "Alfonso", "non-dropping-particle" : "", "parse-names" : false, "suffix" : "" }, { "dropping-particle" : "", "family" : "Palensky", "given" : "Jolie", "non-dropping-particle" : "", "parse-names" : false, "suffix" : "" }, { "dropping-particle" : "", "family" : "Wittes", "given" : "Janet", "non-dropping-particle" : "", "parse-names" : false, "suffix" : "" } ], "container-title" : "The New England journal of medicine", "id" : "ITEM-4", "issue" : "10", "issued" : { "date-parts" : [ [ "1999" ] ] }, "page" : "709-717", "title" : "The effect of spironolactone on morbidity and mortality in patients with severe heart failure", "type" : "article-journal", "volume" : "341" }, "uris" : [ "http://www.mendeley.com/documents/?uuid=99edc796-7623-4063-815f-13336e1ef25d" ] } ], "mendeley" : { "formattedCitation" : "(9\u201312)", "plainTextFormattedCitation" : "(9\u201312)", "previouslyFormattedCitation" : "(9\u201312)" }, "properties" : { "noteIndex" : 0 }, "schema" : "https://github.com/citation-style-language/schema/raw/master/csl-citation.json" }</w:instrText>
      </w:r>
      <w:r w:rsidR="00025C98" w:rsidRPr="00071C5B">
        <w:rPr>
          <w:color w:val="000000" w:themeColor="text1"/>
          <w:lang w:val="en-GB"/>
        </w:rPr>
        <w:fldChar w:fldCharType="separate"/>
      </w:r>
      <w:r w:rsidR="00A032C6" w:rsidRPr="00A032C6">
        <w:rPr>
          <w:noProof/>
          <w:color w:val="000000" w:themeColor="text1"/>
          <w:lang w:val="en-GB"/>
        </w:rPr>
        <w:t>(9–12)</w:t>
      </w:r>
      <w:r w:rsidR="00025C98" w:rsidRPr="00071C5B">
        <w:rPr>
          <w:color w:val="000000" w:themeColor="text1"/>
          <w:lang w:val="en-GB"/>
        </w:rPr>
        <w:fldChar w:fldCharType="end"/>
      </w:r>
      <w:r w:rsidR="00025C98" w:rsidRPr="00071C5B">
        <w:rPr>
          <w:color w:val="000000" w:themeColor="text1"/>
          <w:lang w:val="en-GB"/>
        </w:rPr>
        <w:t>. Despite these improvements and recommendations, the prognosis of pati</w:t>
      </w:r>
      <w:r w:rsidR="005A17A4" w:rsidRPr="00071C5B">
        <w:rPr>
          <w:color w:val="000000" w:themeColor="text1"/>
          <w:lang w:val="en-GB"/>
        </w:rPr>
        <w:t>ents with heart failure remains</w:t>
      </w:r>
      <w:r w:rsidR="00025C98" w:rsidRPr="00071C5B">
        <w:rPr>
          <w:color w:val="000000" w:themeColor="text1"/>
          <w:lang w:val="en-GB"/>
        </w:rPr>
        <w:t xml:space="preserve"> poor </w:t>
      </w:r>
      <w:r w:rsidR="00025C98" w:rsidRPr="00071C5B">
        <w:rPr>
          <w:color w:val="000000" w:themeColor="text1"/>
          <w:lang w:val="en-GB"/>
        </w:rPr>
        <w:fldChar w:fldCharType="begin" w:fldLock="1"/>
      </w:r>
      <w:r w:rsidR="00A032C6">
        <w:rPr>
          <w:color w:val="000000" w:themeColor="text1"/>
          <w:lang w:val="en-GB"/>
        </w:rPr>
        <w:instrText>ADDIN CSL_CITATION { "citationItems" : [ { "id" : "ITEM-1", "itemData" : { "ISSN" : "1388-9842", "PMID" : "11378002", "abstract" : "BACKGROUND The prognostic impact of heart failure relative to that of 'high-profile' disease states such as cancer, within the whole population, is unknown. METHODS All patients with a first admission to any Scottish hospital in 1991 for heart failure, myocardial infarction or the four most common types of cancer specific to men and women were identified. Five-year survival rates and associated loss of expected life-years were then compared. RESULTS In 1991, 16224 men had an initial hospitalisation for heart failure (n=3241), myocardial infarction (n=6932) or cancer of the lung, large bowel, prostate or bladder (n=6051). Similarly, 14842 women were admitted for heart failure (n=3606), myocardial infarction (n=4916), or cancer of the breast, lung, large bowel or ovary (n=6320). With the exception of lung cancer, heart failure was associated with the poorest 5-year survival rate (approximately 25% for both sexes). On an adjusted basis, heart failure was associated with worse long-term survival than bowel cancer in men (adjusted odds ratio, 0.89; 95% CI, 0.82-0.97; P&lt;0.01) and breast cancer in women (odds ratio, 0.59; 95% CI, 0.55-0.64; P&lt;0.001). The overall population rate of expected life-years lost due to heart failure in men was 6.7 years/1000 and for women 5.1 years/1000. CONCLUSION With the notable exception of lung cancer, heart failure is as 'malignant' as many common types of cancer and is associated with a comparable number of expected life-years lost.", "author" : [ { "dropping-particle" : "", "family" : "Stewart", "given" : "S", "non-dropping-particle" : "", "parse-names" : false, "suffix" : "" }, { "dropping-particle" : "", "family" : "MacIntyre", "given" : "K", "non-dropping-particle" : "", "parse-names" : false, "suffix" : "" }, { "dropping-particle" : "", "family" : "Hole", "given" : "D J", "non-dropping-particle" : "", "parse-names" : false, "suffix" : "" }, { "dropping-particle" : "", "family" : "Capewell", "given" : "S", "non-dropping-particle" : "", "parse-names" : false, "suffix" : "" }, { "dropping-particle" : "", "family" : "McMurray", "given" : "J J", "non-dropping-particle" : "", "parse-names" : false, "suffix" : "" } ], "container-title" : "European journal of heart failure", "id" : "ITEM-1", "issue" : "3", "issued" : { "date-parts" : [ [ "2001", "6" ] ] }, "page" : "315-22", "title" : "More 'malignant' than cancer? Five-year survival following a first admission for heart failure.", "type" : "article-journal", "volume" : "3" }, "uris" : [ "http://www.mendeley.com/documents/?uuid=1ec1594a-2f3d-42aa-9964-d68fd1c8ddfa" ] }, { "id" : "ITEM-2", "itemData" : { "DOI" : "10.1161/CIRCULATIONAHA.108.812172", "ISSN" : "1524-4539", "PMID" : "19153268", "abstract" : "BACKGROUND We examined whether population-level hospitalization rates for heart failure (HF) and subsequent survival have continued to improve since the turn of the century. We also examined trends in the prescribing of evidence-based pharmacological treatment for HF. METHODS AND RESULTS All patients in Scotland hospitalized with a first episode of HF between 1986 and 2003 were followed up until death or the end of 2004. Prescriptions of evidence-based treatments issued from 1997 to 2003 by a sample of primary care practices were also examined. A total of 116 556 individuals (52.6% women) had a first hospital discharge for HF. Age-adjusted first hospitalization rates for HF (per 100 000; 95% CI in parentheses) rose from 124 (119 to 129) in 1986 to 162 (157 to 168) in 1994 and then fell to 105 (101 to 109) in 2003 in men; in women, they rose from 128 (123 to 132) in 1986 to 160 (155 to 165) in 1993, falling to 101 (97 to 105) in 2003. Case-fatality rates fell steadily over the period. Adjusted 30-day case-fatality rates fell after discharge (adjusted odds [2003 versus 1986] 0.59 [95% CI 0.45 to 0.63] in men and 0.77 [95% CI 0.67 to 0.88] in women). Adjusted 1- and 5-year survival improved similarly. Median survival increased from 1.33 to 2.34 years in men and from 1.32 to 1.79 years in women. Age-adjusted prescribing rates for angiotensin-converting enzyme inhibitors, beta-blockers, and spironolactone increased from 1997 to 2003 (all P&lt;0.0001 for trend). CONCLUSIONS After rising between 1986 and 1994, rates of first hospitalization for HF declined. Case-fatality rates also fell. Prescribing rates for HF therapies increased from 1997 to 2003. These findings suggest that improvements in the prevention and treatment of HF may have had progressive, sustained effects on outcomes at the population level; however, prognosis remains poor in HF.", "author" : [ { "dropping-particle" : "", "family" : "Jhund", "given" : "Pardeep S", "non-dropping-particle" : "", "parse-names" : false, "suffix" : "" }, { "dropping-particle" : "", "family" : "Macintyre", "given" : "Kate", "non-dropping-particle" : "", "parse-names" : false, "suffix" : "" }, { "dropping-particle" : "", "family" : "Simpson", "given" : "Colin R", "non-dropping-particle" : "", "parse-names" : false, "suffix" : "" }, { "dropping-particle" : "", "family" : "Lewsey", "given" : "James D", "non-dropping-particle" : "", "parse-names" : false, "suffix" : "" }, { "dropping-particle" : "", "family" : "Stewart", "given" : "Simon", "non-dropping-particle" : "", "parse-names" : false, "suffix" : "" }, { "dropping-particle" : "", "family" : "Redpath", "given" : "Adam", "non-dropping-particle" : "", "parse-names" : false, "suffix" : "" }, { "dropping-particle" : "", "family" : "Chalmers", "given" : "James W T", "non-dropping-particle" : "", "parse-names" : false, "suffix" : "" }, { "dropping-particle" : "", "family" : "Capewell", "given" : "Simon", "non-dropping-particle" : "", "parse-names" : false, "suffix" : "" }, { "dropping-particle" : "V", "family" : "McMurray", "given" : "John J", "non-dropping-particle" : "", "parse-names" : false, "suffix" : "" } ], "container-title" : "Circulation", "id" : "ITEM-2", "issue" : "4", "issued" : { "date-parts" : [ [ "2009", "2", "3" ] ] }, "page" : "515-23", "title" : "Long-term trends in first hospitalization for heart failure and subsequent survival between 1986 and 2003: a population study of 5.1 million people.", "type" : "article-journal", "volume" : "119" }, "uris" : [ "http://www.mendeley.com/documents/?uuid=00303df1-0616-4916-8248-8ba686be4b5b" ] }, { "id" : "ITEM-3", "itemData" : { "DOI" : "10.1161/CIRCOUTCOMES.110.957571", "ISSN" : "1941-7705", "PMID" : "20923990", "abstract" : "BACKGROUND The contemporary impact of heart failure (HF) versus the most common forms of cancer as reflected by related first-ever hospitalizations and subsequent case-fatality rates is unknown. METHODS AND RESULTS Using a national registry in Sweden, we compared the rate of first-ever hospitalization and associated short- and long-term survival for HF, acute myocardial infarction (AMI), and the most common forms of cancer on an age and sex-specific basis during 1988 to 2004 in 949 733 Swedish patients (1 162 309 hospital admissions in total). Annual incidence of first-ever hospitalization for HF, AMI, and cancer in Sweden were 484, 424, and 373 (lung, colorectal, prostate, and bladder cancer combined) per 100 000 men and 470, 280, and 350 (lung, colorectal, bladder, breast, and ovarian cancer combined) per 100 000 women age &gt;20 years. The ratio of individual cases of HF to cancer was 1.37:1 (465 998 versus 340 738). Despite improvements in 30-day and 5-year survival (adjusted 7% and 6% increase per calendar year for men and women, respectively), HF was associated with unadjusted case-fatality rate of 59% within 5 years and 196 400 deaths versus 58% and 131 000 deaths in patients with cancer. During 10-year follow-up, HF was associated with 66 318 versus 55 364 premature life-years lost than all common forms of cancer in men. In women, the equivalent figures were 59 535 versus 64 533 premature life-years lost. CONCLUSIONS These data confirm that, like most common forms of cancer combined, HF exerts a major health burden in respect to age-adjusted rates of first hospitalization, poor overall survival, and premature life-years lost.", "author" : [ { "dropping-particle" : "", "family" : "Stewart", "given" : "Simon", "non-dropping-particle" : "", "parse-names" : false, "suffix" : "" }, { "dropping-particle" : "", "family" : "Ekman", "given" : "Inger", "non-dropping-particle" : "", "parse-names" : false, "suffix" : "" }, { "dropping-particle" : "", "family" : "Ekman", "given" : "Tor", "non-dropping-particle" : "", "parse-names" : false, "suffix" : "" }, { "dropping-particle" : "", "family" : "Od\u00e9n", "given" : "Anders", "non-dropping-particle" : "", "parse-names" : false, "suffix" : "" }, { "dropping-particle" : "", "family" : "Rosengren", "given" : "Annika", "non-dropping-particle" : "", "parse-names" : false, "suffix" : "" } ], "container-title" : "Circulation. Cardiovascular quality and outcomes", "id" : "ITEM-3", "issue" : "6", "issued" : { "date-parts" : [ [ "2010", "11" ] ] }, "page" : "573-80", "title" : "Population impact of heart failure and the most common forms of cancer: a study of 1 162 309 hospital cases in Sweden (1988 to 2004).", "type" : "article-journal", "volume" : "3" }, "uris" : [ "http://www.mendeley.com/documents/?uuid=c6a8f35b-bc6e-4bfc-b52f-e6ab27bc9129" ] }, { "id" : "ITEM-4", "itemData" : { "DOI" : "10.1002/ejhf.785", "ISSN" : "1879-0844", "PMID" : "28247565", "abstract" : "INTRODUCTION From a prospective multicentre multicountry clinical trial, we developed and validated risk models to predict prospective all-cause mortality and hospitalizations because of heart failure (HF) in patients with HF. METHODS AND RESULTS BIOSTAT-CHF is a research programme designed to develop and externally validate risk models to predict all-cause mortality and HF hospitalizations. The index cohort consisted of 2516 patients with HF from 69 centres in 11 European countries. The external validation cohort consisted of 1738 comparable patients from six centres in Scotland, UK. Patients from the index cohort had a mean age of 69 years, 27% were female, 83% were in New York Heart Association (NYHA) class II-III and the mean left ventricular ejection fraction (LVEF) was 31%. The full prediction models for mortality, hospitalization owing to HF, and the combined outcome, yielded c-statistic values of 0.73, 0.69, and 0.71, respectively. Predictors of mortality and hospitalization owing to HF were remarkably different. The five strongest predictors of mortality were more advanced age, higher blood urea nitrogen and N-terminal pro-B-type natriuretic peptide, lower haemoglobin, and failure to prescribe a beta-blocker. The five strongest predictors of hospitalization owing to HF were more advanced age, previous hospitalization owing to HF, presence of oedema, lower systolic blood pressure and lower estimated glomerular filtration rate. Patients from the validation cohort were aged 74 years, 34% were female, 85% were in NYHA class II-III, and mean LVEF was 41%; c-statistic values for the full and compact model were comparable to the index cohort. CONCLUSION A small number of variables, which are usually readily available in the routine clinical setting, provide useful prognostic information for patients with HF. Predictors of mortality were remarkably different from predictors of hospitalization owing to HF.", "author" : [ { "dropping-particle" : "", "family" : "Voors", "given" : "Adriaan A", "non-dropping-particle" : "", "parse-names" : false, "suffix" : "" }, { "dropping-particle" : "", "family" : "Ouwerkerk", "given" : "Wouter", "non-dropping-particle" : "", "parse-names" : false, "suffix" : "" }, { "dropping-particle" : "", "family" : "Zannad", "given" : "Faiez", "non-dropping-particle" : "", "parse-names" : false, "suffix" : "" }, { "dropping-particle" : "", "family" : "Veldhuisen", "given" : "Dirk J", "non-dropping-particle" : "van", "parse-names" : false, "suffix" : "" }, { "dropping-particle" : "", "family" : "Samani", "given" : "Nilesh J", "non-dropping-particle" : "", "parse-names" : false, "suffix" : "" }, { "dropping-particle" : "", "family" : "Ponikowski", "given" : "Piotr", "non-dropping-particle" : "", "parse-names" : false, "suffix" : "" }, { "dropping-particle" : "", "family" : "Ng", "given" : "Leong L", "non-dropping-particle" : "", "parse-names" : false, "suffix" : "" }, { "dropping-particle" : "", "family" : "Metra", "given" : "Marco", "non-dropping-particle" : "", "parse-names" : false, "suffix" : "" }, { "dropping-particle" : "", "family" : "Maaten", "given" : "Jozine M", "non-dropping-particle" : "Ter", "parse-names" : false, "suffix" : "" }, { "dropping-particle" : "", "family" : "Lang", "given" : "Chim C", "non-dropping-particle" : "", "parse-names" : false, "suffix" : "" }, { "dropping-particle" : "", "family" : "Hillege", "given" : "Hans L", "non-dropping-particle" : "", "parse-names" : false, "suffix" : "" }, { "dropping-particle" : "", "family" : "Harst", "given" : "Pim", "non-dropping-particle" : "van der", "parse-names" : false, "suffix" : "" }, { "dropping-particle" : "", "family" : "Filippatos", "given" : "Gerasimos", "non-dropping-particle" : "", "parse-names" : false, "suffix" : "" }, { "dropping-particle" : "", "family" : "Dickstein", "given" : "Kenneth", "non-dropping-particle" : "", "parse-names" : false, "suffix" : "" }, { "dropping-particle" : "", "family" : "Cleland", "given" : "John G", "non-dropping-particle" : "", "parse-names" : false, "suffix" : "" }, { "dropping-particle" : "", "family" : "Anker", "given" : "Stefan D", "non-dropping-particle" : "", "parse-names" : false, "suffix" : "" }, { "dropping-particle" : "", "family" : "Zwinderman", "given" : "Aeilko H", "non-dropping-particle" : "", "parse-names" : false, "suffix" : "" } ], "container-title" : "European journal of heart failure", "id" : "ITEM-4", "issue" : "5", "issued" : { "date-parts" : [ [ "2017", "3", "1" ] ] }, "page" : "429-36", "title" : "Development and validation of multivariable models to predict mortality and hospitalization in patients with heart failure.", "type" : "article-journal", "volume" : "2" }, "uris" : [ "http://www.mendeley.com/documents/?uuid=7c1656fb-9d1b-4a20-b317-fd4d1c2910ed" ] } ], "mendeley" : { "formattedCitation" : "(13\u201316)", "plainTextFormattedCitation" : "(13\u201316)", "previouslyFormattedCitation" : "(13\u201316)" }, "properties" : { "noteIndex" : 0 }, "schema" : "https://github.com/citation-style-language/schema/raw/master/csl-citation.json" }</w:instrText>
      </w:r>
      <w:r w:rsidR="00025C98" w:rsidRPr="00071C5B">
        <w:rPr>
          <w:color w:val="000000" w:themeColor="text1"/>
          <w:lang w:val="en-GB"/>
        </w:rPr>
        <w:fldChar w:fldCharType="separate"/>
      </w:r>
      <w:r w:rsidR="00A032C6" w:rsidRPr="00A032C6">
        <w:rPr>
          <w:noProof/>
          <w:color w:val="000000" w:themeColor="text1"/>
          <w:lang w:val="en-GB"/>
        </w:rPr>
        <w:t>(13–16)</w:t>
      </w:r>
      <w:r w:rsidR="00025C98" w:rsidRPr="00071C5B">
        <w:rPr>
          <w:color w:val="000000" w:themeColor="text1"/>
          <w:lang w:val="en-GB"/>
        </w:rPr>
        <w:fldChar w:fldCharType="end"/>
      </w:r>
      <w:r w:rsidR="00025C98" w:rsidRPr="00071C5B">
        <w:rPr>
          <w:color w:val="000000" w:themeColor="text1"/>
          <w:lang w:val="en-GB"/>
        </w:rPr>
        <w:t xml:space="preserve">, and in daily clinical practice the majority of patients do not achieve recommended doses </w:t>
      </w:r>
      <w:r w:rsidR="00025C98" w:rsidRPr="00071C5B">
        <w:rPr>
          <w:color w:val="000000" w:themeColor="text1"/>
          <w:lang w:val="en-GB"/>
        </w:rPr>
        <w:fldChar w:fldCharType="begin" w:fldLock="1"/>
      </w:r>
      <w:r w:rsidR="00A032C6">
        <w:rPr>
          <w:color w:val="000000" w:themeColor="text1"/>
          <w:lang w:val="en-GB"/>
        </w:rPr>
        <w:instrText>ADDIN CSL_CITATION { "citationItems" : [ { "id" : "ITEM-1", "itemData" : { "ISSN" : "1468-201X", "PMID" : "12213792", "author" : [ { "dropping-particle" : "", "family" : "Cleland", "given" : "J G F", "non-dropping-particle" : "", "parse-names" : false, "suffix" : "" } ], "container-title" : "Heart (British Cardiac Society)", "id" : "ITEM-1", "issued" : { "date-parts" : [ [ "2002", "10" ] ] }, "page" : "ii5-8", "title" : "Contemporary management of heart failure in clinical practice.", "type" : "article-journal", "volume" : "88 Suppl 2" }, "uris" : [ "http://www.mendeley.com/documents/?uuid=cccedad0-7940-4bc5-8e4a-db612b24a964" ] }, { "id" : "ITEM-2", "itemData" : { "DOI" : "10.1016/S0195-668X(02)00700-5", "ISBN" : "0195-668X (Print)\\r0195-668X (Linking)", "ISSN" : "0195-668X", "PMID" : "12633547", "abstract" : "BACKGROUND National surveys suggest that treatment of heart failure in daily practice differs from guidelines and is characterized by underuse of recommended medications. Accordingly, the Euro Heart Failure Survey was conducted to ascertain how patients hospitalized for heart failure are managed in Europe and if national variations occur in the treatment of this condition. METHODS The survey screened discharge summaries of 11304 patients over a 6-week period in 115 hospitals from 24 countries belonging to the ESC to study their medical treatment. RESULTS Diuretics (mainly loop diuretics) were prescribed in 86.9% followed by ACE inhibitors (61.8%), beta-blockers (36.9%), cardiac glycosides (35.7%), nitrates (32.1%), calcium channel blockers (21.2%) and spironolactone (20.5%). 44.6% of the population used four or more different drugs. Only 17.2% were under the combination of diuretic, ACE inhibitors and beta-blockers. Important local variations were found in the rate of prescription of ACE inhibitors and particularly beta-blockers. Daily dosage of ACE inhibitors and particularly of beta-blockers was on average below the recommended target dose. Modelling-analysis of the prescription of treatments indicated that the aetiology of heart failure, age, co-morbid factors and type of hospital ward influenced the rate of prescription. Age &lt;70 years, male gender and ischaemic aetiology were associated with an increased odds ratio for receiving an ACE inhibitor. Prescription of ACE inhibitors was also greater in diabetic patients and in patients with low ejection fraction (&lt;40%) and lower in patients with renal dysfunction. The odds ratio for receiving a beta-blocker was reduced in patients &gt;70 years, in patients with respiratory disease and increased in cardiology wards, in ischaemic heart failure and in male subjects. Prescription of cardiac glycosides was significantly increased in patients with supraventricular tachycardia/atrial fibrillation. Finally, the rate of prescription of antithrombotic agents was increased in the presence of supraventricular arrhythmia, ischaemic heart disease, male subjects but was decreased in patients over 70. CONCLUSION Our results suggest that the prescription of recommended medications including ACE inhibitors and beta-blockers remains limited and that the daily dosage remains low, particularly for beta-blockers. The survey also identifies several important factors including age, gender, type of hospital ward, co morbid factors w\u2026", "author" : [ { "dropping-particle" : "", "family" : "Komajda", "given" : "M", "non-dropping-particle" : "", "parse-names" : false, "suffix" : "" }, { "dropping-particle" : "", "family" : "Follath", "given" : "F", "non-dropping-particle" : "", "parse-names" : false, "suffix" : "" }, { "dropping-particle" : "", "family" : "Swedberg", "given" : "K", "non-dropping-particle" : "", "parse-names" : false, "suffix" : "" }, { "dropping-particle" : "", "family" : "Cleland", "given" : "J", "non-dropping-particle" : "", "parse-names" : false, "suffix" : "" }, { "dropping-particle" : "", "family" : "Aguilar", "given" : "J C", "non-dropping-particle" : "", "parse-names" : false, "suffix" : "" }, { "dropping-particle" : "", "family" : "Cohen-Solal", "given" : "A", "non-dropping-particle" : "", "parse-names" : false, "suffix" : "" }, { "dropping-particle" : "", "family" : "Dietz", "given" : "R", "non-dropping-particle" : "", "parse-names" : false, "suffix" : "" }, { "dropping-particle" : "", "family" : "Gavazzi", "given" : "A", "non-dropping-particle" : "", "parse-names" : false, "suffix" : "" }, { "dropping-particle" : "", "family" : "Gilst", "given" : "W H", "non-dropping-particle" : "Van", "parse-names" : false, "suffix" : "" }, { "dropping-particle" : "", "family" : "Hobbs", "given" : "R", "non-dropping-particle" : "", "parse-names" : false, "suffix" : "" }, { "dropping-particle" : "", "family" : "Korewicki", "given" : "J", "non-dropping-particle" : "", "parse-names" : false, "suffix" : "" }, { "dropping-particle" : "", "family" : "Madeira", "given" : "H C", "non-dropping-particle" : "", "parse-names" : false, "suffix" : "" }, { "dropping-particle" : "", "family" : "Moiseyev", "given" : "V S", "non-dropping-particle" : "", "parse-names" : false, "suffix" : "" }, { "dropping-particle" : "", "family" : "Preda", "given" : "I", "non-dropping-particle" : "", "parse-names" : false, "suffix" : "" }, { "dropping-particle" : "", "family" : "Widimsky", "given" : "J", "non-dropping-particle" : "", "parse-names" : false, "suffix" : "" }, { "dropping-particle" : "", "family" : "Freemantle", "given" : "N", "non-dropping-particle" : "", "parse-names" : false, "suffix" : "" }, { "dropping-particle" : "", "family" : "Eastaugh", "given" : "Joanne", "non-dropping-particle" : "", "parse-names" : false, "suffix" : "" }, { "dropping-particle" : "", "family" : "Mason", "given" : "J", "non-dropping-particle" : "", "parse-names" : false, "suffix" : "" }, { "dropping-particle" : "", "family" : "Study Group on Diagnosis of the Working Group on Heart Failure of the European Society of Cardiology", "given" : "", "non-dropping-particle" : "", "parse-names" : false, "suffix" : "" } ], "container-title" : "European heart journal", "id" : "ITEM-2", "issue" : "5", "issued" : { "date-parts" : [ [ "2003", "3" ] ] }, "page" : "464-74", "title" : "The EuroHeart Failure Survey programme--a survey on the quality of care among patients with heart failure in Europe. Part 2: treatment.", "type" : "article-journal", "volume" : "24" }, "uris" : [ "http://www.mendeley.com/documents/?uuid=10f12c3f-7f21-4ed6-8992-6a0d54806959" ] }, { "id" : "ITEM-3", "itemData" : { "DOI" : "10.1016/j.ijcard.2012.06.116", "ISBN" : "0167-5273", "ISSN" : "1874-1754", "PMID" : "22840685", "abstract" : "AIMS The present study aims to investigate patterns of beta-blocker usage in a national primary care cohort. METHODS AND RESULTS This is a retrospective cohort study utilising the UK General Practice Research Database from 2004 to 2008. Inclusion criteria were (i) a first diagnosis of chronic heart failure (CHF), myocardial infarction (MI) or angina, and (ii) first-ever prescription of beta-blocker on or after 1st April 2004. Outcome measures were discontinuation of beta-blockers over time, initiation dosages, titration patterns, incidence of adverse events (AEs) and associated prescribing actions. A total of 12,493 patients (68.0% male; mean age 58.0 \u00b1 SD 17.6 years) were included. Of these, 27% had discontinued beta-blockers within 1 year of initiation, increasing to 39% by 2 years and 50% by 3 years. Persistence appeared to be greater in the MI cohort compared with angina or CHF cohorts. Beta-blocker dose at initiation averaged approximately 33% of guideline recommended target, rising to 40% in those who continued with therapy. Dyspnoea, fatigue and dizziness were the most common incident AEs at 98, 53 and 49 per 1000 patient years, with little difference between indications. CONCLUSION A quarter of patients with cardiovascular disease who are commenced on a beta-blocker are no longer taking the drug by one year. This rises to 50% by three years, a finding that is consistent irrespective of whether the prescription is for prognostic (CHF or post MI) or symptomatic (angina) benefit. There is an urgent need to understand and address the prescribing difficulties of beta-blockers in these at-risk patients.", "author" : [ { "dropping-particle" : "", "family" : "Kalra", "given" : "Paul R", "non-dropping-particle" : "", "parse-names" : false, "suffix" : "" }, { "dropping-particle" : "", "family" : "Morley", "given" : "Chris", "non-dropping-particle" : "", "parse-names" : false, "suffix" : "" }, { "dropping-particle" : "", "family" : "Barnes", "given" : "Susie", "non-dropping-particle" : "", "parse-names" : false, "suffix" : "" }, { "dropping-particle" : "", "family" : "Menown", "given" : "Ian", "non-dropping-particle" : "", "parse-names" : false, "suffix" : "" }, { "dropping-particle" : "", "family" : "Kassianos", "given" : "George", "non-dropping-particle" : "", "parse-names" : false, "suffix" : "" }, { "dropping-particle" : "", "family" : "Padmanabhan", "given" : "Sandosh", "non-dropping-particle" : "", "parse-names" : false, "suffix" : "" }, { "dropping-particle" : "", "family" : "Gupta", "given" : "Sandeep", "non-dropping-particle" : "", "parse-names" : false, "suffix" : "" }, { "dropping-particle" : "", "family" : "Lang", "given" : "Chim C", "non-dropping-particle" : "", "parse-names" : false, "suffix" : "" } ], "container-title" : "International journal of cardiology", "id" : "ITEM-3", "issue" : "6", "issued" : { "date-parts" : [ [ "2013", "9", "10" ] ] }, "page" : "2695-9", "publisher" : "Elsevier Ireland Ltd", "title" : "Discontinuation of beta-blockers in cardiovascular disease: UK primary care cohort study.", "type" : "article-journal", "volume" : "167" }, "uris" : [ "http://www.mendeley.com/documents/?uuid=92daf48f-01ac-4d0f-9321-b59744c731b6" ] } ], "mendeley" : { "formattedCitation" : "(17\u201319)", "plainTextFormattedCitation" : "(17\u201319)", "previouslyFormattedCitation" : "(17\u201319)" }, "properties" : { "noteIndex" : 0 }, "schema" : "https://github.com/citation-style-language/schema/raw/master/csl-citation.json" }</w:instrText>
      </w:r>
      <w:r w:rsidR="00025C98" w:rsidRPr="00071C5B">
        <w:rPr>
          <w:color w:val="000000" w:themeColor="text1"/>
          <w:lang w:val="en-GB"/>
        </w:rPr>
        <w:fldChar w:fldCharType="separate"/>
      </w:r>
      <w:r w:rsidR="00A032C6" w:rsidRPr="00A032C6">
        <w:rPr>
          <w:noProof/>
          <w:color w:val="000000" w:themeColor="text1"/>
          <w:lang w:val="en-GB"/>
        </w:rPr>
        <w:t>(17–19)</w:t>
      </w:r>
      <w:r w:rsidR="00025C98" w:rsidRPr="00071C5B">
        <w:rPr>
          <w:color w:val="000000" w:themeColor="text1"/>
          <w:lang w:val="en-GB"/>
        </w:rPr>
        <w:fldChar w:fldCharType="end"/>
      </w:r>
      <w:r w:rsidR="00025C98" w:rsidRPr="00071C5B">
        <w:rPr>
          <w:color w:val="000000" w:themeColor="text1"/>
          <w:lang w:val="en-GB"/>
        </w:rPr>
        <w:t xml:space="preserve">. Although it is expected that most patients that achieve recommended doses will benefit from treatment, </w:t>
      </w:r>
      <w:r w:rsidR="009153BE" w:rsidRPr="00071C5B">
        <w:rPr>
          <w:color w:val="000000" w:themeColor="text1"/>
          <w:lang w:val="en-GB"/>
        </w:rPr>
        <w:t>selected patients might not benefit from the recommended doses</w:t>
      </w:r>
      <w:r w:rsidR="00164966" w:rsidRPr="00071C5B">
        <w:rPr>
          <w:color w:val="000000" w:themeColor="text1"/>
          <w:lang w:val="en-GB"/>
        </w:rPr>
        <w:t xml:space="preserve">, but </w:t>
      </w:r>
      <w:r w:rsidRPr="00071C5B">
        <w:rPr>
          <w:color w:val="000000" w:themeColor="text1"/>
          <w:lang w:val="en-GB"/>
        </w:rPr>
        <w:t>will experience</w:t>
      </w:r>
      <w:r w:rsidR="002D0150" w:rsidRPr="00071C5B">
        <w:rPr>
          <w:color w:val="000000" w:themeColor="text1"/>
          <w:lang w:val="en-GB"/>
        </w:rPr>
        <w:t xml:space="preserve"> side effects of ACE-inhibitors and beta-blocker treatment. </w:t>
      </w:r>
      <w:r w:rsidR="009153BE" w:rsidRPr="00071C5B">
        <w:rPr>
          <w:color w:val="000000" w:themeColor="text1"/>
          <w:lang w:val="en-GB"/>
        </w:rPr>
        <w:t xml:space="preserve">A personalized medicine approach where </w:t>
      </w:r>
      <w:r w:rsidR="00025C98" w:rsidRPr="00071C5B">
        <w:rPr>
          <w:color w:val="000000" w:themeColor="text1"/>
          <w:lang w:val="en-GB"/>
        </w:rPr>
        <w:t xml:space="preserve">patients who will </w:t>
      </w:r>
      <w:r w:rsidR="009153BE" w:rsidRPr="00071C5B">
        <w:rPr>
          <w:color w:val="000000" w:themeColor="text1"/>
          <w:lang w:val="en-GB"/>
        </w:rPr>
        <w:t xml:space="preserve">not </w:t>
      </w:r>
      <w:r w:rsidR="00025C98" w:rsidRPr="00071C5B">
        <w:rPr>
          <w:color w:val="000000" w:themeColor="text1"/>
          <w:lang w:val="en-GB"/>
        </w:rPr>
        <w:t>benefit from recommended ACE-inhibitor/ARB and beta-blocker heart failure treatment</w:t>
      </w:r>
      <w:r w:rsidR="009153BE" w:rsidRPr="00071C5B">
        <w:rPr>
          <w:color w:val="000000" w:themeColor="text1"/>
          <w:lang w:val="en-GB"/>
        </w:rPr>
        <w:t xml:space="preserve"> </w:t>
      </w:r>
      <w:r w:rsidRPr="00071C5B">
        <w:rPr>
          <w:color w:val="000000" w:themeColor="text1"/>
          <w:lang w:val="en-GB"/>
        </w:rPr>
        <w:t>might</w:t>
      </w:r>
      <w:r w:rsidR="009153BE" w:rsidRPr="00071C5B">
        <w:rPr>
          <w:color w:val="000000" w:themeColor="text1"/>
          <w:lang w:val="en-GB"/>
        </w:rPr>
        <w:t xml:space="preserve"> be selected by biomarkers</w:t>
      </w:r>
      <w:r w:rsidR="00025C98" w:rsidRPr="00071C5B">
        <w:rPr>
          <w:color w:val="000000" w:themeColor="text1"/>
          <w:lang w:val="en-GB"/>
        </w:rPr>
        <w:t xml:space="preserve">, </w:t>
      </w:r>
      <w:r w:rsidRPr="00071C5B">
        <w:rPr>
          <w:color w:val="000000" w:themeColor="text1"/>
          <w:lang w:val="en-GB"/>
        </w:rPr>
        <w:t xml:space="preserve">and </w:t>
      </w:r>
      <w:r w:rsidR="00806203" w:rsidRPr="00071C5B">
        <w:rPr>
          <w:color w:val="000000" w:themeColor="text1"/>
          <w:lang w:val="en-GB"/>
        </w:rPr>
        <w:t>might</w:t>
      </w:r>
      <w:r w:rsidR="009153BE" w:rsidRPr="00071C5B">
        <w:rPr>
          <w:color w:val="000000" w:themeColor="text1"/>
          <w:lang w:val="en-GB"/>
        </w:rPr>
        <w:t xml:space="preserve"> </w:t>
      </w:r>
      <w:r w:rsidR="00025C98" w:rsidRPr="00071C5B">
        <w:rPr>
          <w:color w:val="000000" w:themeColor="text1"/>
          <w:lang w:val="en-GB"/>
        </w:rPr>
        <w:t>reduce the number of patients receiving treatment without benefit</w:t>
      </w:r>
      <w:r w:rsidR="009153BE" w:rsidRPr="00071C5B">
        <w:rPr>
          <w:color w:val="000000" w:themeColor="text1"/>
          <w:lang w:val="en-GB"/>
        </w:rPr>
        <w:t xml:space="preserve"> and improve overall outcome</w:t>
      </w:r>
      <w:r w:rsidR="00025C98" w:rsidRPr="00071C5B">
        <w:rPr>
          <w:color w:val="000000" w:themeColor="text1"/>
          <w:lang w:val="en-GB"/>
        </w:rPr>
        <w:t>.</w:t>
      </w:r>
    </w:p>
    <w:p w14:paraId="507453A2" w14:textId="77777777" w:rsidR="0061411C" w:rsidRDefault="00025C98" w:rsidP="0061411C">
      <w:pPr>
        <w:spacing w:line="480" w:lineRule="auto"/>
        <w:ind w:firstLine="720"/>
        <w:rPr>
          <w:color w:val="000000" w:themeColor="text1"/>
          <w:lang w:val="en-US"/>
        </w:rPr>
      </w:pPr>
      <w:r w:rsidRPr="00071C5B">
        <w:rPr>
          <w:color w:val="000000" w:themeColor="text1"/>
          <w:lang w:val="en-GB"/>
        </w:rPr>
        <w:t xml:space="preserve">In this </w:t>
      </w:r>
      <w:r w:rsidR="00DF3AED" w:rsidRPr="00071C5B">
        <w:rPr>
          <w:i/>
          <w:color w:val="000000" w:themeColor="text1"/>
          <w:lang w:val="en-GB"/>
        </w:rPr>
        <w:t>in si</w:t>
      </w:r>
      <w:r w:rsidR="00A6050F" w:rsidRPr="00071C5B">
        <w:rPr>
          <w:i/>
          <w:color w:val="000000" w:themeColor="text1"/>
          <w:lang w:val="en-GB"/>
        </w:rPr>
        <w:t xml:space="preserve">lico </w:t>
      </w:r>
      <w:r w:rsidR="00A62216" w:rsidRPr="00071C5B">
        <w:rPr>
          <w:color w:val="000000" w:themeColor="text1"/>
          <w:lang w:val="en-GB"/>
        </w:rPr>
        <w:t>study</w:t>
      </w:r>
      <w:r w:rsidRPr="00071C5B">
        <w:rPr>
          <w:color w:val="000000" w:themeColor="text1"/>
          <w:lang w:val="en-GB"/>
        </w:rPr>
        <w:t xml:space="preserve">, we used data from the BIOSTAT-CHF project to identify such treatment-selection markers. We hypothesized that biomarkers measured </w:t>
      </w:r>
      <w:r w:rsidR="00A516F5" w:rsidRPr="00071C5B">
        <w:rPr>
          <w:color w:val="000000" w:themeColor="text1"/>
          <w:lang w:val="en-GB"/>
        </w:rPr>
        <w:t xml:space="preserve">at baseline </w:t>
      </w:r>
      <w:r w:rsidRPr="00071C5B">
        <w:rPr>
          <w:color w:val="000000" w:themeColor="text1"/>
          <w:lang w:val="en-GB"/>
        </w:rPr>
        <w:t xml:space="preserve">in serum/plasma of heart failure patients </w:t>
      </w:r>
      <w:r w:rsidR="00DF3AED" w:rsidRPr="00071C5B">
        <w:rPr>
          <w:color w:val="000000" w:themeColor="text1"/>
          <w:lang w:val="en-GB"/>
        </w:rPr>
        <w:t>can</w:t>
      </w:r>
      <w:r w:rsidRPr="00071C5B">
        <w:rPr>
          <w:color w:val="000000" w:themeColor="text1"/>
          <w:lang w:val="en-GB"/>
        </w:rPr>
        <w:t xml:space="preserve"> identify whether patients benefit from recommended heart failure treatment</w:t>
      </w:r>
      <w:r w:rsidR="00A62216" w:rsidRPr="00071C5B">
        <w:rPr>
          <w:color w:val="000000" w:themeColor="text1"/>
          <w:lang w:val="en-GB"/>
        </w:rPr>
        <w:t xml:space="preserve"> or not</w:t>
      </w:r>
      <w:r w:rsidRPr="00071C5B">
        <w:rPr>
          <w:color w:val="000000" w:themeColor="text1"/>
          <w:lang w:val="en-GB"/>
        </w:rPr>
        <w:t xml:space="preserve">. We developed models to estimate this benefit using 161 </w:t>
      </w:r>
      <w:r w:rsidR="00A62216" w:rsidRPr="00071C5B">
        <w:rPr>
          <w:color w:val="000000" w:themeColor="text1"/>
          <w:lang w:val="en-GB"/>
        </w:rPr>
        <w:t xml:space="preserve">established and novel </w:t>
      </w:r>
      <w:r w:rsidRPr="00071C5B">
        <w:rPr>
          <w:color w:val="000000" w:themeColor="text1"/>
          <w:lang w:val="en-GB"/>
        </w:rPr>
        <w:t xml:space="preserve">biomarkers, including standard biochemical blood-parameters. We compared three theoretical treatment </w:t>
      </w:r>
      <w:r w:rsidR="005D55AE" w:rsidRPr="00071C5B">
        <w:rPr>
          <w:color w:val="000000" w:themeColor="text1"/>
          <w:lang w:val="en-US"/>
        </w:rPr>
        <w:t>scenarios</w:t>
      </w:r>
      <w:r w:rsidRPr="00071C5B">
        <w:rPr>
          <w:color w:val="000000" w:themeColor="text1"/>
          <w:lang w:val="en-US"/>
        </w:rPr>
        <w:t xml:space="preserve">: A) all patients are up-titrated to </w:t>
      </w:r>
      <w:r w:rsidR="009D582A" w:rsidRPr="00071C5B">
        <w:rPr>
          <w:color w:val="000000" w:themeColor="text1"/>
          <w:lang w:val="en-US"/>
        </w:rPr>
        <w:t>&gt;50%</w:t>
      </w:r>
      <w:r w:rsidR="007A1267" w:rsidRPr="00071C5B">
        <w:rPr>
          <w:color w:val="000000" w:themeColor="text1"/>
          <w:lang w:val="en-US"/>
        </w:rPr>
        <w:t xml:space="preserve"> of </w:t>
      </w:r>
      <w:r w:rsidRPr="00071C5B">
        <w:rPr>
          <w:color w:val="000000" w:themeColor="text1"/>
          <w:lang w:val="en-US"/>
        </w:rPr>
        <w:t>recommended doses</w:t>
      </w:r>
      <w:r w:rsidRPr="00071C5B">
        <w:rPr>
          <w:color w:val="000000" w:themeColor="text1"/>
          <w:lang w:val="en-GB"/>
        </w:rPr>
        <w:t xml:space="preserve"> according to the ESC guidelines </w:t>
      </w:r>
      <w:r w:rsidRPr="006A3846">
        <w:rPr>
          <w:color w:val="000000" w:themeColor="text1"/>
          <w:lang w:val="en-GB"/>
        </w:rPr>
        <w:fldChar w:fldCharType="begin" w:fldLock="1"/>
      </w:r>
      <w:r w:rsidR="00BA7610" w:rsidRPr="00071C5B">
        <w:rPr>
          <w:color w:val="000000" w:themeColor="text1"/>
          <w:lang w:val="en-GB"/>
        </w:rPr>
        <w:instrText>ADDIN CSL_CITATION { "citationItems" : [ { "id" : "ITEM-1", "itemData" : { "DOI" : "10.1093/eurheartj/ehn309", "ISSN" : "1522-9645", "PMID" : "18799522", "author" : [ { "dropping-particle" : "", "family" : "Dickstein", "given" : "Kenneth", "non-dropping-particle" : "", "parse-names" : false, "suffix" : "" }, { "dropping-particle" : "", "family" : "Cohen-Solal", "given" : "Alain", "non-dropping-particle" : "", "parse-names" : false, "suffix" : "" }, { "dropping-particle" : "", "family" : "Filippatos", "given" : "Gerasimos", "non-dropping-particle" : "", "parse-names" : false, "suffix" : "" }, { "dropping-particle" : "V", "family" : "McMurray", "given" : "John J", "non-dropping-particle" : "", "parse-names" : false, "suffix" : "" }, { "dropping-particle" : "", "family" : "Ponikowski", "given" : "Piotr", "non-dropping-particle" : "", "parse-names" : false, "suffix" : "" }, { "dropping-particle" : "", "family" : "Poole-Wilson", "given" : "Philip Alexander", "non-dropping-particle" : "", "parse-names" : false, "suffix" : "" }, { "dropping-particle" : "", "family" : "Str\u00f6mberg", "given" : "Anna", "non-dropping-particle" : "", "parse-names" : false, "suffix" : "" }, { "dropping-particle" : "", "family" : "Veldhuisen", "given" : "Dirk J", "non-dropping-particle" : "van", "parse-names" : false, "suffix" : "" }, { "dropping-particle" : "", "family" : "Atar", "given" : "Dan", "non-dropping-particle" : "", "parse-names" : false, "suffix" : "" }, { "dropping-particle" : "", "family" : "Hoes", "given" : "Arno W", "non-dropping-particle" : "", "parse-names" : false, "suffix" : "" }, { "dropping-particle" : "", "family" : "Keren", "given" : "Andre", "non-dropping-particle" : "", "parse-names" : false, "suffix" : "" }, { "dropping-particle" : "", "family" : "Mebazaa", "given" : "Alexandre", "non-dropping-particle" : "", "parse-names" : false, "suffix" : "" }, { "dropping-particle" : "", "family" : "Nieminen", "given" : "Markku", "non-dropping-particle" : "", "parse-names" : false, "suffix" : "" }, { "dropping-particle" : "", "family" : "Priori", "given" : "Silvia Giuliana", "non-dropping-particle" : "", "parse-names" : false, "suffix" : "" }, { "dropping-particle" : "", "family" : "Swedberg", "given" : "Karl", "non-dropping-particle" : "", "parse-names" : false, "suffix" : "" }, { "dropping-particle" : "", "family" : "ESC Committee for Practice Guidelines (CPG)", "given" : "", "non-dropping-particle" : "", "parse-names" : false, "suffix" : "" } ], "container-title" : "European heart journal", "id" : "ITEM-1", "issue" : "19", "issued" : { "date-parts" : [ [ "2008", "10", "1" ] ] }, "page" : "2388-442", "title" : "ESC Guidelines for the diagnosis and treatment of acute and chronic heart failure 2008: the Task Force for the Diagnosis and Treatment of Acute and Chronic Heart Failure 2008 of the European Society of Cardiology. Developed in collaboration with the Heart", "type" : "article-journal", "volume" : "29" }, "uris" : [ "http://www.mendeley.com/documents/?uuid=66357fde-93a9-4fac-ac3b-6e977b367958" ] }, { "id" : "ITEM-2", "itemData" : { "DOI" : "10.1093/eurjhf/hfs105", "ISSN" : "1879-0844", "PMID" : "22828712", "author" : [ { "dropping-particle" : "V", "family" : "McMurray", "given" : "John J", "non-dropping-particle" : "", "parse-names" : false, "suffix" : "" }, { "dropping-particle" : "", "family" : "Adamopoulos", "given" : "Stamatis", "non-dropping-particle" : "", "parse-names" : false, "suffix" : "" }, { "dropping-particle" : "", "family" : "Anker", "given" : "Stefan D", "non-dropping-particle" : "", "parse-names" : false, "suffix" : "" }, { "dropping-particle" : "", "family" : "Auricchio", "given" : "Angelo", "non-dropping-particle" : "", "parse-names" : false, "suffix" : "" }, { "dropping-particle" : "", "family" : "B\u00f6hm", "given" : "Michael", "non-dropping-particle" : "", "parse-names" : false, "suffix" : "" }, { "dropping-particle" : "", "family" : "Dickstein", "given" : "Kenneth", "non-dropping-particle" : "", "parse-names" : false, "suffix" : "" }, { "dropping-particle" : "", "family" : "Falk", "given" : "Volkmar", "non-dropping-particle" : "", "parse-names" : false, "suffix" : "" }, { "dropping-particle" : "", "family" : "Filippatos", "given" : "Gerasimos", "non-dropping-particle" : "", "parse-names" : false, "suffix" : "" }, { "dropping-particle" : "", "family" : "Fonseca", "given" : "C\u00e2ndida", "non-dropping-particle" : "", "parse-names" : false, "suffix" : "" }, { "dropping-particle" : "", "family" : "Gomez-Sanchez", "given" : "Miguel Angel", "non-dropping-particle" : "", "parse-names" : false, "suffix" : "" }, { "dropping-particle" : "", "family" : "Jaarsma", "given" : "Tiny", "non-dropping-particle" : "", "parse-names" : false, "suffix" : "" }, { "dropping-particle" : "", "family" : "K\u00f8ber", "given" : "Lars", "non-dropping-particle" : "", "parse-names" : false, "suffix" : "" }, { "dropping-particle" : "", "family" : "Lip", "given" : "Gregory Y H", "non-dropping-particle" : "", "parse-names" : false, "suffix" : "" }, { "dropping-particle" : "Pietro", "family" : "Maggioni", "given" : "Aldo", "non-dropping-particle" : "", "parse-names" : false, "suffix" : "" }, { "dropping-particle" : "", "family" : "Parkhomenko", "given" : "Alexander", "non-dropping-particle" : "", "parse-names" : false, "suffix" : "" }, { "dropping-particle" : "", "family" : "Pieske", "given" : "Burkert M", "non-dropping-particle" : "", "parse-names" : false, "suffix" : "" }, { "dropping-particle" : "", "family" : "Popescu", "given" : "Bogdan a", "non-dropping-particle" : "", "parse-names" : false, "suffix" : "" }, { "dropping-particle" : "", "family" : "R\u00f8nnevik", "given" : "Per K", "non-dropping-particle" : "", "parse-names" : false, "suffix" : "" }, { "dropping-particle" : "", "family" : "Rutten", "given" : "Frans H", "non-dropping-particle" : "", "parse-names" : false, "suffix" : "" }, { "dropping-particle" : "", "family" : "Schwitter", "given" : "Juerg", "non-dropping-particle" : "", "parse-names" : false, "suffix" : "" }, { "dropping-particle" : "", "family" : "Seferovic", "given" : "Petar", "non-dropping-particle" : "", "parse-names" : false, "suffix" : "" }, { "dropping-particle" : "", "family" : "Stepinska", "given" : "Janina", "non-dropping-particle" : "", "parse-names" : false, "suffix" : "" }, { "dropping-particle" : "", "family" : "Trindade", "given" : "Pedro T", "non-dropping-particle" : "", "parse-names" : false, "suffix" : "" }, { "dropping-particle" : "", "family" : "Voors", "given" : "Adriaan a", "non-dropping-particle" : "", "parse-names" : false, "suffix" : "" }, { "dropping-particle" : "", "family" : "Zannad", "given" : "Faiez", "non-dropping-particle" : "", "parse-names" : false, "suffix" : "" }, { "dropping-particle" : "", "family" : "Zeiher", "given" : "Andreas", "non-dropping-particle" : "", "parse-names" : false, "suffix" : "" }, { "dropping-particle" : "", "family" : "Task Force for the Diagnosis and Treatment of Acute and Chronic Heart Failure 2012 of the European Society of Cardiology", "given" : "", "non-dropping-particle" : "", "parse-names" : false, "suffix" : "" }, { "dropping-particle" : "", "family" : "Bax", "given" : "Jeroen J",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"Tendera", "given" : "Michal",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"McDonagh", "given" : "Theresa", "non-dropping-particle" : "", "parse-names" : false, "suffix" : "" }, { "dropping-particle" : "", "family" : "Sechtem", "given" : "Udo", "non-dropping-particle" : "", "parse-names" : false, "suffix" : "" }, { "dropping-particle" : "", "family" : "Bonet", "given" : "Luis Almenar", "non-dropping-particle" : "", "parse-names" : false, "suffix" : "" }, { "dropping-particle" : "", "family" : "Avraamides", "given" : "Panayiotis", "non-dropping-particle" : "", "parse-names" : false, "suffix" : "" }, { "dropping-particle" : "", "family" : "Lamin", "given" : "Hisham a", "non-dropping-particle" : "Ben", "parse-names" : false, "suffix" : "" }, { "dropping-particle" : "", "family" : "Brignole", "given" : "Michele", "non-dropping-particle" : "", "parse-names" : false, "suffix" : "" }, { "dropping-particle" : "", "family" : "Coca", "given" : "Antonio", "non-dropping-particle" : "", "parse-names" : false, "suffix" : "" }, { "dropping-particle" : "", "family" : "Cowburn", "given" : "Peter", "non-dropping-particle" : "", "parse-names" : false, "suffix" : "" }, { "dropping-particle" : "", "family" : "Dargie", "given" : "Henry", "non-dropping-particle" : "", "parse-names" : false, "suffix" : "" }, { "dropping-particle" : "", "family" : "Elliott", "given" : "Perry", "non-dropping-particle" : "", "parse-names" : false, "suffix" : "" }, { "dropping-particle" : "", "family" : "Flachskampf", "given" : "Frank Arnold", "non-dropping-particle" : "", "parse-names" : false, "suffix" : "" }, { "dropping-particle" : "", "family" : "Guida", "given" : "Guido Francesco", "non-dropping-particle" : "", "parse-names" : false, "suffix" : "" }, { "dropping-particle" : "", "family" : "Hardman", "given" : "Suzanna", "non-dropping-particle" : "", "parse-names" : false, "suffix" : "" }, { "dropping-particle" : "", "family" : "Iung", "given" : "Bernard", "non-dropping-particle" : "", "parse-names" : false, "suffix" : "" }, { "dropping-particle" : "", "family" : "Merkely", "given" : "Bela", "non-dropping-particle" : "", "parse-names" : false, "suffix" : "" }, { "dropping-particle" : "", "family" : "Mueller", "given" : "Christian", "non-dropping-particle" : "", "parse-names" : false, "suffix" : "" }, { "dropping-particle" : "", "family" : "Nanas", "given" : "John N", "non-dropping-particle" : "", "parse-names" : false, "suffix" : "" }, { "dropping-particle" : "", "family" : "Nielsen", "given" : "Olav Wendelboe", "non-dropping-particle" : "", "parse-names" : false, "suffix" : "" }, { "dropping-particle" : "", "family" : "Orn", "given" : "Stein", "non-dropping-particle" : "", "parse-names" : false, "suffix" : "" }, { "dropping-particle" : "", "family" : "Parissis", "given" : "John T", "non-dropping-particle" : "", "parse-names" : false, "suffix" : "" }, { "dropping-particle" : "", "family" : "Ponikowski", "given" : "Piotr", "non-dropping-particle" : "", "parse-names" : false, "suffix" : "" }, { "dropping-particle" : "", "family" : "ESC Committee for Practice Guidelines", "given" : "", "non-dropping-particle" : "", "parse-names" : false, "suffix" : "" } ], "container-title" : "European journal of heart failure", "id" : "ITEM-2", "issue" : "8", "issued" : { "date-parts" : [ [ "2012", "8" ] ] }, "page" : "803-69", "title" : "ESC guidelines for the diagnosis and treatment of acute and chronic heart failure 2012: The Task Force for the Diagnosis and Treatment of Acute and Chronic Heart Failure 2012 of the European Society of Cardiology. Developed in collaboration with the Heart", "type" : "article-journal", "volume" : "14" }, "uris" : [ "http://www.mendeley.com/documents/?uuid=127cc366-5d5d-4141-9aaf-dadce2574fb0" ] }, { "id" : "ITEM-3", "itemData" : { "DOI" : "10.1002/ejhf.592", "ISSN" : "1879-0844", "PMID" : "27207191", "author" : [ { "dropping-particle" : "", "family" : "Ponikowski", "given" : "Piotr", "non-dropping-particle" : "", "parse-names" : false, "suffix" : "" }, { "dropping-particle" : "", "family" : "Voors", "given" : "Adriaan A", "non-dropping-particle" : "", "parse-names" : false, "suffix" : "" }, { "dropping-particle" : "", "family" : "Anker", "given" : "Stefan D", "non-dropping-particle" : "", "parse-names" : false, "suffix" : "" }, { "dropping-particle" : "", "family" : "Bueno", "given" : "H\u00e9ctor", "non-dropping-particle" : "", "parse-names" : false, "suffix" : "" }, { "dropping-particle" : "", "family" : "Cleland", "given" : "John G F", "non-dropping-particle" : "", "parse-names" : false, "suffix" : "" }, { "dropping-particle" : "", "family" : "Coats", "given" : "Andrew J S", "non-dropping-particle" : "", "parse-names" : false, "suffix" : "" }, { "dropping-particle" : "", "family" : "Falk", "given" : "Volkmar", "non-dropping-particle" : "", "parse-names" : false, "suffix" : "" }, { "dropping-particle" : "", "family" : "Gonz\u00e1lez-Juanatey", "given" : "Jos\u00e9 Ram\u00f3n", "non-dropping-particle" : "", "parse-names" : false, "suffix" : "" }, { "dropping-particle" : "", "family" : "Harjola", "given" : "Veli-Pekka", "non-dropping-particle" : "", "parse-names" : false, "suffix" : "" }, { "dropping-particle" : "", "family" : "Jankowska", "given" : "Ewa A", "non-dropping-particle" : "", "parse-names" : false, "suffix" : "" }, { "dropping-particle" : "", "family" : "Jessup", "given" : "Mariell", "non-dropping-particle" : "", "parse-names" : false, "suffix" : "" }, { "dropping-particle" : "", "family" : "Linde", "given" : "Cecilia", "non-dropping-particle" : "", "parse-names" : false, "suffix" : "" }, { "dropping-particle" : "", "family" : "Nihoyannopoulos", "given" : "Petros", "non-dropping-particle" : "", "parse-names" : false, "suffix" : "" }, { "dropping-particle" : "", "family" : "Parissis", "given" : "John T", "non-dropping-particle" : "", "parse-names" : false, "suffix" : "" }, { "dropping-particle" : "", "family" : "Pieske", "given" : "Burkert", "non-dropping-particle" : "", "parse-names" : false, "suffix" : "" }, { "dropping-particle" : "", "family" : "Riley", "given" : "Jillian P", "non-dropping-particle" : "", "parse-names" : false, "suffix" : "" }, { "dropping-particle" : "", "family" : "Rosano", "given" : "Giuseppe M C", "non-dropping-particle" : "", "parse-names" : false, "suffix" : "" }, { "dropping-particle" : "", "family" : "Ruilope", "given" : "Luis M", "non-dropping-particle" : "", "parse-names" : false, "suffix" : "" }, { "dropping-particle" : "", "family" : "Ruschitzka", "given" : "Frank", "non-dropping-particle" : "", "parse-names" : false, "suffix" : "" }, { "dropping-particle" : "", "family" : "Rutten", "given" : "Frans H", "non-dropping-particle" : "", "parse-names" : false, "suffix" : "" }, { "dropping-particle" : "", "family" : "Meer", "given" : "Peter", "non-dropping-particle" : "van der", "parse-names" : false, "suffix" : "" }, { "dropping-particle" : "", "family" : "Authors/Task Force Members", "given" : "", "non-dropping-particle" : "", "parse-names" : false, "suffix" : "" }, { "dropping-particle" : "", "family" : "Document Reviewers", "given" : "", "non-dropping-particle" : "", "parse-names" : false, "suffix" : "" } ], "container-title" : "European journal of heart failure", "id" : "ITEM-3", "issue" : "8", "issued" : { "date-parts" : [ [ "2016", "8", "20" ] ] }, "page" : "891-975", "title" : "2016 ESC Guidelines for the diagnosis and treatment of acute and chronic heart failure: The Task Force for the diagnosis and treatment of acute and chronic heart failure of the European Society of Cardiology (ESC). Developed with the special contribution", "type" : "article-journal", "volume" : "18" }, "uris" : [ "http://www.mendeley.com/documents/?uuid=b52716cf-f7ad-4c20-84c1-bf81fa7ae1a7" ] } ], "mendeley" : { "formattedCitation" : "(9\u201311)", "plainTextFormattedCitation" : "(9\u201311)", "previouslyFormattedCitation" : "(9\u201311)" }, "properties" : { "noteIndex" : 0 }, "schema" : "https://github.com/citation-style-language/schema/raw/master/csl-citation.json" }</w:instrText>
      </w:r>
      <w:r w:rsidRPr="006A3846">
        <w:rPr>
          <w:color w:val="000000" w:themeColor="text1"/>
          <w:lang w:val="en-GB"/>
        </w:rPr>
        <w:fldChar w:fldCharType="separate"/>
      </w:r>
      <w:r w:rsidR="00C374CD" w:rsidRPr="00071C5B">
        <w:rPr>
          <w:noProof/>
          <w:color w:val="000000" w:themeColor="text1"/>
          <w:lang w:val="en-GB"/>
        </w:rPr>
        <w:t>(9–11)</w:t>
      </w:r>
      <w:r w:rsidRPr="006A3846">
        <w:rPr>
          <w:color w:val="000000" w:themeColor="text1"/>
          <w:lang w:val="en-GB"/>
        </w:rPr>
        <w:fldChar w:fldCharType="end"/>
      </w:r>
      <w:r w:rsidRPr="00071C5B">
        <w:rPr>
          <w:color w:val="000000" w:themeColor="text1"/>
          <w:lang w:val="en-US"/>
        </w:rPr>
        <w:t xml:space="preserve">; B) patients will be up-titrated by a biomarker-based treatment-selection model; C) </w:t>
      </w:r>
      <w:r w:rsidR="0021431E" w:rsidRPr="00071C5B">
        <w:rPr>
          <w:color w:val="000000" w:themeColor="text1"/>
          <w:lang w:val="en-US"/>
        </w:rPr>
        <w:t>no</w:t>
      </w:r>
      <w:r w:rsidRPr="00071C5B">
        <w:rPr>
          <w:color w:val="000000" w:themeColor="text1"/>
          <w:lang w:val="en-US"/>
        </w:rPr>
        <w:t xml:space="preserve"> patient </w:t>
      </w:r>
      <w:r w:rsidR="0021431E" w:rsidRPr="00071C5B">
        <w:rPr>
          <w:color w:val="000000" w:themeColor="text1"/>
          <w:lang w:val="en-US"/>
        </w:rPr>
        <w:t>is</w:t>
      </w:r>
      <w:r w:rsidRPr="00071C5B">
        <w:rPr>
          <w:color w:val="000000" w:themeColor="text1"/>
          <w:lang w:val="en-US"/>
        </w:rPr>
        <w:t xml:space="preserve"> treated </w:t>
      </w:r>
      <w:r w:rsidR="0021431E" w:rsidRPr="00071C5B">
        <w:rPr>
          <w:color w:val="000000" w:themeColor="text1"/>
          <w:lang w:val="en-US"/>
        </w:rPr>
        <w:t>at</w:t>
      </w:r>
      <w:r w:rsidRPr="00071C5B">
        <w:rPr>
          <w:color w:val="000000" w:themeColor="text1"/>
          <w:lang w:val="en-US"/>
        </w:rPr>
        <w:t xml:space="preserve"> </w:t>
      </w:r>
      <w:r w:rsidR="009D582A" w:rsidRPr="00071C5B">
        <w:rPr>
          <w:color w:val="000000" w:themeColor="text1"/>
          <w:lang w:val="en-US"/>
        </w:rPr>
        <w:t>&gt;50%</w:t>
      </w:r>
      <w:r w:rsidR="007A1267" w:rsidRPr="00071C5B">
        <w:rPr>
          <w:color w:val="000000" w:themeColor="text1"/>
          <w:lang w:val="en-US"/>
        </w:rPr>
        <w:t xml:space="preserve"> of </w:t>
      </w:r>
      <w:r w:rsidR="00EE58A8" w:rsidRPr="00071C5B">
        <w:rPr>
          <w:color w:val="000000" w:themeColor="text1"/>
          <w:lang w:val="en-US"/>
        </w:rPr>
        <w:t>recommended dose</w:t>
      </w:r>
      <w:r w:rsidRPr="00071C5B">
        <w:rPr>
          <w:color w:val="000000" w:themeColor="text1"/>
          <w:lang w:val="en-US"/>
        </w:rPr>
        <w:t>.</w:t>
      </w:r>
    </w:p>
    <w:p w14:paraId="3E579D71" w14:textId="127AC0B8" w:rsidR="0061411C" w:rsidRDefault="0061411C" w:rsidP="0061411C">
      <w:pPr>
        <w:spacing w:line="480" w:lineRule="auto"/>
        <w:rPr>
          <w:b/>
          <w:color w:val="000000" w:themeColor="text1"/>
          <w:lang w:val="en-GB"/>
        </w:rPr>
      </w:pPr>
      <w:r w:rsidRPr="00071C5B">
        <w:rPr>
          <w:b/>
          <w:color w:val="000000" w:themeColor="text1"/>
          <w:lang w:val="en-GB"/>
        </w:rPr>
        <w:lastRenderedPageBreak/>
        <w:t>Methods</w:t>
      </w:r>
    </w:p>
    <w:p w14:paraId="10E779B4" w14:textId="77777777" w:rsidR="0061411C" w:rsidRPr="0061411C" w:rsidRDefault="00025C98" w:rsidP="0061411C">
      <w:pPr>
        <w:spacing w:line="480" w:lineRule="auto"/>
        <w:rPr>
          <w:i/>
          <w:color w:val="000000" w:themeColor="text1"/>
          <w:lang w:val="en-GB"/>
        </w:rPr>
      </w:pPr>
      <w:r w:rsidRPr="0061411C">
        <w:rPr>
          <w:i/>
          <w:color w:val="000000" w:themeColor="text1"/>
          <w:lang w:val="en-GB"/>
        </w:rPr>
        <w:t>Patients</w:t>
      </w:r>
    </w:p>
    <w:p w14:paraId="71EA6504" w14:textId="77777777" w:rsidR="001C748B" w:rsidRDefault="00025C98" w:rsidP="001C748B">
      <w:pPr>
        <w:spacing w:line="480" w:lineRule="auto"/>
        <w:ind w:firstLine="720"/>
        <w:rPr>
          <w:color w:val="000000" w:themeColor="text1"/>
          <w:lang w:val="en-GB"/>
        </w:rPr>
      </w:pPr>
      <w:r w:rsidRPr="00071C5B">
        <w:rPr>
          <w:color w:val="000000" w:themeColor="text1"/>
          <w:lang w:val="en-GB"/>
        </w:rPr>
        <w:t xml:space="preserve">BIOSTAT-CHF is a </w:t>
      </w:r>
      <w:proofErr w:type="spellStart"/>
      <w:r w:rsidRPr="00071C5B">
        <w:rPr>
          <w:color w:val="000000" w:themeColor="text1"/>
          <w:lang w:val="en-GB"/>
        </w:rPr>
        <w:t>multicenter</w:t>
      </w:r>
      <w:proofErr w:type="spellEnd"/>
      <w:r w:rsidRPr="00071C5B">
        <w:rPr>
          <w:color w:val="000000" w:themeColor="text1"/>
          <w:lang w:val="en-GB"/>
        </w:rPr>
        <w:t xml:space="preserve"> prospective study of 2516 patients from 69 </w:t>
      </w:r>
      <w:proofErr w:type="spellStart"/>
      <w:r w:rsidRPr="00071C5B">
        <w:rPr>
          <w:color w:val="000000" w:themeColor="text1"/>
          <w:lang w:val="en-GB"/>
        </w:rPr>
        <w:t>c</w:t>
      </w:r>
      <w:r w:rsidR="00806203" w:rsidRPr="00071C5B">
        <w:rPr>
          <w:color w:val="000000" w:themeColor="text1"/>
          <w:lang w:val="en-GB"/>
        </w:rPr>
        <w:t>enters</w:t>
      </w:r>
      <w:proofErr w:type="spellEnd"/>
      <w:r w:rsidR="00806203" w:rsidRPr="00071C5B">
        <w:rPr>
          <w:color w:val="000000" w:themeColor="text1"/>
          <w:lang w:val="en-GB"/>
        </w:rPr>
        <w:t xml:space="preserve"> in 11 European </w:t>
      </w:r>
      <w:r w:rsidR="00806203" w:rsidRPr="00071C5B">
        <w:rPr>
          <w:color w:val="000000" w:themeColor="text1"/>
          <w:lang w:val="en-US"/>
        </w:rPr>
        <w:t>countries</w:t>
      </w:r>
      <w:r w:rsidR="00806203" w:rsidRPr="00071C5B">
        <w:rPr>
          <w:color w:val="000000" w:themeColor="text1"/>
          <w:lang w:val="en-GB"/>
        </w:rPr>
        <w:t xml:space="preserve"> </w:t>
      </w:r>
      <w:r w:rsidR="00806203" w:rsidRPr="006A3846">
        <w:rPr>
          <w:color w:val="000000" w:themeColor="text1"/>
          <w:lang w:val="en-GB"/>
        </w:rPr>
        <w:fldChar w:fldCharType="begin" w:fldLock="1"/>
      </w:r>
      <w:r w:rsidR="00A032C6">
        <w:rPr>
          <w:color w:val="000000" w:themeColor="text1"/>
          <w:lang w:val="en-GB"/>
        </w:rPr>
        <w:instrText>ADDIN CSL_CITATION { "citationItems" : [ { "id" : "ITEM-1", "itemData" : { "DOI" : "10.1002/ejhf.531", "ISSN" : "1879-0844", "PMID" : "27126231", "abstract" : "AIMS Despite major improvements in pharmacological and device treatments, heart failure remains a syndrome with high morbidity and mortality, poor quality of life, and high health-care costs. Given the extensive heterogeneity among patients with heart failure, substantial differences in the response to therapy can be expected. We hypothesize that individualized therapy is an essential next step to improve outcomes in patients with heart failure. METHODS The BIOlogy Study to TAilored Treatment in Chronic Heart Failure (BIOSTAT-CHF) included 2516 patients with worsening signs and/or symptoms of heart failure from 11 European countries, who were considered to be on suboptimal medical treatment. Another 1738 patients from Scotland were included in a validation cohort. Overall, both patient cohorts were well matched. The majority of patients were hospitalized for acute heart failure, and the remainder presented with worsening signs and/or symptoms of heart failure at outpatient clinics. Approximately half of the patients were in New York Heart Association class III, and 7% vs 34% of patients of the index vs validation cohort had heart failure with preserved ejection fraction. According to study design, all patients used diuretics, but owing to the inclusion criteria of both cohorts, patients were not on optimal, evidence-based medical therapy. In the follow-up phase, uptitration to guideline-recommended doses was encouraged. CONCLUSION By using a novel systems biology approach, incorporating demographics, biomarkers, genome-wide analysis, and proteomics, a model that predicts response to therapy will be developed, which should be instrumental in developing alternative therapies for patients with suboptimal response to currently recommended therapies and thus further improve care for patients with heart failure.", "author" : [ { "dropping-particle" : "", "family" : "Voors", "given" : "Adriaan A", "non-dropping-particle" : "", "parse-names" : false, "suffix" : "" }, { "dropping-particle" : "", "family" : "Anker", "given" : "Stefan D", "non-dropping-particle" : "", "parse-names" : false, "suffix" : "" }, { "dropping-particle" : "", "family" : "Cleland", "given" : "John G", "non-dropping-particle" : "", "parse-names" : false, "suffix" : "" }, { "dropping-particle" : "", "family" : "Dickstein", "given" : "Kenneth", "non-dropping-particle" : "", "parse-names" : false, "suffix" : "" }, { "dropping-particle" : "", "family" : "Filippatos", "given" : "Gerasimos", "non-dropping-particle" : "", "parse-names" : false, "suffix" : "" }, { "dropping-particle" : "", "family" : "Harst", "given" : "Pim", "non-dropping-particle" : "van der", "parse-names" : false, "suffix" : "" }, { "dropping-particle" : "", "family" : "Hillege", "given" : "Hans L", "non-dropping-particle" : "", "parse-names" : false, "suffix" : "" }, { "dropping-particle" : "", "family" : "Lang", "given" : "Chim C", "non-dropping-particle" : "", "parse-names" : false, "suffix" : "" }, { "dropping-particle" : "", "family" : "Maaten", "given" : "Jozine M", "non-dropping-particle" : "Ter", "parse-names" : false, "suffix" : "" }, { "dropping-particle" : "", "family" : "Ng", "given" : "Leong", "non-dropping-particle" : "", "parse-names" : false, "suffix" : "" }, { "dropping-particle" : "", "family" : "Ponikowski", "given" : "Piotr", "non-dropping-particle" : "", "parse-names" : false, "suffix" : "" }, { "dropping-particle" : "", "family" : "Samani", "given" : "Nilesh J", "non-dropping-particle" : "", "parse-names" : false, "suffix" : "" }, { "dropping-particle" : "", "family" : "Veldhuisen", "given" : "Dirk J", "non-dropping-particle" : "van", "parse-names" : false, "suffix" : "" }, { "dropping-particle" : "", "family" : "Zannad", "given" : "Faiz", "non-dropping-particle" : "", "parse-names" : false, "suffix" : "" }, { "dropping-particle" : "", "family" : "Zwinderman", "given" : "Aeilko H", "non-dropping-particle" : "", "parse-names" : false, "suffix" : "" }, { "dropping-particle" : "", "family" : "Metra", "given" : "Marco", "non-dropping-particle" : "", "parse-names" : false, "suffix" : "" } ], "container-title" : "European journal of heart failure", "id" : "ITEM-1", "issue" : "6", "issued" : { "date-parts" : [ [ "2016", "6", "29" ] ] }, "note" : "NULL", "page" : "716-26", "title" : "A systems BIOlogy Study to TAilored Treatment in Chronic Heart Failure: rationale, design, and baseline characteristics of BIOSTAT-CHF.", "type" : "article-journal", "volume" : "18" }, "uris" : [ "http://www.mendeley.com/documents/?uuid=cbfd69e6-71de-4f4a-a6fc-1dcc5ca842ac" ] } ], "mendeley" : { "formattedCitation" : "(20)", "plainTextFormattedCitation" : "(20)", "previouslyFormattedCitation" : "(20)" }, "properties" : { "noteIndex" : 0 }, "schema" : "https://github.com/citation-style-language/schema/raw/master/csl-citation.json" }</w:instrText>
      </w:r>
      <w:r w:rsidR="00806203" w:rsidRPr="006A3846">
        <w:rPr>
          <w:color w:val="000000" w:themeColor="text1"/>
          <w:lang w:val="en-GB"/>
        </w:rPr>
        <w:fldChar w:fldCharType="separate"/>
      </w:r>
      <w:r w:rsidR="00A032C6" w:rsidRPr="00A032C6">
        <w:rPr>
          <w:noProof/>
          <w:color w:val="000000" w:themeColor="text1"/>
          <w:lang w:val="en-GB"/>
        </w:rPr>
        <w:t>(20)</w:t>
      </w:r>
      <w:r w:rsidR="00806203" w:rsidRPr="006A3846">
        <w:rPr>
          <w:color w:val="000000" w:themeColor="text1"/>
          <w:lang w:val="en-GB"/>
        </w:rPr>
        <w:fldChar w:fldCharType="end"/>
      </w:r>
      <w:r w:rsidR="00806203" w:rsidRPr="00071C5B">
        <w:rPr>
          <w:color w:val="000000" w:themeColor="text1"/>
          <w:lang w:val="en-GB"/>
        </w:rPr>
        <w:t>.</w:t>
      </w:r>
      <w:r w:rsidR="00636F0B" w:rsidRPr="00071C5B">
        <w:rPr>
          <w:color w:val="000000" w:themeColor="text1"/>
          <w:lang w:val="en-GB"/>
        </w:rPr>
        <w:t xml:space="preserve"> </w:t>
      </w:r>
      <w:r w:rsidRPr="00071C5B">
        <w:rPr>
          <w:color w:val="000000" w:themeColor="text1"/>
          <w:lang w:val="en-GB"/>
        </w:rPr>
        <w:t>Included patients were aged &gt;18 years with symptoms of new-onset or worsening heart failure, confirmed either by a left ventricular ejection fraction (LVEF) of ≤40% or B-type Natriuretic Peptide (BNP) and/or (N-terminal pro) B-type natriuretic peptide (NT-</w:t>
      </w:r>
      <w:proofErr w:type="spellStart"/>
      <w:r w:rsidRPr="00071C5B">
        <w:rPr>
          <w:color w:val="000000" w:themeColor="text1"/>
          <w:lang w:val="en-GB"/>
        </w:rPr>
        <w:t>proBNP</w:t>
      </w:r>
      <w:proofErr w:type="spellEnd"/>
      <w:r w:rsidRPr="00071C5B">
        <w:rPr>
          <w:color w:val="000000" w:themeColor="text1"/>
          <w:lang w:val="en-GB"/>
        </w:rPr>
        <w:t xml:space="preserve">) plasma levels &gt;400 </w:t>
      </w:r>
      <w:proofErr w:type="spellStart"/>
      <w:r w:rsidRPr="00071C5B">
        <w:rPr>
          <w:color w:val="000000" w:themeColor="text1"/>
          <w:lang w:val="en-GB"/>
        </w:rPr>
        <w:t>pg</w:t>
      </w:r>
      <w:proofErr w:type="spellEnd"/>
      <w:r w:rsidRPr="00071C5B">
        <w:rPr>
          <w:color w:val="000000" w:themeColor="text1"/>
          <w:lang w:val="en-GB"/>
        </w:rPr>
        <w:t>/ml or &gt;2,000pg/ml, respectively. At inclusion, patients were treated with either oral or intravenous furosemide ≥40 mg/day or equivalent at the time of inclusion, and were not previously treated with evidence based therapies (ACE-inhibitor/ARB and beta-blocker) or were receiving ≤</w:t>
      </w:r>
      <w:r w:rsidR="00F15A78" w:rsidRPr="00071C5B">
        <w:rPr>
          <w:color w:val="000000" w:themeColor="text1"/>
          <w:lang w:val="en-GB"/>
        </w:rPr>
        <w:t xml:space="preserve"> </w:t>
      </w:r>
      <w:r w:rsidRPr="00071C5B">
        <w:rPr>
          <w:color w:val="000000" w:themeColor="text1"/>
          <w:lang w:val="en-GB"/>
        </w:rPr>
        <w:t>50% of the target doses of these drugs at the time of inclusion and had an anticipated initiation or up-titration of ACE-inhibitor/ARB and/or beta-blocker therapy by the treating physician.</w:t>
      </w:r>
      <w:r w:rsidR="004D7CF8" w:rsidRPr="00071C5B">
        <w:rPr>
          <w:color w:val="000000" w:themeColor="text1"/>
          <w:lang w:val="en-GB"/>
        </w:rPr>
        <w:t xml:space="preserve"> IRB approval was obtained in all countries.</w:t>
      </w:r>
    </w:p>
    <w:p w14:paraId="00D67C2A" w14:textId="77777777" w:rsidR="001C748B" w:rsidRDefault="00025C98" w:rsidP="001C748B">
      <w:pPr>
        <w:spacing w:line="480" w:lineRule="auto"/>
        <w:rPr>
          <w:b/>
          <w:color w:val="000000" w:themeColor="text1"/>
          <w:lang w:val="en-GB"/>
        </w:rPr>
      </w:pPr>
      <w:r w:rsidRPr="00071C5B">
        <w:rPr>
          <w:b/>
          <w:color w:val="000000" w:themeColor="text1"/>
          <w:lang w:val="en-GB"/>
        </w:rPr>
        <w:t>Evidence-based heart failure treatment</w:t>
      </w:r>
    </w:p>
    <w:p w14:paraId="489C9187" w14:textId="77777777" w:rsidR="001C748B" w:rsidRDefault="00025C98" w:rsidP="001C748B">
      <w:pPr>
        <w:spacing w:line="480" w:lineRule="auto"/>
        <w:ind w:firstLine="720"/>
        <w:rPr>
          <w:color w:val="000000" w:themeColor="text1"/>
          <w:lang w:val="en-GB"/>
        </w:rPr>
      </w:pPr>
      <w:r w:rsidRPr="00071C5B">
        <w:rPr>
          <w:color w:val="000000" w:themeColor="text1"/>
          <w:lang w:val="en-GB"/>
        </w:rPr>
        <w:t>Pati</w:t>
      </w:r>
      <w:r w:rsidR="000E5434" w:rsidRPr="00071C5B">
        <w:rPr>
          <w:color w:val="000000" w:themeColor="text1"/>
          <w:lang w:val="en-GB"/>
        </w:rPr>
        <w:t xml:space="preserve">ents were treated according to </w:t>
      </w:r>
      <w:r w:rsidRPr="00071C5B">
        <w:rPr>
          <w:color w:val="000000" w:themeColor="text1"/>
          <w:lang w:val="en-GB"/>
        </w:rPr>
        <w:t>evidence based</w:t>
      </w:r>
      <w:r w:rsidR="00A62216" w:rsidRPr="00071C5B">
        <w:rPr>
          <w:color w:val="000000" w:themeColor="text1"/>
          <w:lang w:val="en-GB"/>
        </w:rPr>
        <w:t xml:space="preserve"> ESC</w:t>
      </w:r>
      <w:r w:rsidRPr="00071C5B">
        <w:rPr>
          <w:color w:val="000000" w:themeColor="text1"/>
          <w:lang w:val="en-GB"/>
        </w:rPr>
        <w:t xml:space="preserve"> heart failure guidelines  </w:t>
      </w:r>
      <w:r w:rsidR="004C148F" w:rsidRPr="00071C5B">
        <w:rPr>
          <w:color w:val="000000" w:themeColor="text1"/>
          <w:lang w:val="en-GB"/>
        </w:rPr>
        <w:t xml:space="preserve">available at time of inclusion </w:t>
      </w:r>
      <w:r w:rsidRPr="004F4BB2">
        <w:rPr>
          <w:color w:val="000000" w:themeColor="text1"/>
          <w:lang w:val="en-GB"/>
        </w:rPr>
        <w:fldChar w:fldCharType="begin" w:fldLock="1"/>
      </w:r>
      <w:r w:rsidR="00BA7610" w:rsidRPr="00071C5B">
        <w:rPr>
          <w:color w:val="000000" w:themeColor="text1"/>
          <w:lang w:val="en-GB"/>
        </w:rPr>
        <w:instrText>ADDIN CSL_CITATION { "citationItems" : [ { "id" : "ITEM-1", "itemData" : { "DOI" : "10.1093/eurheartj/ehn309", "ISSN" : "1522-9645", "PMID" : "18799522", "author" : [ { "dropping-particle" : "", "family" : "Dickstein", "given" : "Kenneth", "non-dropping-particle" : "", "parse-names" : false, "suffix" : "" }, { "dropping-particle" : "", "family" : "Cohen-Solal", "given" : "Alain", "non-dropping-particle" : "", "parse-names" : false, "suffix" : "" }, { "dropping-particle" : "", "family" : "Filippatos", "given" : "Gerasimos", "non-dropping-particle" : "", "parse-names" : false, "suffix" : "" }, { "dropping-particle" : "V", "family" : "McMurray", "given" : "John J", "non-dropping-particle" : "", "parse-names" : false, "suffix" : "" }, { "dropping-particle" : "", "family" : "Ponikowski", "given" : "Piotr", "non-dropping-particle" : "", "parse-names" : false, "suffix" : "" }, { "dropping-particle" : "", "family" : "Poole-Wilson", "given" : "Philip Alexander", "non-dropping-particle" : "", "parse-names" : false, "suffix" : "" }, { "dropping-particle" : "", "family" : "Str\u00f6mberg", "given" : "Anna", "non-dropping-particle" : "", "parse-names" : false, "suffix" : "" }, { "dropping-particle" : "", "family" : "Veldhuisen", "given" : "Dirk J", "non-dropping-particle" : "van", "parse-names" : false, "suffix" : "" }, { "dropping-particle" : "", "family" : "Atar", "given" : "Dan", "non-dropping-particle" : "", "parse-names" : false, "suffix" : "" }, { "dropping-particle" : "", "family" : "Hoes", "given" : "Arno W", "non-dropping-particle" : "", "parse-names" : false, "suffix" : "" }, { "dropping-particle" : "", "family" : "Keren", "given" : "Andre", "non-dropping-particle" : "", "parse-names" : false, "suffix" : "" }, { "dropping-particle" : "", "family" : "Mebazaa", "given" : "Alexandre", "non-dropping-particle" : "", "parse-names" : false, "suffix" : "" }, { "dropping-particle" : "", "family" : "Nieminen", "given" : "Markku", "non-dropping-particle" : "", "parse-names" : false, "suffix" : "" }, { "dropping-particle" : "", "family" : "Priori", "given" : "Silvia Giuliana", "non-dropping-particle" : "", "parse-names" : false, "suffix" : "" }, { "dropping-particle" : "", "family" : "Swedberg", "given" : "Karl", "non-dropping-particle" : "", "parse-names" : false, "suffix" : "" }, { "dropping-particle" : "", "family" : "ESC Committee for Practice Guidelines (CPG)", "given" : "", "non-dropping-particle" : "", "parse-names" : false, "suffix" : "" } ], "container-title" : "European heart journal", "id" : "ITEM-1", "issue" : "19", "issued" : { "date-parts" : [ [ "2008", "10", "1" ] ] }, "page" : "2388-442", "title" : "ESC Guidelines for the diagnosis and treatment of acute and chronic heart failure 2008: the Task Force for the Diagnosis and Treatment of Acute and Chronic Heart Failure 2008 of the European Society of Cardiology. Developed in collaboration with the Heart", "type" : "article-journal", "volume" : "29" }, "uris" : [ "http://www.mendeley.com/documents/?uuid=66357fde-93a9-4fac-ac3b-6e977b367958" ] }, { "id" : "ITEM-2", "itemData" : { "DOI" : "10.1093/eurjhf/hfs105", "ISSN" : "1879-0844", "PMID" : "22828712", "author" : [ { "dropping-particle" : "V", "family" : "McMurray", "given" : "John J", "non-dropping-particle" : "", "parse-names" : false, "suffix" : "" }, { "dropping-particle" : "", "family" : "Adamopoulos", "given" : "Stamatis", "non-dropping-particle" : "", "parse-names" : false, "suffix" : "" }, { "dropping-particle" : "", "family" : "Anker", "given" : "Stefan D", "non-dropping-particle" : "", "parse-names" : false, "suffix" : "" }, { "dropping-particle" : "", "family" : "Auricchio", "given" : "Angelo", "non-dropping-particle" : "", "parse-names" : false, "suffix" : "" }, { "dropping-particle" : "", "family" : "B\u00f6hm", "given" : "Michael", "non-dropping-particle" : "", "parse-names" : false, "suffix" : "" }, { "dropping-particle" : "", "family" : "Dickstein", "given" : "Kenneth", "non-dropping-particle" : "", "parse-names" : false, "suffix" : "" }, { "dropping-particle" : "", "family" : "Falk", "given" : "Volkmar", "non-dropping-particle" : "", "parse-names" : false, "suffix" : "" }, { "dropping-particle" : "", "family" : "Filippatos", "given" : "Gerasimos", "non-dropping-particle" : "", "parse-names" : false, "suffix" : "" }, { "dropping-particle" : "", "family" : "Fonseca", "given" : "C\u00e2ndida", "non-dropping-particle" : "", "parse-names" : false, "suffix" : "" }, { "dropping-particle" : "", "family" : "Gomez-Sanchez", "given" : "Miguel Angel", "non-dropping-particle" : "", "parse-names" : false, "suffix" : "" }, { "dropping-particle" : "", "family" : "Jaarsma", "given" : "Tiny", "non-dropping-particle" : "", "parse-names" : false, "suffix" : "" }, { "dropping-particle" : "", "family" : "K\u00f8ber", "given" : "Lars", "non-dropping-particle" : "", "parse-names" : false, "suffix" : "" }, { "dropping-particle" : "", "family" : "Lip", "given" : "Gregory Y H", "non-dropping-particle" : "", "parse-names" : false, "suffix" : "" }, { "dropping-particle" : "Pietro", "family" : "Maggioni", "given" : "Aldo", "non-dropping-particle" : "", "parse-names" : false, "suffix" : "" }, { "dropping-particle" : "", "family" : "Parkhomenko", "given" : "Alexander", "non-dropping-particle" : "", "parse-names" : false, "suffix" : "" }, { "dropping-particle" : "", "family" : "Pieske", "given" : "Burkert M", "non-dropping-particle" : "", "parse-names" : false, "suffix" : "" }, { "dropping-particle" : "", "family" : "Popescu", "given" : "Bogdan a", "non-dropping-particle" : "", "parse-names" : false, "suffix" : "" }, { "dropping-particle" : "", "family" : "R\u00f8nnevik", "given" : "Per K", "non-dropping-particle" : "", "parse-names" : false, "suffix" : "" }, { "dropping-particle" : "", "family" : "Rutten", "given" : "Frans H", "non-dropping-particle" : "", "parse-names" : false, "suffix" : "" }, { "dropping-particle" : "", "family" : "Schwitter", "given" : "Juerg", "non-dropping-particle" : "", "parse-names" : false, "suffix" : "" }, { "dropping-particle" : "", "family" : "Seferovic", "given" : "Petar", "non-dropping-particle" : "", "parse-names" : false, "suffix" : "" }, { "dropping-particle" : "", "family" : "Stepinska", "given" : "Janina", "non-dropping-particle" : "", "parse-names" : false, "suffix" : "" }, { "dropping-particle" : "", "family" : "Trindade", "given" : "Pedro T", "non-dropping-particle" : "", "parse-names" : false, "suffix" : "" }, { "dropping-particle" : "", "family" : "Voors", "given" : "Adriaan a", "non-dropping-particle" : "", "parse-names" : false, "suffix" : "" }, { "dropping-particle" : "", "family" : "Zannad", "given" : "Faiez", "non-dropping-particle" : "", "parse-names" : false, "suffix" : "" }, { "dropping-particle" : "", "family" : "Zeiher", "given" : "Andreas", "non-dropping-particle" : "", "parse-names" : false, "suffix" : "" }, { "dropping-particle" : "", "family" : "Task Force for the Diagnosis and Treatment of Acute and Chronic Heart Failure 2012 of the European Society of Cardiology", "given" : "", "non-dropping-particle" : "", "parse-names" : false, "suffix" : "" }, { "dropping-particle" : "", "family" : "Bax", "given" : "Jeroen J",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"Tendera", "given" : "Michal",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"McDonagh", "given" : "Theresa", "non-dropping-particle" : "", "parse-names" : false, "suffix" : "" }, { "dropping-particle" : "", "family" : "Sechtem", "given" : "Udo", "non-dropping-particle" : "", "parse-names" : false, "suffix" : "" }, { "dropping-particle" : "", "family" : "Bonet", "given" : "Luis Almenar", "non-dropping-particle" : "", "parse-names" : false, "suffix" : "" }, { "dropping-particle" : "", "family" : "Avraamides", "given" : "Panayiotis", "non-dropping-particle" : "", "parse-names" : false, "suffix" : "" }, { "dropping-particle" : "", "family" : "Lamin", "given" : "Hisham a", "non-dropping-particle" : "Ben", "parse-names" : false, "suffix" : "" }, { "dropping-particle" : "", "family" : "Brignole", "given" : "Michele", "non-dropping-particle" : "", "parse-names" : false, "suffix" : "" }, { "dropping-particle" : "", "family" : "Coca", "given" : "Antonio", "non-dropping-particle" : "", "parse-names" : false, "suffix" : "" }, { "dropping-particle" : "", "family" : "Cowburn", "given" : "Peter", "non-dropping-particle" : "", "parse-names" : false, "suffix" : "" }, { "dropping-particle" : "", "family" : "Dargie", "given" : "Henry", "non-dropping-particle" : "", "parse-names" : false, "suffix" : "" }, { "dropping-particle" : "", "family" : "Elliott", "given" : "Perry", "non-dropping-particle" : "", "parse-names" : false, "suffix" : "" }, { "dropping-particle" : "", "family" : "Flachskampf", "given" : "Frank Arnold", "non-dropping-particle" : "", "parse-names" : false, "suffix" : "" }, { "dropping-particle" : "", "family" : "Guida", "given" : "Guido Francesco", "non-dropping-particle" : "", "parse-names" : false, "suffix" : "" }, { "dropping-particle" : "", "family" : "Hardman", "given" : "Suzanna", "non-dropping-particle" : "", "parse-names" : false, "suffix" : "" }, { "dropping-particle" : "", "family" : "Iung", "given" : "Bernard", "non-dropping-particle" : "", "parse-names" : false, "suffix" : "" }, { "dropping-particle" : "", "family" : "Merkely", "given" : "Bela", "non-dropping-particle" : "", "parse-names" : false, "suffix" : "" }, { "dropping-particle" : "", "family" : "Mueller", "given" : "Christian", "non-dropping-particle" : "", "parse-names" : false, "suffix" : "" }, { "dropping-particle" : "", "family" : "Nanas", "given" : "John N", "non-dropping-particle" : "", "parse-names" : false, "suffix" : "" }, { "dropping-particle" : "", "family" : "Nielsen", "given" : "Olav Wendelboe", "non-dropping-particle" : "", "parse-names" : false, "suffix" : "" }, { "dropping-particle" : "", "family" : "Orn", "given" : "Stein", "non-dropping-particle" : "", "parse-names" : false, "suffix" : "" }, { "dropping-particle" : "", "family" : "Parissis", "given" : "John T", "non-dropping-particle" : "", "parse-names" : false, "suffix" : "" }, { "dropping-particle" : "", "family" : "Ponikowski", "given" : "Piotr", "non-dropping-particle" : "", "parse-names" : false, "suffix" : "" }, { "dropping-particle" : "", "family" : "ESC Committee for Practice Guidelines", "given" : "", "non-dropping-particle" : "", "parse-names" : false, "suffix" : "" } ], "container-title" : "European journal of heart failure", "id" : "ITEM-2", "issue" : "8", "issued" : { "date-parts" : [ [ "2012", "8" ] ] }, "page" : "803-69", "title" : "ESC guidelines for the diagnosis and treatment of acute and chronic heart failure 2012: The Task Force for the Diagnosis and Treatment of Acute and Chronic Heart Failure 2012 of the European Society of Cardiology. Developed in collaboration with the Heart", "type" : "article-journal", "volume" : "14" }, "uris" : [ "http://www.mendeley.com/documents/?uuid=127cc366-5d5d-4141-9aaf-dadce2574fb0" ] }, { "id" : "ITEM-3", "itemData" : { "DOI" : "10.1002/ejhf.592", "ISSN" : "1879-0844", "PMID" : "27207191", "author" : [ { "dropping-particle" : "", "family" : "Ponikowski", "given" : "Piotr", "non-dropping-particle" : "", "parse-names" : false, "suffix" : "" }, { "dropping-particle" : "", "family" : "Voors", "given" : "Adriaan A", "non-dropping-particle" : "", "parse-names" : false, "suffix" : "" }, { "dropping-particle" : "", "family" : "Anker", "given" : "Stefan D", "non-dropping-particle" : "", "parse-names" : false, "suffix" : "" }, { "dropping-particle" : "", "family" : "Bueno", "given" : "H\u00e9ctor", "non-dropping-particle" : "", "parse-names" : false, "suffix" : "" }, { "dropping-particle" : "", "family" : "Cleland", "given" : "John G F", "non-dropping-particle" : "", "parse-names" : false, "suffix" : "" }, { "dropping-particle" : "", "family" : "Coats", "given" : "Andrew J S", "non-dropping-particle" : "", "parse-names" : false, "suffix" : "" }, { "dropping-particle" : "", "family" : "Falk", "given" : "Volkmar", "non-dropping-particle" : "", "parse-names" : false, "suffix" : "" }, { "dropping-particle" : "", "family" : "Gonz\u00e1lez-Juanatey", "given" : "Jos\u00e9 Ram\u00f3n", "non-dropping-particle" : "", "parse-names" : false, "suffix" : "" }, { "dropping-particle" : "", "family" : "Harjola", "given" : "Veli-Pekka", "non-dropping-particle" : "", "parse-names" : false, "suffix" : "" }, { "dropping-particle" : "", "family" : "Jankowska", "given" : "Ewa A", "non-dropping-particle" : "", "parse-names" : false, "suffix" : "" }, { "dropping-particle" : "", "family" : "Jessup", "given" : "Mariell", "non-dropping-particle" : "", "parse-names" : false, "suffix" : "" }, { "dropping-particle" : "", "family" : "Linde", "given" : "Cecilia", "non-dropping-particle" : "", "parse-names" : false, "suffix" : "" }, { "dropping-particle" : "", "family" : "Nihoyannopoulos", "given" : "Petros", "non-dropping-particle" : "", "parse-names" : false, "suffix" : "" }, { "dropping-particle" : "", "family" : "Parissis", "given" : "John T", "non-dropping-particle" : "", "parse-names" : false, "suffix" : "" }, { "dropping-particle" : "", "family" : "Pieske", "given" : "Burkert", "non-dropping-particle" : "", "parse-names" : false, "suffix" : "" }, { "dropping-particle" : "", "family" : "Riley", "given" : "Jillian P", "non-dropping-particle" : "", "parse-names" : false, "suffix" : "" }, { "dropping-particle" : "", "family" : "Rosano", "given" : "Giuseppe M C", "non-dropping-particle" : "", "parse-names" : false, "suffix" : "" }, { "dropping-particle" : "", "family" : "Ruilope", "given" : "Luis M", "non-dropping-particle" : "", "parse-names" : false, "suffix" : "" }, { "dropping-particle" : "", "family" : "Ruschitzka", "given" : "Frank", "non-dropping-particle" : "", "parse-names" : false, "suffix" : "" }, { "dropping-particle" : "", "family" : "Rutten", "given" : "Frans H", "non-dropping-particle" : "", "parse-names" : false, "suffix" : "" }, { "dropping-particle" : "", "family" : "Meer", "given" : "Peter", "non-dropping-particle" : "van der", "parse-names" : false, "suffix" : "" }, { "dropping-particle" : "", "family" : "Authors/Task Force Members", "given" : "", "non-dropping-particle" : "", "parse-names" : false, "suffix" : "" }, { "dropping-particle" : "", "family" : "Document Reviewers", "given" : "", "non-dropping-particle" : "", "parse-names" : false, "suffix" : "" } ], "container-title" : "European journal of heart failure", "id" : "ITEM-3", "issue" : "8", "issued" : { "date-parts" : [ [ "2016", "8", "20" ] ] }, "page" : "891-975", "title" : "2016 ESC Guidelines for the diagnosis and treatment of acute and chronic heart failure: The Task Force for the diagnosis and treatment of acute and chronic heart failure of the European Society of Cardiology (ESC). Developed with the special contribution", "type" : "article-journal", "volume" : "18" }, "uris" : [ "http://www.mendeley.com/documents/?uuid=b52716cf-f7ad-4c20-84c1-bf81fa7ae1a7" ] } ], "mendeley" : { "formattedCitation" : "(9\u201311)", "plainTextFormattedCitation" : "(9\u201311)", "previouslyFormattedCitation" : "(9\u201311)" }, "properties" : { "noteIndex" : 0 }, "schema" : "https://github.com/citation-style-language/schema/raw/master/csl-citation.json" }</w:instrText>
      </w:r>
      <w:r w:rsidRPr="004F4BB2">
        <w:rPr>
          <w:color w:val="000000" w:themeColor="text1"/>
          <w:lang w:val="en-GB"/>
        </w:rPr>
        <w:fldChar w:fldCharType="separate"/>
      </w:r>
      <w:r w:rsidR="00C374CD" w:rsidRPr="00071C5B">
        <w:rPr>
          <w:noProof/>
          <w:color w:val="000000" w:themeColor="text1"/>
          <w:lang w:val="en-GB"/>
        </w:rPr>
        <w:t>(9–11)</w:t>
      </w:r>
      <w:r w:rsidRPr="004F4BB2">
        <w:rPr>
          <w:color w:val="000000" w:themeColor="text1"/>
          <w:lang w:val="en-GB"/>
        </w:rPr>
        <w:fldChar w:fldCharType="end"/>
      </w:r>
      <w:r w:rsidRPr="00071C5B">
        <w:rPr>
          <w:color w:val="000000" w:themeColor="text1"/>
          <w:lang w:val="en-GB"/>
        </w:rPr>
        <w:t xml:space="preserve">. These recommend </w:t>
      </w:r>
      <w:r w:rsidR="00A62216" w:rsidRPr="00071C5B">
        <w:rPr>
          <w:color w:val="000000" w:themeColor="text1"/>
          <w:lang w:val="en-GB"/>
        </w:rPr>
        <w:t xml:space="preserve">up-titrating </w:t>
      </w:r>
      <w:r w:rsidRPr="00071C5B">
        <w:rPr>
          <w:color w:val="000000" w:themeColor="text1"/>
          <w:lang w:val="en-GB"/>
        </w:rPr>
        <w:t xml:space="preserve">patients </w:t>
      </w:r>
      <w:r w:rsidR="00A62216" w:rsidRPr="00071C5B">
        <w:rPr>
          <w:color w:val="000000" w:themeColor="text1"/>
          <w:lang w:val="en-GB"/>
        </w:rPr>
        <w:t>to recommended doses of ACE-inhibitors/ARBs and beta-blockers, unless not tolerated or contra-indicated</w:t>
      </w:r>
      <w:r w:rsidRPr="00071C5B">
        <w:rPr>
          <w:color w:val="000000" w:themeColor="text1"/>
          <w:lang w:val="en-GB"/>
        </w:rPr>
        <w:t xml:space="preserve"> </w:t>
      </w:r>
      <w:r w:rsidRPr="004F4BB2">
        <w:rPr>
          <w:color w:val="000000" w:themeColor="text1"/>
          <w:lang w:val="en-GB"/>
        </w:rPr>
        <w:fldChar w:fldCharType="begin" w:fldLock="1"/>
      </w:r>
      <w:r w:rsidR="00BA7610" w:rsidRPr="00071C5B">
        <w:rPr>
          <w:color w:val="000000" w:themeColor="text1"/>
          <w:lang w:val="en-GB"/>
        </w:rPr>
        <w:instrText>ADDIN CSL_CITATION { "citationItems" : [ { "id" : "ITEM-1", "itemData" : { "DOI" : "10.1093/eurheartj/ehn309", "ISSN" : "1522-9645", "PMID" : "18799522", "author" : [ { "dropping-particle" : "", "family" : "Dickstein", "given" : "Kenneth", "non-dropping-particle" : "", "parse-names" : false, "suffix" : "" }, { "dropping-particle" : "", "family" : "Cohen-Solal", "given" : "Alain", "non-dropping-particle" : "", "parse-names" : false, "suffix" : "" }, { "dropping-particle" : "", "family" : "Filippatos", "given" : "Gerasimos", "non-dropping-particle" : "", "parse-names" : false, "suffix" : "" }, { "dropping-particle" : "V", "family" : "McMurray", "given" : "John J", "non-dropping-particle" : "", "parse-names" : false, "suffix" : "" }, { "dropping-particle" : "", "family" : "Ponikowski", "given" : "Piotr", "non-dropping-particle" : "", "parse-names" : false, "suffix" : "" }, { "dropping-particle" : "", "family" : "Poole-Wilson", "given" : "Philip Alexander", "non-dropping-particle" : "", "parse-names" : false, "suffix" : "" }, { "dropping-particle" : "", "family" : "Str\u00f6mberg", "given" : "Anna", "non-dropping-particle" : "", "parse-names" : false, "suffix" : "" }, { "dropping-particle" : "", "family" : "Veldhuisen", "given" : "Dirk J", "non-dropping-particle" : "van", "parse-names" : false, "suffix" : "" }, { "dropping-particle" : "", "family" : "Atar", "given" : "Dan", "non-dropping-particle" : "", "parse-names" : false, "suffix" : "" }, { "dropping-particle" : "", "family" : "Hoes", "given" : "Arno W", "non-dropping-particle" : "", "parse-names" : false, "suffix" : "" }, { "dropping-particle" : "", "family" : "Keren", "given" : "Andre", "non-dropping-particle" : "", "parse-names" : false, "suffix" : "" }, { "dropping-particle" : "", "family" : "Mebazaa", "given" : "Alexandre", "non-dropping-particle" : "", "parse-names" : false, "suffix" : "" }, { "dropping-particle" : "", "family" : "Nieminen", "given" : "Markku", "non-dropping-particle" : "", "parse-names" : false, "suffix" : "" }, { "dropping-particle" : "", "family" : "Priori", "given" : "Silvia Giuliana", "non-dropping-particle" : "", "parse-names" : false, "suffix" : "" }, { "dropping-particle" : "", "family" : "Swedberg", "given" : "Karl", "non-dropping-particle" : "", "parse-names" : false, "suffix" : "" }, { "dropping-particle" : "", "family" : "ESC Committee for Practice Guidelines (CPG)", "given" : "", "non-dropping-particle" : "", "parse-names" : false, "suffix" : "" } ], "container-title" : "European heart journal", "id" : "ITEM-1", "issue" : "19", "issued" : { "date-parts" : [ [ "2008", "10", "1" ] ] }, "page" : "2388-442", "title" : "ESC Guidelines for the diagnosis and treatment of acute and chronic heart failure 2008: the Task Force for the Diagnosis and Treatment of Acute and Chronic Heart Failure 2008 of the European Society of Cardiology. Developed in collaboration with the Heart", "type" : "article-journal", "volume" : "29" }, "uris" : [ "http://www.mendeley.com/documents/?uuid=66357fde-93a9-4fac-ac3b-6e977b367958" ] }, { "id" : "ITEM-2", "itemData" : { "DOI" : "10.1093/eurjhf/hfs105", "ISSN" : "1879-0844", "PMID" : "22828712", "author" : [ { "dropping-particle" : "V", "family" : "McMurray", "given" : "John J", "non-dropping-particle" : "", "parse-names" : false, "suffix" : "" }, { "dropping-particle" : "", "family" : "Adamopoulos", "given" : "Stamatis", "non-dropping-particle" : "", "parse-names" : false, "suffix" : "" }, { "dropping-particle" : "", "family" : "Anker", "given" : "Stefan D", "non-dropping-particle" : "", "parse-names" : false, "suffix" : "" }, { "dropping-particle" : "", "family" : "Auricchio", "given" : "Angelo", "non-dropping-particle" : "", "parse-names" : false, "suffix" : "" }, { "dropping-particle" : "", "family" : "B\u00f6hm", "given" : "Michael", "non-dropping-particle" : "", "parse-names" : false, "suffix" : "" }, { "dropping-particle" : "", "family" : "Dickstein", "given" : "Kenneth", "non-dropping-particle" : "", "parse-names" : false, "suffix" : "" }, { "dropping-particle" : "", "family" : "Falk", "given" : "Volkmar", "non-dropping-particle" : "", "parse-names" : false, "suffix" : "" }, { "dropping-particle" : "", "family" : "Filippatos", "given" : "Gerasimos", "non-dropping-particle" : "", "parse-names" : false, "suffix" : "" }, { "dropping-particle" : "", "family" : "Fonseca", "given" : "C\u00e2ndida", "non-dropping-particle" : "", "parse-names" : false, "suffix" : "" }, { "dropping-particle" : "", "family" : "Gomez-Sanchez", "given" : "Miguel Angel", "non-dropping-particle" : "", "parse-names" : false, "suffix" : "" }, { "dropping-particle" : "", "family" : "Jaarsma", "given" : "Tiny", "non-dropping-particle" : "", "parse-names" : false, "suffix" : "" }, { "dropping-particle" : "", "family" : "K\u00f8ber", "given" : "Lars", "non-dropping-particle" : "", "parse-names" : false, "suffix" : "" }, { "dropping-particle" : "", "family" : "Lip", "given" : "Gregory Y H", "non-dropping-particle" : "", "parse-names" : false, "suffix" : "" }, { "dropping-particle" : "Pietro", "family" : "Maggioni", "given" : "Aldo", "non-dropping-particle" : "", "parse-names" : false, "suffix" : "" }, { "dropping-particle" : "", "family" : "Parkhomenko", "given" : "Alexander", "non-dropping-particle" : "", "parse-names" : false, "suffix" : "" }, { "dropping-particle" : "", "family" : "Pieske", "given" : "Burkert M", "non-dropping-particle" : "", "parse-names" : false, "suffix" : "" }, { "dropping-particle" : "", "family" : "Popescu", "given" : "Bogdan a", "non-dropping-particle" : "", "parse-names" : false, "suffix" : "" }, { "dropping-particle" : "", "family" : "R\u00f8nnevik", "given" : "Per K", "non-dropping-particle" : "", "parse-names" : false, "suffix" : "" }, { "dropping-particle" : "", "family" : "Rutten", "given" : "Frans H", "non-dropping-particle" : "", "parse-names" : false, "suffix" : "" }, { "dropping-particle" : "", "family" : "Schwitter", "given" : "Juerg", "non-dropping-particle" : "", "parse-names" : false, "suffix" : "" }, { "dropping-particle" : "", "family" : "Seferovic", "given" : "Petar", "non-dropping-particle" : "", "parse-names" : false, "suffix" : "" }, { "dropping-particle" : "", "family" : "Stepinska", "given" : "Janina", "non-dropping-particle" : "", "parse-names" : false, "suffix" : "" }, { "dropping-particle" : "", "family" : "Trindade", "given" : "Pedro T", "non-dropping-particle" : "", "parse-names" : false, "suffix" : "" }, { "dropping-particle" : "", "family" : "Voors", "given" : "Adriaan a", "non-dropping-particle" : "", "parse-names" : false, "suffix" : "" }, { "dropping-particle" : "", "family" : "Zannad", "given" : "Faiez", "non-dropping-particle" : "", "parse-names" : false, "suffix" : "" }, { "dropping-particle" : "", "family" : "Zeiher", "given" : "Andreas", "non-dropping-particle" : "", "parse-names" : false, "suffix" : "" }, { "dropping-particle" : "", "family" : "Task Force for the Diagnosis and Treatment of Acute and Chronic Heart Failure 2012 of the European Society of Cardiology", "given" : "", "non-dropping-particle" : "", "parse-names" : false, "suffix" : "" }, { "dropping-particle" : "", "family" : "Bax", "given" : "Jeroen J",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"Tendera", "given" : "Michal",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"McDonagh", "given" : "Theresa", "non-dropping-particle" : "", "parse-names" : false, "suffix" : "" }, { "dropping-particle" : "", "family" : "Sechtem", "given" : "Udo", "non-dropping-particle" : "", "parse-names" : false, "suffix" : "" }, { "dropping-particle" : "", "family" : "Bonet", "given" : "Luis Almenar", "non-dropping-particle" : "", "parse-names" : false, "suffix" : "" }, { "dropping-particle" : "", "family" : "Avraamides", "given" : "Panayiotis", "non-dropping-particle" : "", "parse-names" : false, "suffix" : "" }, { "dropping-particle" : "", "family" : "Lamin", "given" : "Hisham a", "non-dropping-particle" : "Ben", "parse-names" : false, "suffix" : "" }, { "dropping-particle" : "", "family" : "Brignole", "given" : "Michele", "non-dropping-particle" : "", "parse-names" : false, "suffix" : "" }, { "dropping-particle" : "", "family" : "Coca", "given" : "Antonio", "non-dropping-particle" : "", "parse-names" : false, "suffix" : "" }, { "dropping-particle" : "", "family" : "Cowburn", "given" : "Peter", "non-dropping-particle" : "", "parse-names" : false, "suffix" : "" }, { "dropping-particle" : "", "family" : "Dargie", "given" : "Henry", "non-dropping-particle" : "", "parse-names" : false, "suffix" : "" }, { "dropping-particle" : "", "family" : "Elliott", "given" : "Perry", "non-dropping-particle" : "", "parse-names" : false, "suffix" : "" }, { "dropping-particle" : "", "family" : "Flachskampf", "given" : "Frank Arnold", "non-dropping-particle" : "", "parse-names" : false, "suffix" : "" }, { "dropping-particle" : "", "family" : "Guida", "given" : "Guido Francesco", "non-dropping-particle" : "", "parse-names" : false, "suffix" : "" }, { "dropping-particle" : "", "family" : "Hardman", "given" : "Suzanna", "non-dropping-particle" : "", "parse-names" : false, "suffix" : "" }, { "dropping-particle" : "", "family" : "Iung", "given" : "Bernard", "non-dropping-particle" : "", "parse-names" : false, "suffix" : "" }, { "dropping-particle" : "", "family" : "Merkely", "given" : "Bela", "non-dropping-particle" : "", "parse-names" : false, "suffix" : "" }, { "dropping-particle" : "", "family" : "Mueller", "given" : "Christian", "non-dropping-particle" : "", "parse-names" : false, "suffix" : "" }, { "dropping-particle" : "", "family" : "Nanas", "given" : "John N", "non-dropping-particle" : "", "parse-names" : false, "suffix" : "" }, { "dropping-particle" : "", "family" : "Nielsen", "given" : "Olav Wendelboe", "non-dropping-particle" : "", "parse-names" : false, "suffix" : "" }, { "dropping-particle" : "", "family" : "Orn", "given" : "Stein", "non-dropping-particle" : "", "parse-names" : false, "suffix" : "" }, { "dropping-particle" : "", "family" : "Parissis", "given" : "John T", "non-dropping-particle" : "", "parse-names" : false, "suffix" : "" }, { "dropping-particle" : "", "family" : "Ponikowski", "given" : "Piotr", "non-dropping-particle" : "", "parse-names" : false, "suffix" : "" }, { "dropping-particle" : "", "family" : "ESC Committee for Practice Guidelines", "given" : "", "non-dropping-particle" : "", "parse-names" : false, "suffix" : "" } ], "container-title" : "European journal of heart failure", "id" : "ITEM-2", "issue" : "8", "issued" : { "date-parts" : [ [ "2012", "8" ] ] }, "page" : "803-69", "title" : "ESC guidelines for the diagnosis and treatment of acute and chronic heart failure 2012: The Task Force for the Diagnosis and Treatment of Acute and Chronic Heart Failure 2012 of the European Society of Cardiology. Developed in collaboration with the Heart", "type" : "article-journal", "volume" : "14" }, "uris" : [ "http://www.mendeley.com/documents/?uuid=127cc366-5d5d-4141-9aaf-dadce2574fb0" ] }, { "id" : "ITEM-3", "itemData" : { "DOI" : "10.1002/ejhf.592", "ISSN" : "1879-0844", "PMID" : "27207191", "author" : [ { "dropping-particle" : "", "family" : "Ponikowski", "given" : "Piotr", "non-dropping-particle" : "", "parse-names" : false, "suffix" : "" }, { "dropping-particle" : "", "family" : "Voors", "given" : "Adriaan A", "non-dropping-particle" : "", "parse-names" : false, "suffix" : "" }, { "dropping-particle" : "", "family" : "Anker", "given" : "Stefan D", "non-dropping-particle" : "", "parse-names" : false, "suffix" : "" }, { "dropping-particle" : "", "family" : "Bueno", "given" : "H\u00e9ctor", "non-dropping-particle" : "", "parse-names" : false, "suffix" : "" }, { "dropping-particle" : "", "family" : "Cleland", "given" : "John G F", "non-dropping-particle" : "", "parse-names" : false, "suffix" : "" }, { "dropping-particle" : "", "family" : "Coats", "given" : "Andrew J S", "non-dropping-particle" : "", "parse-names" : false, "suffix" : "" }, { "dropping-particle" : "", "family" : "Falk", "given" : "Volkmar", "non-dropping-particle" : "", "parse-names" : false, "suffix" : "" }, { "dropping-particle" : "", "family" : "Gonz\u00e1lez-Juanatey", "given" : "Jos\u00e9 Ram\u00f3n", "non-dropping-particle" : "", "parse-names" : false, "suffix" : "" }, { "dropping-particle" : "", "family" : "Harjola", "given" : "Veli-Pekka", "non-dropping-particle" : "", "parse-names" : false, "suffix" : "" }, { "dropping-particle" : "", "family" : "Jankowska", "given" : "Ewa A", "non-dropping-particle" : "", "parse-names" : false, "suffix" : "" }, { "dropping-particle" : "", "family" : "Jessup", "given" : "Mariell", "non-dropping-particle" : "", "parse-names" : false, "suffix" : "" }, { "dropping-particle" : "", "family" : "Linde", "given" : "Cecilia", "non-dropping-particle" : "", "parse-names" : false, "suffix" : "" }, { "dropping-particle" : "", "family" : "Nihoyannopoulos", "given" : "Petros", "non-dropping-particle" : "", "parse-names" : false, "suffix" : "" }, { "dropping-particle" : "", "family" : "Parissis", "given" : "John T", "non-dropping-particle" : "", "parse-names" : false, "suffix" : "" }, { "dropping-particle" : "", "family" : "Pieske", "given" : "Burkert", "non-dropping-particle" : "", "parse-names" : false, "suffix" : "" }, { "dropping-particle" : "", "family" : "Riley", "given" : "Jillian P", "non-dropping-particle" : "", "parse-names" : false, "suffix" : "" }, { "dropping-particle" : "", "family" : "Rosano", "given" : "Giuseppe M C", "non-dropping-particle" : "", "parse-names" : false, "suffix" : "" }, { "dropping-particle" : "", "family" : "Ruilope", "given" : "Luis M", "non-dropping-particle" : "", "parse-names" : false, "suffix" : "" }, { "dropping-particle" : "", "family" : "Ruschitzka", "given" : "Frank", "non-dropping-particle" : "", "parse-names" : false, "suffix" : "" }, { "dropping-particle" : "", "family" : "Rutten", "given" : "Frans H", "non-dropping-particle" : "", "parse-names" : false, "suffix" : "" }, { "dropping-particle" : "", "family" : "Meer", "given" : "Peter", "non-dropping-particle" : "van der", "parse-names" : false, "suffix" : "" }, { "dropping-particle" : "", "family" : "Authors/Task Force Members", "given" : "", "non-dropping-particle" : "", "parse-names" : false, "suffix" : "" }, { "dropping-particle" : "", "family" : "Document Reviewers", "given" : "", "non-dropping-particle" : "", "parse-names" : false, "suffix" : "" } ], "container-title" : "European journal of heart failure", "id" : "ITEM-3", "issue" : "8", "issued" : { "date-parts" : [ [ "2016", "8", "20" ] ] }, "page" : "891-975", "title" : "2016 ESC Guidelines for the diagnosis and treatment of acute and chronic heart failure: The Task Force for the diagnosis and treatment of acute and chronic heart failure of the European Society of Cardiology (ESC). Developed with the special contribution", "type" : "article-journal", "volume" : "18" }, "uris" : [ "http://www.mendeley.com/documents/?uuid=b52716cf-f7ad-4c20-84c1-bf81fa7ae1a7" ] } ], "mendeley" : { "formattedCitation" : "(9\u201311)", "plainTextFormattedCitation" : "(9\u201311)", "previouslyFormattedCitation" : "(9\u201311)" }, "properties" : { "noteIndex" : 0 }, "schema" : "https://github.com/citation-style-language/schema/raw/master/csl-citation.json" }</w:instrText>
      </w:r>
      <w:r w:rsidRPr="004F4BB2">
        <w:rPr>
          <w:color w:val="000000" w:themeColor="text1"/>
          <w:lang w:val="en-GB"/>
        </w:rPr>
        <w:fldChar w:fldCharType="separate"/>
      </w:r>
      <w:r w:rsidR="00C374CD" w:rsidRPr="00071C5B">
        <w:rPr>
          <w:noProof/>
          <w:color w:val="000000" w:themeColor="text1"/>
          <w:lang w:val="en-GB"/>
        </w:rPr>
        <w:t>(9–11)</w:t>
      </w:r>
      <w:r w:rsidRPr="004F4BB2">
        <w:rPr>
          <w:color w:val="000000" w:themeColor="text1"/>
          <w:lang w:val="en-GB"/>
        </w:rPr>
        <w:fldChar w:fldCharType="end"/>
      </w:r>
      <w:r w:rsidRPr="00071C5B">
        <w:rPr>
          <w:color w:val="000000" w:themeColor="text1"/>
          <w:lang w:val="en-GB"/>
        </w:rPr>
        <w:t xml:space="preserve">. </w:t>
      </w:r>
      <w:r w:rsidR="00A62216" w:rsidRPr="00071C5B">
        <w:rPr>
          <w:color w:val="000000" w:themeColor="text1"/>
          <w:lang w:val="en-GB"/>
        </w:rPr>
        <w:t>In BIOSTAT-CHF, sub-optimally treated patients were included, and p</w:t>
      </w:r>
      <w:r w:rsidRPr="00071C5B">
        <w:rPr>
          <w:color w:val="000000" w:themeColor="text1"/>
          <w:lang w:val="en-GB"/>
        </w:rPr>
        <w:t>hysicians were encouraged to up-titrate patients to recommended treatment doses within 3 months after inclusio</w:t>
      </w:r>
      <w:r w:rsidR="001C748B">
        <w:rPr>
          <w:color w:val="000000" w:themeColor="text1"/>
          <w:lang w:val="en-GB"/>
        </w:rPr>
        <w:t>n.</w:t>
      </w:r>
    </w:p>
    <w:p w14:paraId="51708335" w14:textId="77777777" w:rsidR="001C748B" w:rsidRDefault="004C148F" w:rsidP="001C748B">
      <w:pPr>
        <w:spacing w:line="480" w:lineRule="auto"/>
        <w:ind w:firstLine="720"/>
        <w:rPr>
          <w:color w:val="000000" w:themeColor="text1"/>
          <w:lang w:val="en-GB"/>
        </w:rPr>
      </w:pPr>
      <w:r w:rsidRPr="00071C5B">
        <w:rPr>
          <w:color w:val="000000" w:themeColor="text1"/>
          <w:lang w:val="en-GB"/>
        </w:rPr>
        <w:t xml:space="preserve">We recently published data from BIOSTAT-CHF showing that </w:t>
      </w:r>
      <w:r w:rsidR="00FF22AF" w:rsidRPr="00071C5B">
        <w:rPr>
          <w:color w:val="000000" w:themeColor="text1"/>
          <w:lang w:val="en-GB"/>
        </w:rPr>
        <w:t xml:space="preserve">up-titrating patients to </w:t>
      </w:r>
      <w:r w:rsidR="00793BAA" w:rsidRPr="00071C5B">
        <w:rPr>
          <w:color w:val="000000" w:themeColor="text1"/>
          <w:lang w:val="en-GB"/>
        </w:rPr>
        <w:t xml:space="preserve">at least </w:t>
      </w:r>
      <w:r w:rsidR="00FF22AF" w:rsidRPr="005069E5">
        <w:rPr>
          <w:color w:val="000000" w:themeColor="text1"/>
          <w:lang w:val="en-GB"/>
        </w:rPr>
        <w:t>50</w:t>
      </w:r>
      <w:r w:rsidR="00FF22AF" w:rsidRPr="006F5DEC">
        <w:rPr>
          <w:color w:val="000000" w:themeColor="text1"/>
          <w:lang w:val="en-GB"/>
        </w:rPr>
        <w:t xml:space="preserve">% of recommended </w:t>
      </w:r>
      <w:r w:rsidR="007067A2" w:rsidRPr="004F4BB2">
        <w:rPr>
          <w:color w:val="000000" w:themeColor="text1"/>
          <w:lang w:val="en-GB"/>
        </w:rPr>
        <w:t>ACE-inhibitor/ARB and beta-blocker</w:t>
      </w:r>
      <w:r w:rsidR="00FF22AF" w:rsidRPr="004F4BB2">
        <w:rPr>
          <w:color w:val="000000" w:themeColor="text1"/>
          <w:lang w:val="en-GB"/>
        </w:rPr>
        <w:t xml:space="preserve"> doses </w:t>
      </w:r>
      <w:r w:rsidR="00FF22AF" w:rsidRPr="005069E5">
        <w:rPr>
          <w:color w:val="000000" w:themeColor="text1"/>
          <w:lang w:val="en-GB"/>
        </w:rPr>
        <w:t>results in comparable survival and/or heart failure related hospitalization r</w:t>
      </w:r>
      <w:r w:rsidR="00FF22AF" w:rsidRPr="006F5DEC">
        <w:rPr>
          <w:color w:val="000000" w:themeColor="text1"/>
          <w:lang w:val="en-GB"/>
        </w:rPr>
        <w:t>eduction</w:t>
      </w:r>
      <w:r w:rsidR="00865DC4" w:rsidRPr="006F5DEC">
        <w:rPr>
          <w:color w:val="000000" w:themeColor="text1"/>
          <w:lang w:val="en-GB"/>
        </w:rPr>
        <w:t xml:space="preserve"> compared with patients that reached </w:t>
      </w:r>
      <w:r w:rsidR="00793BAA" w:rsidRPr="00607D43">
        <w:rPr>
          <w:color w:val="000000" w:themeColor="text1"/>
          <w:lang w:val="en-GB"/>
        </w:rPr>
        <w:t>≥</w:t>
      </w:r>
      <w:r w:rsidR="00865DC4" w:rsidRPr="00607D43">
        <w:rPr>
          <w:color w:val="000000" w:themeColor="text1"/>
          <w:lang w:val="en-GB"/>
        </w:rPr>
        <w:t>100% of recommended doses</w:t>
      </w:r>
      <w:r w:rsidR="00FF22AF" w:rsidRPr="00607D43">
        <w:rPr>
          <w:color w:val="000000" w:themeColor="text1"/>
          <w:lang w:val="en-GB"/>
        </w:rPr>
        <w:t xml:space="preserve"> </w:t>
      </w:r>
      <w:r w:rsidR="000B1C16" w:rsidRPr="006F5DEC">
        <w:rPr>
          <w:color w:val="000000" w:themeColor="text1"/>
          <w:lang w:val="en-GB"/>
        </w:rPr>
        <w:fldChar w:fldCharType="begin" w:fldLock="1"/>
      </w:r>
      <w:r w:rsidR="00A032C6">
        <w:rPr>
          <w:color w:val="000000" w:themeColor="text1"/>
          <w:lang w:val="en-GB"/>
        </w:rPr>
        <w:instrText>ADDIN CSL_CITATION { "citationItems" : [ { "id" : "ITEM-1", "itemData" : { "DOI" : "10.1093/eurheartj/ehx026", "ISSN" : "0195-668X", "PMID" : "28329163", "abstract" : "Introduction Despite clear guidelines recommendations, most patients with heart failure and reduced ejection-fraction (HFrEF) do not attain guideline-recommended target doses. We aimed to investigate characteristics and for treatment-indication-bias corrected clinical outcome of patients with HFrEF that did not reach recommended treatment doses of ACE-inhibitors/Angiotensin receptor blockers (ARBs) and/or beta-blockers. Methods and results BIOSTAT-CHF was specifically designed to study uptitration of ACE-inhibitors/ARBs and/or beta-blockers in 2516 heart failure patients from 69 centres in 11 European countries who were selected if they were suboptimally treated while initiation or uptitration was anticipated and encouraged. Patients who died during the uptitration period (n = 151) and patients with a LVEF &gt; 40% (n = 242) were excluded. Median follow up was 21 months. We studied 2100 HFrEF patients (76% male; mean age 68 \u00b112), of which 22% achieved the recommended treatment dose for ACE-inhibitor/ARB and 12% of beta-blocker. There were marked differences between European countries. Reaching &lt;50% of the recommended ACE-inhibitor/ARB and beta-blocker dose was associated with an increased risk of death and/or heart failure hospitalization. Patients reaching 50-99% of the recommended ACE-inhibitor/ARB and/or beta-blocker dose had comparable risk of death and/or heart failure hospitalization to those reaching \u2265100%. Patients not reaching recommended dose because of symptoms, side effects and non-cardiac organ dysfunction had the highest mortality rate (for ACE-inhibitor/ARB: HR 1.72; 95% CI 1.43-2.01; for beta-blocker: HR 1.70; 95% CI 1.36-2.05). Conclusion Patients with HFrEF who were treated with less than 50% of recommended dose of ACE-inhibitors/ARBs and beta-blockers seemed to have a greater risk of death and/or heart failure hospitalization compared with patients reaching \u2265100%.", "author" : [ { "dropping-particle" : "", "family" : "Ouwerkerk", "given" : "Wouter", "non-dropping-particle" : "", "parse-names" : false, "suffix" : "" }, { "dropping-particle" : "", "family" : "Voors", "given" : "A.A.", "non-dropping-particle" : "", "parse-names" : false, "suffix" : "" }, { "dropping-particle" : "", "family" : "Anker", "given" : "S.D.", "non-dropping-particle" : "", "parse-names" : false, "suffix" : "" }, { "dropping-particle" : "", "family" : "Cleland", "given" : "J.G.", "non-dropping-particle" : "", "parse-names" : false, "suffix" : "" }, { "dropping-particle" : "", "family" : "Dickstein", "given" : "Kenneth", "non-dropping-particle" : "", "parse-names" : false, "suffix" : "" }, { "dropping-particle" : "", "family" : "Filippatos", "given" : "Gerasimos", "non-dropping-particle" : "", "parse-names" : false, "suffix" : "" }, { "dropping-particle" : "", "family" : "Harst", "given" : "Pim", "non-dropping-particle" : "van der", "parse-names" : false, "suffix" : "" }, { "dropping-particle" : "", "family" : "Hillege", "given" : "H.L.", "non-dropping-particle" : "", "parse-names" : false, "suffix" : "" }, { "dropping-particle" : "", "family" : "Lang", "given" : "C.C.", "non-dropping-particle" : "", "parse-names" : false, "suffix" : "" }, { "dropping-particle" : "", "family" : "Maaten", "given" : "J.M.", "non-dropping-particle" : "ter", "parse-names" : false, "suffix" : "" }, { "dropping-particle" : "", "family" : "Ng", "given" : "L.L.", "non-dropping-particle" : "", "parse-names" : false, "suffix" : "" }, { "dropping-particle" : "", "family" : "Ponikowski", "given" : "Piotr", "non-dropping-particle" : "", "parse-names" : false, "suffix" : "" }, { "dropping-particle" : "", "family" : "Samani", "given" : "N.J", "non-dropping-particle" : "", "parse-names" : false, "suffix" : "" }, { "dropping-particle" : "", "family" : "Veldhuisen", "given" : "D.J.", "non-dropping-particle" : "van", "parse-names" : false, "suffix" : "" }, { "dropping-particle" : "", "family" : "Zannad", "given" : "Faiz", "non-dropping-particle" : "", "parse-names" : false, "suffix" : "" }, { "dropping-particle" : "", "family" : "Metra", "given" : "Marco", "non-dropping-particle" : "", "parse-names" : false, "suffix" : "" }, { "dropping-particle" : "", "family" : "Zwinderman", "given" : "A.H.", "non-dropping-particle" : "", "parse-names" : false, "suffix" : "" } ], "container-title" : "European Heart Journal", "id" : "ITEM-1", "issue" : "24", "issued" : { "date-parts" : [ [ "2017", "6", "21" ] ] }, "page" : "1883-1890", "title" : "Determinants and clinical outcome of uptitration of ACE-inhibitors and beta-blockers in patients with heart failure: a prospective European study", "type" : "article-journal", "volume" : "38" }, "uris" : [ "http://www.mendeley.com/documents/?uuid=985ad792-6e3b-4e19-bac3-779bfa1de804" ] } ], "mendeley" : { "formattedCitation" : "(21)", "plainTextFormattedCitation" : "(21)", "previouslyFormattedCitation" : "(21)" }, "properties" : { "noteIndex" : 0 }, "schema" : "https://github.com/citation-style-language/schema/raw/master/csl-citation.json" }</w:instrText>
      </w:r>
      <w:r w:rsidR="000B1C16" w:rsidRPr="006F5DEC">
        <w:rPr>
          <w:color w:val="000000" w:themeColor="text1"/>
          <w:lang w:val="en-GB"/>
        </w:rPr>
        <w:fldChar w:fldCharType="separate"/>
      </w:r>
      <w:r w:rsidR="00A032C6" w:rsidRPr="00A032C6">
        <w:rPr>
          <w:noProof/>
          <w:color w:val="000000" w:themeColor="text1"/>
          <w:lang w:val="en-GB"/>
        </w:rPr>
        <w:t>(21)</w:t>
      </w:r>
      <w:r w:rsidR="000B1C16" w:rsidRPr="006F5DEC">
        <w:rPr>
          <w:color w:val="000000" w:themeColor="text1"/>
          <w:lang w:val="en-GB"/>
        </w:rPr>
        <w:fldChar w:fldCharType="end"/>
      </w:r>
      <w:r w:rsidR="00FF22AF" w:rsidRPr="005069E5">
        <w:rPr>
          <w:color w:val="000000" w:themeColor="text1"/>
          <w:lang w:val="en-GB"/>
        </w:rPr>
        <w:t xml:space="preserve">. We therefore </w:t>
      </w:r>
      <w:r w:rsidR="00FA77BC" w:rsidRPr="006F5DEC">
        <w:rPr>
          <w:color w:val="000000" w:themeColor="text1"/>
          <w:lang w:val="en-GB"/>
        </w:rPr>
        <w:t xml:space="preserve">considered patients successfully up-titrated </w:t>
      </w:r>
      <w:r w:rsidR="00FA77BC" w:rsidRPr="004F4BB2">
        <w:rPr>
          <w:color w:val="000000" w:themeColor="text1"/>
          <w:lang w:val="en-GB"/>
        </w:rPr>
        <w:t xml:space="preserve">when </w:t>
      </w:r>
      <w:r w:rsidR="009D582A" w:rsidRPr="004F4BB2">
        <w:rPr>
          <w:color w:val="000000" w:themeColor="text1"/>
          <w:lang w:val="en-US"/>
        </w:rPr>
        <w:t>&gt;50%</w:t>
      </w:r>
      <w:r w:rsidR="00FA77BC" w:rsidRPr="004F4BB2">
        <w:rPr>
          <w:color w:val="000000" w:themeColor="text1"/>
          <w:lang w:val="en-US"/>
        </w:rPr>
        <w:t xml:space="preserve"> of</w:t>
      </w:r>
      <w:r w:rsidR="00FA77BC" w:rsidRPr="005069E5">
        <w:rPr>
          <w:color w:val="000000" w:themeColor="text1"/>
          <w:lang w:val="en-GB"/>
        </w:rPr>
        <w:t xml:space="preserve"> </w:t>
      </w:r>
      <w:r w:rsidR="00FA77BC" w:rsidRPr="004F4BB2">
        <w:rPr>
          <w:color w:val="000000" w:themeColor="text1"/>
          <w:lang w:val="en-GB"/>
        </w:rPr>
        <w:t xml:space="preserve">recommended dose was achieved after 3 months of up-titration. </w:t>
      </w:r>
      <w:r w:rsidR="002D17A0" w:rsidRPr="004F4BB2">
        <w:rPr>
          <w:color w:val="000000" w:themeColor="text1"/>
          <w:lang w:val="en-GB"/>
        </w:rPr>
        <w:t>Inversely, w</w:t>
      </w:r>
      <w:r w:rsidR="00C947DC" w:rsidRPr="004F4BB2">
        <w:rPr>
          <w:color w:val="000000" w:themeColor="text1"/>
          <w:lang w:val="en-GB"/>
        </w:rPr>
        <w:t xml:space="preserve">e </w:t>
      </w:r>
      <w:r w:rsidR="00C947DC" w:rsidRPr="004F4BB2">
        <w:rPr>
          <w:color w:val="000000" w:themeColor="text1"/>
          <w:lang w:val="en-GB"/>
        </w:rPr>
        <w:lastRenderedPageBreak/>
        <w:t xml:space="preserve">defined </w:t>
      </w:r>
      <w:r w:rsidR="002D17A0" w:rsidRPr="004F4BB2">
        <w:rPr>
          <w:color w:val="000000" w:themeColor="text1"/>
          <w:lang w:val="en-GB"/>
        </w:rPr>
        <w:t xml:space="preserve">non-responders as </w:t>
      </w:r>
      <w:r w:rsidR="00C947DC" w:rsidRPr="004F4BB2">
        <w:rPr>
          <w:color w:val="000000" w:themeColor="text1"/>
          <w:lang w:val="en-GB"/>
        </w:rPr>
        <w:t>patients</w:t>
      </w:r>
      <w:r w:rsidR="002D17A0" w:rsidRPr="004F4BB2">
        <w:rPr>
          <w:color w:val="000000" w:themeColor="text1"/>
          <w:lang w:val="en-GB"/>
        </w:rPr>
        <w:t xml:space="preserve"> who</w:t>
      </w:r>
      <w:r w:rsidR="00C947DC" w:rsidRPr="004F4BB2">
        <w:rPr>
          <w:color w:val="000000" w:themeColor="text1"/>
          <w:lang w:val="en-GB"/>
        </w:rPr>
        <w:t xml:space="preserve"> did not achieve more that 50% recommended treatment dose. </w:t>
      </w:r>
      <w:r w:rsidRPr="004F4BB2">
        <w:rPr>
          <w:color w:val="000000" w:themeColor="text1"/>
          <w:lang w:val="en-GB"/>
        </w:rPr>
        <w:t xml:space="preserve">All analyses were separately performed for </w:t>
      </w:r>
      <w:r w:rsidR="00FA77BC" w:rsidRPr="004F4BB2">
        <w:rPr>
          <w:color w:val="000000" w:themeColor="text1"/>
          <w:lang w:val="en-GB"/>
        </w:rPr>
        <w:t xml:space="preserve">ACE-inhibitors/ARBs and beta-blockers. </w:t>
      </w:r>
      <w:r w:rsidR="00DB6239" w:rsidRPr="004F4BB2">
        <w:rPr>
          <w:color w:val="000000" w:themeColor="text1"/>
          <w:lang w:val="en-GB"/>
        </w:rPr>
        <w:t>In addition to ACE-inhibitor/ARB and beta-blocker treatment, w</w:t>
      </w:r>
      <w:r w:rsidR="00462216" w:rsidRPr="004F4BB2">
        <w:rPr>
          <w:color w:val="000000" w:themeColor="text1"/>
          <w:lang w:val="en-GB"/>
        </w:rPr>
        <w:t xml:space="preserve">e also looked at </w:t>
      </w:r>
      <w:r w:rsidR="001D0334" w:rsidRPr="004F4BB2">
        <w:rPr>
          <w:color w:val="000000" w:themeColor="text1"/>
          <w:lang w:val="en-GB"/>
        </w:rPr>
        <w:t xml:space="preserve">MRA </w:t>
      </w:r>
      <w:r w:rsidR="00510AAC" w:rsidRPr="004F4BB2">
        <w:rPr>
          <w:color w:val="000000" w:themeColor="text1"/>
          <w:lang w:val="en-GB"/>
        </w:rPr>
        <w:t xml:space="preserve">guideline recommended </w:t>
      </w:r>
      <w:r w:rsidR="001D0334" w:rsidRPr="004F4BB2">
        <w:rPr>
          <w:color w:val="000000" w:themeColor="text1"/>
          <w:lang w:val="en-GB"/>
        </w:rPr>
        <w:t>treatment.</w:t>
      </w:r>
      <w:r w:rsidR="00510AAC" w:rsidRPr="004F4BB2">
        <w:rPr>
          <w:color w:val="000000" w:themeColor="text1"/>
          <w:lang w:val="en-GB"/>
        </w:rPr>
        <w:t xml:space="preserve"> Here we defined successful treatment as patients who achieved ≥50% of recommended treatment, and non-responding patient when &lt;50% of recommended treatment dose was achieved.</w:t>
      </w:r>
      <w:r w:rsidR="001329AD" w:rsidRPr="004F4BB2">
        <w:rPr>
          <w:color w:val="000000" w:themeColor="text1"/>
          <w:lang w:val="en-GB"/>
        </w:rPr>
        <w:t xml:space="preserve"> MRA treatment data was available at 9 months after inclusion.</w:t>
      </w:r>
    </w:p>
    <w:p w14:paraId="6E3FF5E8" w14:textId="77777777" w:rsidR="001C748B" w:rsidRPr="001C748B" w:rsidRDefault="00025C98" w:rsidP="001C748B">
      <w:pPr>
        <w:spacing w:line="480" w:lineRule="auto"/>
        <w:rPr>
          <w:i/>
          <w:color w:val="000000" w:themeColor="text1"/>
          <w:lang w:val="en-GB"/>
        </w:rPr>
      </w:pPr>
      <w:r w:rsidRPr="001C748B">
        <w:rPr>
          <w:i/>
          <w:color w:val="000000" w:themeColor="text1"/>
          <w:lang w:val="en-GB"/>
        </w:rPr>
        <w:t>Disease outcome</w:t>
      </w:r>
    </w:p>
    <w:p w14:paraId="2CBF2D46" w14:textId="77777777" w:rsidR="001C748B" w:rsidRDefault="004C148F" w:rsidP="001C748B">
      <w:pPr>
        <w:spacing w:line="480" w:lineRule="auto"/>
        <w:ind w:firstLine="720"/>
        <w:rPr>
          <w:color w:val="000000" w:themeColor="text1"/>
          <w:lang w:val="en-GB"/>
        </w:rPr>
      </w:pPr>
      <w:r w:rsidRPr="004F4BB2">
        <w:rPr>
          <w:color w:val="000000" w:themeColor="text1"/>
          <w:lang w:val="en-GB"/>
        </w:rPr>
        <w:t>M</w:t>
      </w:r>
      <w:r w:rsidR="00025C98" w:rsidRPr="004F4BB2">
        <w:rPr>
          <w:color w:val="000000" w:themeColor="text1"/>
          <w:lang w:val="en-GB"/>
        </w:rPr>
        <w:t xml:space="preserve">edian follow-up of the BIOSTAT-CHF project was 21 months with </w:t>
      </w:r>
      <w:r w:rsidR="00DB59F8" w:rsidRPr="004F4BB2">
        <w:rPr>
          <w:color w:val="000000" w:themeColor="text1"/>
          <w:lang w:val="en-GB"/>
        </w:rPr>
        <w:t xml:space="preserve">an </w:t>
      </w:r>
      <w:r w:rsidR="00025C98" w:rsidRPr="004F4BB2">
        <w:rPr>
          <w:color w:val="000000" w:themeColor="text1"/>
          <w:lang w:val="en-GB"/>
        </w:rPr>
        <w:t>interquartile range of 15-27 months. Primary patient outcome in BIOSTAT-CHF was the first occurrence of all-cause mortality or heart failure related hospitalization. Survival time was calculated from date of inclusion in BIOSTAT-CHF to date of death/heart failure hospitalization or date of censoring. Only patients who were at least followed for 3 months, were included in the present analysis.</w:t>
      </w:r>
    </w:p>
    <w:p w14:paraId="401CBDBD" w14:textId="77777777" w:rsidR="001C748B" w:rsidRPr="001C748B" w:rsidRDefault="00025C98" w:rsidP="001C748B">
      <w:pPr>
        <w:spacing w:line="480" w:lineRule="auto"/>
        <w:rPr>
          <w:i/>
          <w:color w:val="000000" w:themeColor="text1"/>
          <w:lang w:val="en-GB"/>
        </w:rPr>
      </w:pPr>
      <w:r w:rsidRPr="001C748B">
        <w:rPr>
          <w:i/>
          <w:color w:val="000000" w:themeColor="text1"/>
          <w:lang w:val="en-GB"/>
        </w:rPr>
        <w:t>Biomarkers</w:t>
      </w:r>
    </w:p>
    <w:p w14:paraId="3F00D6EB" w14:textId="77777777" w:rsidR="001C748B" w:rsidRDefault="00025C98" w:rsidP="001C748B">
      <w:pPr>
        <w:spacing w:line="480" w:lineRule="auto"/>
        <w:ind w:firstLine="720"/>
        <w:rPr>
          <w:rFonts w:eastAsia="Times New Roman"/>
          <w:color w:val="000000" w:themeColor="text1"/>
          <w:lang w:val="en-US"/>
        </w:rPr>
      </w:pPr>
      <w:r w:rsidRPr="004F4BB2">
        <w:rPr>
          <w:color w:val="000000" w:themeColor="text1"/>
          <w:lang w:val="en-GB"/>
        </w:rPr>
        <w:t xml:space="preserve">A total of 161 biomarkers were considered </w:t>
      </w:r>
      <w:r w:rsidR="005D48F2" w:rsidRPr="004F4BB2">
        <w:rPr>
          <w:color w:val="000000" w:themeColor="text1"/>
          <w:lang w:val="en-GB"/>
        </w:rPr>
        <w:t>as</w:t>
      </w:r>
      <w:r w:rsidR="001D0FCF" w:rsidRPr="004F4BB2">
        <w:rPr>
          <w:color w:val="000000" w:themeColor="text1"/>
          <w:lang w:val="en-GB"/>
        </w:rPr>
        <w:t xml:space="preserve"> </w:t>
      </w:r>
      <w:r w:rsidRPr="004F4BB2">
        <w:rPr>
          <w:color w:val="000000" w:themeColor="text1"/>
          <w:lang w:val="en-GB"/>
        </w:rPr>
        <w:t>treatment-selection markers. All markers were measured at inclusion of the patients. This included standard biochemical blood-parameters (</w:t>
      </w:r>
      <w:proofErr w:type="spellStart"/>
      <w:r w:rsidRPr="004F4BB2">
        <w:rPr>
          <w:color w:val="000000" w:themeColor="text1"/>
          <w:lang w:val="en-GB"/>
        </w:rPr>
        <w:t>hemoglobin</w:t>
      </w:r>
      <w:proofErr w:type="spellEnd"/>
      <w:r w:rsidRPr="004F4BB2">
        <w:rPr>
          <w:color w:val="000000" w:themeColor="text1"/>
          <w:lang w:val="en-GB"/>
        </w:rPr>
        <w:t xml:space="preserve">, </w:t>
      </w:r>
      <w:proofErr w:type="spellStart"/>
      <w:r w:rsidRPr="004F4BB2">
        <w:rPr>
          <w:color w:val="000000" w:themeColor="text1"/>
          <w:lang w:val="en-GB"/>
        </w:rPr>
        <w:t>hematocrit</w:t>
      </w:r>
      <w:proofErr w:type="spellEnd"/>
      <w:r w:rsidRPr="004F4BB2">
        <w:rPr>
          <w:color w:val="000000" w:themeColor="text1"/>
          <w:lang w:val="en-GB"/>
        </w:rPr>
        <w:t>, sodium, total cholesterol, HDL-cholesterol, LDL-cholesterol, glucose, serum creatinine, blood urea nitrogen (BUN), bilirubin, serum iron, potassium), heart failure markers (LVEF, NT-</w:t>
      </w:r>
      <w:proofErr w:type="spellStart"/>
      <w:r w:rsidRPr="004F4BB2">
        <w:rPr>
          <w:color w:val="000000" w:themeColor="text1"/>
          <w:lang w:val="en-GB"/>
        </w:rPr>
        <w:t>proBNP</w:t>
      </w:r>
      <w:proofErr w:type="spellEnd"/>
      <w:r w:rsidRPr="004F4BB2">
        <w:rPr>
          <w:color w:val="000000" w:themeColor="text1"/>
          <w:lang w:val="en-GB"/>
        </w:rPr>
        <w:t xml:space="preserve"> and BNP), 29 markers from the </w:t>
      </w:r>
      <w:proofErr w:type="spellStart"/>
      <w:r w:rsidRPr="004F4BB2">
        <w:rPr>
          <w:color w:val="000000" w:themeColor="text1"/>
          <w:lang w:val="en-GB"/>
        </w:rPr>
        <w:t>Luminex</w:t>
      </w:r>
      <w:proofErr w:type="spellEnd"/>
      <w:r w:rsidRPr="004F4BB2">
        <w:rPr>
          <w:color w:val="000000" w:themeColor="text1"/>
          <w:lang w:val="en-GB"/>
        </w:rPr>
        <w:t xml:space="preserve"> multiplexed bead-based immunoassay (</w:t>
      </w:r>
      <w:proofErr w:type="spellStart"/>
      <w:r w:rsidRPr="004F4BB2">
        <w:rPr>
          <w:color w:val="000000" w:themeColor="text1"/>
          <w:lang w:val="en-GB"/>
        </w:rPr>
        <w:t>Alere</w:t>
      </w:r>
      <w:proofErr w:type="spellEnd"/>
      <w:r w:rsidRPr="004F4BB2">
        <w:rPr>
          <w:color w:val="000000" w:themeColor="text1"/>
          <w:lang w:val="en-GB"/>
        </w:rPr>
        <w:t xml:space="preserve">, San Diego, CA) heart failure panel </w:t>
      </w:r>
      <w:r w:rsidRPr="004F4BB2">
        <w:rPr>
          <w:color w:val="000000" w:themeColor="text1"/>
          <w:lang w:val="en-GB"/>
        </w:rPr>
        <w:fldChar w:fldCharType="begin" w:fldLock="1"/>
      </w:r>
      <w:r w:rsidR="00A032C6">
        <w:rPr>
          <w:color w:val="000000" w:themeColor="text1"/>
          <w:lang w:val="en-GB"/>
        </w:rPr>
        <w:instrText>ADDIN CSL_CITATION { "citationItems" : [ { "id" : "ITEM-1", "itemData" : { "ISBN" : "0009-9147", "ISSN" : "0009-9147", "PMID" : "9931041", "abstract" : "This multicenter study evaluated the Biosite Triage(R) Cardiac Panel as a quantitative, multimarker, whole blood system for the detection of acute myocardial infarction (MI). Optimum cutoffs for the discrimination of acute MI (n = 192 patients, 59 with MI) as determined by ROC curve analyses were as follows: 0.4 microgram/L for cardiac troponin I (cTnI); 4.3 microgram/L for the creatine kinase MB isoenzyme (CK-MB); and 107 microgram/L for myoglobin. The Triage Panel showed the following concordances for detection or rule-out of MI compared with established devices: cTnI &gt;89%; CK-MB &gt;81%; myoglobin &gt;69%. No significant differences were present between methods for the same marker. Diagnostic efficiencies demonstrated comparable sensitivities and specificities for the diagnosis of MI in patients presenting with symptoms compared with the Dade, Beckman, and Behring CK-MB, cTnI, and myoglobin assays; the ratio of sensitivity to specificity for each marker was as follows: cTnI, 98%:100%; CK-MB, 95%:91%; myoglobin, 81%:92%. The areas under the ROC curves for the Biosite myoglobin, CK-MB, and cTnI were 0.818, 0.905, and 0.970, respectively; the areas were significantly different, P &lt;0.05. In patients with skeletal muscle injury and renal disease, the Triage cTnI showed 94% and 100% specificity, respectively. The Triage panel offers clinicians a whole blood, point-of-care analysis of multiple cardiac markers that provides excellent clinical sensitivity and specificity for the detection of acute MI.", "author" : [ { "dropping-particle" : "", "family" : "Apple", "given" : "Fred S.", "non-dropping-particle" : "", "parse-names" : false, "suffix" : "" }, { "dropping-particle" : "", "family" : "Christenson", "given" : "Robert H.", "non-dropping-particle" : "", "parse-names" : false, "suffix" : "" }, { "dropping-particle" : "", "family" : "Valdes", "given" : "Roland", "non-dropping-particle" : "", "parse-names" : false, "suffix" : "" }, { "dropping-particle" : "", "family" : "Andriak", "given" : "Alexander J.", "non-dropping-particle" : "", "parse-names" : false, "suffix" : "" }, { "dropping-particle" : "", "family" : "Berg", "given" : "Amy", "non-dropping-particle" : "", "parse-names" : false, "suffix" : "" }, { "dropping-particle" : "", "family" : "Duh", "given" : "Show Hong", "non-dropping-particle" : "", "parse-names" : false, "suffix" : "" }, { "dropping-particle" : "", "family" : "Feng", "given" : "Yue Jin", "non-dropping-particle" : "", "parse-names" : false, "suffix" : "" }, { "dropping-particle" : "", "family" : "Jortani", "given" : "Saeed A.", "non-dropping-particle" : "", "parse-names" : false, "suffix" : "" }, { "dropping-particle" : "", "family" : "Johnson", "given" : "Nancy A.", "non-dropping-particle" : "", "parse-names" : false, "suffix" : "" }, { "dropping-particle" : "", "family" : "Koplen", "given" : "Brenda", "non-dropping-particle" : "", "parse-names" : false, "suffix" : "" }, { "dropping-particle" : "", "family" : "Mascotti", "given" : "Kristin", "non-dropping-particle" : "", "parse-names" : false, "suffix" : "" }, { "dropping-particle" : "", "family" : "Wu", "given" : "A H", "non-dropping-particle" : "", "parse-names" : false, "suffix" : "" } ], "container-title" : "Clinical chemistry", "id" : "ITEM-1", "issue" : "2", "issued" : { "date-parts" : [ [ "1999", "2" ] ] }, "page" : "199-205", "title" : "Simultaneous rapid measurement of whole blood myoglobin, creatine kinase MB, and cardiac troponin I by the triage cardiac panel for detection of myocardial infarction.", "type" : "article-journal", "volume" : "45" }, "uris" : [ "http://www.mendeley.com/documents/?uuid=6cf37c58-2c37-455b-9e52-26a85b741219" ] }, { "id" : "ITEM-2", "itemData" : { "DOI" : "10.1309/9GGNMURLJWJD88W3", "ISBN" : "0002-9173 (Print)\\r0002-9173 (Linking)", "ISSN" : "0002-9173", "PMID" : "18426740", "abstract" : "We compared a rapid, point-of-care multimarker protocol with a single and serial troponin I (TnI)-only protocol in 5,244 patients admitted to the emergency department with chest pain. The diagnosis of acute myocardial infarction (AMI) was based on a doubling myoglobin level accompanied by at least a 50% increase in the creatine kinase (CK)-MB level with no detectable TnI; a doubling of myoglobin level together with any detectable TnI; or a TnI level of 0.4 ng/mL (0.4 microg/L) or more, irrespective of myoglobin or CK-MB results. By using these new criteria, 145 of 148 cases were positive for AMI (positive predictive value [PPV], 92.4%) and 3 were negative, which were also negative by the core laboratory TnI assay. Twelve confirmed non-AMI cases were positive by the new protocol, with 10 of 12 confirmed by the core laboratory as positive for TnI. The negative predictive value (NPV) was 99.9% the overall diagnostic accuracy was 99.7%. The TnI-only protocol had a sensitivity of 68.2% with an NPV of 99.1%. With lower TnI-only cutoffs, 4 patients had false-negative results, and a PPV of 36.4% was observed. Our rapid multimarker protocol seems superior to a TnI-only approach for rapidly triaging patients with chest pain or AMI.", "author" : [ { "dropping-particle" : "", "family" : "Straface", "given" : "Angela L.", "non-dropping-particle" : "", "parse-names" : false, "suffix" : "" }, { "dropping-particle" : "", "family" : "Myers", "given" : "John H.", "non-dropping-particle" : "", "parse-names" : false, "suffix" : "" }, { "dropping-particle" : "", "family" : "Kirchick", "given" : "Howard J.", "non-dropping-particle" : "", "parse-names" : false, "suffix" : "" }, { "dropping-particle" : "", "family" : "Blick", "given" : "Kenneth E.", "non-dropping-particle" : "", "parse-names" : false, "suffix" : "" } ], "container-title" : "American journal of clinical pathology", "id" : "ITEM-2", "issue" : "5", "issued" : { "date-parts" : [ [ "2008", "5" ] ] }, "page" : "788-95", "title" : "A rapid point-of-care cardiac marker testing strategy facilitates the rapid diagnosis and management of chest pain patients in the emergency department.", "type" : "article-journal", "volume" : "129" }, "uris" : [ "http://www.mendeley.com/documents/?uuid=252e5876-016a-4da8-a136-1dfc7a2d7cd9" ] } ], "mendeley" : { "formattedCitation" : "(22, 23)", "plainTextFormattedCitation" : "(22, 23)", "previouslyFormattedCitation" : "(22, 23)" }, "properties" : { "noteIndex" : 0 }, "schema" : "https://github.com/citation-style-language/schema/raw/master/csl-citation.json" }</w:instrText>
      </w:r>
      <w:r w:rsidRPr="004F4BB2">
        <w:rPr>
          <w:color w:val="000000" w:themeColor="text1"/>
          <w:lang w:val="en-GB"/>
        </w:rPr>
        <w:fldChar w:fldCharType="separate"/>
      </w:r>
      <w:r w:rsidR="00A032C6" w:rsidRPr="00A032C6">
        <w:rPr>
          <w:noProof/>
          <w:color w:val="000000" w:themeColor="text1"/>
          <w:lang w:val="en-GB"/>
        </w:rPr>
        <w:t>(22, 23)</w:t>
      </w:r>
      <w:r w:rsidRPr="004F4BB2">
        <w:rPr>
          <w:color w:val="000000" w:themeColor="text1"/>
          <w:lang w:val="en-GB"/>
        </w:rPr>
        <w:fldChar w:fldCharType="end"/>
      </w:r>
      <w:r w:rsidRPr="004F4BB2">
        <w:rPr>
          <w:color w:val="000000" w:themeColor="text1"/>
          <w:lang w:val="en-GB"/>
        </w:rPr>
        <w:t>, and 92 peptide markers from a</w:t>
      </w:r>
      <w:r w:rsidR="00B81DA1" w:rsidRPr="004F4BB2">
        <w:rPr>
          <w:rFonts w:eastAsia="Times New Roman"/>
          <w:color w:val="000000" w:themeColor="text1"/>
          <w:lang w:val="en-US"/>
        </w:rPr>
        <w:t xml:space="preserve"> high-throughput technique using the </w:t>
      </w:r>
      <w:proofErr w:type="spellStart"/>
      <w:r w:rsidR="00B81DA1" w:rsidRPr="004F4BB2">
        <w:rPr>
          <w:rFonts w:eastAsia="Times New Roman"/>
          <w:color w:val="000000" w:themeColor="text1"/>
          <w:lang w:val="en-US"/>
        </w:rPr>
        <w:t>Olink</w:t>
      </w:r>
      <w:proofErr w:type="spellEnd"/>
      <w:r w:rsidR="00B81DA1" w:rsidRPr="004F4BB2">
        <w:rPr>
          <w:rFonts w:eastAsia="Times New Roman"/>
          <w:color w:val="000000" w:themeColor="text1"/>
          <w:lang w:val="en-US"/>
        </w:rPr>
        <w:t xml:space="preserve"> </w:t>
      </w:r>
      <w:proofErr w:type="spellStart"/>
      <w:r w:rsidR="00B81DA1" w:rsidRPr="004F4BB2">
        <w:rPr>
          <w:rFonts w:eastAsia="Times New Roman"/>
          <w:color w:val="000000" w:themeColor="text1"/>
          <w:lang w:val="en-US"/>
        </w:rPr>
        <w:t>Proseek</w:t>
      </w:r>
      <w:proofErr w:type="spellEnd"/>
      <w:r w:rsidR="00B81DA1" w:rsidRPr="004F4BB2">
        <w:rPr>
          <w:rFonts w:eastAsia="Times New Roman"/>
          <w:color w:val="000000" w:themeColor="text1"/>
          <w:position w:val="10"/>
          <w:lang w:val="en-US"/>
        </w:rPr>
        <w:t xml:space="preserve">® </w:t>
      </w:r>
      <w:r w:rsidR="00B81DA1" w:rsidRPr="004F4BB2">
        <w:rPr>
          <w:rFonts w:eastAsia="Times New Roman"/>
          <w:color w:val="000000" w:themeColor="text1"/>
          <w:lang w:val="en-US"/>
        </w:rPr>
        <w:t>Multiplex INF I</w:t>
      </w:r>
      <w:r w:rsidR="00B81DA1" w:rsidRPr="004F4BB2">
        <w:rPr>
          <w:rFonts w:eastAsia="Times New Roman"/>
          <w:color w:val="000000" w:themeColor="text1"/>
          <w:position w:val="10"/>
          <w:lang w:val="en-US"/>
        </w:rPr>
        <w:t xml:space="preserve">96x96 </w:t>
      </w:r>
      <w:r w:rsidR="00B81DA1" w:rsidRPr="004F4BB2">
        <w:rPr>
          <w:rFonts w:eastAsia="Times New Roman"/>
          <w:color w:val="000000" w:themeColor="text1"/>
          <w:lang w:val="en-US"/>
        </w:rPr>
        <w:t>kit, which measures 92 selected inflammation-related proteins simultaneously in 1</w:t>
      </w:r>
      <w:r w:rsidR="00B81DA1" w:rsidRPr="004F4BB2">
        <w:rPr>
          <w:rFonts w:eastAsia="Times New Roman"/>
          <w:color w:val="000000" w:themeColor="text1"/>
        </w:rPr>
        <w:t>μ</w:t>
      </w:r>
      <w:r w:rsidR="00B81DA1" w:rsidRPr="004F4BB2">
        <w:rPr>
          <w:rFonts w:eastAsia="Times New Roman"/>
          <w:color w:val="000000" w:themeColor="text1"/>
          <w:lang w:val="en-US"/>
        </w:rPr>
        <w:t>l plasma samples. The kit uses a proximity extension assay (PEA) technology, where 92 oligonucleotide-labeled antibody probe pairs are allowed to bind to their respective target present in the sample</w:t>
      </w:r>
      <w:r w:rsidR="001C748B">
        <w:rPr>
          <w:rFonts w:eastAsia="Times New Roman"/>
          <w:color w:val="000000" w:themeColor="text1"/>
          <w:lang w:val="en-US"/>
        </w:rPr>
        <w:t>.</w:t>
      </w:r>
    </w:p>
    <w:p w14:paraId="2E5DE0E9" w14:textId="7AE06EFD" w:rsidR="001C748B" w:rsidRDefault="00025C98" w:rsidP="001C748B">
      <w:pPr>
        <w:spacing w:line="480" w:lineRule="auto"/>
        <w:ind w:firstLine="720"/>
        <w:rPr>
          <w:color w:val="000000" w:themeColor="text1"/>
          <w:lang w:val="en-GB"/>
        </w:rPr>
      </w:pPr>
      <w:r w:rsidRPr="004F4BB2">
        <w:rPr>
          <w:color w:val="000000" w:themeColor="text1"/>
          <w:lang w:val="en-GB"/>
        </w:rPr>
        <w:lastRenderedPageBreak/>
        <w:t xml:space="preserve">The 92 peptides measured by </w:t>
      </w:r>
      <w:proofErr w:type="spellStart"/>
      <w:r w:rsidRPr="004F4BB2">
        <w:rPr>
          <w:color w:val="000000" w:themeColor="text1"/>
          <w:lang w:val="en-GB"/>
        </w:rPr>
        <w:t>Olink</w:t>
      </w:r>
      <w:proofErr w:type="spellEnd"/>
      <w:r w:rsidR="000D1688" w:rsidRPr="004F4BB2">
        <w:rPr>
          <w:rFonts w:eastAsia="Times New Roman"/>
          <w:color w:val="000000" w:themeColor="text1"/>
          <w:position w:val="10"/>
          <w:lang w:val="en-US"/>
        </w:rPr>
        <w:t>®</w:t>
      </w:r>
      <w:r w:rsidRPr="004F4BB2">
        <w:rPr>
          <w:color w:val="000000" w:themeColor="text1"/>
          <w:lang w:val="en-GB"/>
        </w:rPr>
        <w:t xml:space="preserve"> were normalized in arbitrary normalized protein expression units (NPX). Other biomarkers were normalized using Box-Cox transformations when deemed necessary.</w:t>
      </w:r>
      <w:r w:rsidR="000C2508" w:rsidRPr="004F4BB2">
        <w:rPr>
          <w:color w:val="000000" w:themeColor="text1"/>
          <w:lang w:val="en-GB"/>
        </w:rPr>
        <w:t xml:space="preserve"> </w:t>
      </w:r>
      <w:r w:rsidR="005D48F2" w:rsidRPr="004F4BB2">
        <w:rPr>
          <w:color w:val="000000" w:themeColor="text1"/>
          <w:lang w:val="en-GB"/>
        </w:rPr>
        <w:t xml:space="preserve">A complete list of all </w:t>
      </w:r>
      <w:r w:rsidR="00A819DC" w:rsidRPr="004F4BB2">
        <w:rPr>
          <w:color w:val="000000" w:themeColor="text1"/>
          <w:lang w:val="en-GB"/>
        </w:rPr>
        <w:t>biomarkers</w:t>
      </w:r>
      <w:r w:rsidR="005D48F2" w:rsidRPr="004F4BB2">
        <w:rPr>
          <w:color w:val="000000" w:themeColor="text1"/>
          <w:lang w:val="en-GB"/>
        </w:rPr>
        <w:t xml:space="preserve"> and their s</w:t>
      </w:r>
      <w:r w:rsidR="000E6542" w:rsidRPr="004F4BB2">
        <w:rPr>
          <w:color w:val="000000" w:themeColor="text1"/>
          <w:lang w:val="en-GB"/>
        </w:rPr>
        <w:t xml:space="preserve">ummary statistics are shown in </w:t>
      </w:r>
      <w:r w:rsidR="001C748B">
        <w:rPr>
          <w:color w:val="000000" w:themeColor="text1"/>
          <w:lang w:val="en-GB"/>
        </w:rPr>
        <w:t>Online</w:t>
      </w:r>
      <w:r w:rsidR="000C2508" w:rsidRPr="004F4BB2">
        <w:rPr>
          <w:color w:val="000000" w:themeColor="text1"/>
          <w:lang w:val="en-GB"/>
        </w:rPr>
        <w:t xml:space="preserve"> </w:t>
      </w:r>
      <w:r w:rsidR="000E6542" w:rsidRPr="004F4BB2">
        <w:rPr>
          <w:color w:val="000000" w:themeColor="text1"/>
          <w:lang w:val="en-GB"/>
        </w:rPr>
        <w:t>T</w:t>
      </w:r>
      <w:r w:rsidR="001C748B">
        <w:rPr>
          <w:color w:val="000000" w:themeColor="text1"/>
          <w:lang w:val="en-GB"/>
        </w:rPr>
        <w:t xml:space="preserve">able </w:t>
      </w:r>
      <w:r w:rsidR="000C2508" w:rsidRPr="004F4BB2">
        <w:rPr>
          <w:color w:val="000000" w:themeColor="text1"/>
          <w:lang w:val="en-GB"/>
        </w:rPr>
        <w:t>1.</w:t>
      </w:r>
    </w:p>
    <w:p w14:paraId="0B4EA96D" w14:textId="77777777" w:rsidR="001C748B" w:rsidRPr="001C748B" w:rsidRDefault="00025C98" w:rsidP="001C748B">
      <w:pPr>
        <w:spacing w:line="480" w:lineRule="auto"/>
        <w:rPr>
          <w:i/>
          <w:color w:val="000000" w:themeColor="text1"/>
          <w:lang w:val="en-GB"/>
        </w:rPr>
      </w:pPr>
      <w:r w:rsidRPr="001C748B">
        <w:rPr>
          <w:i/>
          <w:color w:val="000000" w:themeColor="text1"/>
          <w:lang w:val="en-GB"/>
        </w:rPr>
        <w:t>Statistical analysis</w:t>
      </w:r>
    </w:p>
    <w:p w14:paraId="59EE8564" w14:textId="77777777" w:rsidR="001C748B" w:rsidRPr="001C748B" w:rsidRDefault="00025C98" w:rsidP="001C748B">
      <w:pPr>
        <w:spacing w:line="480" w:lineRule="auto"/>
        <w:rPr>
          <w:color w:val="000000" w:themeColor="text1"/>
          <w:u w:val="single"/>
          <w:lang w:val="en-GB"/>
        </w:rPr>
      </w:pPr>
      <w:r w:rsidRPr="001C748B">
        <w:rPr>
          <w:color w:val="000000" w:themeColor="text1"/>
          <w:u w:val="single"/>
          <w:lang w:val="en-GB"/>
        </w:rPr>
        <w:t>Imputation of missing data</w:t>
      </w:r>
    </w:p>
    <w:p w14:paraId="03FF3E4C" w14:textId="77777777" w:rsidR="001C748B" w:rsidRDefault="00025C98" w:rsidP="001C748B">
      <w:pPr>
        <w:spacing w:line="480" w:lineRule="auto"/>
        <w:ind w:firstLine="720"/>
        <w:rPr>
          <w:color w:val="000000" w:themeColor="text1"/>
          <w:lang w:val="en-GB"/>
        </w:rPr>
      </w:pPr>
      <w:r w:rsidRPr="004F4BB2">
        <w:rPr>
          <w:color w:val="000000" w:themeColor="text1"/>
          <w:lang w:val="en-GB"/>
        </w:rPr>
        <w:t xml:space="preserve">Patients </w:t>
      </w:r>
      <w:r w:rsidR="005D48F2" w:rsidRPr="004F4BB2">
        <w:rPr>
          <w:color w:val="000000" w:themeColor="text1"/>
          <w:lang w:val="en-GB"/>
        </w:rPr>
        <w:t>in</w:t>
      </w:r>
      <w:r w:rsidRPr="004F4BB2">
        <w:rPr>
          <w:color w:val="000000" w:themeColor="text1"/>
          <w:lang w:val="en-GB"/>
        </w:rPr>
        <w:t xml:space="preserve"> whom &gt;50% or more biomarker values were missing were not included in the analyses. Remaining missing values were imputed using random forests regression models implemented in the mice package </w:t>
      </w:r>
      <w:r w:rsidRPr="004F4BB2">
        <w:rPr>
          <w:color w:val="000000" w:themeColor="text1"/>
          <w:lang w:val="en-GB"/>
        </w:rPr>
        <w:fldChar w:fldCharType="begin" w:fldLock="1"/>
      </w:r>
      <w:r w:rsidR="00A032C6">
        <w:rPr>
          <w:color w:val="000000" w:themeColor="text1"/>
          <w:lang w:val="en-GB"/>
        </w:rPr>
        <w:instrText>ADDIN CSL_CITATION { "citationItems" : [ { "id" : "ITEM-1", "itemData" : { "DOI" : "10.18637/jss.v045.i03", "ISSN" : "1548-7660", "abstract" : "The R package mice imputes incomplete multivariate data by chained equations. The software mice 1.0 appeared in the year 2000 as an S-PLUS library, and in 2001 as an R package. mice 1.0 introduced predictor selection, passive imputation and automatic pooling. This article documents mice 2.9, which extends the functionality of mice 1.0 in several ways. In mice 2.9, the analysis of imputed data is made completely general, whereas the range ofmodels under which pooling works is substantially extended. mice 2.9 adds new functionality for imputing multilevel data, automatic predictor selection, data handling, post-processing imputed values, specialized pooling routines, model selection tools, and diagnostic graphs. Imputation of categorical data is improved in order to bypass problems caused by perfect prediction. Special attention is paid to transformations, sum scores, indices and interactions using passive imputation, and to the proper setup of the predictor matrix. mice 2.9 can be downloaded from the Comprehensive R Archive Network. This article provides a hands-on, stepwise approach to solve applied incomplete data problems.", "author" : [ { "dropping-particle" : "van", "family" : "Buuren", "given" : "Stef", "non-dropping-particle" : "", "parse-names" : false, "suffix" : "" }, { "dropping-particle" : "", "family" : "Groothuis-Oudshoorn", "given" : "Karin", "non-dropping-particle" : "", "parse-names" : false, "suffix" : "" } ], "container-title" : "Journal of Statistical Software", "id" : "ITEM-1", "issue" : "3", "issued" : { "date-parts" : [ [ "2011" ] ] }, "page" : "1-67", "title" : "mice : Multivariate Imputation by Chained Equations in R", "type" : "article-journal", "volume" : "45" }, "uris" : [ "http://www.mendeley.com/documents/?uuid=b5aad3f3-8b9f-46a6-bf3f-bc61d7f8ce54" ] } ], "mendeley" : { "formattedCitation" : "(24)", "plainTextFormattedCitation" : "(24)", "previouslyFormattedCitation" : "(24)" }, "properties" : { "noteIndex" : 0 }, "schema" : "https://github.com/citation-style-language/schema/raw/master/csl-citation.json" }</w:instrText>
      </w:r>
      <w:r w:rsidRPr="004F4BB2">
        <w:rPr>
          <w:color w:val="000000" w:themeColor="text1"/>
          <w:lang w:val="en-GB"/>
        </w:rPr>
        <w:fldChar w:fldCharType="separate"/>
      </w:r>
      <w:r w:rsidR="00A032C6" w:rsidRPr="00A032C6">
        <w:rPr>
          <w:noProof/>
          <w:color w:val="000000" w:themeColor="text1"/>
          <w:lang w:val="en-GB"/>
        </w:rPr>
        <w:t>(24)</w:t>
      </w:r>
      <w:r w:rsidRPr="004F4BB2">
        <w:rPr>
          <w:color w:val="000000" w:themeColor="text1"/>
          <w:lang w:val="en-GB"/>
        </w:rPr>
        <w:fldChar w:fldCharType="end"/>
      </w:r>
      <w:r w:rsidRPr="004F4BB2">
        <w:rPr>
          <w:color w:val="000000" w:themeColor="text1"/>
          <w:lang w:val="en-GB"/>
        </w:rPr>
        <w:t xml:space="preserve"> of the R statistical program (version 3.2.4) </w:t>
      </w:r>
      <w:r w:rsidRPr="004F4BB2">
        <w:rPr>
          <w:color w:val="000000" w:themeColor="text1"/>
          <w:lang w:val="en-GB"/>
        </w:rPr>
        <w:fldChar w:fldCharType="begin" w:fldLock="1"/>
      </w:r>
      <w:r w:rsidR="00A032C6">
        <w:rPr>
          <w:color w:val="000000" w:themeColor="text1"/>
          <w:lang w:val="en-GB"/>
        </w:rPr>
        <w:instrText>ADDIN CSL_CITATION { "citationItems" : [ { "id" : "ITEM-1", "itemData" : { "author" : [ { "dropping-particle" : "", "family" : "R Core Team", "given" : "", "non-dropping-particle" : "", "parse-names" : false, "suffix" : "" } ], "id" : "ITEM-1", "issued" : { "date-parts" : [ [ "2016" ] ] }, "publisher" : "R Foundation for Statistical Computing", "publisher-place" : "Vienna, Austria", "title" : "R: A Language and Environment for Statistical Computing", "type" : "article" }, "uris" : [ "http://www.mendeley.com/documents/?uuid=04e9758f-8f37-433f-9aa2-969091fae631" ] } ], "mendeley" : { "formattedCitation" : "(25)", "plainTextFormattedCitation" : "(25)", "previouslyFormattedCitation" : "(25)" }, "properties" : { "noteIndex" : 0 }, "schema" : "https://github.com/citation-style-language/schema/raw/master/csl-citation.json" }</w:instrText>
      </w:r>
      <w:r w:rsidRPr="004F4BB2">
        <w:rPr>
          <w:color w:val="000000" w:themeColor="text1"/>
          <w:lang w:val="en-GB"/>
        </w:rPr>
        <w:fldChar w:fldCharType="separate"/>
      </w:r>
      <w:r w:rsidR="00A032C6" w:rsidRPr="00A032C6">
        <w:rPr>
          <w:noProof/>
          <w:color w:val="000000" w:themeColor="text1"/>
          <w:lang w:val="en-GB"/>
        </w:rPr>
        <w:t>(25)</w:t>
      </w:r>
      <w:r w:rsidRPr="004F4BB2">
        <w:rPr>
          <w:color w:val="000000" w:themeColor="text1"/>
          <w:lang w:val="en-GB"/>
        </w:rPr>
        <w:fldChar w:fldCharType="end"/>
      </w:r>
      <w:r w:rsidRPr="004F4BB2">
        <w:rPr>
          <w:color w:val="000000" w:themeColor="text1"/>
          <w:lang w:val="en-GB"/>
        </w:rPr>
        <w:t>. Five completed data sets were created.</w:t>
      </w:r>
    </w:p>
    <w:p w14:paraId="6CF895F1" w14:textId="77777777" w:rsidR="001C748B" w:rsidRPr="001C748B" w:rsidRDefault="00025C98" w:rsidP="001C748B">
      <w:pPr>
        <w:spacing w:line="480" w:lineRule="auto"/>
        <w:rPr>
          <w:color w:val="000000" w:themeColor="text1"/>
          <w:u w:val="single"/>
          <w:lang w:val="en-GB"/>
        </w:rPr>
      </w:pPr>
      <w:r w:rsidRPr="001C748B">
        <w:rPr>
          <w:color w:val="000000" w:themeColor="text1"/>
          <w:u w:val="single"/>
          <w:lang w:val="en-GB"/>
        </w:rPr>
        <w:t>Indication bias</w:t>
      </w:r>
    </w:p>
    <w:p w14:paraId="23D6394C" w14:textId="77777777" w:rsidR="001C748B" w:rsidRDefault="00025C98" w:rsidP="001C748B">
      <w:pPr>
        <w:spacing w:line="480" w:lineRule="auto"/>
        <w:ind w:firstLine="720"/>
        <w:rPr>
          <w:color w:val="000000" w:themeColor="text1"/>
          <w:lang w:val="en-GB"/>
        </w:rPr>
      </w:pPr>
      <w:r w:rsidRPr="004F4BB2">
        <w:rPr>
          <w:color w:val="000000" w:themeColor="text1"/>
          <w:lang w:val="en-GB"/>
        </w:rPr>
        <w:t xml:space="preserve">Since BIOSTAT-CHF is not a randomized study, </w:t>
      </w:r>
      <w:r w:rsidR="005D48F2" w:rsidRPr="004F4BB2">
        <w:rPr>
          <w:color w:val="000000" w:themeColor="text1"/>
          <w:lang w:val="en-GB"/>
        </w:rPr>
        <w:t xml:space="preserve">we </w:t>
      </w:r>
      <w:r w:rsidRPr="004F4BB2">
        <w:rPr>
          <w:color w:val="000000" w:themeColor="text1"/>
          <w:lang w:val="en-GB"/>
        </w:rPr>
        <w:t>adjust</w:t>
      </w:r>
      <w:r w:rsidR="005D48F2" w:rsidRPr="004F4BB2">
        <w:rPr>
          <w:color w:val="000000" w:themeColor="text1"/>
          <w:lang w:val="en-GB"/>
        </w:rPr>
        <w:t>ed</w:t>
      </w:r>
      <w:r w:rsidRPr="004F4BB2">
        <w:rPr>
          <w:color w:val="000000" w:themeColor="text1"/>
          <w:lang w:val="en-GB"/>
        </w:rPr>
        <w:t xml:space="preserve"> for treatment indication-bias</w:t>
      </w:r>
      <w:r w:rsidR="005D48F2" w:rsidRPr="004F4BB2">
        <w:rPr>
          <w:color w:val="000000" w:themeColor="text1"/>
          <w:lang w:val="en-GB"/>
        </w:rPr>
        <w:t>. A</w:t>
      </w:r>
      <w:r w:rsidRPr="004F4BB2">
        <w:rPr>
          <w:color w:val="000000" w:themeColor="text1"/>
          <w:lang w:val="en-GB"/>
        </w:rPr>
        <w:t xml:space="preserve">ll analyses of the effect of successful up-titration treatment on mortality and/or hospitalization risk were inversely weighted with the probability of the given treatment. Given treatment is defined here as a successful up-titration to </w:t>
      </w:r>
      <w:r w:rsidR="009D582A" w:rsidRPr="004F4BB2">
        <w:rPr>
          <w:color w:val="000000" w:themeColor="text1"/>
          <w:lang w:val="en-US"/>
        </w:rPr>
        <w:t>&gt;50%</w:t>
      </w:r>
      <w:r w:rsidR="00CA53D1" w:rsidRPr="004F4BB2">
        <w:rPr>
          <w:color w:val="000000" w:themeColor="text1"/>
          <w:lang w:val="en-US"/>
        </w:rPr>
        <w:t xml:space="preserve"> of</w:t>
      </w:r>
      <w:r w:rsidR="00CA53D1" w:rsidRPr="005069E5">
        <w:rPr>
          <w:color w:val="000000" w:themeColor="text1"/>
          <w:lang w:val="en-GB"/>
        </w:rPr>
        <w:t xml:space="preserve"> </w:t>
      </w:r>
      <w:r w:rsidRPr="004F4BB2">
        <w:rPr>
          <w:color w:val="000000" w:themeColor="text1"/>
          <w:lang w:val="en-GB"/>
        </w:rPr>
        <w:t>ESC recommended doses for ACE-inhibitor/ARB or beta-blocker or not</w:t>
      </w:r>
      <w:r w:rsidR="00F807DF" w:rsidRPr="004F4BB2">
        <w:rPr>
          <w:color w:val="000000" w:themeColor="text1"/>
          <w:lang w:val="en-GB"/>
        </w:rPr>
        <w:t xml:space="preserve"> or ≥50% ESC recommended MRA treatment dose</w:t>
      </w:r>
      <w:r w:rsidRPr="004F4BB2">
        <w:rPr>
          <w:color w:val="000000" w:themeColor="text1"/>
          <w:lang w:val="en-GB"/>
        </w:rPr>
        <w:t xml:space="preserve">. The probability of given treatment for a specific patient was modelled using a logistic regression model. All biomarkers were considered as predictor variables for successful up-titration. In addition, we considered 39 </w:t>
      </w:r>
      <w:r w:rsidR="001C60A2" w:rsidRPr="004F4BB2">
        <w:rPr>
          <w:color w:val="000000" w:themeColor="text1"/>
          <w:lang w:val="en-GB"/>
        </w:rPr>
        <w:t>demographic</w:t>
      </w:r>
      <w:r w:rsidRPr="004F4BB2">
        <w:rPr>
          <w:color w:val="000000" w:themeColor="text1"/>
          <w:lang w:val="en-GB"/>
        </w:rPr>
        <w:t xml:space="preserve"> and clinical predictor variables for prediction of the successful outcome of the up-titration (age, sex, race, BMI, blood pressure, heart rate, smoking, alcohol use, heart failure aetiology, heart failure duration, NYHA class, and several heart failure symptoms and comorbid conditions). We used lasso penalization to obtain sparse logistic models consisting of a limited number of predictor variables. Optimal penalty parameters were obtained </w:t>
      </w:r>
      <w:r w:rsidRPr="004F4BB2">
        <w:rPr>
          <w:color w:val="000000" w:themeColor="text1"/>
          <w:lang w:val="en-GB"/>
        </w:rPr>
        <w:lastRenderedPageBreak/>
        <w:t xml:space="preserve">by 10-fold cross-validation. Analyses were performed for each imputed dataset and the calculated treatment probabilities were averaged per patient over the five imputed datasets. Performance of the logistic models was quantified using optimism-corrected c-statistics using 100 bootstrap samples, averaged over the imputed datasets. </w:t>
      </w:r>
    </w:p>
    <w:p w14:paraId="747FCE0C" w14:textId="77777777" w:rsidR="001C748B" w:rsidRPr="001C748B" w:rsidRDefault="00025C98" w:rsidP="001C748B">
      <w:pPr>
        <w:spacing w:line="480" w:lineRule="auto"/>
        <w:rPr>
          <w:color w:val="000000" w:themeColor="text1"/>
          <w:u w:val="single"/>
          <w:lang w:val="en-GB"/>
        </w:rPr>
      </w:pPr>
      <w:r w:rsidRPr="001C748B">
        <w:rPr>
          <w:color w:val="000000" w:themeColor="text1"/>
          <w:u w:val="single"/>
          <w:lang w:val="en-GB"/>
        </w:rPr>
        <w:t xml:space="preserve">Death </w:t>
      </w:r>
      <w:r w:rsidR="004D4230" w:rsidRPr="001C748B">
        <w:rPr>
          <w:color w:val="000000" w:themeColor="text1"/>
          <w:u w:val="single"/>
          <w:lang w:val="en-GB"/>
        </w:rPr>
        <w:t>and/</w:t>
      </w:r>
      <w:r w:rsidRPr="001C748B">
        <w:rPr>
          <w:color w:val="000000" w:themeColor="text1"/>
          <w:u w:val="single"/>
          <w:lang w:val="en-GB"/>
        </w:rPr>
        <w:t>or heart failure hospitalization and treatment-biomarker interaction</w:t>
      </w:r>
    </w:p>
    <w:p w14:paraId="35CC6334" w14:textId="77777777" w:rsidR="001C748B" w:rsidRDefault="00025C98" w:rsidP="001C748B">
      <w:pPr>
        <w:spacing w:line="480" w:lineRule="auto"/>
        <w:ind w:firstLine="720"/>
        <w:rPr>
          <w:color w:val="000000" w:themeColor="text1"/>
          <w:lang w:val="en-GB"/>
        </w:rPr>
      </w:pPr>
      <w:r w:rsidRPr="004F4BB2">
        <w:rPr>
          <w:color w:val="000000" w:themeColor="text1"/>
          <w:lang w:val="en-GB"/>
        </w:rPr>
        <w:t>Mortality and/or heart failure hospitalization risk was modelled using the Cox regression model with given treatment as a stratum-variable. Therefore, we did not assume proportional hazards for the effect of treatment on mortality</w:t>
      </w:r>
      <w:r w:rsidR="000344F0" w:rsidRPr="004F4BB2">
        <w:rPr>
          <w:color w:val="000000" w:themeColor="text1"/>
          <w:lang w:val="en-GB"/>
        </w:rPr>
        <w:t>/hospitalization</w:t>
      </w:r>
      <w:r w:rsidRPr="004F4BB2">
        <w:rPr>
          <w:color w:val="000000" w:themeColor="text1"/>
          <w:lang w:val="en-GB"/>
        </w:rPr>
        <w:t xml:space="preserve"> risk. The assumed proportional hazards assumption of the biomarkers was checked using </w:t>
      </w:r>
      <w:proofErr w:type="spellStart"/>
      <w:r w:rsidRPr="004F4BB2">
        <w:rPr>
          <w:color w:val="000000" w:themeColor="text1"/>
          <w:lang w:val="en-GB"/>
        </w:rPr>
        <w:t>Grambsch</w:t>
      </w:r>
      <w:proofErr w:type="spellEnd"/>
      <w:r w:rsidRPr="004F4BB2">
        <w:rPr>
          <w:color w:val="000000" w:themeColor="text1"/>
          <w:lang w:val="en-GB"/>
        </w:rPr>
        <w:t xml:space="preserve"> and </w:t>
      </w:r>
      <w:proofErr w:type="spellStart"/>
      <w:r w:rsidRPr="004F4BB2">
        <w:rPr>
          <w:color w:val="000000" w:themeColor="text1"/>
          <w:lang w:val="en-GB"/>
        </w:rPr>
        <w:t>Therneau's</w:t>
      </w:r>
      <w:proofErr w:type="spellEnd"/>
      <w:r w:rsidRPr="004F4BB2">
        <w:rPr>
          <w:color w:val="000000" w:themeColor="text1"/>
          <w:lang w:val="en-GB"/>
        </w:rPr>
        <w:t xml:space="preserve"> test implemented in the </w:t>
      </w:r>
      <w:proofErr w:type="spellStart"/>
      <w:r w:rsidRPr="004F4BB2">
        <w:rPr>
          <w:color w:val="000000" w:themeColor="text1"/>
          <w:lang w:val="en-GB"/>
        </w:rPr>
        <w:t>cox.zph</w:t>
      </w:r>
      <w:proofErr w:type="spellEnd"/>
      <w:r w:rsidRPr="004F4BB2">
        <w:rPr>
          <w:color w:val="000000" w:themeColor="text1"/>
          <w:lang w:val="en-GB"/>
        </w:rPr>
        <w:t xml:space="preserve"> function of the R statistical program </w:t>
      </w:r>
      <w:r w:rsidRPr="004F4BB2">
        <w:rPr>
          <w:color w:val="000000" w:themeColor="text1"/>
          <w:lang w:val="en-GB"/>
        </w:rPr>
        <w:fldChar w:fldCharType="begin" w:fldLock="1"/>
      </w:r>
      <w:r w:rsidR="00A032C6">
        <w:rPr>
          <w:color w:val="000000" w:themeColor="text1"/>
          <w:lang w:val="en-GB"/>
        </w:rPr>
        <w:instrText>ADDIN CSL_CITATION { "citationItems" : [ { "id" : "ITEM-1", "itemData" : { "DOI" : "10.2307/2337123", "ISSN" : "00063444", "abstract" : "SUMMARY Nonproportional hazards can often be expressed by extending the Cox model to include time varying coefficients; e.g., for a single covariate, the hazard function for subject i is modelled as exp {\u03b2(t)Zi(t)}. A common example is a treatment effect that decreases with time. We show that the function \u03b2i(t) can be directly visualized by smoothing an appropriate residual plot. Also, many tests of proportional hazards, including those of Cox (1972), Gill &amp; Schumacher (1987), Harrell (1986), Lin (1991), Moreau, O'Quigley &amp; Mesbah (1985), Nagelkerke, Oosting &amp; Hart (1984), O'Quigley &amp; Pessione (1989), Schoenfeld (1980) and Wei (1984) are related to time-weighted score tests of the proportional hazards hypothesis, and can be visualized as a weighted least-squares line fitted to the residual plot.", "author" : [ { "dropping-particle" : "", "family" : "Grambsch", "given" : "Patricia M.", "non-dropping-particle" : "", "parse-names" : false, "suffix" : "" }, { "dropping-particle" : "", "family" : "Therneau", "given" : "Terry M.", "non-dropping-particle" : "", "parse-names" : false, "suffix" : "" } ], "container-title" : "Biometrika", "id" : "ITEM-1", "issue" : "3", "issued" : { "date-parts" : [ [ "1994", "8" ] ] }, "page" : "515", "title" : "Proportional Hazards Tests and Diagnostics Based on Weighted Residuals", "type" : "article-journal", "volume" : "81" }, "uris" : [ "http://www.mendeley.com/documents/?uuid=8d2f143d-f93e-488f-81c1-d9b397baa8ca" ] } ], "mendeley" : { "formattedCitation" : "(26)", "plainTextFormattedCitation" : "(26)", "previouslyFormattedCitation" : "(26)" }, "properties" : { "noteIndex" : 0 }, "schema" : "https://github.com/citation-style-language/schema/raw/master/csl-citation.json" }</w:instrText>
      </w:r>
      <w:r w:rsidRPr="004F4BB2">
        <w:rPr>
          <w:color w:val="000000" w:themeColor="text1"/>
          <w:lang w:val="en-GB"/>
        </w:rPr>
        <w:fldChar w:fldCharType="separate"/>
      </w:r>
      <w:r w:rsidR="00A032C6" w:rsidRPr="00A032C6">
        <w:rPr>
          <w:noProof/>
          <w:color w:val="000000" w:themeColor="text1"/>
          <w:lang w:val="en-GB"/>
        </w:rPr>
        <w:t>(26)</w:t>
      </w:r>
      <w:r w:rsidRPr="004F4BB2">
        <w:rPr>
          <w:color w:val="000000" w:themeColor="text1"/>
          <w:lang w:val="en-GB"/>
        </w:rPr>
        <w:fldChar w:fldCharType="end"/>
      </w:r>
      <w:r w:rsidR="001C748B">
        <w:rPr>
          <w:color w:val="000000" w:themeColor="text1"/>
          <w:lang w:val="en-GB"/>
        </w:rPr>
        <w:t>.</w:t>
      </w:r>
    </w:p>
    <w:p w14:paraId="04146215" w14:textId="77777777" w:rsidR="001C748B" w:rsidRDefault="00025C98" w:rsidP="001C748B">
      <w:pPr>
        <w:spacing w:line="480" w:lineRule="auto"/>
        <w:ind w:firstLine="720"/>
        <w:rPr>
          <w:color w:val="000000" w:themeColor="text1"/>
          <w:lang w:val="en-GB"/>
        </w:rPr>
      </w:pPr>
      <w:r w:rsidRPr="004F4BB2">
        <w:rPr>
          <w:color w:val="000000" w:themeColor="text1"/>
          <w:lang w:val="en-GB"/>
        </w:rPr>
        <w:t xml:space="preserve">We performed multivariable Cox regression with all 161 biomarkers. We used the split sample technique to obtain a </w:t>
      </w:r>
      <w:r w:rsidRPr="004F4BB2">
        <w:rPr>
          <w:i/>
          <w:color w:val="000000" w:themeColor="text1"/>
          <w:lang w:val="en-GB"/>
        </w:rPr>
        <w:t>training sample</w:t>
      </w:r>
      <w:r w:rsidRPr="004F4BB2">
        <w:rPr>
          <w:color w:val="000000" w:themeColor="text1"/>
          <w:lang w:val="en-GB"/>
        </w:rPr>
        <w:t xml:space="preserve"> consisting of 80% of the patients in the original index cohort and the remaining 20% of the patients formed the </w:t>
      </w:r>
      <w:r w:rsidRPr="004F4BB2">
        <w:rPr>
          <w:i/>
          <w:color w:val="000000" w:themeColor="text1"/>
          <w:lang w:val="en-GB"/>
        </w:rPr>
        <w:t>test sample</w:t>
      </w:r>
      <w:r w:rsidRPr="004F4BB2">
        <w:rPr>
          <w:color w:val="000000" w:themeColor="text1"/>
          <w:lang w:val="en-GB"/>
        </w:rPr>
        <w:t>. The split-sample procedure was repeated 100 times. In all 100 training samples, we used lasso penalization to obtain sparse Cox regression models consisting of a limited number of the 161 biomarkers. Optimal penalty parameters were obtain</w:t>
      </w:r>
      <w:r w:rsidR="001C748B">
        <w:rPr>
          <w:color w:val="000000" w:themeColor="text1"/>
          <w:lang w:val="en-GB"/>
        </w:rPr>
        <w:t>ed by 10-fold cross-validation.</w:t>
      </w:r>
    </w:p>
    <w:p w14:paraId="3C949CDC" w14:textId="77777777" w:rsidR="001C748B" w:rsidRDefault="00025C98" w:rsidP="001C748B">
      <w:pPr>
        <w:spacing w:line="480" w:lineRule="auto"/>
        <w:ind w:firstLine="720"/>
        <w:rPr>
          <w:color w:val="000000" w:themeColor="text1"/>
          <w:lang w:val="en-GB"/>
        </w:rPr>
      </w:pPr>
      <w:r w:rsidRPr="004F4BB2">
        <w:rPr>
          <w:color w:val="000000" w:themeColor="text1"/>
          <w:lang w:val="en-GB"/>
        </w:rPr>
        <w:t xml:space="preserve">We performed separate analyses for patients who were successfully up-titrated to </w:t>
      </w:r>
      <w:r w:rsidR="009D582A" w:rsidRPr="004F4BB2">
        <w:rPr>
          <w:color w:val="000000" w:themeColor="text1"/>
          <w:lang w:val="en-US"/>
        </w:rPr>
        <w:t>&gt;50%</w:t>
      </w:r>
      <w:r w:rsidR="007C5362" w:rsidRPr="004F4BB2">
        <w:rPr>
          <w:color w:val="000000" w:themeColor="text1"/>
          <w:lang w:val="en-US"/>
        </w:rPr>
        <w:t xml:space="preserve"> of</w:t>
      </w:r>
      <w:r w:rsidR="007C5362" w:rsidRPr="005069E5">
        <w:rPr>
          <w:color w:val="000000" w:themeColor="text1"/>
          <w:lang w:val="en-GB"/>
        </w:rPr>
        <w:t xml:space="preserve"> </w:t>
      </w:r>
      <w:r w:rsidRPr="004F4BB2">
        <w:rPr>
          <w:color w:val="000000" w:themeColor="text1"/>
          <w:lang w:val="en-GB"/>
        </w:rPr>
        <w:t>recommended treatment dose for either ACE-inhibitors/ARB’s or beta-blocker</w:t>
      </w:r>
      <w:r w:rsidR="005A4146" w:rsidRPr="004F4BB2">
        <w:rPr>
          <w:color w:val="000000" w:themeColor="text1"/>
          <w:lang w:val="en-GB"/>
        </w:rPr>
        <w:t xml:space="preserve">s and for patients who were </w:t>
      </w:r>
      <w:r w:rsidR="00BA7818" w:rsidRPr="004F4BB2">
        <w:rPr>
          <w:color w:val="000000" w:themeColor="text1"/>
          <w:lang w:val="en-GB"/>
        </w:rPr>
        <w:t>non-responders as defined by lack of up</w:t>
      </w:r>
      <w:r w:rsidR="007258D1" w:rsidRPr="004F4BB2">
        <w:rPr>
          <w:color w:val="000000" w:themeColor="text1"/>
          <w:lang w:val="en-GB"/>
        </w:rPr>
        <w:t>-</w:t>
      </w:r>
      <w:r w:rsidR="00BA7818" w:rsidRPr="004F4BB2">
        <w:rPr>
          <w:color w:val="000000" w:themeColor="text1"/>
          <w:lang w:val="en-GB"/>
        </w:rPr>
        <w:t>titration (≤50% of recommended treatment dose)</w:t>
      </w:r>
      <w:r w:rsidR="00CE6AE7" w:rsidRPr="004F4BB2">
        <w:rPr>
          <w:color w:val="000000" w:themeColor="text1"/>
          <w:lang w:val="en-GB"/>
        </w:rPr>
        <w:t xml:space="preserve">. </w:t>
      </w:r>
      <w:r w:rsidR="00710676" w:rsidRPr="004F4BB2">
        <w:rPr>
          <w:color w:val="000000" w:themeColor="text1"/>
          <w:lang w:val="en-GB"/>
        </w:rPr>
        <w:t xml:space="preserve">This resulted </w:t>
      </w:r>
      <w:r w:rsidR="00187EC5" w:rsidRPr="004F4BB2">
        <w:rPr>
          <w:color w:val="000000" w:themeColor="text1"/>
          <w:lang w:val="en-GB"/>
        </w:rPr>
        <w:t xml:space="preserve">in </w:t>
      </w:r>
      <w:r w:rsidR="0059670B" w:rsidRPr="004F4BB2">
        <w:rPr>
          <w:color w:val="000000" w:themeColor="text1"/>
          <w:lang w:val="en-GB"/>
        </w:rPr>
        <w:t xml:space="preserve">6 </w:t>
      </w:r>
      <w:r w:rsidR="00187EC5" w:rsidRPr="004F4BB2">
        <w:rPr>
          <w:color w:val="000000" w:themeColor="text1"/>
          <w:lang w:val="en-GB"/>
        </w:rPr>
        <w:t>different models</w:t>
      </w:r>
      <w:r w:rsidR="0070130A" w:rsidRPr="004F4BB2">
        <w:rPr>
          <w:color w:val="000000" w:themeColor="text1"/>
          <w:lang w:val="en-GB"/>
        </w:rPr>
        <w:t xml:space="preserve"> predicting mortality and/or heart failure hospitalization; </w:t>
      </w:r>
      <w:r w:rsidR="008A1032" w:rsidRPr="004F4BB2">
        <w:rPr>
          <w:color w:val="000000" w:themeColor="text1"/>
          <w:lang w:val="en-GB"/>
        </w:rPr>
        <w:t xml:space="preserve">three </w:t>
      </w:r>
      <w:r w:rsidR="0070130A" w:rsidRPr="004F4BB2">
        <w:rPr>
          <w:color w:val="000000" w:themeColor="text1"/>
          <w:lang w:val="en-GB"/>
        </w:rPr>
        <w:t>models predicting mortality and/or heart failure hospitalization in</w:t>
      </w:r>
      <w:r w:rsidR="00187EC5" w:rsidRPr="004F4BB2">
        <w:rPr>
          <w:color w:val="000000" w:themeColor="text1"/>
          <w:lang w:val="en-GB"/>
        </w:rPr>
        <w:t xml:space="preserve"> successful</w:t>
      </w:r>
      <w:r w:rsidR="0070130A" w:rsidRPr="004F4BB2">
        <w:rPr>
          <w:color w:val="000000" w:themeColor="text1"/>
          <w:lang w:val="en-GB"/>
        </w:rPr>
        <w:t>ly up-titrated patients</w:t>
      </w:r>
      <w:r w:rsidR="00187EC5" w:rsidRPr="004F4BB2">
        <w:rPr>
          <w:color w:val="000000" w:themeColor="text1"/>
          <w:lang w:val="en-GB"/>
        </w:rPr>
        <w:t xml:space="preserve"> </w:t>
      </w:r>
      <w:r w:rsidR="0070130A" w:rsidRPr="004F4BB2">
        <w:rPr>
          <w:color w:val="000000" w:themeColor="text1"/>
          <w:lang w:val="en-GB"/>
        </w:rPr>
        <w:t>for ACE-inhibitors/ARB’s</w:t>
      </w:r>
      <w:r w:rsidR="008A1032" w:rsidRPr="004F4BB2">
        <w:rPr>
          <w:color w:val="000000" w:themeColor="text1"/>
          <w:lang w:val="en-GB"/>
        </w:rPr>
        <w:t>,</w:t>
      </w:r>
      <w:r w:rsidR="0070130A" w:rsidRPr="004F4BB2">
        <w:rPr>
          <w:color w:val="000000" w:themeColor="text1"/>
          <w:lang w:val="en-GB"/>
        </w:rPr>
        <w:t xml:space="preserve"> beta-blockers</w:t>
      </w:r>
      <w:r w:rsidR="008A1032" w:rsidRPr="004F4BB2">
        <w:rPr>
          <w:color w:val="000000" w:themeColor="text1"/>
          <w:lang w:val="en-GB"/>
        </w:rPr>
        <w:t xml:space="preserve"> and MRA’s</w:t>
      </w:r>
      <w:r w:rsidR="00187EC5" w:rsidRPr="004F4BB2">
        <w:rPr>
          <w:color w:val="000000" w:themeColor="text1"/>
          <w:lang w:val="en-GB"/>
        </w:rPr>
        <w:t xml:space="preserve">, and </w:t>
      </w:r>
      <w:r w:rsidR="008A1032" w:rsidRPr="004F4BB2">
        <w:rPr>
          <w:color w:val="000000" w:themeColor="text1"/>
          <w:lang w:val="en-GB"/>
        </w:rPr>
        <w:t xml:space="preserve">three </w:t>
      </w:r>
      <w:r w:rsidR="00187EC5" w:rsidRPr="004F4BB2">
        <w:rPr>
          <w:color w:val="000000" w:themeColor="text1"/>
          <w:lang w:val="en-GB"/>
        </w:rPr>
        <w:t xml:space="preserve">for </w:t>
      </w:r>
      <w:r w:rsidR="00772EEA" w:rsidRPr="004F4BB2">
        <w:rPr>
          <w:color w:val="000000" w:themeColor="text1"/>
          <w:lang w:val="en-GB"/>
        </w:rPr>
        <w:t xml:space="preserve">non-responding </w:t>
      </w:r>
      <w:r w:rsidR="00D67453" w:rsidRPr="004F4BB2">
        <w:rPr>
          <w:color w:val="000000" w:themeColor="text1"/>
          <w:lang w:val="en-GB"/>
        </w:rPr>
        <w:t xml:space="preserve">patients </w:t>
      </w:r>
      <w:r w:rsidR="00772EEA" w:rsidRPr="004F4BB2">
        <w:rPr>
          <w:color w:val="000000" w:themeColor="text1"/>
          <w:lang w:val="en-GB"/>
        </w:rPr>
        <w:t xml:space="preserve">who were </w:t>
      </w:r>
      <w:r w:rsidR="00187EC5" w:rsidRPr="004F4BB2">
        <w:rPr>
          <w:color w:val="000000" w:themeColor="text1"/>
          <w:lang w:val="en-GB"/>
        </w:rPr>
        <w:t>up-titrat</w:t>
      </w:r>
      <w:r w:rsidR="00D67453" w:rsidRPr="004F4BB2">
        <w:rPr>
          <w:color w:val="000000" w:themeColor="text1"/>
          <w:lang w:val="en-GB"/>
        </w:rPr>
        <w:t>ed</w:t>
      </w:r>
      <w:r w:rsidR="00187EC5" w:rsidRPr="004F4BB2">
        <w:rPr>
          <w:color w:val="000000" w:themeColor="text1"/>
          <w:lang w:val="en-GB"/>
        </w:rPr>
        <w:t xml:space="preserve"> </w:t>
      </w:r>
      <w:r w:rsidR="00772EEA" w:rsidRPr="004F4BB2">
        <w:rPr>
          <w:color w:val="000000" w:themeColor="text1"/>
          <w:lang w:val="en-GB"/>
        </w:rPr>
        <w:t xml:space="preserve">to </w:t>
      </w:r>
      <w:r w:rsidR="00133502" w:rsidRPr="004F4BB2">
        <w:rPr>
          <w:color w:val="000000" w:themeColor="text1"/>
          <w:lang w:val="en-GB"/>
        </w:rPr>
        <w:t>≤</w:t>
      </w:r>
      <w:r w:rsidR="00187EC5" w:rsidRPr="004F4BB2">
        <w:rPr>
          <w:color w:val="000000" w:themeColor="text1"/>
          <w:lang w:val="en-GB"/>
        </w:rPr>
        <w:t xml:space="preserve">50% of recommended </w:t>
      </w:r>
      <w:r w:rsidR="00FD5C44" w:rsidRPr="004F4BB2">
        <w:rPr>
          <w:color w:val="000000" w:themeColor="text1"/>
          <w:lang w:val="en-GB"/>
        </w:rPr>
        <w:t>ACE-inhibitor/ARB</w:t>
      </w:r>
      <w:r w:rsidR="000B6A88" w:rsidRPr="004F4BB2">
        <w:rPr>
          <w:color w:val="000000" w:themeColor="text1"/>
          <w:lang w:val="en-GB"/>
        </w:rPr>
        <w:t xml:space="preserve"> </w:t>
      </w:r>
      <w:r w:rsidR="000B6A88" w:rsidRPr="004F4BB2">
        <w:rPr>
          <w:color w:val="000000" w:themeColor="text1"/>
          <w:lang w:val="en-GB"/>
        </w:rPr>
        <w:lastRenderedPageBreak/>
        <w:t>and beta-blocker</w:t>
      </w:r>
      <w:r w:rsidR="00FD5C44" w:rsidRPr="004F4BB2">
        <w:rPr>
          <w:color w:val="000000" w:themeColor="text1"/>
          <w:lang w:val="en-GB"/>
        </w:rPr>
        <w:t xml:space="preserve"> </w:t>
      </w:r>
      <w:r w:rsidR="00187EC5" w:rsidRPr="004F4BB2">
        <w:rPr>
          <w:color w:val="000000" w:themeColor="text1"/>
          <w:lang w:val="en-GB"/>
        </w:rPr>
        <w:t>doses</w:t>
      </w:r>
      <w:r w:rsidR="00133502" w:rsidRPr="004F4BB2">
        <w:rPr>
          <w:color w:val="000000" w:themeColor="text1"/>
          <w:lang w:val="en-GB"/>
        </w:rPr>
        <w:t xml:space="preserve"> and &lt;50% recommended MRA dose</w:t>
      </w:r>
      <w:r w:rsidR="00187EC5" w:rsidRPr="004F4BB2">
        <w:rPr>
          <w:color w:val="000000" w:themeColor="text1"/>
          <w:lang w:val="en-GB"/>
        </w:rPr>
        <w:t xml:space="preserve">. </w:t>
      </w:r>
      <w:r w:rsidRPr="004F4BB2">
        <w:rPr>
          <w:color w:val="000000" w:themeColor="text1"/>
          <w:lang w:val="en-GB"/>
        </w:rPr>
        <w:t>We stratified on given treatment and considered both the main effects of all biomarkers as well as all interactions of biomarkers with treatment. In the 100 test samples, we subsequently evaluated the goodness of fit of the selected sparse Cox regression models. We calculated both calibration and discrim</w:t>
      </w:r>
      <w:r w:rsidR="008B446F" w:rsidRPr="004F4BB2">
        <w:rPr>
          <w:color w:val="000000" w:themeColor="text1"/>
          <w:lang w:val="en-GB"/>
        </w:rPr>
        <w:t>ination statistics (c-statistic</w:t>
      </w:r>
      <w:r w:rsidRPr="004F4BB2">
        <w:rPr>
          <w:color w:val="000000" w:themeColor="text1"/>
          <w:lang w:val="en-GB"/>
        </w:rPr>
        <w:t xml:space="preserve"> and shrinkage statistic). Moreover, the benefit of successful and not successful up-titration was calculated for the pa</w:t>
      </w:r>
      <w:r w:rsidR="00E72822" w:rsidRPr="004F4BB2">
        <w:rPr>
          <w:color w:val="000000" w:themeColor="text1"/>
          <w:lang w:val="en-GB"/>
        </w:rPr>
        <w:t>tients in the test samples. All</w:t>
      </w:r>
      <w:r w:rsidRPr="004F4BB2">
        <w:rPr>
          <w:color w:val="000000" w:themeColor="text1"/>
          <w:lang w:val="en-GB"/>
        </w:rPr>
        <w:t xml:space="preserve"> analyses were inversely weighted with the probability of the given treatment to account for indication bias.</w:t>
      </w:r>
    </w:p>
    <w:p w14:paraId="7D772BD7" w14:textId="77777777" w:rsidR="001C748B" w:rsidRPr="001C748B" w:rsidRDefault="00025C98" w:rsidP="001C748B">
      <w:pPr>
        <w:spacing w:line="480" w:lineRule="auto"/>
        <w:rPr>
          <w:color w:val="000000" w:themeColor="text1"/>
          <w:u w:val="single"/>
          <w:lang w:val="en-GB"/>
        </w:rPr>
      </w:pPr>
      <w:r w:rsidRPr="001C748B">
        <w:rPr>
          <w:color w:val="000000" w:themeColor="text1"/>
          <w:u w:val="single"/>
          <w:lang w:val="en-GB"/>
        </w:rPr>
        <w:t>Treatment benefit statistics</w:t>
      </w:r>
    </w:p>
    <w:p w14:paraId="5BF97904" w14:textId="77777777" w:rsidR="001C748B" w:rsidRDefault="00C56034" w:rsidP="001C748B">
      <w:pPr>
        <w:spacing w:line="480" w:lineRule="auto"/>
        <w:ind w:firstLine="720"/>
        <w:rPr>
          <w:color w:val="000000" w:themeColor="text1"/>
          <w:lang w:val="en-GB"/>
        </w:rPr>
      </w:pPr>
      <w:r w:rsidRPr="004F4BB2">
        <w:rPr>
          <w:color w:val="000000" w:themeColor="text1"/>
          <w:lang w:val="en-GB"/>
        </w:rPr>
        <w:t xml:space="preserve">We calculated the expected number of events at 24 months follow-up for three scenarios: A) if all patients are successfully up-titrated to </w:t>
      </w:r>
      <w:r w:rsidR="009D582A" w:rsidRPr="004F4BB2">
        <w:rPr>
          <w:color w:val="000000" w:themeColor="text1"/>
          <w:lang w:val="en-US"/>
        </w:rPr>
        <w:t>&gt;50%</w:t>
      </w:r>
      <w:r w:rsidRPr="004F4BB2">
        <w:rPr>
          <w:color w:val="000000" w:themeColor="text1"/>
          <w:lang w:val="en-US"/>
        </w:rPr>
        <w:t xml:space="preserve"> of</w:t>
      </w:r>
      <w:r w:rsidRPr="005069E5">
        <w:rPr>
          <w:color w:val="000000" w:themeColor="text1"/>
          <w:lang w:val="en-GB"/>
        </w:rPr>
        <w:t xml:space="preserve"> </w:t>
      </w:r>
      <w:r w:rsidRPr="004F4BB2">
        <w:rPr>
          <w:color w:val="000000" w:themeColor="text1"/>
          <w:lang w:val="en-GB"/>
        </w:rPr>
        <w:t>recommended doses according to the ESC guidelines</w:t>
      </w:r>
      <w:r w:rsidR="00035037" w:rsidRPr="004F4BB2">
        <w:rPr>
          <w:color w:val="000000" w:themeColor="text1"/>
          <w:lang w:val="en-GB"/>
        </w:rPr>
        <w:t xml:space="preserve"> (≥50% for MRA’s)</w:t>
      </w:r>
      <w:r w:rsidRPr="004F4BB2">
        <w:rPr>
          <w:color w:val="000000" w:themeColor="text1"/>
          <w:lang w:val="en-GB"/>
        </w:rPr>
        <w:t xml:space="preserve">; B) if all patients are up-titrated following a treatment-strategy based on the biomarker values; C) if no patient is treated at </w:t>
      </w:r>
      <w:r w:rsidR="009D582A" w:rsidRPr="004F4BB2">
        <w:rPr>
          <w:color w:val="000000" w:themeColor="text1"/>
          <w:lang w:val="en-US"/>
        </w:rPr>
        <w:t>&gt;50%</w:t>
      </w:r>
      <w:r w:rsidRPr="004F4BB2">
        <w:rPr>
          <w:color w:val="000000" w:themeColor="text1"/>
          <w:lang w:val="en-US"/>
        </w:rPr>
        <w:t xml:space="preserve"> of</w:t>
      </w:r>
      <w:r w:rsidRPr="005069E5">
        <w:rPr>
          <w:color w:val="000000" w:themeColor="text1"/>
          <w:lang w:val="en-GB"/>
        </w:rPr>
        <w:t xml:space="preserve"> </w:t>
      </w:r>
      <w:r w:rsidRPr="004F4BB2">
        <w:rPr>
          <w:color w:val="000000" w:themeColor="text1"/>
          <w:lang w:val="en-GB"/>
        </w:rPr>
        <w:t xml:space="preserve">recommended doses according to the ESC </w:t>
      </w:r>
      <w:r w:rsidR="00DB59F8" w:rsidRPr="004F4BB2">
        <w:rPr>
          <w:color w:val="000000" w:themeColor="text1"/>
          <w:lang w:val="en-GB"/>
        </w:rPr>
        <w:t xml:space="preserve">heart failure </w:t>
      </w:r>
      <w:r w:rsidRPr="004F4BB2">
        <w:rPr>
          <w:color w:val="000000" w:themeColor="text1"/>
          <w:lang w:val="en-GB"/>
        </w:rPr>
        <w:t>guidelines</w:t>
      </w:r>
      <w:r w:rsidR="00035037" w:rsidRPr="004F4BB2">
        <w:rPr>
          <w:color w:val="000000" w:themeColor="text1"/>
          <w:lang w:val="en-GB"/>
        </w:rPr>
        <w:t xml:space="preserve"> (≥50% for MRA’s)</w:t>
      </w:r>
      <w:r w:rsidRPr="004F4BB2">
        <w:rPr>
          <w:color w:val="000000" w:themeColor="text1"/>
          <w:lang w:val="en-GB"/>
        </w:rPr>
        <w:t xml:space="preserve">. We </w:t>
      </w:r>
      <w:r w:rsidR="00DB59F8" w:rsidRPr="004F4BB2">
        <w:rPr>
          <w:color w:val="000000" w:themeColor="text1"/>
          <w:lang w:val="en-GB"/>
        </w:rPr>
        <w:t>performed</w:t>
      </w:r>
      <w:r w:rsidRPr="004F4BB2">
        <w:rPr>
          <w:color w:val="000000" w:themeColor="text1"/>
          <w:lang w:val="en-GB"/>
        </w:rPr>
        <w:t xml:space="preserve"> all analyses for ACE-inhibitor/ARB and beta-blocker separately. For scenario B; we decided to up-titrate when the </w:t>
      </w:r>
      <w:r w:rsidR="002B06CF" w:rsidRPr="004F4BB2">
        <w:rPr>
          <w:color w:val="000000" w:themeColor="text1"/>
          <w:lang w:val="en-GB"/>
        </w:rPr>
        <w:t xml:space="preserve">probability of survival </w:t>
      </w:r>
      <w:r w:rsidR="002A203B" w:rsidRPr="004F4BB2">
        <w:rPr>
          <w:color w:val="000000" w:themeColor="text1"/>
          <w:lang w:val="en-GB"/>
        </w:rPr>
        <w:t>for mortality and/</w:t>
      </w:r>
      <w:r w:rsidRPr="004F4BB2">
        <w:rPr>
          <w:color w:val="000000" w:themeColor="text1"/>
          <w:lang w:val="en-GB"/>
        </w:rPr>
        <w:t xml:space="preserve">or hospitalization at 24 months for up-titrating were </w:t>
      </w:r>
      <w:r w:rsidR="002B06CF" w:rsidRPr="004F4BB2">
        <w:rPr>
          <w:color w:val="000000" w:themeColor="text1"/>
          <w:lang w:val="en-GB"/>
        </w:rPr>
        <w:t xml:space="preserve">higher </w:t>
      </w:r>
      <w:r w:rsidRPr="004F4BB2">
        <w:rPr>
          <w:color w:val="000000" w:themeColor="text1"/>
          <w:lang w:val="en-GB"/>
        </w:rPr>
        <w:t>than for not up-titrating, and vice versa.</w:t>
      </w:r>
    </w:p>
    <w:p w14:paraId="1DEB797D" w14:textId="41E3D1EE" w:rsidR="00025C98" w:rsidRPr="004F4BB2" w:rsidRDefault="0015799C" w:rsidP="001C748B">
      <w:pPr>
        <w:spacing w:line="480" w:lineRule="auto"/>
        <w:ind w:firstLine="720"/>
        <w:rPr>
          <w:color w:val="000000" w:themeColor="text1"/>
          <w:lang w:val="en-GB"/>
        </w:rPr>
      </w:pPr>
      <w:r w:rsidRPr="004F4BB2">
        <w:rPr>
          <w:color w:val="000000" w:themeColor="text1"/>
          <w:lang w:val="en-GB"/>
        </w:rPr>
        <w:t>The</w:t>
      </w:r>
      <w:r w:rsidR="00473398" w:rsidRPr="004F4BB2">
        <w:rPr>
          <w:color w:val="000000" w:themeColor="text1"/>
          <w:lang w:val="en-GB"/>
        </w:rPr>
        <w:t xml:space="preserve"> </w:t>
      </w:r>
      <w:r w:rsidR="002B06CF" w:rsidRPr="004F4BB2">
        <w:rPr>
          <w:color w:val="000000" w:themeColor="text1"/>
          <w:lang w:val="en-GB"/>
        </w:rPr>
        <w:t xml:space="preserve">survival probabilities </w:t>
      </w:r>
      <w:r w:rsidR="00C56034" w:rsidRPr="004F4BB2">
        <w:rPr>
          <w:color w:val="000000" w:themeColor="text1"/>
          <w:lang w:val="en-GB"/>
        </w:rPr>
        <w:t xml:space="preserve">were </w:t>
      </w:r>
      <w:r w:rsidR="00625D75" w:rsidRPr="004F4BB2">
        <w:rPr>
          <w:color w:val="000000" w:themeColor="text1"/>
          <w:lang w:val="en-GB"/>
        </w:rPr>
        <w:t>based on</w:t>
      </w:r>
      <w:r w:rsidR="00C56034" w:rsidRPr="004F4BB2">
        <w:rPr>
          <w:color w:val="000000" w:themeColor="text1"/>
          <w:lang w:val="en-GB"/>
        </w:rPr>
        <w:t xml:space="preserve"> </w:t>
      </w:r>
      <w:r w:rsidR="00025C98" w:rsidRPr="004F4BB2">
        <w:rPr>
          <w:color w:val="000000" w:themeColor="text1"/>
          <w:lang w:val="en-GB"/>
        </w:rPr>
        <w:t xml:space="preserve">the difference of a patient's </w:t>
      </w:r>
      <w:r w:rsidR="002B06CF" w:rsidRPr="004F4BB2">
        <w:rPr>
          <w:color w:val="000000" w:themeColor="text1"/>
          <w:lang w:val="en-GB"/>
        </w:rPr>
        <w:t xml:space="preserve">mean </w:t>
      </w:r>
      <w:r w:rsidR="00025C98" w:rsidRPr="004F4BB2">
        <w:rPr>
          <w:color w:val="000000" w:themeColor="text1"/>
          <w:lang w:val="en-GB"/>
        </w:rPr>
        <w:t xml:space="preserve">death and/or heart failure hospitalization </w:t>
      </w:r>
      <w:r w:rsidR="002B06CF" w:rsidRPr="004F4BB2">
        <w:rPr>
          <w:color w:val="000000" w:themeColor="text1"/>
          <w:lang w:val="en-GB"/>
        </w:rPr>
        <w:t xml:space="preserve">probability </w:t>
      </w:r>
      <w:r w:rsidR="00025C98" w:rsidRPr="004F4BB2">
        <w:rPr>
          <w:color w:val="000000" w:themeColor="text1"/>
          <w:lang w:val="en-GB"/>
        </w:rPr>
        <w:t>at 24 months follow-up (</w:t>
      </w:r>
      <w:proofErr w:type="gramStart"/>
      <m:oMath>
        <m:r>
          <w:rPr>
            <w:rFonts w:ascii="Cambria Math" w:hAnsi="Cambria Math"/>
            <w:color w:val="000000" w:themeColor="text1"/>
            <w:lang w:val="en-GB"/>
          </w:rPr>
          <m:t>S(</m:t>
        </m:r>
        <w:proofErr w:type="gramEnd"/>
        <m:r>
          <w:rPr>
            <w:rFonts w:ascii="Cambria Math" w:hAnsi="Cambria Math"/>
            <w:color w:val="000000" w:themeColor="text1"/>
            <w:lang w:val="en-GB"/>
          </w:rPr>
          <m:t>t=24|…)</m:t>
        </m:r>
      </m:oMath>
      <w:r w:rsidR="00227921" w:rsidRPr="004F4BB2">
        <w:rPr>
          <w:color w:val="000000" w:themeColor="text1"/>
          <w:lang w:val="en-GB"/>
        </w:rPr>
        <w:t xml:space="preserve">) </w:t>
      </w:r>
      <w:r w:rsidR="00025C98" w:rsidRPr="004F4BB2">
        <w:rPr>
          <w:color w:val="000000" w:themeColor="text1"/>
          <w:lang w:val="en-GB"/>
        </w:rPr>
        <w:t xml:space="preserve">under both treatments according to the sparse Cox regression models estimated for the associated training sample: </w:t>
      </w:r>
    </w:p>
    <w:p w14:paraId="6DA07EDC" w14:textId="30A065D3" w:rsidR="00025C98" w:rsidRPr="004F4BB2" w:rsidRDefault="00025C98" w:rsidP="00C01D00">
      <w:pPr>
        <w:spacing w:line="480" w:lineRule="auto"/>
        <w:rPr>
          <w:color w:val="000000" w:themeColor="text1"/>
          <w:lang w:val="en-GB"/>
        </w:rPr>
      </w:pPr>
      <m:oMath>
        <m:r>
          <w:rPr>
            <w:rFonts w:ascii="Cambria Math" w:hAnsi="Cambria Math"/>
            <w:color w:val="000000" w:themeColor="text1"/>
            <w:lang w:val="en-GB"/>
          </w:rPr>
          <m:t>S</m:t>
        </m:r>
        <m:d>
          <m:dPr>
            <m:ctrlPr>
              <w:rPr>
                <w:rFonts w:ascii="Cambria Math" w:hAnsi="Cambria Math"/>
                <w:i/>
                <w:color w:val="000000" w:themeColor="text1"/>
                <w:lang w:val="en-GB"/>
              </w:rPr>
            </m:ctrlPr>
          </m:dPr>
          <m:e>
            <m:r>
              <w:rPr>
                <w:rFonts w:ascii="Cambria Math" w:hAnsi="Cambria Math"/>
                <w:color w:val="000000" w:themeColor="text1"/>
                <w:lang w:val="en-GB"/>
              </w:rPr>
              <m:t>t=24</m:t>
            </m:r>
          </m:e>
          <m:e>
            <m:r>
              <w:rPr>
                <w:rFonts w:ascii="Cambria Math" w:hAnsi="Cambria Math"/>
                <w:color w:val="000000" w:themeColor="text1"/>
                <w:lang w:val="en-GB"/>
              </w:rPr>
              <m:t>successful uptitration, X=x</m:t>
            </m:r>
          </m:e>
        </m:d>
        <m:r>
          <w:rPr>
            <w:rFonts w:ascii="Cambria Math" w:hAnsi="Cambria Math"/>
            <w:color w:val="000000" w:themeColor="text1"/>
            <w:lang w:val="en-GB"/>
          </w:rPr>
          <m:t>-S(t=24|unsuccessful uptitration, X=x)</m:t>
        </m:r>
      </m:oMath>
      <w:r w:rsidRPr="004F4BB2">
        <w:rPr>
          <w:rFonts w:eastAsiaTheme="minorEastAsia"/>
          <w:color w:val="000000" w:themeColor="text1"/>
          <w:lang w:val="en-GB"/>
        </w:rPr>
        <w:t>.</w:t>
      </w:r>
    </w:p>
    <w:p w14:paraId="62F950A7" w14:textId="77777777" w:rsidR="001C748B" w:rsidRDefault="00025C98" w:rsidP="00C01D00">
      <w:pPr>
        <w:spacing w:line="480" w:lineRule="auto"/>
        <w:rPr>
          <w:color w:val="000000" w:themeColor="text1"/>
          <w:lang w:val="en-GB"/>
        </w:rPr>
      </w:pPr>
      <w:r w:rsidRPr="004F4BB2">
        <w:rPr>
          <w:color w:val="000000" w:themeColor="text1"/>
          <w:lang w:val="en-GB"/>
        </w:rPr>
        <w:t xml:space="preserve">where 'X=x' represent specific levels of the biomarkers selected in the Cox models for predicting mortality and/or heart failure hospitalization in the successfully and not-successfully up-titrated </w:t>
      </w:r>
      <w:r w:rsidRPr="004F4BB2">
        <w:rPr>
          <w:color w:val="000000" w:themeColor="text1"/>
          <w:lang w:val="en-GB"/>
        </w:rPr>
        <w:lastRenderedPageBreak/>
        <w:t xml:space="preserve">patients, respectively. The difference was averaged over all test samples that included the specific patient, and was subsequently </w:t>
      </w:r>
      <w:r w:rsidR="002B06CF" w:rsidRPr="004F4BB2">
        <w:rPr>
          <w:color w:val="000000" w:themeColor="text1"/>
          <w:lang w:val="en-GB"/>
        </w:rPr>
        <w:t xml:space="preserve">multiplied with </w:t>
      </w:r>
      <w:r w:rsidR="00576E22" w:rsidRPr="004F4BB2">
        <w:rPr>
          <w:color w:val="000000" w:themeColor="text1"/>
          <w:lang w:val="en-GB"/>
        </w:rPr>
        <w:t xml:space="preserve">total number of </w:t>
      </w:r>
      <w:r w:rsidRPr="004F4BB2">
        <w:rPr>
          <w:color w:val="000000" w:themeColor="text1"/>
          <w:lang w:val="en-GB"/>
        </w:rPr>
        <w:t xml:space="preserve">patients. This benefit-statistic can be interpreted as the number of deaths and/or heart failure hospitalizations that is prevented at 24 months by successful up-titrating to </w:t>
      </w:r>
      <w:r w:rsidR="009D582A" w:rsidRPr="004F4BB2">
        <w:rPr>
          <w:color w:val="000000" w:themeColor="text1"/>
          <w:lang w:val="en-US"/>
        </w:rPr>
        <w:t>&gt;50%</w:t>
      </w:r>
      <w:r w:rsidR="00A30910" w:rsidRPr="004F4BB2">
        <w:rPr>
          <w:color w:val="000000" w:themeColor="text1"/>
          <w:lang w:val="en-US"/>
        </w:rPr>
        <w:t xml:space="preserve"> of</w:t>
      </w:r>
      <w:r w:rsidR="00A30910" w:rsidRPr="005069E5">
        <w:rPr>
          <w:color w:val="000000" w:themeColor="text1"/>
          <w:lang w:val="en-GB"/>
        </w:rPr>
        <w:t xml:space="preserve"> </w:t>
      </w:r>
      <w:r w:rsidRPr="004F4BB2">
        <w:rPr>
          <w:color w:val="000000" w:themeColor="text1"/>
          <w:lang w:val="en-GB"/>
        </w:rPr>
        <w:t>recommended doses a</w:t>
      </w:r>
      <w:r w:rsidR="001C748B">
        <w:rPr>
          <w:color w:val="000000" w:themeColor="text1"/>
          <w:lang w:val="en-GB"/>
        </w:rPr>
        <w:t>ccording to the ESC guidelines.</w:t>
      </w:r>
    </w:p>
    <w:p w14:paraId="098B9229" w14:textId="77777777" w:rsidR="001C748B" w:rsidRDefault="00025C98" w:rsidP="001C748B">
      <w:pPr>
        <w:spacing w:line="480" w:lineRule="auto"/>
        <w:ind w:firstLine="720"/>
        <w:rPr>
          <w:color w:val="000000" w:themeColor="text1"/>
          <w:lang w:val="en-GB"/>
        </w:rPr>
      </w:pPr>
      <w:r w:rsidRPr="004F4BB2">
        <w:rPr>
          <w:color w:val="000000" w:themeColor="text1"/>
          <w:lang w:val="en-GB"/>
        </w:rPr>
        <w:t>Benefit-statistics were calculated for each test sample separately. The standard deviation of the benefit-statistics over the 100 test samples was then used as an estimate of the standard error</w:t>
      </w:r>
      <w:r w:rsidR="001C748B">
        <w:rPr>
          <w:color w:val="000000" w:themeColor="text1"/>
          <w:lang w:val="en-GB"/>
        </w:rPr>
        <w:t xml:space="preserve"> of the mean benefit-statistic.</w:t>
      </w:r>
    </w:p>
    <w:p w14:paraId="6D14542C" w14:textId="79EA1A18" w:rsidR="001C748B" w:rsidRDefault="001C748B" w:rsidP="001C748B">
      <w:pPr>
        <w:spacing w:line="480" w:lineRule="auto"/>
        <w:rPr>
          <w:b/>
          <w:color w:val="000000" w:themeColor="text1"/>
          <w:lang w:val="en-GB"/>
        </w:rPr>
      </w:pPr>
      <w:r w:rsidRPr="004F4BB2">
        <w:rPr>
          <w:b/>
          <w:color w:val="000000" w:themeColor="text1"/>
          <w:lang w:val="en-GB"/>
        </w:rPr>
        <w:t>Results</w:t>
      </w:r>
    </w:p>
    <w:p w14:paraId="2FCBAC3A" w14:textId="77777777" w:rsidR="001C748B" w:rsidRDefault="00025C98" w:rsidP="001C748B">
      <w:pPr>
        <w:spacing w:line="480" w:lineRule="auto"/>
        <w:ind w:firstLine="720"/>
        <w:rPr>
          <w:rFonts w:eastAsia="Times New Roman"/>
          <w:color w:val="000000" w:themeColor="text1"/>
          <w:shd w:val="clear" w:color="auto" w:fill="FFFFFF"/>
          <w:lang w:val="en-US"/>
        </w:rPr>
      </w:pPr>
      <w:r w:rsidRPr="004F4BB2">
        <w:rPr>
          <w:color w:val="000000" w:themeColor="text1"/>
          <w:lang w:val="en-GB"/>
        </w:rPr>
        <w:t>Of the 2516 patients included in the index cohort, 151 patients died</w:t>
      </w:r>
      <w:r w:rsidR="00C7226A" w:rsidRPr="004F4BB2">
        <w:rPr>
          <w:color w:val="000000" w:themeColor="text1"/>
          <w:lang w:val="en-GB"/>
        </w:rPr>
        <w:t>,</w:t>
      </w:r>
      <w:r w:rsidRPr="004F4BB2">
        <w:rPr>
          <w:color w:val="000000" w:themeColor="text1"/>
          <w:lang w:val="en-GB"/>
        </w:rPr>
        <w:t xml:space="preserve"> 2</w:t>
      </w:r>
      <w:r w:rsidR="000670A5" w:rsidRPr="004F4BB2">
        <w:rPr>
          <w:color w:val="000000" w:themeColor="text1"/>
          <w:lang w:val="en-GB"/>
        </w:rPr>
        <w:t>3</w:t>
      </w:r>
      <w:r w:rsidRPr="004F4BB2">
        <w:rPr>
          <w:color w:val="000000" w:themeColor="text1"/>
          <w:lang w:val="en-GB"/>
        </w:rPr>
        <w:t xml:space="preserve"> patients were censored before 3 months follow-up</w:t>
      </w:r>
      <w:r w:rsidR="007F65AE" w:rsidRPr="004F4BB2">
        <w:rPr>
          <w:color w:val="000000" w:themeColor="text1"/>
          <w:lang w:val="en-GB"/>
        </w:rPr>
        <w:t xml:space="preserve"> and </w:t>
      </w:r>
      <w:r w:rsidR="00775A91" w:rsidRPr="005069E5">
        <w:rPr>
          <w:color w:val="000000" w:themeColor="text1"/>
          <w:lang w:val="en-US"/>
        </w:rPr>
        <w:t>242 patients had a LVEF &gt;40%</w:t>
      </w:r>
      <w:r w:rsidR="00775A91" w:rsidRPr="006F5DEC">
        <w:rPr>
          <w:color w:val="000000" w:themeColor="text1"/>
          <w:lang w:val="en-GB"/>
        </w:rPr>
        <w:t xml:space="preserve">; </w:t>
      </w:r>
      <w:r w:rsidRPr="004F4BB2">
        <w:rPr>
          <w:color w:val="000000" w:themeColor="text1"/>
          <w:lang w:val="en-GB"/>
        </w:rPr>
        <w:t xml:space="preserve">these patients were </w:t>
      </w:r>
      <w:r w:rsidR="006A6944" w:rsidRPr="004F4BB2">
        <w:rPr>
          <w:color w:val="000000" w:themeColor="text1"/>
          <w:lang w:val="en-GB"/>
        </w:rPr>
        <w:t>excluded</w:t>
      </w:r>
      <w:r w:rsidRPr="004F4BB2">
        <w:rPr>
          <w:color w:val="000000" w:themeColor="text1"/>
          <w:lang w:val="en-GB"/>
        </w:rPr>
        <w:t xml:space="preserve"> from the current data-analysis. Of the remaining </w:t>
      </w:r>
      <w:r w:rsidR="00775A91" w:rsidRPr="005069E5">
        <w:rPr>
          <w:color w:val="000000" w:themeColor="text1"/>
          <w:lang w:val="en-GB"/>
        </w:rPr>
        <w:t xml:space="preserve">2100 </w:t>
      </w:r>
      <w:r w:rsidRPr="004F4BB2">
        <w:rPr>
          <w:color w:val="000000" w:themeColor="text1"/>
          <w:lang w:val="en-GB"/>
        </w:rPr>
        <w:t xml:space="preserve">patients, there were </w:t>
      </w:r>
      <w:r w:rsidR="00775A91" w:rsidRPr="005069E5">
        <w:rPr>
          <w:color w:val="000000" w:themeColor="text1"/>
          <w:lang w:val="en-GB"/>
        </w:rPr>
        <w:t xml:space="preserve">298 </w:t>
      </w:r>
      <w:r w:rsidRPr="004F4BB2">
        <w:rPr>
          <w:color w:val="000000" w:themeColor="text1"/>
          <w:lang w:val="en-GB"/>
        </w:rPr>
        <w:t xml:space="preserve">patients with missing values on more than 50% of the biomarkers. Subsequent analyses were done with data from the remaining </w:t>
      </w:r>
      <w:r w:rsidR="00775A91" w:rsidRPr="006F5DEC">
        <w:rPr>
          <w:color w:val="000000" w:themeColor="text1"/>
          <w:lang w:val="en-GB"/>
        </w:rPr>
        <w:t xml:space="preserve">1802 </w:t>
      </w:r>
      <w:r w:rsidRPr="004F4BB2">
        <w:rPr>
          <w:color w:val="000000" w:themeColor="text1"/>
          <w:lang w:val="en-GB"/>
        </w:rPr>
        <w:t>patients</w:t>
      </w:r>
      <w:r w:rsidR="00D60298" w:rsidRPr="004F4BB2">
        <w:rPr>
          <w:color w:val="000000" w:themeColor="text1"/>
          <w:lang w:val="en-GB"/>
        </w:rPr>
        <w:t>.</w:t>
      </w:r>
      <w:r w:rsidR="008C0D50" w:rsidRPr="004F4BB2">
        <w:rPr>
          <w:color w:val="000000" w:themeColor="text1"/>
          <w:lang w:val="en-GB"/>
        </w:rPr>
        <w:t xml:space="preserve"> </w:t>
      </w:r>
      <w:r w:rsidR="00D60298" w:rsidRPr="004F4BB2">
        <w:rPr>
          <w:color w:val="000000" w:themeColor="text1"/>
          <w:lang w:val="en-GB"/>
        </w:rPr>
        <w:t>Because BIOSTAT-CHF is not a randomized trial, we corrected for the probability of being up</w:t>
      </w:r>
      <w:r w:rsidR="001B7200" w:rsidRPr="004F4BB2">
        <w:rPr>
          <w:color w:val="000000" w:themeColor="text1"/>
          <w:lang w:val="en-GB"/>
        </w:rPr>
        <w:t>-</w:t>
      </w:r>
      <w:r w:rsidR="00D60298" w:rsidRPr="004F4BB2">
        <w:rPr>
          <w:color w:val="000000" w:themeColor="text1"/>
          <w:lang w:val="en-GB"/>
        </w:rPr>
        <w:t xml:space="preserve">titrated to &gt;50% of recommended treatment dose. </w:t>
      </w:r>
      <w:r w:rsidR="00452DD4" w:rsidRPr="004F4BB2">
        <w:rPr>
          <w:color w:val="000000" w:themeColor="text1"/>
          <w:lang w:val="en-GB"/>
        </w:rPr>
        <w:t>B</w:t>
      </w:r>
      <w:r w:rsidR="00D60298" w:rsidRPr="004F4BB2">
        <w:rPr>
          <w:color w:val="000000" w:themeColor="text1"/>
          <w:lang w:val="en-GB"/>
        </w:rPr>
        <w:t xml:space="preserve">iomarkers predictive </w:t>
      </w:r>
      <w:r w:rsidR="00D60298" w:rsidRPr="001C748B">
        <w:rPr>
          <w:lang w:val="en-GB"/>
        </w:rPr>
        <w:t>for up</w:t>
      </w:r>
      <w:r w:rsidR="001B7200" w:rsidRPr="001C748B">
        <w:rPr>
          <w:lang w:val="en-GB"/>
        </w:rPr>
        <w:t>-</w:t>
      </w:r>
      <w:r w:rsidR="00D60298" w:rsidRPr="001C748B">
        <w:rPr>
          <w:lang w:val="en-GB"/>
        </w:rPr>
        <w:t>titration and</w:t>
      </w:r>
      <w:r w:rsidR="00452DD4" w:rsidRPr="001C748B">
        <w:rPr>
          <w:lang w:val="en-GB"/>
        </w:rPr>
        <w:t xml:space="preserve"> subsequent </w:t>
      </w:r>
      <w:r w:rsidR="00D60298" w:rsidRPr="001C748B">
        <w:rPr>
          <w:lang w:val="en-GB"/>
        </w:rPr>
        <w:t xml:space="preserve">indication-bias </w:t>
      </w:r>
      <w:r w:rsidR="00452DD4" w:rsidRPr="001C748B">
        <w:rPr>
          <w:lang w:val="en-GB"/>
        </w:rPr>
        <w:t>correction</w:t>
      </w:r>
      <w:r w:rsidR="00D60298" w:rsidRPr="001C748B">
        <w:rPr>
          <w:lang w:val="en-GB"/>
        </w:rPr>
        <w:t xml:space="preserve"> </w:t>
      </w:r>
      <w:r w:rsidR="00452DD4" w:rsidRPr="001C748B">
        <w:rPr>
          <w:lang w:val="en-GB"/>
        </w:rPr>
        <w:t>is</w:t>
      </w:r>
      <w:r w:rsidR="00D60298" w:rsidRPr="001C748B">
        <w:rPr>
          <w:lang w:val="en-GB"/>
        </w:rPr>
        <w:t xml:space="preserve"> presented in supplementary data. </w:t>
      </w:r>
      <w:r w:rsidR="00450116" w:rsidRPr="001C748B">
        <w:rPr>
          <w:lang w:val="en-GB"/>
        </w:rPr>
        <w:t>Of the 1802 patients, 529 (29%) were up-titrated to &gt;50% of recommended ACE-inhibitor/ARB dose and 318 (18%) to &gt;50% of recommended beta-blocker dose</w:t>
      </w:r>
      <w:r w:rsidR="002B5A2D" w:rsidRPr="001C748B">
        <w:rPr>
          <w:lang w:val="en-GB"/>
        </w:rPr>
        <w:t>.</w:t>
      </w:r>
      <w:r w:rsidR="00450116" w:rsidRPr="001C748B">
        <w:rPr>
          <w:rFonts w:eastAsia="Times New Roman"/>
          <w:shd w:val="clear" w:color="auto" w:fill="FFFFFF"/>
          <w:lang w:val="en-US"/>
        </w:rPr>
        <w:t xml:space="preserve"> </w:t>
      </w:r>
      <w:r w:rsidR="00792196" w:rsidRPr="001C748B">
        <w:rPr>
          <w:rFonts w:eastAsia="Times New Roman"/>
          <w:shd w:val="clear" w:color="auto" w:fill="FFFFFF"/>
          <w:lang w:val="en-US"/>
        </w:rPr>
        <w:t>We have MRA treatment data for 1423 patients at 9 months after inclusion. Of these 1423 patients, 14% (195) patients were successfully up</w:t>
      </w:r>
      <w:r w:rsidR="001B7200" w:rsidRPr="001C748B">
        <w:rPr>
          <w:rFonts w:eastAsia="Times New Roman"/>
          <w:shd w:val="clear" w:color="auto" w:fill="FFFFFF"/>
          <w:lang w:val="en-US"/>
        </w:rPr>
        <w:t>-</w:t>
      </w:r>
      <w:r w:rsidR="00792196" w:rsidRPr="001C748B">
        <w:rPr>
          <w:rFonts w:eastAsia="Times New Roman"/>
          <w:shd w:val="clear" w:color="auto" w:fill="FFFFFF"/>
          <w:lang w:val="en-US"/>
        </w:rPr>
        <w:t>titrated to ≥50% recommended treat</w:t>
      </w:r>
      <w:r w:rsidR="00792196" w:rsidRPr="005069E5">
        <w:rPr>
          <w:rFonts w:eastAsia="Times New Roman"/>
          <w:color w:val="000000" w:themeColor="text1"/>
          <w:shd w:val="clear" w:color="auto" w:fill="FFFFFF"/>
          <w:lang w:val="en-US"/>
        </w:rPr>
        <w:t>ment doses (2% (28) to &gt;50% recommended doses).</w:t>
      </w:r>
      <w:r w:rsidR="00450116">
        <w:rPr>
          <w:rFonts w:eastAsia="Times New Roman"/>
          <w:color w:val="000000" w:themeColor="text1"/>
          <w:shd w:val="clear" w:color="auto" w:fill="FFFFFF"/>
          <w:lang w:val="en-US"/>
        </w:rPr>
        <w:t xml:space="preserve"> </w:t>
      </w:r>
      <w:r w:rsidR="002B5A2D">
        <w:rPr>
          <w:rFonts w:eastAsia="Times New Roman"/>
          <w:color w:val="000000" w:themeColor="text1"/>
          <w:shd w:val="clear" w:color="auto" w:fill="FFFFFF"/>
          <w:lang w:val="en-US"/>
        </w:rPr>
        <w:t xml:space="preserve">Patient characteristics of patients achieving &gt;50 recommended ACE-inhibitor/ARB and beta-blocker dose and </w:t>
      </w:r>
      <w:r w:rsidR="002B5A2D" w:rsidRPr="005069E5">
        <w:rPr>
          <w:rFonts w:eastAsia="Times New Roman"/>
          <w:color w:val="000000" w:themeColor="text1"/>
          <w:shd w:val="clear" w:color="auto" w:fill="FFFFFF"/>
          <w:lang w:val="en-US"/>
        </w:rPr>
        <w:t>≥50% recommended</w:t>
      </w:r>
      <w:r w:rsidR="002B5A2D">
        <w:rPr>
          <w:rFonts w:eastAsia="Times New Roman"/>
          <w:color w:val="000000" w:themeColor="text1"/>
          <w:shd w:val="clear" w:color="auto" w:fill="FFFFFF"/>
          <w:lang w:val="en-US"/>
        </w:rPr>
        <w:t xml:space="preserve"> MRA dose </w:t>
      </w:r>
      <w:r w:rsidR="00A134CD">
        <w:rPr>
          <w:rFonts w:eastAsia="Times New Roman"/>
          <w:color w:val="000000" w:themeColor="text1"/>
          <w:shd w:val="clear" w:color="auto" w:fill="FFFFFF"/>
          <w:lang w:val="en-US"/>
        </w:rPr>
        <w:t xml:space="preserve">and of those who did not respond to recommended treatment </w:t>
      </w:r>
      <w:r w:rsidR="001C748B">
        <w:rPr>
          <w:rFonts w:eastAsia="Times New Roman"/>
          <w:color w:val="000000" w:themeColor="text1"/>
          <w:shd w:val="clear" w:color="auto" w:fill="FFFFFF"/>
          <w:lang w:val="en-US"/>
        </w:rPr>
        <w:t xml:space="preserve">are presented in </w:t>
      </w:r>
      <w:r w:rsidR="001C748B" w:rsidRPr="001C748B">
        <w:rPr>
          <w:rFonts w:eastAsia="Times New Roman"/>
          <w:b/>
          <w:color w:val="000000" w:themeColor="text1"/>
          <w:shd w:val="clear" w:color="auto" w:fill="FFFFFF"/>
          <w:lang w:val="en-US"/>
        </w:rPr>
        <w:t>T</w:t>
      </w:r>
      <w:r w:rsidR="002B5A2D" w:rsidRPr="001C748B">
        <w:rPr>
          <w:rFonts w:eastAsia="Times New Roman"/>
          <w:b/>
          <w:color w:val="000000" w:themeColor="text1"/>
          <w:shd w:val="clear" w:color="auto" w:fill="FFFFFF"/>
          <w:lang w:val="en-US"/>
        </w:rPr>
        <w:t>able 1</w:t>
      </w:r>
      <w:r w:rsidR="002B5A2D">
        <w:rPr>
          <w:rFonts w:eastAsia="Times New Roman"/>
          <w:color w:val="000000" w:themeColor="text1"/>
          <w:shd w:val="clear" w:color="auto" w:fill="FFFFFF"/>
          <w:lang w:val="en-US"/>
        </w:rPr>
        <w:t>.</w:t>
      </w:r>
    </w:p>
    <w:p w14:paraId="581D9541" w14:textId="77777777" w:rsidR="001C748B" w:rsidRPr="001C748B" w:rsidRDefault="00025C98" w:rsidP="001C748B">
      <w:pPr>
        <w:spacing w:line="480" w:lineRule="auto"/>
        <w:rPr>
          <w:i/>
          <w:color w:val="000000" w:themeColor="text1"/>
          <w:lang w:val="en-GB"/>
        </w:rPr>
      </w:pPr>
      <w:r w:rsidRPr="001C748B">
        <w:rPr>
          <w:i/>
          <w:color w:val="000000" w:themeColor="text1"/>
          <w:lang w:val="en-GB"/>
        </w:rPr>
        <w:lastRenderedPageBreak/>
        <w:t>Multivariable treatment-selection marker</w:t>
      </w:r>
      <w:r w:rsidR="006B4DFE" w:rsidRPr="001C748B">
        <w:rPr>
          <w:i/>
          <w:color w:val="000000" w:themeColor="text1"/>
          <w:lang w:val="en-GB"/>
        </w:rPr>
        <w:t>s</w:t>
      </w:r>
    </w:p>
    <w:p w14:paraId="448BF01E" w14:textId="41C7EA7B" w:rsidR="001C748B" w:rsidRDefault="00C27503" w:rsidP="001C748B">
      <w:pPr>
        <w:spacing w:line="480" w:lineRule="auto"/>
        <w:ind w:firstLine="720"/>
        <w:rPr>
          <w:color w:val="000000" w:themeColor="text1"/>
          <w:lang w:val="en-GB"/>
        </w:rPr>
      </w:pPr>
      <w:r w:rsidRPr="004F4BB2">
        <w:rPr>
          <w:color w:val="000000" w:themeColor="text1"/>
          <w:lang w:val="en-GB"/>
        </w:rPr>
        <w:t>To distinguish patients who benefited from up</w:t>
      </w:r>
      <w:r w:rsidR="00352F16" w:rsidRPr="004F4BB2">
        <w:rPr>
          <w:color w:val="000000" w:themeColor="text1"/>
          <w:lang w:val="en-GB"/>
        </w:rPr>
        <w:t>-</w:t>
      </w:r>
      <w:r w:rsidR="00B25820" w:rsidRPr="004F4BB2">
        <w:rPr>
          <w:color w:val="000000" w:themeColor="text1"/>
          <w:lang w:val="en-GB"/>
        </w:rPr>
        <w:t>titration</w:t>
      </w:r>
      <w:r w:rsidRPr="004F4BB2">
        <w:rPr>
          <w:color w:val="000000" w:themeColor="text1"/>
          <w:lang w:val="en-GB"/>
        </w:rPr>
        <w:t xml:space="preserve"> from those who did not, we created two models. From 161 biomarkers, we first identified the strongest biomarkers to predict clinical events (death of heart failure hospitalization) despite successful up</w:t>
      </w:r>
      <w:r w:rsidR="00352F16" w:rsidRPr="004F4BB2">
        <w:rPr>
          <w:color w:val="000000" w:themeColor="text1"/>
          <w:lang w:val="en-GB"/>
        </w:rPr>
        <w:t>-</w:t>
      </w:r>
      <w:r w:rsidRPr="004F4BB2">
        <w:rPr>
          <w:color w:val="000000" w:themeColor="text1"/>
          <w:lang w:val="en-GB"/>
        </w:rPr>
        <w:t>ti</w:t>
      </w:r>
      <w:r w:rsidR="00352F16" w:rsidRPr="004F4BB2">
        <w:rPr>
          <w:color w:val="000000" w:themeColor="text1"/>
          <w:lang w:val="en-GB"/>
        </w:rPr>
        <w:t>t</w:t>
      </w:r>
      <w:r w:rsidRPr="004F4BB2">
        <w:rPr>
          <w:color w:val="000000" w:themeColor="text1"/>
          <w:lang w:val="en-GB"/>
        </w:rPr>
        <w:t>ration with either ACE-inhibitors/ARBs or beta-blockers.</w:t>
      </w:r>
      <w:r w:rsidR="000333C5" w:rsidRPr="004F4BB2">
        <w:rPr>
          <w:color w:val="000000" w:themeColor="text1"/>
          <w:lang w:val="en-GB"/>
        </w:rPr>
        <w:t xml:space="preserve"> Most frequently selected biomarkers are reported in </w:t>
      </w:r>
      <w:r w:rsidR="001C748B">
        <w:rPr>
          <w:color w:val="000000" w:themeColor="text1"/>
          <w:lang w:val="en-GB"/>
        </w:rPr>
        <w:t>Online</w:t>
      </w:r>
      <w:r w:rsidR="000333C5" w:rsidRPr="004F4BB2">
        <w:rPr>
          <w:color w:val="000000" w:themeColor="text1"/>
          <w:lang w:val="en-GB"/>
        </w:rPr>
        <w:t xml:space="preserve"> Table 2. </w:t>
      </w:r>
      <w:r w:rsidR="009A10BC" w:rsidRPr="004F4BB2">
        <w:rPr>
          <w:rFonts w:ascii="Calibri" w:eastAsia="Times New Roman" w:hAnsi="Calibri"/>
          <w:color w:val="000000" w:themeColor="text1"/>
          <w:lang w:val="en-US"/>
        </w:rPr>
        <w:t>BUN, FGF23 and pro-ENK</w:t>
      </w:r>
      <w:r w:rsidR="00CB049D" w:rsidRPr="004F4BB2">
        <w:rPr>
          <w:color w:val="000000" w:themeColor="text1"/>
          <w:lang w:val="en-GB"/>
        </w:rPr>
        <w:t xml:space="preserve"> were</w:t>
      </w:r>
      <w:r w:rsidR="00D26DFB" w:rsidRPr="005069E5">
        <w:rPr>
          <w:color w:val="000000" w:themeColor="text1"/>
          <w:lang w:val="en-GB"/>
        </w:rPr>
        <w:t xml:space="preserve"> </w:t>
      </w:r>
      <w:r w:rsidR="001D7EA9" w:rsidRPr="006F5DEC">
        <w:rPr>
          <w:color w:val="000000" w:themeColor="text1"/>
          <w:lang w:val="en-GB"/>
        </w:rPr>
        <w:t>the strongest predictors of clinical events in patients that were successfully up</w:t>
      </w:r>
      <w:r w:rsidR="001F4200" w:rsidRPr="006F5DEC">
        <w:rPr>
          <w:color w:val="000000" w:themeColor="text1"/>
          <w:lang w:val="en-GB"/>
        </w:rPr>
        <w:t>-</w:t>
      </w:r>
      <w:r w:rsidR="000C02E3" w:rsidRPr="00607D43">
        <w:rPr>
          <w:color w:val="000000" w:themeColor="text1"/>
          <w:lang w:val="en-GB"/>
        </w:rPr>
        <w:t>titrated</w:t>
      </w:r>
      <w:r w:rsidR="001D7EA9" w:rsidRPr="00607D43">
        <w:rPr>
          <w:color w:val="000000" w:themeColor="text1"/>
          <w:lang w:val="en-GB"/>
        </w:rPr>
        <w:t xml:space="preserve"> with ACE-inhibitors/ARBs. </w:t>
      </w:r>
      <w:r w:rsidR="001E23FE" w:rsidRPr="00406193">
        <w:rPr>
          <w:color w:val="000000" w:themeColor="text1"/>
          <w:lang w:val="en-GB"/>
        </w:rPr>
        <w:t>Serum creatinine, galetin-3, ST2 and albumin</w:t>
      </w:r>
      <w:r w:rsidR="00682932" w:rsidRPr="005069E5">
        <w:rPr>
          <w:color w:val="000000" w:themeColor="text1"/>
          <w:lang w:val="en-GB"/>
        </w:rPr>
        <w:t xml:space="preserve"> </w:t>
      </w:r>
      <w:r w:rsidR="001D7EA9" w:rsidRPr="005069E5">
        <w:rPr>
          <w:color w:val="000000" w:themeColor="text1"/>
          <w:lang w:val="en-GB"/>
        </w:rPr>
        <w:t>were the strongest predictors of clinical events in patients that were successfully up</w:t>
      </w:r>
      <w:r w:rsidR="001F4200" w:rsidRPr="005069E5">
        <w:rPr>
          <w:color w:val="000000" w:themeColor="text1"/>
          <w:lang w:val="en-GB"/>
        </w:rPr>
        <w:t>-</w:t>
      </w:r>
      <w:r w:rsidR="000C02E3" w:rsidRPr="005069E5">
        <w:rPr>
          <w:color w:val="000000" w:themeColor="text1"/>
          <w:lang w:val="en-GB"/>
        </w:rPr>
        <w:t>titrated</w:t>
      </w:r>
      <w:r w:rsidR="001D7EA9" w:rsidRPr="005069E5">
        <w:rPr>
          <w:color w:val="000000" w:themeColor="text1"/>
          <w:lang w:val="en-GB"/>
        </w:rPr>
        <w:t xml:space="preserve"> with beta-blockers</w:t>
      </w:r>
      <w:r w:rsidR="00440E69" w:rsidRPr="005069E5">
        <w:rPr>
          <w:color w:val="000000" w:themeColor="text1"/>
          <w:lang w:val="en-GB"/>
        </w:rPr>
        <w:t xml:space="preserve"> (</w:t>
      </w:r>
      <w:r w:rsidR="001C748B">
        <w:rPr>
          <w:color w:val="000000" w:themeColor="text1"/>
          <w:lang w:val="en-GB"/>
        </w:rPr>
        <w:t xml:space="preserve">Online Table </w:t>
      </w:r>
      <w:r w:rsidR="007C618C" w:rsidRPr="004F4BB2">
        <w:rPr>
          <w:color w:val="000000" w:themeColor="text1"/>
          <w:lang w:val="en-GB"/>
        </w:rPr>
        <w:t>3</w:t>
      </w:r>
      <w:r w:rsidR="00440E69" w:rsidRPr="004F4BB2">
        <w:rPr>
          <w:color w:val="000000" w:themeColor="text1"/>
          <w:lang w:val="en-GB"/>
        </w:rPr>
        <w:t>)</w:t>
      </w:r>
      <w:r w:rsidR="001D7EA9" w:rsidRPr="005069E5">
        <w:rPr>
          <w:color w:val="000000" w:themeColor="text1"/>
          <w:lang w:val="en-GB"/>
        </w:rPr>
        <w:t>.</w:t>
      </w:r>
      <w:r w:rsidR="00440E69" w:rsidRPr="006F5DEC">
        <w:rPr>
          <w:color w:val="000000" w:themeColor="text1"/>
          <w:lang w:val="en-GB"/>
        </w:rPr>
        <w:t xml:space="preserve"> </w:t>
      </w:r>
      <w:r w:rsidR="00440E69" w:rsidRPr="00607D43">
        <w:rPr>
          <w:color w:val="000000" w:themeColor="text1"/>
          <w:lang w:val="en-GB"/>
        </w:rPr>
        <w:t xml:space="preserve">Predictive </w:t>
      </w:r>
      <w:r w:rsidR="00440E69" w:rsidRPr="00406193">
        <w:rPr>
          <w:color w:val="000000" w:themeColor="text1"/>
          <w:lang w:val="en-GB"/>
        </w:rPr>
        <w:t xml:space="preserve">biomarkers for </w:t>
      </w:r>
      <w:r w:rsidR="00440E69" w:rsidRPr="005069E5">
        <w:rPr>
          <w:color w:val="000000" w:themeColor="text1"/>
          <w:lang w:val="en-GB"/>
        </w:rPr>
        <w:t xml:space="preserve">events in up-titrated patients with MRAs </w:t>
      </w:r>
      <w:r w:rsidR="007C618C" w:rsidRPr="005069E5">
        <w:rPr>
          <w:color w:val="000000" w:themeColor="text1"/>
          <w:lang w:val="en-GB"/>
        </w:rPr>
        <w:t xml:space="preserve">are presented in </w:t>
      </w:r>
      <w:r w:rsidR="001C748B">
        <w:rPr>
          <w:color w:val="000000" w:themeColor="text1"/>
          <w:lang w:val="en-GB"/>
        </w:rPr>
        <w:t>Online</w:t>
      </w:r>
      <w:r w:rsidR="007C618C" w:rsidRPr="005069E5">
        <w:rPr>
          <w:color w:val="000000" w:themeColor="text1"/>
          <w:lang w:val="en-GB"/>
        </w:rPr>
        <w:t xml:space="preserve"> Table 4</w:t>
      </w:r>
      <w:r w:rsidR="001C748B">
        <w:rPr>
          <w:color w:val="000000" w:themeColor="text1"/>
          <w:lang w:val="en-GB"/>
        </w:rPr>
        <w:t>.</w:t>
      </w:r>
    </w:p>
    <w:p w14:paraId="425C8EF3" w14:textId="77777777" w:rsidR="001C748B" w:rsidRDefault="00C27503" w:rsidP="001C748B">
      <w:pPr>
        <w:spacing w:line="480" w:lineRule="auto"/>
        <w:ind w:firstLine="720"/>
        <w:rPr>
          <w:color w:val="000000" w:themeColor="text1"/>
          <w:lang w:val="en-GB"/>
        </w:rPr>
      </w:pPr>
      <w:r w:rsidRPr="004F4BB2">
        <w:rPr>
          <w:color w:val="000000" w:themeColor="text1"/>
          <w:lang w:val="en-GB"/>
        </w:rPr>
        <w:t>In the second model, we identified the strongest biomarkers to predict clinical events in</w:t>
      </w:r>
      <w:r w:rsidR="00A819DC" w:rsidRPr="004F4BB2">
        <w:rPr>
          <w:color w:val="000000" w:themeColor="text1"/>
          <w:lang w:val="en-GB"/>
        </w:rPr>
        <w:t xml:space="preserve"> patients who were </w:t>
      </w:r>
      <w:r w:rsidRPr="004F4BB2">
        <w:rPr>
          <w:color w:val="000000" w:themeColor="text1"/>
          <w:lang w:val="en-GB"/>
        </w:rPr>
        <w:t>NOT successful</w:t>
      </w:r>
      <w:r w:rsidR="00A819DC" w:rsidRPr="004F4BB2">
        <w:rPr>
          <w:color w:val="000000" w:themeColor="text1"/>
          <w:lang w:val="en-GB"/>
        </w:rPr>
        <w:t>ly</w:t>
      </w:r>
      <w:r w:rsidRPr="004F4BB2">
        <w:rPr>
          <w:color w:val="000000" w:themeColor="text1"/>
          <w:lang w:val="en-GB"/>
        </w:rPr>
        <w:t xml:space="preserve"> up</w:t>
      </w:r>
      <w:r w:rsidR="00352F16" w:rsidRPr="004F4BB2">
        <w:rPr>
          <w:color w:val="000000" w:themeColor="text1"/>
          <w:lang w:val="en-GB"/>
        </w:rPr>
        <w:t>-</w:t>
      </w:r>
      <w:r w:rsidRPr="004F4BB2">
        <w:rPr>
          <w:color w:val="000000" w:themeColor="text1"/>
          <w:lang w:val="en-GB"/>
        </w:rPr>
        <w:t>ti</w:t>
      </w:r>
      <w:r w:rsidR="00352F16" w:rsidRPr="004F4BB2">
        <w:rPr>
          <w:color w:val="000000" w:themeColor="text1"/>
          <w:lang w:val="en-GB"/>
        </w:rPr>
        <w:t>t</w:t>
      </w:r>
      <w:r w:rsidRPr="004F4BB2">
        <w:rPr>
          <w:color w:val="000000" w:themeColor="text1"/>
          <w:lang w:val="en-GB"/>
        </w:rPr>
        <w:t>rat</w:t>
      </w:r>
      <w:r w:rsidR="00A819DC" w:rsidRPr="004F4BB2">
        <w:rPr>
          <w:color w:val="000000" w:themeColor="text1"/>
          <w:lang w:val="en-GB"/>
        </w:rPr>
        <w:t xml:space="preserve">ed </w:t>
      </w:r>
      <w:r w:rsidRPr="004F4BB2">
        <w:rPr>
          <w:color w:val="000000" w:themeColor="text1"/>
          <w:lang w:val="en-GB"/>
        </w:rPr>
        <w:t xml:space="preserve">with either ACE-inhibitors/ARBs or beta-blockers. </w:t>
      </w:r>
      <w:r w:rsidR="009A10BC" w:rsidRPr="005069E5">
        <w:rPr>
          <w:color w:val="000000" w:themeColor="text1"/>
          <w:lang w:val="en-GB"/>
        </w:rPr>
        <w:t>FGF23, BUN, cystatin C, ST2, WAP-4C and IGFBP-2</w:t>
      </w:r>
      <w:r w:rsidR="00D91239" w:rsidRPr="006F5DEC">
        <w:rPr>
          <w:color w:val="000000" w:themeColor="text1"/>
          <w:lang w:val="en-GB"/>
        </w:rPr>
        <w:t xml:space="preserve"> </w:t>
      </w:r>
      <w:r w:rsidR="001D7EA9" w:rsidRPr="005069E5">
        <w:rPr>
          <w:color w:val="000000" w:themeColor="text1"/>
          <w:lang w:val="en-GB"/>
        </w:rPr>
        <w:t>were the strongest predictors of clinical events in patients that were NOT s</w:t>
      </w:r>
      <w:r w:rsidR="001D7EA9" w:rsidRPr="006F5DEC">
        <w:rPr>
          <w:color w:val="000000" w:themeColor="text1"/>
          <w:lang w:val="en-GB"/>
        </w:rPr>
        <w:t xml:space="preserve">uccessfully up-titrated with ACE-inhibitors/ARBs. </w:t>
      </w:r>
      <w:r w:rsidR="001E23FE" w:rsidRPr="005069E5">
        <w:rPr>
          <w:color w:val="000000" w:themeColor="text1"/>
          <w:lang w:val="en-GB"/>
        </w:rPr>
        <w:t>FGF23, cystatin C, BUN, WAP4C and NT-</w:t>
      </w:r>
      <w:proofErr w:type="spellStart"/>
      <w:r w:rsidR="001E23FE" w:rsidRPr="005069E5">
        <w:rPr>
          <w:color w:val="000000" w:themeColor="text1"/>
          <w:lang w:val="en-GB"/>
        </w:rPr>
        <w:t>proBNP</w:t>
      </w:r>
      <w:proofErr w:type="spellEnd"/>
      <w:r w:rsidR="001D7EA9" w:rsidRPr="004F4BB2">
        <w:rPr>
          <w:rFonts w:eastAsia="Times New Roman"/>
          <w:color w:val="000000" w:themeColor="text1"/>
          <w:lang w:val="en-US"/>
        </w:rPr>
        <w:t xml:space="preserve"> </w:t>
      </w:r>
      <w:r w:rsidR="001D7EA9" w:rsidRPr="005069E5">
        <w:rPr>
          <w:color w:val="000000" w:themeColor="text1"/>
          <w:lang w:val="en-GB"/>
        </w:rPr>
        <w:t>were the strongest predictors of clinical events in patients that were NOT successfully up-titrated wi</w:t>
      </w:r>
      <w:r w:rsidR="001C748B">
        <w:rPr>
          <w:color w:val="000000" w:themeColor="text1"/>
          <w:lang w:val="en-GB"/>
        </w:rPr>
        <w:t>th beta-blockers.</w:t>
      </w:r>
    </w:p>
    <w:p w14:paraId="37A6735C" w14:textId="77777777" w:rsidR="001C748B" w:rsidRDefault="001D7EA9" w:rsidP="001C748B">
      <w:pPr>
        <w:spacing w:line="480" w:lineRule="auto"/>
        <w:ind w:firstLine="720"/>
        <w:rPr>
          <w:color w:val="000000" w:themeColor="text1"/>
          <w:lang w:val="en-GB"/>
        </w:rPr>
      </w:pPr>
      <w:r w:rsidRPr="004F4BB2">
        <w:rPr>
          <w:color w:val="000000" w:themeColor="text1"/>
          <w:lang w:val="en-GB"/>
        </w:rPr>
        <w:t>The treatment-selection models had reasonable performances for the patients in the test sets. Averaged c-statistics for ACE-inhibitor/ARB models were 0.</w:t>
      </w:r>
      <w:r w:rsidR="00D91239" w:rsidRPr="004F4BB2">
        <w:rPr>
          <w:color w:val="000000" w:themeColor="text1"/>
          <w:lang w:val="en-GB"/>
        </w:rPr>
        <w:t>7</w:t>
      </w:r>
      <w:r w:rsidR="00E638C9" w:rsidRPr="004F4BB2">
        <w:rPr>
          <w:color w:val="000000" w:themeColor="text1"/>
          <w:lang w:val="en-GB"/>
        </w:rPr>
        <w:t>4</w:t>
      </w:r>
      <w:r w:rsidR="00D91239" w:rsidRPr="004F4BB2">
        <w:rPr>
          <w:color w:val="000000" w:themeColor="text1"/>
          <w:lang w:val="en-GB"/>
        </w:rPr>
        <w:t xml:space="preserve"> </w:t>
      </w:r>
      <w:r w:rsidRPr="004F4BB2">
        <w:rPr>
          <w:color w:val="000000" w:themeColor="text1"/>
          <w:lang w:val="en-GB"/>
        </w:rPr>
        <w:t>(0.</w:t>
      </w:r>
      <w:r w:rsidR="00E638C9" w:rsidRPr="004F4BB2">
        <w:rPr>
          <w:color w:val="000000" w:themeColor="text1"/>
          <w:lang w:val="en-GB"/>
        </w:rPr>
        <w:t>68</w:t>
      </w:r>
      <w:r w:rsidRPr="004F4BB2">
        <w:rPr>
          <w:color w:val="000000" w:themeColor="text1"/>
          <w:lang w:val="en-GB"/>
        </w:rPr>
        <w:t>-0.</w:t>
      </w:r>
      <w:r w:rsidR="00D91239" w:rsidRPr="004F4BB2">
        <w:rPr>
          <w:color w:val="000000" w:themeColor="text1"/>
          <w:lang w:val="en-GB"/>
        </w:rPr>
        <w:t>8</w:t>
      </w:r>
      <w:r w:rsidR="00E638C9" w:rsidRPr="004F4BB2">
        <w:rPr>
          <w:color w:val="000000" w:themeColor="text1"/>
          <w:lang w:val="en-GB"/>
        </w:rPr>
        <w:t>0</w:t>
      </w:r>
      <w:r w:rsidRPr="004F4BB2">
        <w:rPr>
          <w:color w:val="000000" w:themeColor="text1"/>
          <w:lang w:val="en-GB"/>
        </w:rPr>
        <w:t>) in up-titrated patients, and 0.</w:t>
      </w:r>
      <w:r w:rsidR="00D91239" w:rsidRPr="004F4BB2">
        <w:rPr>
          <w:color w:val="000000" w:themeColor="text1"/>
          <w:lang w:val="en-GB"/>
        </w:rPr>
        <w:t>7</w:t>
      </w:r>
      <w:r w:rsidR="00E638C9" w:rsidRPr="004F4BB2">
        <w:rPr>
          <w:color w:val="000000" w:themeColor="text1"/>
          <w:lang w:val="en-GB"/>
        </w:rPr>
        <w:t>7</w:t>
      </w:r>
      <w:r w:rsidR="00D91239" w:rsidRPr="004F4BB2">
        <w:rPr>
          <w:color w:val="000000" w:themeColor="text1"/>
          <w:lang w:val="en-GB"/>
        </w:rPr>
        <w:t xml:space="preserve"> </w:t>
      </w:r>
      <w:r w:rsidRPr="004F4BB2">
        <w:rPr>
          <w:color w:val="000000" w:themeColor="text1"/>
          <w:lang w:val="en-GB"/>
        </w:rPr>
        <w:t>(</w:t>
      </w:r>
      <w:r w:rsidR="00E748D5" w:rsidRPr="004F4BB2">
        <w:rPr>
          <w:color w:val="000000" w:themeColor="text1"/>
          <w:lang w:val="en-GB"/>
        </w:rPr>
        <w:t xml:space="preserve">95% CI </w:t>
      </w:r>
      <w:r w:rsidRPr="004F4BB2">
        <w:rPr>
          <w:color w:val="000000" w:themeColor="text1"/>
          <w:lang w:val="en-GB"/>
        </w:rPr>
        <w:t>0.</w:t>
      </w:r>
      <w:r w:rsidR="00E638C9" w:rsidRPr="004F4BB2">
        <w:rPr>
          <w:color w:val="000000" w:themeColor="text1"/>
          <w:lang w:val="en-GB"/>
        </w:rPr>
        <w:t>70</w:t>
      </w:r>
      <w:r w:rsidRPr="004F4BB2">
        <w:rPr>
          <w:color w:val="000000" w:themeColor="text1"/>
          <w:lang w:val="en-GB"/>
        </w:rPr>
        <w:t>-0.</w:t>
      </w:r>
      <w:r w:rsidR="00E638C9" w:rsidRPr="004F4BB2">
        <w:rPr>
          <w:color w:val="000000" w:themeColor="text1"/>
          <w:lang w:val="en-GB"/>
        </w:rPr>
        <w:t>83</w:t>
      </w:r>
      <w:r w:rsidRPr="004F4BB2">
        <w:rPr>
          <w:color w:val="000000" w:themeColor="text1"/>
          <w:lang w:val="en-GB"/>
        </w:rPr>
        <w:t>) in not-up-titrated patients, respectively. Beta-blocker treatment-selection models averaged c-statistics were 0.</w:t>
      </w:r>
      <w:r w:rsidR="00827C83" w:rsidRPr="004F4BB2">
        <w:rPr>
          <w:color w:val="000000" w:themeColor="text1"/>
          <w:lang w:val="en-GB"/>
        </w:rPr>
        <w:t>7</w:t>
      </w:r>
      <w:r w:rsidR="00171E54" w:rsidRPr="004F4BB2">
        <w:rPr>
          <w:color w:val="000000" w:themeColor="text1"/>
          <w:lang w:val="en-GB"/>
        </w:rPr>
        <w:t>5</w:t>
      </w:r>
      <w:r w:rsidR="00827C83" w:rsidRPr="004F4BB2">
        <w:rPr>
          <w:color w:val="000000" w:themeColor="text1"/>
          <w:lang w:val="en-GB"/>
        </w:rPr>
        <w:t xml:space="preserve"> </w:t>
      </w:r>
      <w:r w:rsidRPr="004F4BB2">
        <w:rPr>
          <w:color w:val="000000" w:themeColor="text1"/>
          <w:lang w:val="en-GB"/>
        </w:rPr>
        <w:t>(</w:t>
      </w:r>
      <w:r w:rsidR="00E748D5" w:rsidRPr="004F4BB2">
        <w:rPr>
          <w:color w:val="000000" w:themeColor="text1"/>
          <w:lang w:val="en-GB"/>
        </w:rPr>
        <w:t xml:space="preserve">95% CI </w:t>
      </w:r>
      <w:r w:rsidRPr="004F4BB2">
        <w:rPr>
          <w:color w:val="000000" w:themeColor="text1"/>
          <w:lang w:val="en-GB"/>
        </w:rPr>
        <w:t>0.</w:t>
      </w:r>
      <w:r w:rsidR="00171E54" w:rsidRPr="004F4BB2">
        <w:rPr>
          <w:color w:val="000000" w:themeColor="text1"/>
          <w:lang w:val="en-GB"/>
        </w:rPr>
        <w:t>70</w:t>
      </w:r>
      <w:r w:rsidRPr="004F4BB2">
        <w:rPr>
          <w:color w:val="000000" w:themeColor="text1"/>
          <w:lang w:val="en-GB"/>
        </w:rPr>
        <w:t>-0.</w:t>
      </w:r>
      <w:r w:rsidR="00171E54" w:rsidRPr="004F4BB2">
        <w:rPr>
          <w:color w:val="000000" w:themeColor="text1"/>
          <w:lang w:val="en-GB"/>
        </w:rPr>
        <w:t>82</w:t>
      </w:r>
      <w:r w:rsidRPr="004F4BB2">
        <w:rPr>
          <w:color w:val="000000" w:themeColor="text1"/>
          <w:lang w:val="en-GB"/>
        </w:rPr>
        <w:t>) in up-titrated patients, and 0.</w:t>
      </w:r>
      <w:r w:rsidR="00827C83" w:rsidRPr="004F4BB2">
        <w:rPr>
          <w:color w:val="000000" w:themeColor="text1"/>
          <w:lang w:val="en-GB"/>
        </w:rPr>
        <w:t>7</w:t>
      </w:r>
      <w:r w:rsidR="00171E54" w:rsidRPr="004F4BB2">
        <w:rPr>
          <w:color w:val="000000" w:themeColor="text1"/>
          <w:lang w:val="en-GB"/>
        </w:rPr>
        <w:t>8</w:t>
      </w:r>
      <w:r w:rsidR="00827C83" w:rsidRPr="004F4BB2">
        <w:rPr>
          <w:color w:val="000000" w:themeColor="text1"/>
          <w:lang w:val="en-GB"/>
        </w:rPr>
        <w:t xml:space="preserve"> </w:t>
      </w:r>
      <w:r w:rsidRPr="004F4BB2">
        <w:rPr>
          <w:color w:val="000000" w:themeColor="text1"/>
          <w:lang w:val="en-GB"/>
        </w:rPr>
        <w:t>(</w:t>
      </w:r>
      <w:r w:rsidR="00E748D5" w:rsidRPr="004F4BB2">
        <w:rPr>
          <w:color w:val="000000" w:themeColor="text1"/>
          <w:lang w:val="en-GB"/>
        </w:rPr>
        <w:t xml:space="preserve">95% CI </w:t>
      </w:r>
      <w:r w:rsidRPr="004F4BB2">
        <w:rPr>
          <w:color w:val="000000" w:themeColor="text1"/>
          <w:lang w:val="en-GB"/>
        </w:rPr>
        <w:t>0.</w:t>
      </w:r>
      <w:r w:rsidR="00827C83" w:rsidRPr="004F4BB2">
        <w:rPr>
          <w:color w:val="000000" w:themeColor="text1"/>
          <w:lang w:val="en-GB"/>
        </w:rPr>
        <w:t>73</w:t>
      </w:r>
      <w:r w:rsidRPr="004F4BB2">
        <w:rPr>
          <w:color w:val="000000" w:themeColor="text1"/>
          <w:lang w:val="en-GB"/>
        </w:rPr>
        <w:t>-0.</w:t>
      </w:r>
      <w:r w:rsidR="00827C83" w:rsidRPr="004F4BB2">
        <w:rPr>
          <w:color w:val="000000" w:themeColor="text1"/>
          <w:lang w:val="en-GB"/>
        </w:rPr>
        <w:t>83</w:t>
      </w:r>
      <w:r w:rsidRPr="004F4BB2">
        <w:rPr>
          <w:color w:val="000000" w:themeColor="text1"/>
          <w:lang w:val="en-GB"/>
        </w:rPr>
        <w:t>) in not-up-titrated patients, respectively.</w:t>
      </w:r>
      <w:r w:rsidR="006330A1" w:rsidRPr="004F4BB2">
        <w:rPr>
          <w:color w:val="000000" w:themeColor="text1"/>
          <w:lang w:val="en-GB"/>
        </w:rPr>
        <w:t xml:space="preserve"> C-statistic for MRA treatment-</w:t>
      </w:r>
      <w:r w:rsidR="00450116" w:rsidRPr="004F4BB2">
        <w:rPr>
          <w:color w:val="000000" w:themeColor="text1"/>
          <w:lang w:val="en-GB"/>
        </w:rPr>
        <w:t>selection</w:t>
      </w:r>
      <w:r w:rsidR="006330A1" w:rsidRPr="004F4BB2">
        <w:rPr>
          <w:color w:val="000000" w:themeColor="text1"/>
          <w:lang w:val="en-GB"/>
        </w:rPr>
        <w:t xml:space="preserve"> models were 0.</w:t>
      </w:r>
      <w:r w:rsidR="00B46A4B" w:rsidRPr="004F4BB2">
        <w:rPr>
          <w:color w:val="000000" w:themeColor="text1"/>
          <w:lang w:val="en-GB"/>
        </w:rPr>
        <w:t>65</w:t>
      </w:r>
      <w:r w:rsidR="006330A1" w:rsidRPr="004F4BB2">
        <w:rPr>
          <w:color w:val="000000" w:themeColor="text1"/>
          <w:lang w:val="en-GB"/>
        </w:rPr>
        <w:t xml:space="preserve"> (95% CI</w:t>
      </w:r>
      <w:r w:rsidR="00B46A4B" w:rsidRPr="004F4BB2">
        <w:rPr>
          <w:color w:val="000000" w:themeColor="text1"/>
          <w:lang w:val="en-GB"/>
        </w:rPr>
        <w:t xml:space="preserve"> 0.56-0.74) and 0.77 (0.71-0.86) in up</w:t>
      </w:r>
      <w:r w:rsidR="00450116">
        <w:rPr>
          <w:color w:val="000000" w:themeColor="text1"/>
          <w:lang w:val="en-GB"/>
        </w:rPr>
        <w:t>-</w:t>
      </w:r>
      <w:r w:rsidR="00B46A4B" w:rsidRPr="004F4BB2">
        <w:rPr>
          <w:color w:val="000000" w:themeColor="text1"/>
          <w:lang w:val="en-GB"/>
        </w:rPr>
        <w:t>titrated and NOT up</w:t>
      </w:r>
      <w:r w:rsidR="00450116">
        <w:rPr>
          <w:color w:val="000000" w:themeColor="text1"/>
          <w:lang w:val="en-GB"/>
        </w:rPr>
        <w:t>-</w:t>
      </w:r>
      <w:r w:rsidR="00B46A4B" w:rsidRPr="004F4BB2">
        <w:rPr>
          <w:color w:val="000000" w:themeColor="text1"/>
          <w:lang w:val="en-GB"/>
        </w:rPr>
        <w:t>titrated patients.</w:t>
      </w:r>
    </w:p>
    <w:p w14:paraId="70BF1E97" w14:textId="77777777" w:rsidR="001C748B" w:rsidRDefault="00C27503" w:rsidP="001C748B">
      <w:pPr>
        <w:spacing w:line="480" w:lineRule="auto"/>
        <w:ind w:firstLine="720"/>
        <w:rPr>
          <w:color w:val="000000" w:themeColor="text1"/>
          <w:lang w:val="en-GB"/>
        </w:rPr>
      </w:pPr>
      <w:r w:rsidRPr="004F4BB2">
        <w:rPr>
          <w:color w:val="000000" w:themeColor="text1"/>
          <w:lang w:val="en-GB"/>
        </w:rPr>
        <w:lastRenderedPageBreak/>
        <w:t>Using both models</w:t>
      </w:r>
      <w:r w:rsidR="00A819DC" w:rsidRPr="004F4BB2">
        <w:rPr>
          <w:color w:val="000000" w:themeColor="text1"/>
          <w:lang w:val="en-GB"/>
        </w:rPr>
        <w:t>,</w:t>
      </w:r>
      <w:r w:rsidRPr="004F4BB2">
        <w:rPr>
          <w:color w:val="000000" w:themeColor="text1"/>
          <w:lang w:val="en-GB"/>
        </w:rPr>
        <w:t xml:space="preserve"> we were able to calculate </w:t>
      </w:r>
      <w:r w:rsidR="007A0A0B" w:rsidRPr="004F4BB2">
        <w:rPr>
          <w:color w:val="000000" w:themeColor="text1"/>
          <w:lang w:val="en-GB"/>
        </w:rPr>
        <w:t xml:space="preserve">survival probability </w:t>
      </w:r>
      <w:r w:rsidR="00F46079" w:rsidRPr="004F4BB2">
        <w:rPr>
          <w:color w:val="000000" w:themeColor="text1"/>
          <w:lang w:val="en-GB"/>
        </w:rPr>
        <w:t xml:space="preserve">at 24 months </w:t>
      </w:r>
      <w:r w:rsidRPr="004F4BB2">
        <w:rPr>
          <w:color w:val="000000" w:themeColor="text1"/>
          <w:lang w:val="en-GB"/>
        </w:rPr>
        <w:t>for both scenarios (successful or non-successful up</w:t>
      </w:r>
      <w:r w:rsidR="00352F16" w:rsidRPr="004F4BB2">
        <w:rPr>
          <w:color w:val="000000" w:themeColor="text1"/>
          <w:lang w:val="en-GB"/>
        </w:rPr>
        <w:t>-</w:t>
      </w:r>
      <w:r w:rsidRPr="004F4BB2">
        <w:rPr>
          <w:color w:val="000000" w:themeColor="text1"/>
          <w:lang w:val="en-GB"/>
        </w:rPr>
        <w:t>ti</w:t>
      </w:r>
      <w:r w:rsidR="00352F16" w:rsidRPr="004F4BB2">
        <w:rPr>
          <w:color w:val="000000" w:themeColor="text1"/>
          <w:lang w:val="en-GB"/>
        </w:rPr>
        <w:t>t</w:t>
      </w:r>
      <w:r w:rsidRPr="004F4BB2">
        <w:rPr>
          <w:color w:val="000000" w:themeColor="text1"/>
          <w:lang w:val="en-GB"/>
        </w:rPr>
        <w:t xml:space="preserve">ration). The scenario with the </w:t>
      </w:r>
      <w:r w:rsidR="007A0A0B" w:rsidRPr="004F4BB2">
        <w:rPr>
          <w:color w:val="000000" w:themeColor="text1"/>
          <w:lang w:val="en-GB"/>
        </w:rPr>
        <w:t>highest probability</w:t>
      </w:r>
      <w:r w:rsidRPr="004F4BB2">
        <w:rPr>
          <w:color w:val="000000" w:themeColor="text1"/>
          <w:lang w:val="en-GB"/>
        </w:rPr>
        <w:t xml:space="preserve"> was considered the most beneficial one for the individual patient. </w:t>
      </w:r>
      <w:r w:rsidR="004760E6" w:rsidRPr="004F4BB2">
        <w:rPr>
          <w:color w:val="000000" w:themeColor="text1"/>
          <w:lang w:val="en-GB"/>
        </w:rPr>
        <w:t xml:space="preserve">In </w:t>
      </w:r>
      <w:r w:rsidR="007A0A0B" w:rsidRPr="004F4BB2">
        <w:rPr>
          <w:color w:val="000000" w:themeColor="text1"/>
          <w:lang w:val="en-GB"/>
        </w:rPr>
        <w:t>2</w:t>
      </w:r>
      <w:r w:rsidR="004760E6" w:rsidRPr="004F4BB2">
        <w:rPr>
          <w:color w:val="000000" w:themeColor="text1"/>
          <w:lang w:val="en-GB"/>
        </w:rPr>
        <w:t>%</w:t>
      </w:r>
      <w:r w:rsidR="0003782E" w:rsidRPr="004F4BB2">
        <w:rPr>
          <w:color w:val="000000" w:themeColor="text1"/>
          <w:lang w:val="en-GB"/>
        </w:rPr>
        <w:t xml:space="preserve"> (</w:t>
      </w:r>
      <w:r w:rsidR="00364815" w:rsidRPr="004F4BB2">
        <w:rPr>
          <w:color w:val="000000" w:themeColor="text1"/>
          <w:lang w:val="en-GB"/>
        </w:rPr>
        <w:t>n=</w:t>
      </w:r>
      <w:r w:rsidR="007A0A0B" w:rsidRPr="004F4BB2">
        <w:rPr>
          <w:color w:val="000000" w:themeColor="text1"/>
          <w:lang w:val="en-GB"/>
        </w:rPr>
        <w:t>42</w:t>
      </w:r>
      <w:r w:rsidR="0003782E" w:rsidRPr="004F4BB2">
        <w:rPr>
          <w:color w:val="000000" w:themeColor="text1"/>
          <w:lang w:val="en-GB"/>
        </w:rPr>
        <w:t>)</w:t>
      </w:r>
      <w:r w:rsidR="004760E6" w:rsidRPr="004F4BB2">
        <w:rPr>
          <w:color w:val="000000" w:themeColor="text1"/>
          <w:lang w:val="en-GB"/>
        </w:rPr>
        <w:t xml:space="preserve"> of patients, the </w:t>
      </w:r>
      <w:r w:rsidR="007A0A0B" w:rsidRPr="004F4BB2">
        <w:rPr>
          <w:color w:val="000000" w:themeColor="text1"/>
          <w:lang w:val="en-GB"/>
        </w:rPr>
        <w:t xml:space="preserve">highest probability </w:t>
      </w:r>
      <w:r w:rsidR="004760E6" w:rsidRPr="004F4BB2">
        <w:rPr>
          <w:color w:val="000000" w:themeColor="text1"/>
          <w:lang w:val="en-GB"/>
        </w:rPr>
        <w:t xml:space="preserve">was found in patients who were not successfully up-titrated with ACE-inhibitors/ARBs. </w:t>
      </w:r>
      <w:r w:rsidR="001D7EA9" w:rsidRPr="004F4BB2">
        <w:rPr>
          <w:color w:val="000000" w:themeColor="text1"/>
          <w:lang w:val="en-GB"/>
        </w:rPr>
        <w:t>Patients characteristics of th</w:t>
      </w:r>
      <w:r w:rsidR="004760E6" w:rsidRPr="004F4BB2">
        <w:rPr>
          <w:color w:val="000000" w:themeColor="text1"/>
          <w:lang w:val="en-GB"/>
        </w:rPr>
        <w:t xml:space="preserve">ese patients </w:t>
      </w:r>
      <w:r w:rsidR="001D7EA9" w:rsidRPr="004F4BB2">
        <w:rPr>
          <w:color w:val="000000" w:themeColor="text1"/>
          <w:lang w:val="en-GB"/>
        </w:rPr>
        <w:t xml:space="preserve">are presented in Table 3. Patients not benefitting from ACE-inhibitor/ARB up-titration were </w:t>
      </w:r>
      <w:r w:rsidR="00494E13" w:rsidRPr="004F4BB2">
        <w:rPr>
          <w:color w:val="000000" w:themeColor="text1"/>
          <w:lang w:val="en-GB"/>
        </w:rPr>
        <w:t xml:space="preserve">younger, </w:t>
      </w:r>
      <w:r w:rsidR="00B324C8" w:rsidRPr="004F4BB2">
        <w:rPr>
          <w:color w:val="000000" w:themeColor="text1"/>
          <w:lang w:val="en-GB"/>
        </w:rPr>
        <w:t>more frequent smokers, with less AF;</w:t>
      </w:r>
      <w:r w:rsidR="00D573D9" w:rsidRPr="004F4BB2">
        <w:rPr>
          <w:color w:val="000000" w:themeColor="text1"/>
          <w:lang w:val="en-GB"/>
        </w:rPr>
        <w:t xml:space="preserve"> </w:t>
      </w:r>
      <w:r w:rsidR="001575CD" w:rsidRPr="004F4BB2">
        <w:rPr>
          <w:color w:val="000000" w:themeColor="text1"/>
          <w:lang w:val="en-GB"/>
        </w:rPr>
        <w:t>higher haemoglobin</w:t>
      </w:r>
      <w:r w:rsidR="00B324C8" w:rsidRPr="004F4BB2">
        <w:rPr>
          <w:color w:val="000000" w:themeColor="text1"/>
          <w:lang w:val="en-GB"/>
        </w:rPr>
        <w:t xml:space="preserve"> and </w:t>
      </w:r>
      <w:r w:rsidR="00D573D9" w:rsidRPr="004F4BB2">
        <w:rPr>
          <w:color w:val="000000" w:themeColor="text1"/>
          <w:lang w:val="en-GB"/>
        </w:rPr>
        <w:t xml:space="preserve">BUN, but lower </w:t>
      </w:r>
      <w:r w:rsidR="00B324C8" w:rsidRPr="004F4BB2">
        <w:rPr>
          <w:color w:val="000000" w:themeColor="text1"/>
          <w:lang w:val="en-GB"/>
        </w:rPr>
        <w:t xml:space="preserve">heart rate and </w:t>
      </w:r>
      <w:r w:rsidR="00D573D9" w:rsidRPr="004F4BB2">
        <w:rPr>
          <w:color w:val="000000" w:themeColor="text1"/>
          <w:lang w:val="en-GB"/>
        </w:rPr>
        <w:t>NT-</w:t>
      </w:r>
      <w:proofErr w:type="spellStart"/>
      <w:r w:rsidR="00D573D9" w:rsidRPr="004F4BB2">
        <w:rPr>
          <w:color w:val="000000" w:themeColor="text1"/>
          <w:lang w:val="en-GB"/>
        </w:rPr>
        <w:t>proBNP</w:t>
      </w:r>
      <w:proofErr w:type="spellEnd"/>
      <w:r w:rsidR="00D573D9" w:rsidRPr="004F4BB2">
        <w:rPr>
          <w:color w:val="000000" w:themeColor="text1"/>
          <w:lang w:val="en-GB"/>
        </w:rPr>
        <w:t xml:space="preserve"> levels</w:t>
      </w:r>
      <w:r w:rsidR="00F77C27" w:rsidRPr="004F4BB2">
        <w:rPr>
          <w:color w:val="000000" w:themeColor="text1"/>
          <w:lang w:val="en-GB"/>
        </w:rPr>
        <w:t>.</w:t>
      </w:r>
      <w:r w:rsidR="001D7EA9" w:rsidRPr="004F4BB2">
        <w:rPr>
          <w:color w:val="000000" w:themeColor="text1"/>
          <w:lang w:val="en-GB"/>
        </w:rPr>
        <w:t xml:space="preserve"> </w:t>
      </w:r>
      <w:r w:rsidR="00175374" w:rsidRPr="004F4BB2">
        <w:rPr>
          <w:color w:val="000000" w:themeColor="text1"/>
          <w:lang w:val="en-GB"/>
        </w:rPr>
        <w:t xml:space="preserve">In </w:t>
      </w:r>
      <w:r w:rsidR="00F77C27" w:rsidRPr="004F4BB2">
        <w:rPr>
          <w:color w:val="000000" w:themeColor="text1"/>
          <w:lang w:val="en-GB"/>
        </w:rPr>
        <w:t>3</w:t>
      </w:r>
      <w:r w:rsidR="00716784" w:rsidRPr="004F4BB2">
        <w:rPr>
          <w:color w:val="000000" w:themeColor="text1"/>
          <w:lang w:val="en-GB"/>
        </w:rPr>
        <w:t>3</w:t>
      </w:r>
      <w:r w:rsidR="00175374" w:rsidRPr="004F4BB2">
        <w:rPr>
          <w:color w:val="000000" w:themeColor="text1"/>
          <w:lang w:val="en-GB"/>
        </w:rPr>
        <w:t>%</w:t>
      </w:r>
      <w:r w:rsidR="00364815" w:rsidRPr="004F4BB2">
        <w:rPr>
          <w:color w:val="000000" w:themeColor="text1"/>
          <w:lang w:val="en-GB"/>
        </w:rPr>
        <w:t xml:space="preserve"> (n=592)</w:t>
      </w:r>
      <w:r w:rsidR="00175374" w:rsidRPr="004F4BB2">
        <w:rPr>
          <w:color w:val="000000" w:themeColor="text1"/>
          <w:lang w:val="en-GB"/>
        </w:rPr>
        <w:t xml:space="preserve"> of patients, the </w:t>
      </w:r>
      <w:r w:rsidR="00716784" w:rsidRPr="004F4BB2">
        <w:rPr>
          <w:color w:val="000000" w:themeColor="text1"/>
          <w:lang w:val="en-GB"/>
        </w:rPr>
        <w:t xml:space="preserve">highest survival probability </w:t>
      </w:r>
      <w:r w:rsidR="00175374" w:rsidRPr="004F4BB2">
        <w:rPr>
          <w:color w:val="000000" w:themeColor="text1"/>
          <w:lang w:val="en-GB"/>
        </w:rPr>
        <w:t xml:space="preserve">was found in patients who were not successfully up-titrated with beta-blockers. Patients characteristics of these patients are presented in Table 3. </w:t>
      </w:r>
      <w:r w:rsidR="001D7EA9" w:rsidRPr="004F4BB2">
        <w:rPr>
          <w:color w:val="000000" w:themeColor="text1"/>
          <w:lang w:val="en-GB"/>
        </w:rPr>
        <w:t xml:space="preserve">Patients not benefitting from beta-blocker up-titration were </w:t>
      </w:r>
      <w:r w:rsidR="00F77C27" w:rsidRPr="004F4BB2">
        <w:rPr>
          <w:color w:val="000000" w:themeColor="text1"/>
          <w:lang w:val="en-GB"/>
        </w:rPr>
        <w:t>older, leaner</w:t>
      </w:r>
      <w:r w:rsidR="001D7EA9" w:rsidRPr="004F4BB2">
        <w:rPr>
          <w:color w:val="000000" w:themeColor="text1"/>
          <w:lang w:val="en-GB"/>
        </w:rPr>
        <w:t xml:space="preserve">, </w:t>
      </w:r>
      <w:r w:rsidR="008F7E53" w:rsidRPr="004F4BB2">
        <w:rPr>
          <w:color w:val="000000" w:themeColor="text1"/>
          <w:lang w:val="en-GB"/>
        </w:rPr>
        <w:t>more</w:t>
      </w:r>
      <w:r w:rsidR="006D6EFB" w:rsidRPr="004F4BB2">
        <w:rPr>
          <w:color w:val="000000" w:themeColor="text1"/>
          <w:lang w:val="en-GB"/>
        </w:rPr>
        <w:t xml:space="preserve"> frequently smoker or former smoker. The also had less ischemic HF, but more myocardial infarction, and other co-morbidities. They also had significantly higher LVEF, </w:t>
      </w:r>
      <w:r w:rsidR="00FA29F7" w:rsidRPr="004F4BB2">
        <w:rPr>
          <w:color w:val="000000" w:themeColor="text1"/>
          <w:lang w:val="en-GB"/>
        </w:rPr>
        <w:t>(</w:t>
      </w:r>
      <w:r w:rsidR="006D6EFB" w:rsidRPr="004F4BB2">
        <w:rPr>
          <w:color w:val="000000" w:themeColor="text1"/>
          <w:lang w:val="en-GB"/>
        </w:rPr>
        <w:t>NT-</w:t>
      </w:r>
      <w:proofErr w:type="gramStart"/>
      <w:r w:rsidR="006D6EFB" w:rsidRPr="004F4BB2">
        <w:rPr>
          <w:color w:val="000000" w:themeColor="text1"/>
          <w:lang w:val="en-GB"/>
        </w:rPr>
        <w:t>pro</w:t>
      </w:r>
      <w:r w:rsidR="00FA29F7" w:rsidRPr="004F4BB2">
        <w:rPr>
          <w:color w:val="000000" w:themeColor="text1"/>
          <w:lang w:val="en-GB"/>
        </w:rPr>
        <w:t>)</w:t>
      </w:r>
      <w:r w:rsidR="006D6EFB" w:rsidRPr="004F4BB2">
        <w:rPr>
          <w:color w:val="000000" w:themeColor="text1"/>
          <w:lang w:val="en-GB"/>
        </w:rPr>
        <w:t>BNP</w:t>
      </w:r>
      <w:proofErr w:type="gramEnd"/>
      <w:r w:rsidR="00FA29F7" w:rsidRPr="004F4BB2">
        <w:rPr>
          <w:color w:val="000000" w:themeColor="text1"/>
          <w:lang w:val="en-GB"/>
        </w:rPr>
        <w:t xml:space="preserve">, BUN </w:t>
      </w:r>
      <w:r w:rsidR="006D6EFB" w:rsidRPr="004F4BB2">
        <w:rPr>
          <w:color w:val="000000" w:themeColor="text1"/>
          <w:lang w:val="en-GB"/>
        </w:rPr>
        <w:t xml:space="preserve">and </w:t>
      </w:r>
      <w:r w:rsidR="00FA29F7" w:rsidRPr="004F4BB2">
        <w:rPr>
          <w:color w:val="000000" w:themeColor="text1"/>
          <w:lang w:val="en-GB"/>
        </w:rPr>
        <w:t>c</w:t>
      </w:r>
      <w:r w:rsidR="006D6EFB" w:rsidRPr="004F4BB2">
        <w:rPr>
          <w:color w:val="000000" w:themeColor="text1"/>
          <w:lang w:val="en-GB"/>
        </w:rPr>
        <w:t>reatinine, levels, and</w:t>
      </w:r>
      <w:r w:rsidR="00DB59F8" w:rsidRPr="004F4BB2">
        <w:rPr>
          <w:color w:val="000000" w:themeColor="text1"/>
          <w:lang w:val="en-GB"/>
        </w:rPr>
        <w:t xml:space="preserve"> </w:t>
      </w:r>
      <w:r w:rsidR="001D7EA9" w:rsidRPr="004F4BB2">
        <w:rPr>
          <w:color w:val="000000" w:themeColor="text1"/>
          <w:lang w:val="en-GB"/>
        </w:rPr>
        <w:t xml:space="preserve">lower </w:t>
      </w:r>
      <w:r w:rsidR="00F77C27" w:rsidRPr="004F4BB2">
        <w:rPr>
          <w:color w:val="000000" w:themeColor="text1"/>
          <w:lang w:val="en-GB"/>
        </w:rPr>
        <w:t>DBP</w:t>
      </w:r>
      <w:r w:rsidR="006D6EFB" w:rsidRPr="004F4BB2">
        <w:rPr>
          <w:color w:val="000000" w:themeColor="text1"/>
          <w:lang w:val="en-GB"/>
        </w:rPr>
        <w:t>,</w:t>
      </w:r>
      <w:r w:rsidR="00F77C27" w:rsidRPr="004F4BB2">
        <w:rPr>
          <w:color w:val="000000" w:themeColor="text1"/>
          <w:lang w:val="en-GB"/>
        </w:rPr>
        <w:t xml:space="preserve"> heart rate</w:t>
      </w:r>
      <w:r w:rsidR="006D6EFB" w:rsidRPr="004F4BB2">
        <w:rPr>
          <w:color w:val="000000" w:themeColor="text1"/>
          <w:lang w:val="en-GB"/>
        </w:rPr>
        <w:t xml:space="preserve">, haemoglobin </w:t>
      </w:r>
      <w:r w:rsidR="00FA29F7" w:rsidRPr="004F4BB2">
        <w:rPr>
          <w:color w:val="000000" w:themeColor="text1"/>
          <w:lang w:val="en-GB"/>
        </w:rPr>
        <w:t xml:space="preserve">and </w:t>
      </w:r>
      <w:proofErr w:type="spellStart"/>
      <w:r w:rsidR="00FA29F7" w:rsidRPr="004F4BB2">
        <w:rPr>
          <w:color w:val="000000" w:themeColor="text1"/>
          <w:lang w:val="en-GB"/>
        </w:rPr>
        <w:t>eGFR</w:t>
      </w:r>
      <w:proofErr w:type="spellEnd"/>
      <w:r w:rsidR="00FA29F7" w:rsidRPr="004F4BB2">
        <w:rPr>
          <w:color w:val="000000" w:themeColor="text1"/>
          <w:lang w:val="en-GB"/>
        </w:rPr>
        <w:t xml:space="preserve"> </w:t>
      </w:r>
      <w:r w:rsidR="006D6EFB" w:rsidRPr="004F4BB2">
        <w:rPr>
          <w:color w:val="000000" w:themeColor="text1"/>
          <w:lang w:val="en-GB"/>
        </w:rPr>
        <w:t>levels.</w:t>
      </w:r>
      <w:r w:rsidR="006D6EFB" w:rsidRPr="004F4BB2" w:rsidDel="00F77C27">
        <w:rPr>
          <w:color w:val="000000" w:themeColor="text1"/>
          <w:lang w:val="en-GB"/>
        </w:rPr>
        <w:t xml:space="preserve"> </w:t>
      </w:r>
      <w:r w:rsidR="00364815" w:rsidRPr="004F4BB2">
        <w:rPr>
          <w:color w:val="000000" w:themeColor="text1"/>
          <w:lang w:val="en-GB"/>
        </w:rPr>
        <w:t>Patients for whom up</w:t>
      </w:r>
      <w:r w:rsidR="00450116">
        <w:rPr>
          <w:color w:val="000000" w:themeColor="text1"/>
          <w:lang w:val="en-GB"/>
        </w:rPr>
        <w:t>-</w:t>
      </w:r>
      <w:r w:rsidR="00364815" w:rsidRPr="004F4BB2">
        <w:rPr>
          <w:color w:val="000000" w:themeColor="text1"/>
          <w:lang w:val="en-GB"/>
        </w:rPr>
        <w:t xml:space="preserve">titrating MRA treatment was not </w:t>
      </w:r>
      <w:r w:rsidR="00450116" w:rsidRPr="004F4BB2">
        <w:rPr>
          <w:color w:val="000000" w:themeColor="text1"/>
          <w:lang w:val="en-GB"/>
        </w:rPr>
        <w:t>beneficial</w:t>
      </w:r>
      <w:r w:rsidR="00364815" w:rsidRPr="004F4BB2">
        <w:rPr>
          <w:color w:val="000000" w:themeColor="text1"/>
          <w:lang w:val="en-GB"/>
        </w:rPr>
        <w:t xml:space="preserve"> for 13% (n=184) of the </w:t>
      </w:r>
      <w:r w:rsidR="00C27AE5" w:rsidRPr="004F4BB2">
        <w:rPr>
          <w:color w:val="000000" w:themeColor="text1"/>
          <w:lang w:val="en-GB"/>
        </w:rPr>
        <w:t>patients</w:t>
      </w:r>
      <w:r w:rsidR="00364815" w:rsidRPr="004F4BB2">
        <w:rPr>
          <w:color w:val="000000" w:themeColor="text1"/>
          <w:lang w:val="en-GB"/>
        </w:rPr>
        <w:t>.</w:t>
      </w:r>
    </w:p>
    <w:p w14:paraId="1B54DC11" w14:textId="77777777" w:rsidR="001C748B" w:rsidRPr="001C748B" w:rsidRDefault="006B4DFE" w:rsidP="001C748B">
      <w:pPr>
        <w:spacing w:line="480" w:lineRule="auto"/>
        <w:rPr>
          <w:i/>
          <w:color w:val="000000" w:themeColor="text1"/>
          <w:lang w:val="en-US"/>
        </w:rPr>
      </w:pPr>
      <w:r w:rsidRPr="001C748B">
        <w:rPr>
          <w:i/>
          <w:color w:val="000000" w:themeColor="text1"/>
          <w:lang w:val="en-US"/>
        </w:rPr>
        <w:t>Clinical events according to the three hypothetical scenarios</w:t>
      </w:r>
    </w:p>
    <w:p w14:paraId="35CF1824" w14:textId="77777777" w:rsidR="001C748B" w:rsidRDefault="00185B5C" w:rsidP="001C748B">
      <w:pPr>
        <w:spacing w:line="480" w:lineRule="auto"/>
        <w:ind w:firstLine="720"/>
        <w:rPr>
          <w:color w:val="000000" w:themeColor="text1"/>
          <w:lang w:val="en-GB"/>
        </w:rPr>
      </w:pPr>
      <w:r w:rsidRPr="004F4BB2">
        <w:rPr>
          <w:color w:val="000000" w:themeColor="text1"/>
          <w:lang w:val="en-GB"/>
        </w:rPr>
        <w:t xml:space="preserve">Kaplan-Meier curves </w:t>
      </w:r>
      <w:r w:rsidR="009A643D" w:rsidRPr="004F4BB2">
        <w:rPr>
          <w:color w:val="000000" w:themeColor="text1"/>
          <w:lang w:val="en-GB"/>
        </w:rPr>
        <w:t xml:space="preserve">for </w:t>
      </w:r>
      <w:r w:rsidRPr="004F4BB2">
        <w:rPr>
          <w:color w:val="000000" w:themeColor="text1"/>
          <w:lang w:val="en-GB"/>
        </w:rPr>
        <w:t xml:space="preserve">ACE-inhibitor/ARB scenarios are presented in </w:t>
      </w:r>
      <w:r w:rsidRPr="001C748B">
        <w:rPr>
          <w:b/>
          <w:color w:val="000000" w:themeColor="text1"/>
          <w:lang w:val="en-GB"/>
        </w:rPr>
        <w:t>Figure 1</w:t>
      </w:r>
      <w:r w:rsidRPr="004F4BB2">
        <w:rPr>
          <w:color w:val="000000" w:themeColor="text1"/>
          <w:lang w:val="en-GB"/>
        </w:rPr>
        <w:t xml:space="preserve">. </w:t>
      </w:r>
      <w:r w:rsidR="00292EA5" w:rsidRPr="004F4BB2">
        <w:rPr>
          <w:color w:val="000000" w:themeColor="text1"/>
          <w:lang w:val="en-GB"/>
        </w:rPr>
        <w:t>Mortality and/or heart failure hospitalization was highest in the sce</w:t>
      </w:r>
      <w:r w:rsidR="00345A42" w:rsidRPr="004F4BB2">
        <w:rPr>
          <w:color w:val="000000" w:themeColor="text1"/>
          <w:lang w:val="en-GB"/>
        </w:rPr>
        <w:t>nario where no patient</w:t>
      </w:r>
      <w:r w:rsidR="005A6778" w:rsidRPr="004F4BB2">
        <w:rPr>
          <w:color w:val="000000" w:themeColor="text1"/>
          <w:lang w:val="en-GB"/>
        </w:rPr>
        <w:t xml:space="preserve"> was up-ti</w:t>
      </w:r>
      <w:r w:rsidR="00292EA5" w:rsidRPr="004F4BB2">
        <w:rPr>
          <w:color w:val="000000" w:themeColor="text1"/>
          <w:lang w:val="en-GB"/>
        </w:rPr>
        <w:t xml:space="preserve">trated to at least 50% of the recommended dose. </w:t>
      </w:r>
      <w:r w:rsidRPr="004F4BB2">
        <w:rPr>
          <w:color w:val="000000" w:themeColor="text1"/>
          <w:lang w:val="en-GB"/>
        </w:rPr>
        <w:t>Patients who were up</w:t>
      </w:r>
      <w:r w:rsidR="00A47E12" w:rsidRPr="004F4BB2">
        <w:rPr>
          <w:color w:val="000000" w:themeColor="text1"/>
          <w:lang w:val="en-GB"/>
        </w:rPr>
        <w:t>-</w:t>
      </w:r>
      <w:r w:rsidRPr="004F4BB2">
        <w:rPr>
          <w:color w:val="000000" w:themeColor="text1"/>
          <w:lang w:val="en-GB"/>
        </w:rPr>
        <w:t xml:space="preserve">titrated based on their biomarker profile had </w:t>
      </w:r>
      <w:r w:rsidR="00A819DC" w:rsidRPr="004F4BB2">
        <w:rPr>
          <w:color w:val="000000" w:themeColor="text1"/>
          <w:lang w:val="en-GB"/>
        </w:rPr>
        <w:t xml:space="preserve">the </w:t>
      </w:r>
      <w:r w:rsidRPr="004F4BB2">
        <w:rPr>
          <w:color w:val="000000" w:themeColor="text1"/>
          <w:lang w:val="en-GB"/>
        </w:rPr>
        <w:t>lowe</w:t>
      </w:r>
      <w:r w:rsidR="00A819DC" w:rsidRPr="004F4BB2">
        <w:rPr>
          <w:color w:val="000000" w:themeColor="text1"/>
          <w:lang w:val="en-GB"/>
        </w:rPr>
        <w:t>st</w:t>
      </w:r>
      <w:r w:rsidRPr="004F4BB2">
        <w:rPr>
          <w:color w:val="000000" w:themeColor="text1"/>
          <w:lang w:val="en-GB"/>
        </w:rPr>
        <w:t xml:space="preserve"> risk of death and/or heart failure hospitalization</w:t>
      </w:r>
      <w:r w:rsidR="00A819DC" w:rsidRPr="004F4BB2">
        <w:rPr>
          <w:color w:val="000000" w:themeColor="text1"/>
          <w:lang w:val="en-GB"/>
        </w:rPr>
        <w:t xml:space="preserve">. </w:t>
      </w:r>
    </w:p>
    <w:p w14:paraId="4F847B12" w14:textId="77777777" w:rsidR="001C748B" w:rsidRDefault="00025C98" w:rsidP="001C748B">
      <w:pPr>
        <w:spacing w:line="480" w:lineRule="auto"/>
        <w:ind w:firstLine="720"/>
        <w:rPr>
          <w:color w:val="000000" w:themeColor="text1"/>
          <w:lang w:val="en-GB"/>
        </w:rPr>
      </w:pPr>
      <w:r w:rsidRPr="004F4BB2">
        <w:rPr>
          <w:color w:val="000000" w:themeColor="text1"/>
          <w:lang w:val="en-US"/>
        </w:rPr>
        <w:t>Estimated event rate and averaged expected events at 24 months for</w:t>
      </w:r>
      <w:r w:rsidR="004826F3" w:rsidRPr="004F4BB2">
        <w:rPr>
          <w:color w:val="000000" w:themeColor="text1"/>
          <w:lang w:val="en-US"/>
        </w:rPr>
        <w:t xml:space="preserve"> </w:t>
      </w:r>
      <w:r w:rsidR="006B4DFE" w:rsidRPr="004F4BB2">
        <w:rPr>
          <w:color w:val="000000" w:themeColor="text1"/>
          <w:lang w:val="en-US"/>
        </w:rPr>
        <w:t xml:space="preserve">each of the three hypothetical scenarios are </w:t>
      </w:r>
      <w:r w:rsidRPr="004F4BB2">
        <w:rPr>
          <w:color w:val="000000" w:themeColor="text1"/>
          <w:lang w:val="en-GB"/>
        </w:rPr>
        <w:t xml:space="preserve">presented in </w:t>
      </w:r>
      <w:r w:rsidR="00DB274A" w:rsidRPr="001C748B">
        <w:rPr>
          <w:b/>
          <w:color w:val="000000" w:themeColor="text1"/>
          <w:lang w:val="en-GB"/>
        </w:rPr>
        <w:t>T</w:t>
      </w:r>
      <w:r w:rsidRPr="001C748B">
        <w:rPr>
          <w:b/>
          <w:color w:val="000000" w:themeColor="text1"/>
          <w:lang w:val="en-GB"/>
        </w:rPr>
        <w:t xml:space="preserve">able </w:t>
      </w:r>
      <w:r w:rsidR="0073615F" w:rsidRPr="001C748B">
        <w:rPr>
          <w:b/>
          <w:color w:val="000000" w:themeColor="text1"/>
          <w:lang w:val="en-GB"/>
        </w:rPr>
        <w:t>2</w:t>
      </w:r>
      <w:r w:rsidRPr="001C748B">
        <w:rPr>
          <w:b/>
          <w:color w:val="000000" w:themeColor="text1"/>
          <w:lang w:val="en-GB"/>
        </w:rPr>
        <w:t>.</w:t>
      </w:r>
      <w:r w:rsidRPr="004F4BB2">
        <w:rPr>
          <w:color w:val="000000" w:themeColor="text1"/>
          <w:lang w:val="en-GB"/>
        </w:rPr>
        <w:t xml:space="preserve"> </w:t>
      </w:r>
      <w:r w:rsidR="006B4DFE" w:rsidRPr="004F4BB2">
        <w:rPr>
          <w:color w:val="000000" w:themeColor="text1"/>
          <w:lang w:val="en-GB"/>
        </w:rPr>
        <w:t xml:space="preserve">If all patients were successfully up-titrated to </w:t>
      </w:r>
      <w:r w:rsidR="009D582A" w:rsidRPr="004F4BB2">
        <w:rPr>
          <w:color w:val="000000" w:themeColor="text1"/>
          <w:lang w:val="en-GB"/>
        </w:rPr>
        <w:t>&gt;50%</w:t>
      </w:r>
      <w:r w:rsidR="006B4DFE" w:rsidRPr="004F4BB2">
        <w:rPr>
          <w:color w:val="000000" w:themeColor="text1"/>
          <w:lang w:val="en-GB"/>
        </w:rPr>
        <w:t xml:space="preserve"> of recommended doses </w:t>
      </w:r>
      <w:r w:rsidR="00D14F0E" w:rsidRPr="004F4BB2">
        <w:rPr>
          <w:color w:val="000000" w:themeColor="text1"/>
          <w:lang w:val="en-GB"/>
        </w:rPr>
        <w:t xml:space="preserve">ACE-inhibitor/ARBs </w:t>
      </w:r>
      <w:r w:rsidR="006B4DFE" w:rsidRPr="004F4BB2">
        <w:rPr>
          <w:color w:val="000000" w:themeColor="text1"/>
          <w:lang w:val="en-GB"/>
        </w:rPr>
        <w:t xml:space="preserve">(Scenario </w:t>
      </w:r>
      <w:proofErr w:type="spellStart"/>
      <w:r w:rsidR="006B4DFE" w:rsidRPr="004F4BB2">
        <w:rPr>
          <w:color w:val="000000" w:themeColor="text1"/>
          <w:lang w:val="en-GB"/>
        </w:rPr>
        <w:t>A</w:t>
      </w:r>
      <w:proofErr w:type="spellEnd"/>
      <w:r w:rsidR="006B4DFE" w:rsidRPr="004F4BB2">
        <w:rPr>
          <w:color w:val="000000" w:themeColor="text1"/>
          <w:lang w:val="en-GB"/>
        </w:rPr>
        <w:t xml:space="preserve">), estimated death and/or hospital admission occurred in </w:t>
      </w:r>
      <w:r w:rsidR="00F41906" w:rsidRPr="004F4BB2">
        <w:rPr>
          <w:color w:val="000000" w:themeColor="text1"/>
          <w:lang w:val="en-GB"/>
        </w:rPr>
        <w:t xml:space="preserve">297 </w:t>
      </w:r>
      <w:r w:rsidR="00630650" w:rsidRPr="004F4BB2">
        <w:rPr>
          <w:color w:val="000000" w:themeColor="text1"/>
          <w:lang w:val="en-GB"/>
        </w:rPr>
        <w:t>(260-335)</w:t>
      </w:r>
      <w:r w:rsidR="00630650" w:rsidRPr="004F4BB2" w:rsidDel="009022AF">
        <w:rPr>
          <w:color w:val="000000" w:themeColor="text1"/>
          <w:lang w:val="en-GB"/>
        </w:rPr>
        <w:t xml:space="preserve"> </w:t>
      </w:r>
      <w:r w:rsidR="006B4DFE" w:rsidRPr="004F4BB2">
        <w:rPr>
          <w:color w:val="000000" w:themeColor="text1"/>
          <w:lang w:val="en-GB"/>
        </w:rPr>
        <w:t xml:space="preserve">patients. If patients were up-titrated </w:t>
      </w:r>
      <w:r w:rsidR="00D14F0E" w:rsidRPr="004F4BB2">
        <w:rPr>
          <w:color w:val="000000" w:themeColor="text1"/>
          <w:lang w:val="en-GB"/>
        </w:rPr>
        <w:t>with ACE-</w:t>
      </w:r>
      <w:r w:rsidR="00D14F0E" w:rsidRPr="004F4BB2">
        <w:rPr>
          <w:color w:val="000000" w:themeColor="text1"/>
          <w:lang w:val="en-GB"/>
        </w:rPr>
        <w:lastRenderedPageBreak/>
        <w:t xml:space="preserve">inhibitor/ARBs </w:t>
      </w:r>
      <w:r w:rsidR="006B4DFE" w:rsidRPr="004F4BB2">
        <w:rPr>
          <w:color w:val="000000" w:themeColor="text1"/>
          <w:lang w:val="en-GB"/>
        </w:rPr>
        <w:t xml:space="preserve">following a treatment-strategy based on the biomarker values (Scenario B), estimated death and/or hospital admission occurred in </w:t>
      </w:r>
      <w:r w:rsidR="00630650" w:rsidRPr="004F4BB2">
        <w:rPr>
          <w:color w:val="000000" w:themeColor="text1"/>
          <w:lang w:val="en-GB"/>
        </w:rPr>
        <w:t>296 (260-333)</w:t>
      </w:r>
      <w:r w:rsidR="00630650" w:rsidRPr="004F4BB2" w:rsidDel="00304593">
        <w:rPr>
          <w:color w:val="000000" w:themeColor="text1"/>
          <w:lang w:val="en-GB"/>
        </w:rPr>
        <w:t xml:space="preserve"> </w:t>
      </w:r>
      <w:r w:rsidR="006B4DFE" w:rsidRPr="004F4BB2">
        <w:rPr>
          <w:color w:val="000000" w:themeColor="text1"/>
          <w:lang w:val="en-GB"/>
        </w:rPr>
        <w:t xml:space="preserve">patients. If no patient was treated with </w:t>
      </w:r>
      <w:r w:rsidR="009D582A" w:rsidRPr="004F4BB2">
        <w:rPr>
          <w:color w:val="000000" w:themeColor="text1"/>
          <w:lang w:val="en-GB"/>
        </w:rPr>
        <w:t>&gt;50%</w:t>
      </w:r>
      <w:r w:rsidR="006B4DFE" w:rsidRPr="004F4BB2">
        <w:rPr>
          <w:color w:val="000000" w:themeColor="text1"/>
          <w:lang w:val="en-GB"/>
        </w:rPr>
        <w:t xml:space="preserve"> of recommended doses </w:t>
      </w:r>
      <w:r w:rsidR="00D14F0E" w:rsidRPr="004F4BB2">
        <w:rPr>
          <w:color w:val="000000" w:themeColor="text1"/>
          <w:lang w:val="en-GB"/>
        </w:rPr>
        <w:t xml:space="preserve">ACE-inhibitor/ARBs </w:t>
      </w:r>
      <w:r w:rsidR="006B4DFE" w:rsidRPr="004F4BB2">
        <w:rPr>
          <w:color w:val="000000" w:themeColor="text1"/>
          <w:lang w:val="en-GB"/>
        </w:rPr>
        <w:t>(Sc</w:t>
      </w:r>
      <w:r w:rsidR="00ED1BA3" w:rsidRPr="004F4BB2">
        <w:rPr>
          <w:color w:val="000000" w:themeColor="text1"/>
          <w:lang w:val="en-GB"/>
        </w:rPr>
        <w:t>en</w:t>
      </w:r>
      <w:r w:rsidR="006B4DFE" w:rsidRPr="004F4BB2">
        <w:rPr>
          <w:color w:val="000000" w:themeColor="text1"/>
          <w:lang w:val="en-GB"/>
        </w:rPr>
        <w:t xml:space="preserve">ario C), estimated death and/or hospital admission occurred in </w:t>
      </w:r>
      <w:r w:rsidR="00630650" w:rsidRPr="004F4BB2">
        <w:rPr>
          <w:color w:val="000000" w:themeColor="text1"/>
          <w:lang w:val="en-GB"/>
        </w:rPr>
        <w:t>474 (438-511)</w:t>
      </w:r>
      <w:r w:rsidR="00630650" w:rsidRPr="004F4BB2" w:rsidDel="00304593">
        <w:rPr>
          <w:color w:val="000000" w:themeColor="text1"/>
          <w:lang w:val="en-GB"/>
        </w:rPr>
        <w:t xml:space="preserve"> </w:t>
      </w:r>
      <w:r w:rsidR="006B4DFE" w:rsidRPr="004F4BB2">
        <w:rPr>
          <w:color w:val="000000" w:themeColor="text1"/>
          <w:lang w:val="en-GB"/>
        </w:rPr>
        <w:t xml:space="preserve">patients. </w:t>
      </w:r>
      <w:r w:rsidR="00D14F0E" w:rsidRPr="004F4BB2">
        <w:rPr>
          <w:color w:val="000000" w:themeColor="text1"/>
          <w:lang w:val="en-GB"/>
        </w:rPr>
        <w:t>U</w:t>
      </w:r>
      <w:r w:rsidR="005A082A" w:rsidRPr="004F4BB2">
        <w:rPr>
          <w:color w:val="000000" w:themeColor="text1"/>
          <w:lang w:val="en-GB"/>
        </w:rPr>
        <w:t>p-titrating</w:t>
      </w:r>
      <w:r w:rsidR="00D14F0E" w:rsidRPr="004F4BB2">
        <w:rPr>
          <w:color w:val="000000" w:themeColor="text1"/>
          <w:lang w:val="en-GB"/>
        </w:rPr>
        <w:t xml:space="preserve"> ACE-inhibitor/ARBs</w:t>
      </w:r>
      <w:r w:rsidR="005A082A" w:rsidRPr="004F4BB2">
        <w:rPr>
          <w:color w:val="000000" w:themeColor="text1"/>
          <w:lang w:val="en-GB"/>
        </w:rPr>
        <w:t xml:space="preserve"> to </w:t>
      </w:r>
      <w:r w:rsidR="009D582A" w:rsidRPr="004F4BB2">
        <w:rPr>
          <w:color w:val="000000" w:themeColor="text1"/>
          <w:lang w:val="en-GB"/>
        </w:rPr>
        <w:t>&gt;50%</w:t>
      </w:r>
      <w:r w:rsidR="005A082A" w:rsidRPr="004F4BB2">
        <w:rPr>
          <w:color w:val="000000" w:themeColor="text1"/>
          <w:lang w:val="en-GB"/>
        </w:rPr>
        <w:t xml:space="preserve"> of recommended dose</w:t>
      </w:r>
      <w:r w:rsidR="002F447B" w:rsidRPr="004F4BB2">
        <w:rPr>
          <w:color w:val="000000" w:themeColor="text1"/>
          <w:lang w:val="en-GB"/>
        </w:rPr>
        <w:t xml:space="preserve"> </w:t>
      </w:r>
      <w:r w:rsidR="005A082A" w:rsidRPr="004F4BB2">
        <w:rPr>
          <w:color w:val="000000" w:themeColor="text1"/>
          <w:lang w:val="en-GB"/>
        </w:rPr>
        <w:t xml:space="preserve">compared to </w:t>
      </w:r>
      <w:r w:rsidR="00F95BDA" w:rsidRPr="004F4BB2">
        <w:rPr>
          <w:color w:val="000000" w:themeColor="text1"/>
          <w:lang w:val="en-GB"/>
        </w:rPr>
        <w:sym w:font="Symbol" w:char="F0A3"/>
      </w:r>
      <w:r w:rsidR="005A082A" w:rsidRPr="004F4BB2">
        <w:rPr>
          <w:color w:val="000000" w:themeColor="text1"/>
          <w:lang w:val="en-GB"/>
        </w:rPr>
        <w:t>50%</w:t>
      </w:r>
      <w:r w:rsidR="00F95BDA" w:rsidRPr="004F4BB2">
        <w:rPr>
          <w:color w:val="000000" w:themeColor="text1"/>
          <w:lang w:val="en-GB"/>
        </w:rPr>
        <w:t xml:space="preserve"> </w:t>
      </w:r>
      <w:r w:rsidR="00D91239" w:rsidRPr="004F4BB2">
        <w:rPr>
          <w:color w:val="000000" w:themeColor="text1"/>
          <w:lang w:val="en-GB"/>
        </w:rPr>
        <w:t>less than recommended dose</w:t>
      </w:r>
      <w:r w:rsidR="005A082A" w:rsidRPr="004F4BB2">
        <w:rPr>
          <w:color w:val="000000" w:themeColor="text1"/>
          <w:lang w:val="en-GB"/>
        </w:rPr>
        <w:t xml:space="preserve"> </w:t>
      </w:r>
      <w:r w:rsidR="007A66B0" w:rsidRPr="004F4BB2">
        <w:rPr>
          <w:color w:val="000000" w:themeColor="text1"/>
          <w:lang w:val="en-GB"/>
        </w:rPr>
        <w:t xml:space="preserve">resulted in </w:t>
      </w:r>
      <w:r w:rsidR="00D91239" w:rsidRPr="004F4BB2">
        <w:rPr>
          <w:color w:val="000000" w:themeColor="text1"/>
          <w:lang w:val="en-GB"/>
        </w:rPr>
        <w:t>174</w:t>
      </w:r>
      <w:r w:rsidR="00304593" w:rsidRPr="004F4BB2">
        <w:rPr>
          <w:color w:val="000000" w:themeColor="text1"/>
          <w:lang w:val="en-GB"/>
        </w:rPr>
        <w:t xml:space="preserve"> </w:t>
      </w:r>
      <w:r w:rsidR="00D14F0E" w:rsidRPr="004F4BB2">
        <w:rPr>
          <w:color w:val="000000" w:themeColor="text1"/>
          <w:lang w:val="en-GB"/>
        </w:rPr>
        <w:t>fewer</w:t>
      </w:r>
      <w:r w:rsidR="00726740" w:rsidRPr="004F4BB2">
        <w:rPr>
          <w:color w:val="000000" w:themeColor="text1"/>
          <w:lang w:val="en-GB"/>
        </w:rPr>
        <w:t xml:space="preserve"> </w:t>
      </w:r>
      <w:r w:rsidR="00EE6B24" w:rsidRPr="004F4BB2">
        <w:rPr>
          <w:color w:val="000000" w:themeColor="text1"/>
          <w:lang w:val="en-GB"/>
        </w:rPr>
        <w:t xml:space="preserve">events </w:t>
      </w:r>
      <w:r w:rsidR="005A082A" w:rsidRPr="004F4BB2">
        <w:rPr>
          <w:color w:val="000000" w:themeColor="text1"/>
          <w:lang w:val="en-GB"/>
        </w:rPr>
        <w:t xml:space="preserve">(95% CI </w:t>
      </w:r>
      <w:r w:rsidR="00804CA5" w:rsidRPr="004F4BB2">
        <w:rPr>
          <w:color w:val="000000" w:themeColor="text1"/>
          <w:lang w:val="en-GB"/>
        </w:rPr>
        <w:t>128-227</w:t>
      </w:r>
      <w:proofErr w:type="gramStart"/>
      <w:r w:rsidR="00804CA5" w:rsidRPr="004F4BB2">
        <w:rPr>
          <w:color w:val="000000" w:themeColor="text1"/>
          <w:lang w:val="en-GB"/>
        </w:rPr>
        <w:t>)</w:t>
      </w:r>
      <w:r w:rsidR="00804CA5" w:rsidRPr="004F4BB2" w:rsidDel="00304593">
        <w:rPr>
          <w:color w:val="000000" w:themeColor="text1"/>
          <w:lang w:val="en-GB"/>
        </w:rPr>
        <w:t xml:space="preserve"> </w:t>
      </w:r>
      <w:r w:rsidR="000E09ED" w:rsidRPr="004F4BB2">
        <w:rPr>
          <w:color w:val="000000" w:themeColor="text1"/>
          <w:lang w:val="en-GB"/>
        </w:rPr>
        <w:t>;</w:t>
      </w:r>
      <w:proofErr w:type="gramEnd"/>
      <w:r w:rsidR="000E09ED" w:rsidRPr="004F4BB2">
        <w:rPr>
          <w:color w:val="000000" w:themeColor="text1"/>
          <w:lang w:val="en-GB"/>
        </w:rPr>
        <w:t xml:space="preserve"> p-value=</w:t>
      </w:r>
      <w:r w:rsidR="00804CA5" w:rsidRPr="004F4BB2">
        <w:rPr>
          <w:color w:val="000000" w:themeColor="text1"/>
          <w:lang w:val="en-US"/>
        </w:rPr>
        <w:t xml:space="preserve"> </w:t>
      </w:r>
      <w:r w:rsidR="00804CA5" w:rsidRPr="004F4BB2">
        <w:rPr>
          <w:color w:val="000000" w:themeColor="text1"/>
          <w:lang w:val="en-GB"/>
        </w:rPr>
        <w:t>0.0003</w:t>
      </w:r>
      <w:r w:rsidR="005A082A" w:rsidRPr="004F4BB2">
        <w:rPr>
          <w:color w:val="000000" w:themeColor="text1"/>
          <w:lang w:val="en-GB"/>
        </w:rPr>
        <w:t xml:space="preserve">). </w:t>
      </w:r>
      <w:r w:rsidR="003D3420" w:rsidRPr="004F4BB2">
        <w:rPr>
          <w:color w:val="000000" w:themeColor="text1"/>
          <w:lang w:val="en-GB"/>
        </w:rPr>
        <w:t xml:space="preserve">Per 100 treated patients, this means that </w:t>
      </w:r>
      <w:r w:rsidR="00D91239" w:rsidRPr="004F4BB2">
        <w:rPr>
          <w:color w:val="000000" w:themeColor="text1"/>
          <w:lang w:val="en-GB"/>
        </w:rPr>
        <w:t>9.</w:t>
      </w:r>
      <w:r w:rsidR="00804CA5" w:rsidRPr="004F4BB2">
        <w:rPr>
          <w:color w:val="000000" w:themeColor="text1"/>
          <w:lang w:val="en-GB"/>
        </w:rPr>
        <w:t>8</w:t>
      </w:r>
      <w:r w:rsidR="0028496F" w:rsidRPr="004F4BB2">
        <w:rPr>
          <w:color w:val="000000" w:themeColor="text1"/>
          <w:lang w:val="en-GB"/>
        </w:rPr>
        <w:t xml:space="preserve"> (95% CI </w:t>
      </w:r>
      <w:r w:rsidR="00804CA5" w:rsidRPr="004F4BB2">
        <w:rPr>
          <w:color w:val="000000" w:themeColor="text1"/>
          <w:lang w:val="en-GB"/>
        </w:rPr>
        <w:t>7.1-12.6</w:t>
      </w:r>
      <w:r w:rsidR="0028496F" w:rsidRPr="004F4BB2">
        <w:rPr>
          <w:color w:val="000000" w:themeColor="text1"/>
          <w:lang w:val="en-GB"/>
        </w:rPr>
        <w:t>)</w:t>
      </w:r>
      <w:r w:rsidR="003D3420" w:rsidRPr="004F4BB2">
        <w:rPr>
          <w:color w:val="000000" w:themeColor="text1"/>
          <w:lang w:val="en-GB"/>
        </w:rPr>
        <w:t xml:space="preserve"> fewer events were seen in this scenario. </w:t>
      </w:r>
      <w:r w:rsidR="002F447B" w:rsidRPr="004F4BB2">
        <w:rPr>
          <w:color w:val="000000" w:themeColor="text1"/>
          <w:lang w:val="en-GB"/>
        </w:rPr>
        <w:t>The biomarkers-based approach l</w:t>
      </w:r>
      <w:r w:rsidR="00D14F0E" w:rsidRPr="004F4BB2">
        <w:rPr>
          <w:color w:val="000000" w:themeColor="text1"/>
          <w:lang w:val="en-GB"/>
        </w:rPr>
        <w:t xml:space="preserve">ed </w:t>
      </w:r>
      <w:r w:rsidR="002F447B" w:rsidRPr="004F4BB2">
        <w:rPr>
          <w:color w:val="000000" w:themeColor="text1"/>
          <w:lang w:val="en-GB"/>
        </w:rPr>
        <w:t>to</w:t>
      </w:r>
      <w:r w:rsidR="00D14F0E" w:rsidRPr="004F4BB2">
        <w:rPr>
          <w:color w:val="000000" w:themeColor="text1"/>
          <w:lang w:val="en-GB"/>
        </w:rPr>
        <w:t xml:space="preserve"> </w:t>
      </w:r>
      <w:r w:rsidR="00304593" w:rsidRPr="004F4BB2">
        <w:rPr>
          <w:color w:val="000000" w:themeColor="text1"/>
          <w:lang w:val="en-GB"/>
        </w:rPr>
        <w:t>1</w:t>
      </w:r>
      <w:r w:rsidR="00A6278A" w:rsidRPr="004F4BB2">
        <w:rPr>
          <w:color w:val="000000" w:themeColor="text1"/>
          <w:lang w:val="en-GB"/>
        </w:rPr>
        <w:t>78</w:t>
      </w:r>
      <w:r w:rsidR="00304593" w:rsidRPr="004F4BB2">
        <w:rPr>
          <w:color w:val="000000" w:themeColor="text1"/>
          <w:lang w:val="en-GB"/>
        </w:rPr>
        <w:t xml:space="preserve"> </w:t>
      </w:r>
      <w:r w:rsidR="00D14F0E" w:rsidRPr="004F4BB2">
        <w:rPr>
          <w:color w:val="000000" w:themeColor="text1"/>
          <w:lang w:val="en-GB"/>
        </w:rPr>
        <w:t xml:space="preserve">fewer events </w:t>
      </w:r>
      <w:r w:rsidR="002F447B" w:rsidRPr="004F4BB2">
        <w:rPr>
          <w:color w:val="000000" w:themeColor="text1"/>
          <w:lang w:val="en-GB"/>
        </w:rPr>
        <w:t xml:space="preserve">(95% CI </w:t>
      </w:r>
      <w:r w:rsidR="00A6278A" w:rsidRPr="004F4BB2">
        <w:rPr>
          <w:color w:val="000000" w:themeColor="text1"/>
          <w:lang w:val="en-GB"/>
        </w:rPr>
        <w:t>130-</w:t>
      </w:r>
      <w:proofErr w:type="gramStart"/>
      <w:r w:rsidR="00A6278A" w:rsidRPr="004F4BB2">
        <w:rPr>
          <w:color w:val="000000" w:themeColor="text1"/>
          <w:lang w:val="en-GB"/>
        </w:rPr>
        <w:t>226</w:t>
      </w:r>
      <w:r w:rsidR="00A6278A" w:rsidRPr="004F4BB2" w:rsidDel="00304593">
        <w:rPr>
          <w:color w:val="000000" w:themeColor="text1"/>
          <w:lang w:val="en-GB"/>
        </w:rPr>
        <w:t xml:space="preserve"> </w:t>
      </w:r>
      <w:r w:rsidR="00313EA7" w:rsidRPr="004F4BB2">
        <w:rPr>
          <w:color w:val="000000" w:themeColor="text1"/>
          <w:lang w:val="en-GB"/>
        </w:rPr>
        <w:t>;</w:t>
      </w:r>
      <w:proofErr w:type="gramEnd"/>
      <w:r w:rsidR="00313EA7" w:rsidRPr="004F4BB2">
        <w:rPr>
          <w:color w:val="000000" w:themeColor="text1"/>
          <w:lang w:val="en-GB"/>
        </w:rPr>
        <w:t xml:space="preserve"> p-value=0.</w:t>
      </w:r>
      <w:r w:rsidR="00A6278A" w:rsidRPr="004F4BB2">
        <w:rPr>
          <w:color w:val="000000" w:themeColor="text1"/>
          <w:lang w:val="en-GB"/>
        </w:rPr>
        <w:t>0003</w:t>
      </w:r>
      <w:r w:rsidR="002F447B" w:rsidRPr="004F4BB2">
        <w:rPr>
          <w:color w:val="000000" w:themeColor="text1"/>
          <w:lang w:val="en-GB"/>
        </w:rPr>
        <w:t>)</w:t>
      </w:r>
      <w:r w:rsidR="00D14F0E" w:rsidRPr="004F4BB2">
        <w:rPr>
          <w:color w:val="000000" w:themeColor="text1"/>
          <w:lang w:val="en-GB"/>
        </w:rPr>
        <w:t xml:space="preserve"> compared to the </w:t>
      </w:r>
      <w:r w:rsidR="00A6278A" w:rsidRPr="004F4BB2">
        <w:rPr>
          <w:color w:val="000000" w:themeColor="text1"/>
          <w:lang w:val="en-GB"/>
        </w:rPr>
        <w:sym w:font="Symbol" w:char="F0A3"/>
      </w:r>
      <w:r w:rsidR="00D14F0E" w:rsidRPr="004F4BB2">
        <w:rPr>
          <w:color w:val="000000" w:themeColor="text1"/>
          <w:lang w:val="en-GB"/>
        </w:rPr>
        <w:t xml:space="preserve">50% recommended dose group. </w:t>
      </w:r>
      <w:r w:rsidR="00644834" w:rsidRPr="004F4BB2">
        <w:rPr>
          <w:color w:val="000000" w:themeColor="text1"/>
          <w:lang w:val="en-GB"/>
        </w:rPr>
        <w:t xml:space="preserve">Per 100 treated patients this resulted in </w:t>
      </w:r>
      <w:r w:rsidR="00A6278A" w:rsidRPr="004F4BB2">
        <w:rPr>
          <w:color w:val="000000" w:themeColor="text1"/>
          <w:lang w:val="en-GB"/>
        </w:rPr>
        <w:t>9.9</w:t>
      </w:r>
      <w:r w:rsidR="007579B3" w:rsidRPr="004F4BB2">
        <w:rPr>
          <w:color w:val="000000" w:themeColor="text1"/>
          <w:lang w:val="en-GB"/>
        </w:rPr>
        <w:t xml:space="preserve"> (95% CI </w:t>
      </w:r>
      <w:r w:rsidR="00A6278A" w:rsidRPr="004F4BB2">
        <w:rPr>
          <w:color w:val="000000" w:themeColor="text1"/>
          <w:lang w:val="en-GB"/>
        </w:rPr>
        <w:t>7.2</w:t>
      </w:r>
      <w:r w:rsidR="007579B3" w:rsidRPr="004F4BB2">
        <w:rPr>
          <w:color w:val="000000" w:themeColor="text1"/>
          <w:lang w:val="en-GB"/>
        </w:rPr>
        <w:t>-</w:t>
      </w:r>
      <w:r w:rsidR="00D91239" w:rsidRPr="004F4BB2">
        <w:rPr>
          <w:color w:val="000000" w:themeColor="text1"/>
          <w:lang w:val="en-GB"/>
        </w:rPr>
        <w:t>1</w:t>
      </w:r>
      <w:r w:rsidR="00A6278A" w:rsidRPr="004F4BB2">
        <w:rPr>
          <w:color w:val="000000" w:themeColor="text1"/>
          <w:lang w:val="en-GB"/>
        </w:rPr>
        <w:t>2.6</w:t>
      </w:r>
      <w:r w:rsidR="007579B3" w:rsidRPr="004F4BB2">
        <w:rPr>
          <w:color w:val="000000" w:themeColor="text1"/>
          <w:lang w:val="en-GB"/>
        </w:rPr>
        <w:t xml:space="preserve">) </w:t>
      </w:r>
      <w:r w:rsidR="00644834" w:rsidRPr="004F4BB2">
        <w:rPr>
          <w:color w:val="000000" w:themeColor="text1"/>
          <w:lang w:val="en-GB"/>
        </w:rPr>
        <w:t>fewer events.</w:t>
      </w:r>
    </w:p>
    <w:p w14:paraId="359F7E98" w14:textId="77777777" w:rsidR="001C748B" w:rsidRDefault="009A643D" w:rsidP="001C748B">
      <w:pPr>
        <w:spacing w:line="480" w:lineRule="auto"/>
        <w:ind w:firstLine="720"/>
        <w:rPr>
          <w:color w:val="000000" w:themeColor="text1"/>
          <w:lang w:val="en-GB"/>
        </w:rPr>
      </w:pPr>
      <w:r w:rsidRPr="004F4BB2">
        <w:rPr>
          <w:color w:val="000000" w:themeColor="text1"/>
          <w:lang w:val="en-GB"/>
        </w:rPr>
        <w:t xml:space="preserve">Kaplan-Meier curves </w:t>
      </w:r>
      <w:r w:rsidR="00DB4046" w:rsidRPr="004F4BB2">
        <w:rPr>
          <w:color w:val="000000" w:themeColor="text1"/>
          <w:lang w:val="en-GB"/>
        </w:rPr>
        <w:t>for beta-blocker</w:t>
      </w:r>
      <w:r w:rsidRPr="004F4BB2">
        <w:rPr>
          <w:color w:val="000000" w:themeColor="text1"/>
          <w:lang w:val="en-GB"/>
        </w:rPr>
        <w:t xml:space="preserve"> scenarios are presented in </w:t>
      </w:r>
      <w:r w:rsidRPr="001C748B">
        <w:rPr>
          <w:b/>
          <w:color w:val="000000" w:themeColor="text1"/>
          <w:lang w:val="en-GB"/>
        </w:rPr>
        <w:t xml:space="preserve">Figure </w:t>
      </w:r>
      <w:r w:rsidR="00DB4046" w:rsidRPr="001C748B">
        <w:rPr>
          <w:b/>
          <w:color w:val="000000" w:themeColor="text1"/>
          <w:lang w:val="en-GB"/>
        </w:rPr>
        <w:t>2</w:t>
      </w:r>
      <w:r w:rsidRPr="004F4BB2">
        <w:rPr>
          <w:color w:val="000000" w:themeColor="text1"/>
          <w:lang w:val="en-GB"/>
        </w:rPr>
        <w:t>.</w:t>
      </w:r>
      <w:r w:rsidR="00292EA5" w:rsidRPr="004F4BB2">
        <w:rPr>
          <w:color w:val="000000" w:themeColor="text1"/>
          <w:lang w:val="en-GB"/>
        </w:rPr>
        <w:t xml:space="preserve"> Mortality and/or heart failure hospitalization was highest i</w:t>
      </w:r>
      <w:r w:rsidR="00345A42" w:rsidRPr="004F4BB2">
        <w:rPr>
          <w:color w:val="000000" w:themeColor="text1"/>
          <w:lang w:val="en-GB"/>
        </w:rPr>
        <w:t>n the scenario where no patient</w:t>
      </w:r>
      <w:r w:rsidR="00292EA5" w:rsidRPr="004F4BB2">
        <w:rPr>
          <w:color w:val="000000" w:themeColor="text1"/>
          <w:lang w:val="en-GB"/>
        </w:rPr>
        <w:t xml:space="preserve"> was up</w:t>
      </w:r>
      <w:r w:rsidR="008E7941" w:rsidRPr="004F4BB2">
        <w:rPr>
          <w:color w:val="000000" w:themeColor="text1"/>
          <w:lang w:val="en-GB"/>
        </w:rPr>
        <w:t>-</w:t>
      </w:r>
      <w:r w:rsidR="00292EA5" w:rsidRPr="004F4BB2">
        <w:rPr>
          <w:color w:val="000000" w:themeColor="text1"/>
          <w:lang w:val="en-GB"/>
        </w:rPr>
        <w:t>t</w:t>
      </w:r>
      <w:r w:rsidR="008E7941" w:rsidRPr="004F4BB2">
        <w:rPr>
          <w:color w:val="000000" w:themeColor="text1"/>
          <w:lang w:val="en-GB"/>
        </w:rPr>
        <w:t>i</w:t>
      </w:r>
      <w:r w:rsidR="00292EA5" w:rsidRPr="004F4BB2">
        <w:rPr>
          <w:color w:val="000000" w:themeColor="text1"/>
          <w:lang w:val="en-GB"/>
        </w:rPr>
        <w:t>trated to at least 50% of the recommended dose.</w:t>
      </w:r>
      <w:r w:rsidRPr="004F4BB2">
        <w:rPr>
          <w:color w:val="000000" w:themeColor="text1"/>
          <w:lang w:val="en-GB"/>
        </w:rPr>
        <w:t xml:space="preserve"> Patients who were up</w:t>
      </w:r>
      <w:r w:rsidR="00A47E12" w:rsidRPr="004F4BB2">
        <w:rPr>
          <w:color w:val="000000" w:themeColor="text1"/>
          <w:lang w:val="en-GB"/>
        </w:rPr>
        <w:t>-</w:t>
      </w:r>
      <w:r w:rsidRPr="004F4BB2">
        <w:rPr>
          <w:color w:val="000000" w:themeColor="text1"/>
          <w:lang w:val="en-GB"/>
        </w:rPr>
        <w:t xml:space="preserve">titrated based on their biomarker profile had </w:t>
      </w:r>
      <w:r w:rsidR="00A819DC" w:rsidRPr="004F4BB2">
        <w:rPr>
          <w:color w:val="000000" w:themeColor="text1"/>
          <w:lang w:val="en-GB"/>
        </w:rPr>
        <w:t>the</w:t>
      </w:r>
      <w:r w:rsidRPr="004F4BB2">
        <w:rPr>
          <w:color w:val="000000" w:themeColor="text1"/>
          <w:lang w:val="en-GB"/>
        </w:rPr>
        <w:t xml:space="preserve"> lowe</w:t>
      </w:r>
      <w:r w:rsidR="00A819DC" w:rsidRPr="004F4BB2">
        <w:rPr>
          <w:color w:val="000000" w:themeColor="text1"/>
          <w:lang w:val="en-GB"/>
        </w:rPr>
        <w:t>st</w:t>
      </w:r>
      <w:r w:rsidRPr="004F4BB2">
        <w:rPr>
          <w:color w:val="000000" w:themeColor="text1"/>
          <w:lang w:val="en-GB"/>
        </w:rPr>
        <w:t xml:space="preserve"> risk of death and/or heart failure hospitalization</w:t>
      </w:r>
      <w:r w:rsidR="00A819DC" w:rsidRPr="004F4BB2">
        <w:rPr>
          <w:color w:val="000000" w:themeColor="text1"/>
          <w:lang w:val="en-GB"/>
        </w:rPr>
        <w:t>, which was slightly lower</w:t>
      </w:r>
      <w:r w:rsidRPr="004F4BB2">
        <w:rPr>
          <w:color w:val="000000" w:themeColor="text1"/>
          <w:lang w:val="en-GB"/>
        </w:rPr>
        <w:t xml:space="preserve"> compared to a scenario in which all patients were up</w:t>
      </w:r>
      <w:r w:rsidR="00A47E12" w:rsidRPr="004F4BB2">
        <w:rPr>
          <w:color w:val="000000" w:themeColor="text1"/>
          <w:lang w:val="en-GB"/>
        </w:rPr>
        <w:t>-</w:t>
      </w:r>
      <w:r w:rsidRPr="004F4BB2">
        <w:rPr>
          <w:color w:val="000000" w:themeColor="text1"/>
          <w:lang w:val="en-GB"/>
        </w:rPr>
        <w:t xml:space="preserve">titrated to </w:t>
      </w:r>
      <w:r w:rsidR="009D582A" w:rsidRPr="004F4BB2">
        <w:rPr>
          <w:color w:val="000000" w:themeColor="text1"/>
          <w:lang w:val="en-GB"/>
        </w:rPr>
        <w:t>&gt;50%</w:t>
      </w:r>
      <w:r w:rsidRPr="004F4BB2">
        <w:rPr>
          <w:color w:val="000000" w:themeColor="text1"/>
          <w:lang w:val="en-GB"/>
        </w:rPr>
        <w:t xml:space="preserve"> of the recommended dose of </w:t>
      </w:r>
      <w:r w:rsidR="00F22A4D" w:rsidRPr="004F4BB2">
        <w:rPr>
          <w:color w:val="000000" w:themeColor="text1"/>
          <w:lang w:val="en-GB"/>
        </w:rPr>
        <w:t>ACE-inhibitor/ARBs</w:t>
      </w:r>
      <w:r w:rsidR="001C748B">
        <w:rPr>
          <w:color w:val="000000" w:themeColor="text1"/>
          <w:lang w:val="en-GB"/>
        </w:rPr>
        <w:t>.</w:t>
      </w:r>
    </w:p>
    <w:p w14:paraId="1E1DC169" w14:textId="77777777" w:rsidR="001C748B" w:rsidRDefault="009A643D" w:rsidP="001C748B">
      <w:pPr>
        <w:spacing w:line="480" w:lineRule="auto"/>
        <w:ind w:firstLine="720"/>
        <w:rPr>
          <w:color w:val="000000" w:themeColor="text1"/>
          <w:lang w:val="en-GB"/>
        </w:rPr>
      </w:pPr>
      <w:r w:rsidRPr="004F4BB2">
        <w:rPr>
          <w:color w:val="000000" w:themeColor="text1"/>
          <w:lang w:val="en-US"/>
        </w:rPr>
        <w:t xml:space="preserve">Estimated event rate and averaged expected events at 24 months for each of the three hypothetical scenarios are </w:t>
      </w:r>
      <w:r w:rsidRPr="004F4BB2">
        <w:rPr>
          <w:color w:val="000000" w:themeColor="text1"/>
          <w:lang w:val="en-GB"/>
        </w:rPr>
        <w:t xml:space="preserve">presented in Table 2. If all patients were successfully up-titrated to recommended </w:t>
      </w:r>
      <w:r w:rsidR="00AF51B7" w:rsidRPr="004F4BB2">
        <w:rPr>
          <w:color w:val="000000" w:themeColor="text1"/>
          <w:lang w:val="en-GB"/>
        </w:rPr>
        <w:t xml:space="preserve">beta-blocker </w:t>
      </w:r>
      <w:r w:rsidRPr="004F4BB2">
        <w:rPr>
          <w:color w:val="000000" w:themeColor="text1"/>
          <w:lang w:val="en-GB"/>
        </w:rPr>
        <w:t xml:space="preserve">doses (Scenario </w:t>
      </w:r>
      <w:proofErr w:type="spellStart"/>
      <w:r w:rsidRPr="004F4BB2">
        <w:rPr>
          <w:color w:val="000000" w:themeColor="text1"/>
          <w:lang w:val="en-GB"/>
        </w:rPr>
        <w:t>A</w:t>
      </w:r>
      <w:proofErr w:type="spellEnd"/>
      <w:r w:rsidRPr="004F4BB2">
        <w:rPr>
          <w:color w:val="000000" w:themeColor="text1"/>
          <w:lang w:val="en-GB"/>
        </w:rPr>
        <w:t xml:space="preserve">), estimated death and/or hospital admission occurred in </w:t>
      </w:r>
      <w:r w:rsidR="009F7736" w:rsidRPr="004F4BB2">
        <w:rPr>
          <w:color w:val="000000" w:themeColor="text1"/>
          <w:lang w:val="en-GB"/>
        </w:rPr>
        <w:t xml:space="preserve">404 (95% CI 332-477) </w:t>
      </w:r>
      <w:r w:rsidRPr="004F4BB2">
        <w:rPr>
          <w:color w:val="000000" w:themeColor="text1"/>
          <w:lang w:val="en-GB"/>
        </w:rPr>
        <w:t xml:space="preserve">patients. If patients were up-titrated with </w:t>
      </w:r>
      <w:r w:rsidR="00013E97" w:rsidRPr="004F4BB2">
        <w:rPr>
          <w:color w:val="000000" w:themeColor="text1"/>
          <w:lang w:val="en-GB"/>
        </w:rPr>
        <w:t>beta-blockers</w:t>
      </w:r>
      <w:r w:rsidRPr="004F4BB2">
        <w:rPr>
          <w:color w:val="000000" w:themeColor="text1"/>
          <w:lang w:val="en-GB"/>
        </w:rPr>
        <w:t xml:space="preserve"> following a treatment-strategy based on the biomarker values (Scenario B), estimated death and/or hospital admission occurred in </w:t>
      </w:r>
      <w:r w:rsidR="00F705AA" w:rsidRPr="004F4BB2">
        <w:rPr>
          <w:color w:val="000000" w:themeColor="text1"/>
          <w:lang w:val="en-GB"/>
        </w:rPr>
        <w:t>3</w:t>
      </w:r>
      <w:r w:rsidR="00BD5577" w:rsidRPr="004F4BB2">
        <w:rPr>
          <w:color w:val="000000" w:themeColor="text1"/>
          <w:lang w:val="en-GB"/>
        </w:rPr>
        <w:t>4</w:t>
      </w:r>
      <w:r w:rsidR="0069351A" w:rsidRPr="004F4BB2">
        <w:rPr>
          <w:color w:val="000000" w:themeColor="text1"/>
          <w:lang w:val="en-GB"/>
        </w:rPr>
        <w:t>5</w:t>
      </w:r>
      <w:r w:rsidR="00F705AA" w:rsidRPr="004F4BB2">
        <w:rPr>
          <w:color w:val="000000" w:themeColor="text1"/>
          <w:lang w:val="en-GB"/>
        </w:rPr>
        <w:t xml:space="preserve"> (95% CI </w:t>
      </w:r>
      <w:r w:rsidR="00BD5577" w:rsidRPr="004F4BB2">
        <w:rPr>
          <w:color w:val="000000" w:themeColor="text1"/>
          <w:lang w:val="en-GB"/>
        </w:rPr>
        <w:t>300-389</w:t>
      </w:r>
      <w:r w:rsidR="00F705AA" w:rsidRPr="004F4BB2">
        <w:rPr>
          <w:color w:val="000000" w:themeColor="text1"/>
          <w:lang w:val="en-GB"/>
        </w:rPr>
        <w:t>)</w:t>
      </w:r>
      <w:r w:rsidR="00F705AA" w:rsidRPr="004F4BB2" w:rsidDel="00F705AA">
        <w:rPr>
          <w:color w:val="000000" w:themeColor="text1"/>
          <w:lang w:val="en-GB"/>
        </w:rPr>
        <w:t xml:space="preserve"> </w:t>
      </w:r>
      <w:r w:rsidRPr="004F4BB2">
        <w:rPr>
          <w:color w:val="000000" w:themeColor="text1"/>
          <w:lang w:val="en-GB"/>
        </w:rPr>
        <w:t xml:space="preserve">patients. If no patient was treated with recommended doses </w:t>
      </w:r>
      <w:r w:rsidR="00227638" w:rsidRPr="004F4BB2">
        <w:rPr>
          <w:color w:val="000000" w:themeColor="text1"/>
          <w:lang w:val="en-GB"/>
        </w:rPr>
        <w:t>beta-blockers</w:t>
      </w:r>
      <w:r w:rsidRPr="004F4BB2">
        <w:rPr>
          <w:color w:val="000000" w:themeColor="text1"/>
          <w:lang w:val="en-GB"/>
        </w:rPr>
        <w:t xml:space="preserve"> (Scenario C), estimated death and/or hospital admission occurred in </w:t>
      </w:r>
      <w:r w:rsidR="00BD5577" w:rsidRPr="004F4BB2">
        <w:rPr>
          <w:color w:val="000000" w:themeColor="text1"/>
          <w:lang w:val="en-GB"/>
        </w:rPr>
        <w:t xml:space="preserve">428 </w:t>
      </w:r>
      <w:r w:rsidR="00F705AA" w:rsidRPr="004F4BB2">
        <w:rPr>
          <w:color w:val="000000" w:themeColor="text1"/>
          <w:lang w:val="en-GB"/>
        </w:rPr>
        <w:t xml:space="preserve">(95% CI </w:t>
      </w:r>
      <w:r w:rsidR="00BD5577" w:rsidRPr="004F4BB2">
        <w:rPr>
          <w:color w:val="000000" w:themeColor="text1"/>
          <w:lang w:val="en-GB"/>
        </w:rPr>
        <w:t>391-466</w:t>
      </w:r>
      <w:r w:rsidR="00F705AA" w:rsidRPr="004F4BB2">
        <w:rPr>
          <w:color w:val="000000" w:themeColor="text1"/>
          <w:lang w:val="en-GB"/>
        </w:rPr>
        <w:t>)</w:t>
      </w:r>
      <w:r w:rsidR="00F705AA" w:rsidRPr="004F4BB2" w:rsidDel="00F705AA">
        <w:rPr>
          <w:color w:val="000000" w:themeColor="text1"/>
          <w:lang w:val="en-GB"/>
        </w:rPr>
        <w:t xml:space="preserve"> </w:t>
      </w:r>
      <w:r w:rsidRPr="004F4BB2">
        <w:rPr>
          <w:color w:val="000000" w:themeColor="text1"/>
          <w:lang w:val="en-GB"/>
        </w:rPr>
        <w:t xml:space="preserve">patients. Up-titrating </w:t>
      </w:r>
      <w:r w:rsidR="00C2369A" w:rsidRPr="004F4BB2">
        <w:rPr>
          <w:color w:val="000000" w:themeColor="text1"/>
          <w:lang w:val="en-GB"/>
        </w:rPr>
        <w:t>beta-blockers</w:t>
      </w:r>
      <w:r w:rsidRPr="004F4BB2">
        <w:rPr>
          <w:color w:val="000000" w:themeColor="text1"/>
          <w:lang w:val="en-GB"/>
        </w:rPr>
        <w:t xml:space="preserve"> to </w:t>
      </w:r>
      <w:r w:rsidR="009D582A" w:rsidRPr="004F4BB2">
        <w:rPr>
          <w:color w:val="000000" w:themeColor="text1"/>
          <w:lang w:val="en-GB"/>
        </w:rPr>
        <w:t>&gt;50%</w:t>
      </w:r>
      <w:r w:rsidRPr="004F4BB2">
        <w:rPr>
          <w:color w:val="000000" w:themeColor="text1"/>
          <w:lang w:val="en-GB"/>
        </w:rPr>
        <w:t xml:space="preserve"> of recommended </w:t>
      </w:r>
      <w:r w:rsidRPr="004F4BB2">
        <w:rPr>
          <w:color w:val="000000" w:themeColor="text1"/>
          <w:lang w:val="en-GB"/>
        </w:rPr>
        <w:lastRenderedPageBreak/>
        <w:t xml:space="preserve">dose compared to </w:t>
      </w:r>
      <w:r w:rsidR="00BD5577" w:rsidRPr="004F4BB2">
        <w:rPr>
          <w:color w:val="000000" w:themeColor="text1"/>
          <w:lang w:val="en-GB"/>
        </w:rPr>
        <w:t>≤50</w:t>
      </w:r>
      <w:r w:rsidRPr="004F4BB2">
        <w:rPr>
          <w:color w:val="000000" w:themeColor="text1"/>
          <w:lang w:val="en-GB"/>
        </w:rPr>
        <w:t xml:space="preserve">% resulted in </w:t>
      </w:r>
      <w:r w:rsidR="00386FC4" w:rsidRPr="004F4BB2">
        <w:rPr>
          <w:color w:val="000000" w:themeColor="text1"/>
          <w:lang w:val="en-GB"/>
        </w:rPr>
        <w:t>24 less</w:t>
      </w:r>
      <w:r w:rsidRPr="004F4BB2">
        <w:rPr>
          <w:color w:val="000000" w:themeColor="text1"/>
          <w:lang w:val="en-GB"/>
        </w:rPr>
        <w:t xml:space="preserve"> events </w:t>
      </w:r>
      <w:r w:rsidR="00F705AA" w:rsidRPr="004F4BB2">
        <w:rPr>
          <w:color w:val="000000" w:themeColor="text1"/>
          <w:lang w:val="en-GB"/>
        </w:rPr>
        <w:t xml:space="preserve">(95% CI </w:t>
      </w:r>
      <w:r w:rsidR="00386FC4" w:rsidRPr="004F4BB2">
        <w:rPr>
          <w:color w:val="000000" w:themeColor="text1"/>
          <w:lang w:val="en-GB"/>
        </w:rPr>
        <w:t>-54-103</w:t>
      </w:r>
      <w:r w:rsidR="00F705AA" w:rsidRPr="004F4BB2">
        <w:rPr>
          <w:color w:val="000000" w:themeColor="text1"/>
          <w:lang w:val="en-GB"/>
        </w:rPr>
        <w:t>)</w:t>
      </w:r>
      <w:r w:rsidRPr="004F4BB2">
        <w:rPr>
          <w:color w:val="000000" w:themeColor="text1"/>
          <w:lang w:val="en-GB"/>
        </w:rPr>
        <w:t xml:space="preserve">; </w:t>
      </w:r>
      <w:r w:rsidR="00C2369A" w:rsidRPr="004F4BB2">
        <w:rPr>
          <w:color w:val="000000" w:themeColor="text1"/>
          <w:lang w:val="en-GB"/>
        </w:rPr>
        <w:t>p-value=0.</w:t>
      </w:r>
      <w:r w:rsidR="00386FC4" w:rsidRPr="004F4BB2">
        <w:rPr>
          <w:color w:val="000000" w:themeColor="text1"/>
          <w:lang w:val="en-GB"/>
        </w:rPr>
        <w:t>50</w:t>
      </w:r>
      <w:r w:rsidRPr="004F4BB2">
        <w:rPr>
          <w:color w:val="000000" w:themeColor="text1"/>
          <w:lang w:val="en-GB"/>
        </w:rPr>
        <w:t xml:space="preserve">). The biomarkers-based approach led to </w:t>
      </w:r>
      <w:r w:rsidR="00386FC4" w:rsidRPr="004F4BB2">
        <w:rPr>
          <w:color w:val="000000" w:themeColor="text1"/>
          <w:lang w:val="en-GB"/>
        </w:rPr>
        <w:t>84</w:t>
      </w:r>
      <w:r w:rsidR="00656EAD" w:rsidRPr="004F4BB2">
        <w:rPr>
          <w:color w:val="000000" w:themeColor="text1"/>
          <w:lang w:val="en-GB"/>
        </w:rPr>
        <w:t xml:space="preserve"> </w:t>
      </w:r>
      <w:r w:rsidRPr="004F4BB2">
        <w:rPr>
          <w:color w:val="000000" w:themeColor="text1"/>
          <w:lang w:val="en-GB"/>
        </w:rPr>
        <w:t xml:space="preserve">fewer events (95% CI </w:t>
      </w:r>
      <w:r w:rsidR="00386FC4" w:rsidRPr="004F4BB2">
        <w:rPr>
          <w:color w:val="000000" w:themeColor="text1"/>
          <w:lang w:val="en-GB"/>
        </w:rPr>
        <w:t>40-128</w:t>
      </w:r>
      <w:r w:rsidR="00795BEA" w:rsidRPr="004F4BB2">
        <w:rPr>
          <w:color w:val="000000" w:themeColor="text1"/>
          <w:lang w:val="en-GB"/>
        </w:rPr>
        <w:t>; p-value=0.</w:t>
      </w:r>
      <w:r w:rsidR="00F705AA" w:rsidRPr="004F4BB2">
        <w:rPr>
          <w:color w:val="000000" w:themeColor="text1"/>
          <w:lang w:val="en-GB"/>
        </w:rPr>
        <w:t>01</w:t>
      </w:r>
      <w:r w:rsidRPr="004F4BB2">
        <w:rPr>
          <w:color w:val="000000" w:themeColor="text1"/>
          <w:lang w:val="en-GB"/>
        </w:rPr>
        <w:t xml:space="preserve">) compared to the </w:t>
      </w:r>
      <w:r w:rsidR="00386FC4" w:rsidRPr="004F4BB2">
        <w:rPr>
          <w:color w:val="000000" w:themeColor="text1"/>
          <w:lang w:val="en-GB"/>
        </w:rPr>
        <w:t>≤50</w:t>
      </w:r>
      <w:r w:rsidRPr="004F4BB2">
        <w:rPr>
          <w:color w:val="000000" w:themeColor="text1"/>
          <w:lang w:val="en-GB"/>
        </w:rPr>
        <w:t xml:space="preserve">% recommended dose group. </w:t>
      </w:r>
      <w:r w:rsidR="00C9279F" w:rsidRPr="004F4BB2">
        <w:rPr>
          <w:color w:val="000000" w:themeColor="text1"/>
          <w:lang w:val="en-GB"/>
        </w:rPr>
        <w:t xml:space="preserve">This means that </w:t>
      </w:r>
      <w:r w:rsidR="005527DA" w:rsidRPr="004F4BB2">
        <w:rPr>
          <w:color w:val="000000" w:themeColor="text1"/>
          <w:lang w:val="en-GB"/>
        </w:rPr>
        <w:t xml:space="preserve">1.3 (95% CI -3-5.7) and 4.7 (95% </w:t>
      </w:r>
      <w:proofErr w:type="gramStart"/>
      <w:r w:rsidR="005527DA" w:rsidRPr="004F4BB2">
        <w:rPr>
          <w:color w:val="000000" w:themeColor="text1"/>
          <w:lang w:val="en-GB"/>
        </w:rPr>
        <w:t>CI  2.2</w:t>
      </w:r>
      <w:proofErr w:type="gramEnd"/>
      <w:r w:rsidR="005527DA" w:rsidRPr="004F4BB2">
        <w:rPr>
          <w:color w:val="000000" w:themeColor="text1"/>
          <w:lang w:val="en-GB"/>
        </w:rPr>
        <w:t xml:space="preserve">-7.1) </w:t>
      </w:r>
      <w:r w:rsidR="00C9279F" w:rsidRPr="004F4BB2">
        <w:rPr>
          <w:color w:val="000000" w:themeColor="text1"/>
          <w:lang w:val="en-GB"/>
        </w:rPr>
        <w:t>events could be prevented per 100 treated patients</w:t>
      </w:r>
      <w:r w:rsidR="001315CE" w:rsidRPr="004F4BB2">
        <w:rPr>
          <w:color w:val="000000" w:themeColor="text1"/>
          <w:lang w:val="en-GB"/>
        </w:rPr>
        <w:t xml:space="preserve"> in </w:t>
      </w:r>
      <w:r w:rsidR="005527DA" w:rsidRPr="004F4BB2">
        <w:rPr>
          <w:color w:val="000000" w:themeColor="text1"/>
          <w:lang w:val="en-GB"/>
        </w:rPr>
        <w:t>both</w:t>
      </w:r>
      <w:r w:rsidR="00213638" w:rsidRPr="004F4BB2">
        <w:rPr>
          <w:color w:val="000000" w:themeColor="text1"/>
          <w:lang w:val="en-GB"/>
        </w:rPr>
        <w:t xml:space="preserve"> </w:t>
      </w:r>
      <w:r w:rsidR="001315CE" w:rsidRPr="004F4BB2">
        <w:rPr>
          <w:color w:val="000000" w:themeColor="text1"/>
          <w:lang w:val="en-GB"/>
        </w:rPr>
        <w:t>scenario</w:t>
      </w:r>
      <w:r w:rsidR="005527DA" w:rsidRPr="004F4BB2">
        <w:rPr>
          <w:color w:val="000000" w:themeColor="text1"/>
          <w:lang w:val="en-GB"/>
        </w:rPr>
        <w:t>s</w:t>
      </w:r>
      <w:r w:rsidR="00C9279F" w:rsidRPr="004F4BB2">
        <w:rPr>
          <w:color w:val="000000" w:themeColor="text1"/>
          <w:lang w:val="en-GB"/>
        </w:rPr>
        <w:t>.</w:t>
      </w:r>
    </w:p>
    <w:p w14:paraId="56B5A57F" w14:textId="00B1E5D4" w:rsidR="001C748B" w:rsidRDefault="00A54302" w:rsidP="001C748B">
      <w:pPr>
        <w:spacing w:line="480" w:lineRule="auto"/>
        <w:ind w:firstLine="720"/>
        <w:rPr>
          <w:rFonts w:eastAsia="Times New Roman"/>
          <w:color w:val="000000" w:themeColor="text1"/>
          <w:shd w:val="clear" w:color="auto" w:fill="FFFFFF"/>
          <w:lang w:val="en-US"/>
        </w:rPr>
      </w:pPr>
      <w:r w:rsidRPr="004F4BB2">
        <w:rPr>
          <w:color w:val="000000" w:themeColor="text1"/>
          <w:lang w:val="en-GB"/>
        </w:rPr>
        <w:t xml:space="preserve">When considering up-titrating to both 50% of recommended ACE-inhibitor/ARB and beta-blocker dose we estimated that </w:t>
      </w:r>
      <w:r w:rsidRPr="004F4BB2">
        <w:rPr>
          <w:rFonts w:eastAsia="Times New Roman"/>
          <w:color w:val="000000" w:themeColor="text1"/>
          <w:shd w:val="clear" w:color="auto" w:fill="FFFFFF"/>
          <w:lang w:val="en-US"/>
        </w:rPr>
        <w:t xml:space="preserve">222 (95% CI 147-298) event could be prevented when all patients would be up-titrated to at least 50% recommended treatment dose for both ACE-inhibitors/ARBs and beta-blockers. Another 14 events (95% CI -52-80) could be </w:t>
      </w:r>
      <w:r w:rsidR="005069E5" w:rsidRPr="004F4BB2">
        <w:rPr>
          <w:rFonts w:eastAsia="Times New Roman"/>
          <w:color w:val="000000" w:themeColor="text1"/>
          <w:shd w:val="clear" w:color="auto" w:fill="FFFFFF"/>
          <w:lang w:val="en-US"/>
        </w:rPr>
        <w:t>prevented</w:t>
      </w:r>
      <w:r w:rsidRPr="004F4BB2">
        <w:rPr>
          <w:rFonts w:eastAsia="Times New Roman"/>
          <w:color w:val="000000" w:themeColor="text1"/>
          <w:shd w:val="clear" w:color="auto" w:fill="FFFFFF"/>
          <w:lang w:val="en-US"/>
        </w:rPr>
        <w:t xml:space="preserve"> when the </w:t>
      </w:r>
      <w:r w:rsidR="005069E5" w:rsidRPr="004F4BB2">
        <w:rPr>
          <w:rFonts w:eastAsia="Times New Roman"/>
          <w:color w:val="000000" w:themeColor="text1"/>
          <w:shd w:val="clear" w:color="auto" w:fill="FFFFFF"/>
          <w:lang w:val="en-US"/>
        </w:rPr>
        <w:t>decision</w:t>
      </w:r>
      <w:r w:rsidRPr="004F4BB2">
        <w:rPr>
          <w:rFonts w:eastAsia="Times New Roman"/>
          <w:color w:val="000000" w:themeColor="text1"/>
          <w:shd w:val="clear" w:color="auto" w:fill="FFFFFF"/>
          <w:lang w:val="en-US"/>
        </w:rPr>
        <w:t xml:space="preserve"> to up-titrated was based on a biomarker-based model (</w:t>
      </w:r>
      <w:r w:rsidR="001C748B">
        <w:rPr>
          <w:rFonts w:eastAsia="Times New Roman"/>
          <w:color w:val="000000" w:themeColor="text1"/>
          <w:shd w:val="clear" w:color="auto" w:fill="FFFFFF"/>
          <w:lang w:val="en-US"/>
        </w:rPr>
        <w:t>Online Appendix</w:t>
      </w:r>
      <w:r w:rsidRPr="004F4BB2">
        <w:rPr>
          <w:rFonts w:eastAsia="Times New Roman"/>
          <w:color w:val="000000" w:themeColor="text1"/>
          <w:shd w:val="clear" w:color="auto" w:fill="FFFFFF"/>
          <w:lang w:val="en-US"/>
        </w:rPr>
        <w:t>)</w:t>
      </w:r>
      <w:r w:rsidR="001C748B">
        <w:rPr>
          <w:rFonts w:eastAsia="Times New Roman"/>
          <w:color w:val="000000" w:themeColor="text1"/>
          <w:shd w:val="clear" w:color="auto" w:fill="FFFFFF"/>
          <w:lang w:val="en-US"/>
        </w:rPr>
        <w:t>.</w:t>
      </w:r>
    </w:p>
    <w:p w14:paraId="43E23BE9" w14:textId="77777777" w:rsidR="001C748B" w:rsidRDefault="00A54302" w:rsidP="001C748B">
      <w:pPr>
        <w:spacing w:line="480" w:lineRule="auto"/>
        <w:ind w:firstLine="720"/>
        <w:rPr>
          <w:rFonts w:eastAsia="Times New Roman"/>
          <w:color w:val="000000" w:themeColor="text1"/>
          <w:shd w:val="clear" w:color="auto" w:fill="FFFFFF"/>
          <w:lang w:val="en-US"/>
        </w:rPr>
      </w:pPr>
      <w:r w:rsidRPr="004F4BB2">
        <w:rPr>
          <w:rFonts w:eastAsia="Times New Roman"/>
          <w:color w:val="000000" w:themeColor="text1"/>
          <w:shd w:val="clear" w:color="auto" w:fill="FFFFFF"/>
          <w:lang w:val="en-US"/>
        </w:rPr>
        <w:t xml:space="preserve">For MRA treatment we estimated that not up-titrating patients to ≥50% of recommended MRA dose would result in </w:t>
      </w:r>
      <w:r w:rsidR="00B64C2A">
        <w:rPr>
          <w:rFonts w:eastAsia="Times New Roman"/>
          <w:color w:val="000000" w:themeColor="text1"/>
          <w:shd w:val="clear" w:color="auto" w:fill="FFFFFF"/>
          <w:lang w:val="en-US"/>
        </w:rPr>
        <w:t>437</w:t>
      </w:r>
      <w:r w:rsidRPr="004F4BB2">
        <w:rPr>
          <w:rFonts w:eastAsia="Times New Roman"/>
          <w:color w:val="000000" w:themeColor="text1"/>
          <w:shd w:val="clear" w:color="auto" w:fill="FFFFFF"/>
          <w:lang w:val="en-US"/>
        </w:rPr>
        <w:t xml:space="preserve"> (95% CI </w:t>
      </w:r>
      <w:r w:rsidR="00B64C2A">
        <w:rPr>
          <w:rFonts w:eastAsia="Times New Roman"/>
          <w:color w:val="000000" w:themeColor="text1"/>
          <w:shd w:val="clear" w:color="auto" w:fill="FFFFFF"/>
          <w:lang w:val="en-US"/>
        </w:rPr>
        <w:t>405-469</w:t>
      </w:r>
      <w:r w:rsidRPr="004F4BB2">
        <w:rPr>
          <w:rFonts w:eastAsia="Times New Roman"/>
          <w:color w:val="000000" w:themeColor="text1"/>
          <w:shd w:val="clear" w:color="auto" w:fill="FFFFFF"/>
          <w:lang w:val="en-US"/>
        </w:rPr>
        <w:t xml:space="preserve">) events. When we would up-titrate all </w:t>
      </w:r>
      <w:proofErr w:type="gramStart"/>
      <w:r w:rsidRPr="004F4BB2">
        <w:rPr>
          <w:rFonts w:eastAsia="Times New Roman"/>
          <w:color w:val="000000" w:themeColor="text1"/>
          <w:shd w:val="clear" w:color="auto" w:fill="FFFFFF"/>
          <w:lang w:val="en-US"/>
        </w:rPr>
        <w:t>patients</w:t>
      </w:r>
      <w:proofErr w:type="gramEnd"/>
      <w:r w:rsidRPr="004F4BB2">
        <w:rPr>
          <w:rFonts w:eastAsia="Times New Roman"/>
          <w:color w:val="000000" w:themeColor="text1"/>
          <w:shd w:val="clear" w:color="auto" w:fill="FFFFFF"/>
          <w:lang w:val="en-US"/>
        </w:rPr>
        <w:t xml:space="preserve"> this would be reduced with </w:t>
      </w:r>
      <w:r w:rsidR="00B64C2A">
        <w:rPr>
          <w:rFonts w:eastAsia="Times New Roman"/>
          <w:color w:val="000000" w:themeColor="text1"/>
          <w:shd w:val="clear" w:color="auto" w:fill="FFFFFF"/>
          <w:lang w:val="en-US"/>
        </w:rPr>
        <w:t>222</w:t>
      </w:r>
      <w:r w:rsidRPr="004F4BB2">
        <w:rPr>
          <w:rFonts w:eastAsia="Times New Roman"/>
          <w:color w:val="000000" w:themeColor="text1"/>
          <w:shd w:val="clear" w:color="auto" w:fill="FFFFFF"/>
          <w:lang w:val="en-US"/>
        </w:rPr>
        <w:t xml:space="preserve"> (95% CI </w:t>
      </w:r>
      <w:r w:rsidR="00B64C2A">
        <w:rPr>
          <w:rFonts w:eastAsia="Times New Roman"/>
          <w:color w:val="000000" w:themeColor="text1"/>
          <w:shd w:val="clear" w:color="auto" w:fill="FFFFFF"/>
          <w:lang w:val="en-US"/>
        </w:rPr>
        <w:t>147-298</w:t>
      </w:r>
      <w:r w:rsidRPr="004F4BB2">
        <w:rPr>
          <w:rFonts w:eastAsia="Times New Roman"/>
          <w:color w:val="000000" w:themeColor="text1"/>
          <w:shd w:val="clear" w:color="auto" w:fill="FFFFFF"/>
          <w:lang w:val="en-US"/>
        </w:rPr>
        <w:t>; p=0.000</w:t>
      </w:r>
      <w:r w:rsidR="00B64C2A">
        <w:rPr>
          <w:rFonts w:eastAsia="Times New Roman"/>
          <w:color w:val="000000" w:themeColor="text1"/>
          <w:shd w:val="clear" w:color="auto" w:fill="FFFFFF"/>
          <w:lang w:val="en-US"/>
        </w:rPr>
        <w:t>1</w:t>
      </w:r>
      <w:r w:rsidRPr="004F4BB2">
        <w:rPr>
          <w:rFonts w:eastAsia="Times New Roman"/>
          <w:color w:val="000000" w:themeColor="text1"/>
          <w:shd w:val="clear" w:color="auto" w:fill="FFFFFF"/>
          <w:lang w:val="en-US"/>
        </w:rPr>
        <w:t xml:space="preserve">) events to </w:t>
      </w:r>
      <w:r w:rsidR="00B64C2A">
        <w:rPr>
          <w:rFonts w:eastAsia="Times New Roman"/>
          <w:color w:val="000000" w:themeColor="text1"/>
          <w:shd w:val="clear" w:color="auto" w:fill="FFFFFF"/>
          <w:lang w:val="en-US"/>
        </w:rPr>
        <w:t>215</w:t>
      </w:r>
      <w:r w:rsidRPr="004F4BB2">
        <w:rPr>
          <w:rFonts w:eastAsia="Times New Roman"/>
          <w:color w:val="000000" w:themeColor="text1"/>
          <w:shd w:val="clear" w:color="auto" w:fill="FFFFFF"/>
          <w:lang w:val="en-US"/>
        </w:rPr>
        <w:t xml:space="preserve"> (95% CI </w:t>
      </w:r>
      <w:r w:rsidR="00B64C2A">
        <w:rPr>
          <w:rFonts w:eastAsia="Times New Roman"/>
          <w:color w:val="000000" w:themeColor="text1"/>
          <w:shd w:val="clear" w:color="auto" w:fill="FFFFFF"/>
          <w:lang w:val="en-US"/>
        </w:rPr>
        <w:t>150-280</w:t>
      </w:r>
      <w:r w:rsidRPr="004F4BB2">
        <w:rPr>
          <w:rFonts w:eastAsia="Times New Roman"/>
          <w:color w:val="000000" w:themeColor="text1"/>
          <w:shd w:val="clear" w:color="auto" w:fill="FFFFFF"/>
          <w:lang w:val="en-US"/>
        </w:rPr>
        <w:t>). Our biomarker-based model result</w:t>
      </w:r>
      <w:r w:rsidR="00D34777">
        <w:rPr>
          <w:rFonts w:eastAsia="Times New Roman"/>
          <w:color w:val="000000" w:themeColor="text1"/>
          <w:shd w:val="clear" w:color="auto" w:fill="FFFFFF"/>
          <w:lang w:val="en-US"/>
        </w:rPr>
        <w:t>ed</w:t>
      </w:r>
      <w:r w:rsidRPr="004F4BB2">
        <w:rPr>
          <w:rFonts w:eastAsia="Times New Roman"/>
          <w:color w:val="000000" w:themeColor="text1"/>
          <w:shd w:val="clear" w:color="auto" w:fill="FFFFFF"/>
          <w:lang w:val="en-US"/>
        </w:rPr>
        <w:t xml:space="preserve"> in </w:t>
      </w:r>
      <w:r w:rsidR="00B64C2A">
        <w:rPr>
          <w:rFonts w:eastAsia="Times New Roman"/>
          <w:color w:val="000000" w:themeColor="text1"/>
          <w:shd w:val="clear" w:color="auto" w:fill="FFFFFF"/>
          <w:lang w:val="en-US"/>
        </w:rPr>
        <w:t>236</w:t>
      </w:r>
      <w:r w:rsidRPr="004F4BB2">
        <w:rPr>
          <w:rFonts w:eastAsia="Times New Roman"/>
          <w:color w:val="000000" w:themeColor="text1"/>
          <w:shd w:val="clear" w:color="auto" w:fill="FFFFFF"/>
          <w:lang w:val="en-US"/>
        </w:rPr>
        <w:t xml:space="preserve"> (95% CI </w:t>
      </w:r>
      <w:r w:rsidR="00B64C2A">
        <w:rPr>
          <w:rFonts w:eastAsia="Times New Roman"/>
          <w:color w:val="000000" w:themeColor="text1"/>
          <w:shd w:val="clear" w:color="auto" w:fill="FFFFFF"/>
          <w:lang w:val="en-US"/>
        </w:rPr>
        <w:t>170-303</w:t>
      </w:r>
      <w:r w:rsidRPr="004F4BB2">
        <w:rPr>
          <w:rFonts w:eastAsia="Times New Roman"/>
          <w:color w:val="000000" w:themeColor="text1"/>
          <w:shd w:val="clear" w:color="auto" w:fill="FFFFFF"/>
          <w:lang w:val="en-US"/>
        </w:rPr>
        <w:t>;</w:t>
      </w:r>
      <w:r w:rsidRPr="004F4BB2">
        <w:rPr>
          <w:color w:val="000000" w:themeColor="text1"/>
          <w:lang w:val="en-US"/>
        </w:rPr>
        <w:t xml:space="preserve"> </w:t>
      </w:r>
      <w:r w:rsidRPr="004F4BB2">
        <w:rPr>
          <w:rFonts w:eastAsia="Times New Roman"/>
          <w:color w:val="000000" w:themeColor="text1"/>
          <w:shd w:val="clear" w:color="auto" w:fill="FFFFFF"/>
          <w:lang w:val="en-US"/>
        </w:rPr>
        <w:t>p=0.000</w:t>
      </w:r>
      <w:r w:rsidR="00B64C2A">
        <w:rPr>
          <w:rFonts w:eastAsia="Times New Roman"/>
          <w:color w:val="000000" w:themeColor="text1"/>
          <w:shd w:val="clear" w:color="auto" w:fill="FFFFFF"/>
          <w:lang w:val="en-US"/>
        </w:rPr>
        <w:t>4</w:t>
      </w:r>
      <w:r w:rsidRPr="004F4BB2">
        <w:rPr>
          <w:rFonts w:eastAsia="Times New Roman"/>
          <w:color w:val="000000" w:themeColor="text1"/>
          <w:shd w:val="clear" w:color="auto" w:fill="FFFFFF"/>
          <w:lang w:val="en-US"/>
        </w:rPr>
        <w:t>) less events than when no patient would be up</w:t>
      </w:r>
      <w:r w:rsidR="004205CF" w:rsidRPr="004F4BB2">
        <w:rPr>
          <w:rFonts w:eastAsia="Times New Roman"/>
          <w:color w:val="000000" w:themeColor="text1"/>
          <w:shd w:val="clear" w:color="auto" w:fill="FFFFFF"/>
          <w:lang w:val="en-US"/>
        </w:rPr>
        <w:t>-</w:t>
      </w:r>
      <w:r w:rsidRPr="004F4BB2">
        <w:rPr>
          <w:rFonts w:eastAsia="Times New Roman"/>
          <w:color w:val="000000" w:themeColor="text1"/>
          <w:shd w:val="clear" w:color="auto" w:fill="FFFFFF"/>
          <w:lang w:val="en-US"/>
        </w:rPr>
        <w:t>titrated to ≥50% of recommended MRA dose.</w:t>
      </w:r>
    </w:p>
    <w:p w14:paraId="50AD7994" w14:textId="10FE5A2C" w:rsidR="001C748B" w:rsidRDefault="001C748B" w:rsidP="001C748B">
      <w:pPr>
        <w:spacing w:line="480" w:lineRule="auto"/>
        <w:rPr>
          <w:b/>
          <w:color w:val="000000" w:themeColor="text1"/>
          <w:lang w:val="en-GB"/>
        </w:rPr>
      </w:pPr>
      <w:r w:rsidRPr="004F4BB2">
        <w:rPr>
          <w:b/>
          <w:color w:val="000000" w:themeColor="text1"/>
          <w:lang w:val="en-GB"/>
        </w:rPr>
        <w:t>Discussion</w:t>
      </w:r>
    </w:p>
    <w:p w14:paraId="27540181" w14:textId="77777777" w:rsidR="001C748B" w:rsidRDefault="00DB59F8" w:rsidP="001C748B">
      <w:pPr>
        <w:spacing w:line="480" w:lineRule="auto"/>
        <w:ind w:firstLine="720"/>
        <w:rPr>
          <w:color w:val="000000" w:themeColor="text1"/>
          <w:lang w:val="en-GB"/>
        </w:rPr>
      </w:pPr>
      <w:r w:rsidRPr="004F4BB2">
        <w:rPr>
          <w:color w:val="000000" w:themeColor="text1"/>
          <w:lang w:val="en-GB"/>
        </w:rPr>
        <w:t>We</w:t>
      </w:r>
      <w:r w:rsidR="00A819DC" w:rsidRPr="004F4BB2">
        <w:rPr>
          <w:color w:val="000000" w:themeColor="text1"/>
          <w:lang w:val="en-GB"/>
        </w:rPr>
        <w:t xml:space="preserve"> hypothesized that </w:t>
      </w:r>
      <w:r w:rsidR="00292EA5" w:rsidRPr="004F4BB2">
        <w:rPr>
          <w:color w:val="000000" w:themeColor="text1"/>
          <w:lang w:val="en-GB"/>
        </w:rPr>
        <w:t xml:space="preserve">not every </w:t>
      </w:r>
      <w:r w:rsidR="008E09FE" w:rsidRPr="004F4BB2">
        <w:rPr>
          <w:color w:val="000000" w:themeColor="text1"/>
          <w:lang w:val="en-GB"/>
        </w:rPr>
        <w:t>patient</w:t>
      </w:r>
      <w:r w:rsidR="00292EA5" w:rsidRPr="004F4BB2">
        <w:rPr>
          <w:color w:val="000000" w:themeColor="text1"/>
          <w:lang w:val="en-GB"/>
        </w:rPr>
        <w:t xml:space="preserve"> with </w:t>
      </w:r>
      <w:proofErr w:type="spellStart"/>
      <w:r w:rsidR="00292EA5" w:rsidRPr="004F4BB2">
        <w:rPr>
          <w:color w:val="000000" w:themeColor="text1"/>
          <w:lang w:val="en-GB"/>
        </w:rPr>
        <w:t>HFrEF</w:t>
      </w:r>
      <w:proofErr w:type="spellEnd"/>
      <w:r w:rsidR="00292EA5" w:rsidRPr="004F4BB2">
        <w:rPr>
          <w:color w:val="000000" w:themeColor="text1"/>
          <w:lang w:val="en-GB"/>
        </w:rPr>
        <w:t xml:space="preserve"> will benefit from maximal up-titration with either ACE-inhibitors/ARBs or beta-blockers</w:t>
      </w:r>
      <w:r w:rsidRPr="004F4BB2">
        <w:rPr>
          <w:color w:val="000000" w:themeColor="text1"/>
          <w:lang w:val="en-GB"/>
        </w:rPr>
        <w:t>. We therefore tested</w:t>
      </w:r>
      <w:r w:rsidR="00292EA5" w:rsidRPr="004F4BB2">
        <w:rPr>
          <w:color w:val="000000" w:themeColor="text1"/>
          <w:lang w:val="en-GB"/>
        </w:rPr>
        <w:t xml:space="preserve"> 3 hypothetical scenarios</w:t>
      </w:r>
      <w:r w:rsidR="00BE2725" w:rsidRPr="004F4BB2">
        <w:rPr>
          <w:color w:val="000000" w:themeColor="text1"/>
          <w:lang w:val="en-GB"/>
        </w:rPr>
        <w:t>: A)</w:t>
      </w:r>
      <w:r w:rsidR="008E09FE" w:rsidRPr="004F4BB2">
        <w:rPr>
          <w:color w:val="000000" w:themeColor="text1"/>
          <w:lang w:val="en-GB"/>
        </w:rPr>
        <w:t xml:space="preserve"> all patients were up-titrated to </w:t>
      </w:r>
      <w:r w:rsidR="009D582A" w:rsidRPr="004F4BB2">
        <w:rPr>
          <w:color w:val="000000" w:themeColor="text1"/>
          <w:lang w:val="en-GB"/>
        </w:rPr>
        <w:t>&gt;50%</w:t>
      </w:r>
      <w:r w:rsidR="008E09FE" w:rsidRPr="004F4BB2">
        <w:rPr>
          <w:color w:val="000000" w:themeColor="text1"/>
          <w:lang w:val="en-GB"/>
        </w:rPr>
        <w:t xml:space="preserve"> of recommended ACE-inh</w:t>
      </w:r>
      <w:r w:rsidR="00BE2725" w:rsidRPr="004F4BB2">
        <w:rPr>
          <w:color w:val="000000" w:themeColor="text1"/>
          <w:lang w:val="en-GB"/>
        </w:rPr>
        <w:t xml:space="preserve">ibitor/ARB or beta-blocker dose, B) all patients were up-titrated or not based on a biomarker model, and C) no patient was up-titrated to </w:t>
      </w:r>
      <w:r w:rsidR="009D582A" w:rsidRPr="004F4BB2">
        <w:rPr>
          <w:color w:val="000000" w:themeColor="text1"/>
          <w:lang w:val="en-GB"/>
        </w:rPr>
        <w:t>&gt;50%</w:t>
      </w:r>
      <w:r w:rsidR="00BE2725" w:rsidRPr="004F4BB2">
        <w:rPr>
          <w:color w:val="000000" w:themeColor="text1"/>
          <w:lang w:val="en-GB"/>
        </w:rPr>
        <w:t xml:space="preserve"> of recommended ACE-inhibitor/ARB or beta-blocker dose. Our models estimated that </w:t>
      </w:r>
      <w:r w:rsidR="00A819DC" w:rsidRPr="004F4BB2">
        <w:rPr>
          <w:color w:val="000000" w:themeColor="text1"/>
          <w:lang w:val="en-GB"/>
        </w:rPr>
        <w:t xml:space="preserve">the highest number of events would have occurred in </w:t>
      </w:r>
      <w:r w:rsidR="00BE2725" w:rsidRPr="004F4BB2">
        <w:rPr>
          <w:color w:val="000000" w:themeColor="text1"/>
          <w:lang w:val="en-GB"/>
        </w:rPr>
        <w:t xml:space="preserve">Scenario C) </w:t>
      </w:r>
      <w:r w:rsidR="000A218A" w:rsidRPr="004F4BB2">
        <w:rPr>
          <w:color w:val="000000" w:themeColor="text1"/>
          <w:lang w:val="en-GB"/>
        </w:rPr>
        <w:t>a</w:t>
      </w:r>
      <w:r w:rsidR="00A819DC" w:rsidRPr="004F4BB2">
        <w:rPr>
          <w:color w:val="000000" w:themeColor="text1"/>
          <w:lang w:val="en-GB"/>
        </w:rPr>
        <w:t xml:space="preserve">nd the lowest number of events in </w:t>
      </w:r>
      <w:r w:rsidR="000277EA" w:rsidRPr="004F4BB2">
        <w:rPr>
          <w:color w:val="000000" w:themeColor="text1"/>
          <w:lang w:val="en-GB"/>
        </w:rPr>
        <w:t>Scenario B)</w:t>
      </w:r>
      <w:r w:rsidR="00A819DC" w:rsidRPr="004F4BB2">
        <w:rPr>
          <w:color w:val="000000" w:themeColor="text1"/>
          <w:lang w:val="en-GB"/>
        </w:rPr>
        <w:t xml:space="preserve">. </w:t>
      </w:r>
      <w:r w:rsidR="001C7EE9" w:rsidRPr="004F4BB2">
        <w:rPr>
          <w:color w:val="000000" w:themeColor="text1"/>
          <w:lang w:val="en-GB"/>
        </w:rPr>
        <w:t>The present results from this novel approach suggest</w:t>
      </w:r>
      <w:r w:rsidR="002C2536" w:rsidRPr="004F4BB2">
        <w:rPr>
          <w:color w:val="000000" w:themeColor="text1"/>
          <w:lang w:val="en-GB"/>
        </w:rPr>
        <w:t xml:space="preserve"> that some</w:t>
      </w:r>
      <w:r w:rsidR="000A218A" w:rsidRPr="004F4BB2">
        <w:rPr>
          <w:color w:val="000000" w:themeColor="text1"/>
          <w:lang w:val="en-GB"/>
        </w:rPr>
        <w:t xml:space="preserve"> </w:t>
      </w:r>
      <w:r w:rsidR="002C2536" w:rsidRPr="004F4BB2">
        <w:rPr>
          <w:color w:val="000000" w:themeColor="text1"/>
          <w:lang w:val="en-GB"/>
        </w:rPr>
        <w:t>patients</w:t>
      </w:r>
      <w:r w:rsidR="000A218A" w:rsidRPr="004F4BB2">
        <w:rPr>
          <w:color w:val="000000" w:themeColor="text1"/>
          <w:lang w:val="en-GB"/>
        </w:rPr>
        <w:t xml:space="preserve"> </w:t>
      </w:r>
      <w:r w:rsidR="002C2536" w:rsidRPr="004F4BB2">
        <w:rPr>
          <w:color w:val="000000" w:themeColor="text1"/>
          <w:lang w:val="en-GB"/>
        </w:rPr>
        <w:t>do not benefi</w:t>
      </w:r>
      <w:r w:rsidR="000A218A" w:rsidRPr="004F4BB2">
        <w:rPr>
          <w:color w:val="000000" w:themeColor="text1"/>
          <w:lang w:val="en-GB"/>
        </w:rPr>
        <w:t xml:space="preserve">t </w:t>
      </w:r>
      <w:r w:rsidR="002C2536" w:rsidRPr="004F4BB2">
        <w:rPr>
          <w:color w:val="000000" w:themeColor="text1"/>
          <w:lang w:val="en-GB"/>
        </w:rPr>
        <w:t>from</w:t>
      </w:r>
      <w:r w:rsidR="000A218A" w:rsidRPr="004F4BB2">
        <w:rPr>
          <w:color w:val="000000" w:themeColor="text1"/>
          <w:lang w:val="en-GB"/>
        </w:rPr>
        <w:t xml:space="preserve"> </w:t>
      </w:r>
      <w:r w:rsidR="002C2536" w:rsidRPr="004F4BB2">
        <w:rPr>
          <w:color w:val="000000" w:themeColor="text1"/>
          <w:lang w:val="en-GB"/>
        </w:rPr>
        <w:t>maximally</w:t>
      </w:r>
      <w:r w:rsidR="000A218A" w:rsidRPr="004F4BB2">
        <w:rPr>
          <w:color w:val="000000" w:themeColor="text1"/>
          <w:lang w:val="en-GB"/>
        </w:rPr>
        <w:t xml:space="preserve"> recommended doses.</w:t>
      </w:r>
    </w:p>
    <w:p w14:paraId="1251D7A0" w14:textId="77777777" w:rsidR="001C748B" w:rsidRDefault="006D32A7" w:rsidP="001C748B">
      <w:pPr>
        <w:spacing w:line="480" w:lineRule="auto"/>
        <w:ind w:firstLine="720"/>
        <w:rPr>
          <w:color w:val="000000" w:themeColor="text1"/>
          <w:lang w:val="en-GB"/>
        </w:rPr>
      </w:pPr>
      <w:r w:rsidRPr="004F4BB2">
        <w:rPr>
          <w:color w:val="000000" w:themeColor="text1"/>
          <w:lang w:val="en-GB"/>
        </w:rPr>
        <w:lastRenderedPageBreak/>
        <w:t xml:space="preserve">There are many biomarkers known </w:t>
      </w:r>
      <w:r w:rsidR="0090574A" w:rsidRPr="004F4BB2">
        <w:rPr>
          <w:color w:val="000000" w:themeColor="text1"/>
          <w:lang w:val="en-GB"/>
        </w:rPr>
        <w:t>to</w:t>
      </w:r>
      <w:r w:rsidRPr="004F4BB2">
        <w:rPr>
          <w:color w:val="000000" w:themeColor="text1"/>
          <w:lang w:val="en-GB"/>
        </w:rPr>
        <w:t xml:space="preserve"> influence therapeutic response</w:t>
      </w:r>
      <w:r w:rsidR="00A36CD9" w:rsidRPr="004F4BB2">
        <w:rPr>
          <w:color w:val="000000" w:themeColor="text1"/>
          <w:lang w:val="en-GB"/>
        </w:rPr>
        <w:t xml:space="preserve"> and survival </w:t>
      </w:r>
      <w:r w:rsidR="00A36CD9" w:rsidRPr="004F4BB2">
        <w:rPr>
          <w:color w:val="000000" w:themeColor="text1"/>
          <w:lang w:val="en-GB"/>
        </w:rPr>
        <w:fldChar w:fldCharType="begin" w:fldLock="1"/>
      </w:r>
      <w:r w:rsidR="00A032C6">
        <w:rPr>
          <w:color w:val="000000" w:themeColor="text1"/>
          <w:lang w:val="en-GB"/>
        </w:rPr>
        <w:instrText>ADDIN CSL_CITATION { "citationItems" : [ { "id" : "ITEM-1", "itemData" : { "DOI" : "10.1016/j.cjca.2013.12.005", "ISSN" : "1916-7075", "PMID" : "24565253", "abstract" : "Evidence-based treatment has succeeded in improving clinical outcomes in heart failure. Nevertheless, morbidity, mortality, and the economic burden associated with the syndrome remain unsatisfactorily high. Most landmark heart failure studies included broad study populations, and thus current recommendations dictate standardized, universal therapy. While most patients included in recent trials benefit from this background treatment, exceeding this already significant gain has proven to be a challenge. The early identification of responders and nonresponders to treatment could result in improved therapeutic effectiveness, while reduction of unnecessary exposure may limit harmful and unpleasant side effects. In this review, we examine the potential value of currently available information on differential responses to heart failure therapy-a first step toward personalized medicine in the management of heart failure.", "author" : [ { "dropping-particle" : "", "family" : "Liu", "given" : "Licette C Y", "non-dropping-particle" : "", "parse-names" : false, "suffix" : "" }, { "dropping-particle" : "", "family" : "Voors", "given" : "Adriaan A.", "non-dropping-particle" : "", "parse-names" : false, "suffix" : "" }, { "dropping-particle" : "", "family" : "Valente", "given" : "Mattia A E", "non-dropping-particle" : "", "parse-names" : false, "suffix" : "" }, { "dropping-particle" : "", "family" : "Meer", "given" : "Peter", "non-dropping-particle" : "van der", "parse-names" : false, "suffix" : "" } ], "container-title" : "The Canadian journal of cardiology", "id" : "ITEM-1", "issue" : "3", "issued" : { "date-parts" : [ [ "2014", "3" ] ] }, "page" : "288-95", "publisher" : "Canadian Cardiovascular Society", "title" : "A novel approach to drug development in heart failure: towards personalized medicine.", "type" : "article-journal", "volume" : "30" }, "uris" : [ "http://www.mendeley.com/documents/?uuid=0935e820-3766-442f-b235-137b76948130" ] }, { "id" : "ITEM-2", "itemData" : { "DOI" : "10.4414/smw.2015.14079", "ISSN" : "1424-3997", "PMID" : "25695147", "abstract" : "Polymorbid patients, diverse diagnostic and therapeutic options, more complex hospital structures, financial incentives, benchmarking, as well as perceptional and societal changes put pressure on medical doctors, specifically if medical errors surface. This is particularly true for the emergency department setting, where patients face delayed or erroneous initial diagnostic or therapeutic measures and costly hospital stays due to sub-optimal triage. A \"biomarker\" is any laboratory tool with the potential better to detect and characterise diseases, to simplify complex clinical algorithms and to improve clinical problem solving in routine care. They must be embedded in clinical algorithms to complement and not replace basic medical skills. Unselected ordering of laboratory tests and shortcomings in test performance and interpretation contribute to diagnostic errors. Test results may be ambiguous with false positive or false negative results and generate unnecessary harm and costs. Laboratory tests should only be ordered, if results have clinical consequences. In studies, we must move beyond the observational reporting and meta-analysing of diagnostic accuracies for biomarkers. Instead, specific cut-off ranges should be proposed and intervention studies conducted to prove outcome relevant impacts on patient care. The focus of this review is to exemplify the appropriate use of selected laboratory tests in the emergency setting for which randomised-controlled intervention studies have proven clinical benefit. Herein, we focus on initial patient triage and allocation of treatment opportunities in patients with cardiorespiratory diseases in the emergency department. The following five biomarkers will be discussed: proadrenomedullin for prognostic triage assessment and site-of-care decisions, cardiac troponin for acute myocardial infarction, natriuretic peptides for acute heart failure, D-dimers for venous thromboembolism, C-reactive protein as a marker of inflammation, and procalcitonin for antibiotic stewardship in infections of the respiratory tract and sepsis. For these markers we provide an overview on physiopathology, historical evolution of evidence, strengths and limitations for a rational implementation into clinical algorithms. We critically discuss results from key intervention trials that led to their use in clinical routine and potential future indications. The rational for the use of all these biomarkers, first, tackle diagnostic ambiguity and con\u2026", "author" : [ { "dropping-particle" : "", "family" : "Schuetz", "given" : "Philipp", "non-dropping-particle" : "", "parse-names" : false, "suffix" : "" }, { "dropping-particle" : "", "family" : "Aujesky", "given" : "Drahomir", "non-dropping-particle" : "", "parse-names" : false, "suffix" : "" }, { "dropping-particle" : "", "family" : "M\u00fcller", "given" : "Christian", "non-dropping-particle" : "", "parse-names" : false, "suffix" : "" }, { "dropping-particle" : "", "family" : "M\u00fcller", "given" : "Beat", "non-dropping-particle" : "", "parse-names" : false, "suffix" : "" } ], "container-title" : "Swiss medical weekly", "id" : "ITEM-2", "issued" : { "date-parts" : [ [ "2015" ] ] }, "page" : "w14079", "title" : "Biomarker-guided personalised emergency medicine for all - hope for another hype?", "type" : "article-journal", "volume" : "145" }, "uris" : [ "http://www.mendeley.com/documents/?uuid=71127700-1986-4193-acfb-e87e0e594e65" ] } ], "mendeley" : { "formattedCitation" : "(27, 28)", "plainTextFormattedCitation" : "(27, 28)", "previouslyFormattedCitation" : "(27, 28)" }, "properties" : { "noteIndex" : 0 }, "schema" : "https://github.com/citation-style-language/schema/raw/master/csl-citation.json" }</w:instrText>
      </w:r>
      <w:r w:rsidR="00A36CD9" w:rsidRPr="004F4BB2">
        <w:rPr>
          <w:color w:val="000000" w:themeColor="text1"/>
          <w:lang w:val="en-GB"/>
        </w:rPr>
        <w:fldChar w:fldCharType="separate"/>
      </w:r>
      <w:r w:rsidR="001C748B">
        <w:rPr>
          <w:noProof/>
          <w:color w:val="000000" w:themeColor="text1"/>
          <w:lang w:val="en-GB"/>
        </w:rPr>
        <w:t>(27,</w:t>
      </w:r>
      <w:r w:rsidR="00A032C6" w:rsidRPr="00A032C6">
        <w:rPr>
          <w:noProof/>
          <w:color w:val="000000" w:themeColor="text1"/>
          <w:lang w:val="en-GB"/>
        </w:rPr>
        <w:t>28)</w:t>
      </w:r>
      <w:r w:rsidR="00A36CD9" w:rsidRPr="004F4BB2">
        <w:rPr>
          <w:color w:val="000000" w:themeColor="text1"/>
          <w:lang w:val="en-GB"/>
        </w:rPr>
        <w:fldChar w:fldCharType="end"/>
      </w:r>
      <w:r w:rsidR="00A36CD9" w:rsidRPr="004F4BB2">
        <w:rPr>
          <w:color w:val="000000" w:themeColor="text1"/>
          <w:lang w:val="en-GB"/>
        </w:rPr>
        <w:t>, and</w:t>
      </w:r>
      <w:r w:rsidRPr="004F4BB2">
        <w:rPr>
          <w:color w:val="000000" w:themeColor="text1"/>
          <w:lang w:val="en-GB"/>
        </w:rPr>
        <w:t xml:space="preserve"> </w:t>
      </w:r>
      <w:r w:rsidR="00A36CD9" w:rsidRPr="004F4BB2">
        <w:rPr>
          <w:color w:val="000000" w:themeColor="text1"/>
          <w:lang w:val="en-GB"/>
        </w:rPr>
        <w:t xml:space="preserve">there </w:t>
      </w:r>
      <w:r w:rsidR="002C2536" w:rsidRPr="004F4BB2">
        <w:rPr>
          <w:color w:val="000000" w:themeColor="text1"/>
          <w:lang w:val="en-GB"/>
        </w:rPr>
        <w:t>have been many attempts</w:t>
      </w:r>
      <w:r w:rsidR="00A36CD9" w:rsidRPr="004F4BB2">
        <w:rPr>
          <w:color w:val="000000" w:themeColor="text1"/>
          <w:lang w:val="en-GB"/>
        </w:rPr>
        <w:t xml:space="preserve"> to use biomarker </w:t>
      </w:r>
      <w:r w:rsidR="00C944DC" w:rsidRPr="004F4BB2">
        <w:rPr>
          <w:color w:val="000000" w:themeColor="text1"/>
          <w:lang w:val="en-GB"/>
        </w:rPr>
        <w:t>levels</w:t>
      </w:r>
      <w:r w:rsidR="00A36CD9" w:rsidRPr="004F4BB2">
        <w:rPr>
          <w:color w:val="000000" w:themeColor="text1"/>
          <w:lang w:val="en-GB"/>
        </w:rPr>
        <w:t xml:space="preserve"> </w:t>
      </w:r>
      <w:r w:rsidR="002C2536" w:rsidRPr="004F4BB2">
        <w:rPr>
          <w:color w:val="000000" w:themeColor="text1"/>
          <w:lang w:val="en-GB"/>
        </w:rPr>
        <w:t>for</w:t>
      </w:r>
      <w:r w:rsidR="00A36CD9" w:rsidRPr="004F4BB2">
        <w:rPr>
          <w:color w:val="000000" w:themeColor="text1"/>
          <w:lang w:val="en-GB"/>
        </w:rPr>
        <w:t xml:space="preserve"> </w:t>
      </w:r>
      <w:r w:rsidR="00084D95" w:rsidRPr="004F4BB2">
        <w:rPr>
          <w:color w:val="000000" w:themeColor="text1"/>
          <w:lang w:val="en-GB"/>
        </w:rPr>
        <w:t>evaluat</w:t>
      </w:r>
      <w:r w:rsidR="002C2536" w:rsidRPr="004F4BB2">
        <w:rPr>
          <w:color w:val="000000" w:themeColor="text1"/>
          <w:lang w:val="en-GB"/>
        </w:rPr>
        <w:t>ing</w:t>
      </w:r>
      <w:r w:rsidR="00084D95" w:rsidRPr="004F4BB2">
        <w:rPr>
          <w:color w:val="000000" w:themeColor="text1"/>
          <w:lang w:val="en-GB"/>
        </w:rPr>
        <w:t xml:space="preserve"> treatment </w:t>
      </w:r>
      <w:r w:rsidR="00775BD9" w:rsidRPr="004F4BB2">
        <w:rPr>
          <w:color w:val="000000" w:themeColor="text1"/>
          <w:lang w:val="en-GB"/>
        </w:rPr>
        <w:t xml:space="preserve">response </w:t>
      </w:r>
      <w:r w:rsidR="00084D95" w:rsidRPr="004F4BB2">
        <w:rPr>
          <w:color w:val="000000" w:themeColor="text1"/>
          <w:lang w:val="en-GB"/>
        </w:rPr>
        <w:t>and</w:t>
      </w:r>
      <w:r w:rsidR="00A36CD9" w:rsidRPr="004F4BB2">
        <w:rPr>
          <w:color w:val="000000" w:themeColor="text1"/>
          <w:lang w:val="en-GB"/>
        </w:rPr>
        <w:t xml:space="preserve"> outcome </w:t>
      </w:r>
      <w:r w:rsidR="00A36CD9" w:rsidRPr="004F4BB2">
        <w:rPr>
          <w:color w:val="000000" w:themeColor="text1"/>
          <w:lang w:val="en-GB"/>
        </w:rPr>
        <w:fldChar w:fldCharType="begin" w:fldLock="1"/>
      </w:r>
      <w:r w:rsidR="00A032C6">
        <w:rPr>
          <w:color w:val="000000" w:themeColor="text1"/>
          <w:lang w:val="en-GB"/>
        </w:rPr>
        <w:instrText>ADDIN CSL_CITATION { "citationItems" : [ { "id" : "ITEM-1", "itemData" : { "DOI" : "10.1016/j.ijcard.2016.08.271", "ISSN" : "1874-1754", "PMID" : "27589047", "abstract" : "BACKGROUND The selective adenosine A1 receptor antagonist rolofylline showed a neutral overall result on clinical outcomes in the PROTECT trial. However, we hypothesized that response to rolofylline treatment could be influenced by underlying clinical risk. METHODS We performed a post-hoc analysis of the PROTECT trial - a large, double-blind, randomized, placebo-controlled trial that enrolled 2033 patients. Baseline risk of 180-day all-cause mortality was estimated using a previously published 8-item model. Evaluation of efficacy of rolofylline across subpopulations defined based on estimated risk of mortality was performed using subpopulation treatment effect pattern plot (STEPP) analysis. Findings were validated in an independent cohort of acute heart failure patients. RESULTS Median estimated risk of mortality was 13.0%, IQR [8.0%-23.0%] and was comparable between the rolofylline and placebo arms. In low to intermediate risk subgroups of patients, rolofylline was associated with a higher rate of 180-day all-cause mortality (11.9% in the rolofylline versus 8.4% in the placebo arms, p=0.050). In the high risk subgroup of patients, particularly those with estimated risk of mortality between 20% and 30%, 180-day all-cause mortality rate was markedly lower in the rolofylline arm (18.4% in the rolofylline versus 34.0% in the placebo arms, p=0.003). The trend towards potential harm with rolofylline treatment in the low to intermediate risk subpopulations and significant benefit in high risk patients was also observed in the validation cohort. CONCLUSION Our findings suggest that selective adenosine A1 receptor antagonism could be harmful in low risk acute heart failure patients, while it might significantly benefit higher risk patients.", "author" : [ { "dropping-particle" : "", "family" : "Demissei", "given" : "Biniyam G.", "non-dropping-particle" : "", "parse-names" : false, "suffix" : "" }, { "dropping-particle" : "", "family" : "Postmus", "given" : "Douwe", "non-dropping-particle" : "", "parse-names" : false, "suffix" : "" }, { "dropping-particle" : "", "family" : "Liu", "given" : "Licette C Y", "non-dropping-particle" : "", "parse-names" : false, "suffix" : "" }, { "dropping-particle" : "", "family" : "Cleland", "given" : "John G.", "non-dropping-particle" : "", "parse-names" : false, "suffix" : "" }, { "dropping-particle" : "", "family" : "O'Connor", "given" : "Christopher M.", "non-dropping-particle" : "", "parse-names" : false, "suffix" : "" }, { "dropping-particle" : "", "family" : "Metra", "given" : "Marco", "non-dropping-particle" : "", "parse-names" : false, "suffix" : "" }, { "dropping-particle" : "", "family" : "Ponikowski", "given" : "Piotr", "non-dropping-particle" : "", "parse-names" : false, "suffix" : "" }, { "dropping-particle" : "", "family" : "Teerlink", "given" : "John R.", "non-dropping-particle" : "", "parse-names" : false, "suffix" : "" }, { "dropping-particle" : "", "family" : "Cotter", "given" : "Gad", "non-dropping-particle" : "", "parse-names" : false, "suffix" : "" }, { "dropping-particle" : "", "family" : "Davison", "given" : "Beth A.", "non-dropping-particle" : "", "parse-names" : false, "suffix" : "" }, { "dropping-particle" : "", "family" : "Edwards", "given" : "Christopher", "non-dropping-particle" : "", "parse-names" : false, "suffix" : "" }, { "dropping-particle" : "", "family" : "Givertz", "given" : "Michael M.", "non-dropping-particle" : "", "parse-names" : false, "suffix" : "" }, { "dropping-particle" : "", "family" : "Bloomfield", "given" : "Daniel M.", "non-dropping-particle" : "", "parse-names" : false, "suffix" : "" }, { "dropping-particle" : "", "family" : "Dittrich", "given" : "Howard C.", "non-dropping-particle" : "", "parse-names" : false, "suffix" : "" }, { "dropping-particle" : "", "family" : "Voors", "given" : "Adriaan A.", "non-dropping-particle" : "", "parse-names" : false, "suffix" : "" }, { "dropping-particle" : "", "family" : "Hillege", "given" : "Hans L.", "non-dropping-particle" : "", "parse-names" : false, "suffix" : "" } ], "container-title" : "International journal of cardiology", "id" : "ITEM-1", "issued" : { "date-parts" : [ [ "2016", "11", "15" ] ] }, "page" : "967-975", "title" : "Risk-based evaluation of efficacy of rolofylline in patients hospitalized with acute heart failure - Post-hoc analysis of the PROTECT trial.", "type" : "article-journal", "volume" : "223" }, "uris" : [ "http://www.mendeley.com/documents/?uuid=aad7050c-0b71-4a9f-8346-734af4e33cce" ] } ], "mendeley" : { "formattedCitation" : "(29)", "plainTextFormattedCitation" : "(29)", "previouslyFormattedCitation" : "(29)" }, "properties" : { "noteIndex" : 0 }, "schema" : "https://github.com/citation-style-language/schema/raw/master/csl-citation.json" }</w:instrText>
      </w:r>
      <w:r w:rsidR="00A36CD9" w:rsidRPr="004F4BB2">
        <w:rPr>
          <w:color w:val="000000" w:themeColor="text1"/>
          <w:lang w:val="en-GB"/>
        </w:rPr>
        <w:fldChar w:fldCharType="separate"/>
      </w:r>
      <w:r w:rsidR="00A032C6" w:rsidRPr="00A032C6">
        <w:rPr>
          <w:noProof/>
          <w:color w:val="000000" w:themeColor="text1"/>
          <w:lang w:val="en-GB"/>
        </w:rPr>
        <w:t>(29)</w:t>
      </w:r>
      <w:r w:rsidR="00A36CD9" w:rsidRPr="004F4BB2">
        <w:rPr>
          <w:color w:val="000000" w:themeColor="text1"/>
          <w:lang w:val="en-GB"/>
        </w:rPr>
        <w:fldChar w:fldCharType="end"/>
      </w:r>
      <w:r w:rsidR="00A36CD9" w:rsidRPr="004F4BB2">
        <w:rPr>
          <w:color w:val="000000" w:themeColor="text1"/>
          <w:lang w:val="en-GB"/>
        </w:rPr>
        <w:t xml:space="preserve">. </w:t>
      </w:r>
      <w:r w:rsidR="002C2536" w:rsidRPr="004F4BB2">
        <w:rPr>
          <w:color w:val="000000" w:themeColor="text1"/>
          <w:lang w:val="en-GB"/>
        </w:rPr>
        <w:t xml:space="preserve">However, </w:t>
      </w:r>
      <w:r w:rsidRPr="004F4BB2">
        <w:rPr>
          <w:color w:val="000000" w:themeColor="text1"/>
          <w:lang w:val="en-GB"/>
        </w:rPr>
        <w:t>no models were developed</w:t>
      </w:r>
      <w:r w:rsidR="00A36CD9" w:rsidRPr="004F4BB2">
        <w:rPr>
          <w:color w:val="000000" w:themeColor="text1"/>
          <w:lang w:val="en-GB"/>
        </w:rPr>
        <w:t xml:space="preserve"> using a multitude of biomarkers to estimate</w:t>
      </w:r>
      <w:r w:rsidRPr="004F4BB2">
        <w:rPr>
          <w:color w:val="000000" w:themeColor="text1"/>
          <w:lang w:val="en-GB"/>
        </w:rPr>
        <w:t xml:space="preserve"> </w:t>
      </w:r>
      <w:r w:rsidR="00A36CD9" w:rsidRPr="004F4BB2">
        <w:rPr>
          <w:color w:val="000000" w:themeColor="text1"/>
          <w:lang w:val="en-GB"/>
        </w:rPr>
        <w:t>and compare the risk</w:t>
      </w:r>
      <w:r w:rsidRPr="004F4BB2">
        <w:rPr>
          <w:color w:val="000000" w:themeColor="text1"/>
          <w:lang w:val="en-GB"/>
        </w:rPr>
        <w:t xml:space="preserve"> </w:t>
      </w:r>
      <w:r w:rsidR="00A36CD9" w:rsidRPr="004F4BB2">
        <w:rPr>
          <w:color w:val="000000" w:themeColor="text1"/>
          <w:lang w:val="en-GB"/>
        </w:rPr>
        <w:t>of</w:t>
      </w:r>
      <w:r w:rsidRPr="004F4BB2">
        <w:rPr>
          <w:color w:val="000000" w:themeColor="text1"/>
          <w:lang w:val="en-GB"/>
        </w:rPr>
        <w:t xml:space="preserve"> </w:t>
      </w:r>
      <w:r w:rsidR="005D2738" w:rsidRPr="004F4BB2">
        <w:rPr>
          <w:color w:val="000000" w:themeColor="text1"/>
          <w:lang w:val="en-GB"/>
        </w:rPr>
        <w:t xml:space="preserve">mortality and/or heart failure hospitalization in </w:t>
      </w:r>
      <w:r w:rsidRPr="004F4BB2">
        <w:rPr>
          <w:color w:val="000000" w:themeColor="text1"/>
          <w:lang w:val="en-GB"/>
        </w:rPr>
        <w:t>up-titrat</w:t>
      </w:r>
      <w:r w:rsidR="002C2536" w:rsidRPr="004F4BB2">
        <w:rPr>
          <w:color w:val="000000" w:themeColor="text1"/>
          <w:lang w:val="en-GB"/>
        </w:rPr>
        <w:t>ed</w:t>
      </w:r>
      <w:r w:rsidRPr="004F4BB2">
        <w:rPr>
          <w:color w:val="000000" w:themeColor="text1"/>
          <w:lang w:val="en-GB"/>
        </w:rPr>
        <w:t xml:space="preserve"> </w:t>
      </w:r>
      <w:r w:rsidR="005D2738" w:rsidRPr="004F4BB2">
        <w:rPr>
          <w:color w:val="000000" w:themeColor="text1"/>
          <w:lang w:val="en-GB"/>
        </w:rPr>
        <w:t>and not up-titrated patients</w:t>
      </w:r>
      <w:r w:rsidR="00A36CD9" w:rsidRPr="004F4BB2">
        <w:rPr>
          <w:color w:val="000000" w:themeColor="text1"/>
          <w:lang w:val="en-GB"/>
        </w:rPr>
        <w:t>.</w:t>
      </w:r>
    </w:p>
    <w:p w14:paraId="7994A064" w14:textId="77777777" w:rsidR="001C748B" w:rsidRDefault="002C2536" w:rsidP="001C748B">
      <w:pPr>
        <w:spacing w:line="480" w:lineRule="auto"/>
        <w:ind w:firstLine="720"/>
        <w:rPr>
          <w:color w:val="000000" w:themeColor="text1"/>
          <w:lang w:val="en-US"/>
        </w:rPr>
      </w:pPr>
      <w:r w:rsidRPr="004F4BB2">
        <w:rPr>
          <w:color w:val="000000" w:themeColor="text1"/>
          <w:lang w:val="en-US"/>
        </w:rPr>
        <w:t>W</w:t>
      </w:r>
      <w:r w:rsidR="00883E14" w:rsidRPr="004F4BB2">
        <w:rPr>
          <w:color w:val="000000" w:themeColor="text1"/>
          <w:lang w:val="en-US"/>
        </w:rPr>
        <w:t xml:space="preserve">e </w:t>
      </w:r>
      <w:r w:rsidRPr="004F4BB2">
        <w:rPr>
          <w:color w:val="000000" w:themeColor="text1"/>
          <w:lang w:val="en-US"/>
        </w:rPr>
        <w:t>recently</w:t>
      </w:r>
      <w:r w:rsidR="00883E14" w:rsidRPr="004F4BB2">
        <w:rPr>
          <w:color w:val="000000" w:themeColor="text1"/>
          <w:lang w:val="en-US"/>
        </w:rPr>
        <w:t xml:space="preserve"> published a </w:t>
      </w:r>
      <w:r w:rsidRPr="004F4BB2">
        <w:rPr>
          <w:color w:val="000000" w:themeColor="text1"/>
          <w:lang w:val="en-US"/>
        </w:rPr>
        <w:t>meta-analysis on all</w:t>
      </w:r>
      <w:r w:rsidR="000A218A" w:rsidRPr="004F4BB2">
        <w:rPr>
          <w:color w:val="000000" w:themeColor="text1"/>
          <w:lang w:val="en-US"/>
        </w:rPr>
        <w:t xml:space="preserve"> </w:t>
      </w:r>
      <w:r w:rsidR="00883E14" w:rsidRPr="004F4BB2">
        <w:rPr>
          <w:color w:val="000000" w:themeColor="text1"/>
          <w:lang w:val="en-US"/>
        </w:rPr>
        <w:t xml:space="preserve">prognostic </w:t>
      </w:r>
      <w:r w:rsidRPr="004F4BB2">
        <w:rPr>
          <w:color w:val="000000" w:themeColor="text1"/>
          <w:lang w:val="en-US"/>
        </w:rPr>
        <w:t xml:space="preserve">heart failure </w:t>
      </w:r>
      <w:r w:rsidR="00883E14" w:rsidRPr="004F4BB2">
        <w:rPr>
          <w:color w:val="000000" w:themeColor="text1"/>
          <w:lang w:val="en-US"/>
        </w:rPr>
        <w:t xml:space="preserve">models and </w:t>
      </w:r>
      <w:r w:rsidRPr="004F4BB2">
        <w:rPr>
          <w:color w:val="000000" w:themeColor="text1"/>
          <w:lang w:val="en-US"/>
        </w:rPr>
        <w:t>an</w:t>
      </w:r>
      <w:r w:rsidR="000A218A" w:rsidRPr="004F4BB2">
        <w:rPr>
          <w:color w:val="000000" w:themeColor="text1"/>
          <w:lang w:val="en-US"/>
        </w:rPr>
        <w:t xml:space="preserve"> average c-statistics for</w:t>
      </w:r>
      <w:r w:rsidR="00883E14" w:rsidRPr="004F4BB2">
        <w:rPr>
          <w:color w:val="000000" w:themeColor="text1"/>
          <w:lang w:val="en-US"/>
        </w:rPr>
        <w:t xml:space="preserve"> predicting mortality and/or heart failure related hospitalization </w:t>
      </w:r>
      <w:r w:rsidRPr="004F4BB2">
        <w:rPr>
          <w:color w:val="000000" w:themeColor="text1"/>
          <w:lang w:val="en-US"/>
        </w:rPr>
        <w:t xml:space="preserve">of </w:t>
      </w:r>
      <w:r w:rsidR="00883E14" w:rsidRPr="004F4BB2">
        <w:rPr>
          <w:color w:val="000000" w:themeColor="text1"/>
          <w:lang w:val="en-US"/>
        </w:rPr>
        <w:t>0.68</w:t>
      </w:r>
      <w:r w:rsidR="000A218A" w:rsidRPr="004F4BB2">
        <w:rPr>
          <w:color w:val="000000" w:themeColor="text1"/>
          <w:lang w:val="en-US"/>
        </w:rPr>
        <w:t xml:space="preserve"> </w:t>
      </w:r>
      <w:r w:rsidR="000A218A" w:rsidRPr="004F4BB2">
        <w:rPr>
          <w:color w:val="000000" w:themeColor="text1"/>
        </w:rPr>
        <w:fldChar w:fldCharType="begin" w:fldLock="1"/>
      </w:r>
      <w:r w:rsidR="00A032C6">
        <w:rPr>
          <w:color w:val="000000" w:themeColor="text1"/>
          <w:lang w:val="en-US"/>
        </w:rPr>
        <w:instrText>ADDIN CSL_CITATION { "citationItems" : [ { "id" : "ITEM-1", "itemData" : { "DOI" : "10.1016/j.jchf.2014.04.006", "ISSN" : "2213-1787", "PMID" : "25194294", "abstract" : "The present paper systematically reviews and compares existing prediction models in order to establish the strongest variables, models, and model characteristics in patients with heart failure predicting outcome. To improve decision making accurately predicting mortality and heart-failure hospitalization in patients with heart failure can be important for selecting patients with a poorer prognosis or nonresponders to current therapy, to improve decision making. MEDLINE/PubMed was searched for papers dealing with heart failure prediction models. To identify similar models on the basis of their variables hierarchical cluster analysis was performed. Meta-analysis was used to estimate the mean predictive value of the variables and models; meta-regression was used to find characteristics that explain variation in discriminating values between models. We identified 117 models in 55 papers. These models used 249 different variables. The strongest predictors were blood urea nitrogen and sodium. Four subgroups of models were identified. Mortality was most accurately predicted by prospective registry-type studies using a large number of clinical predictor variables. Mean C-statistic of all models was 0.66 \u00b1 0.0005, with 0.71 \u00b1 0.001, 0.68 \u00b1 0.001 and 0.63 \u00b1 0.001 for models predicting mortality, heart failure hospitalization, or both, respectively. There was no significant difference in discriminating value of models between patients with chronic and acute heart failure. Prediction of mortality and in particular heart failure hospitalization in patients with heart failure remains only moderately successful. The strongest predictors were blood urea nitrogen and sodium. The highest C-statistic values were achieved in a clinical setting, predicting short-term mortality with the use of models derived from prospective cohort/registry studies with a large number of predictor variables.", "author" : [ { "dropping-particle" : "", "family" : "Ouwerkerk", "given" : "Wouter", "non-dropping-particle" : "", "parse-names" : false, "suffix" : "" }, { "dropping-particle" : "", "family" : "Voors", "given" : "Adriaan A.", "non-dropping-particle" : "", "parse-names" : false, "suffix" : "" }, { "dropping-particle" : "", "family" : "Zwinderman", "given" : "Aeilko H.", "non-dropping-particle" : "", "parse-names" : false, "suffix" : "" } ], "container-title" : "JACC. Heart failure", "id" : "ITEM-1", "issue" : "5", "issued" : { "date-parts" : [ [ "2014", "10" ] ] }, "page" : "429-36", "title" : "Factors influencing the predictive power of models for predicting mortality and/or heart failure hospitalization in patients with heart failure.", "type" : "article-journal", "volume" : "2" }, "uris" : [ "http://www.mendeley.com/documents/?uuid=b7d0b757-33c1-4181-95ff-c9d2ae02c90e" ] } ], "mendeley" : { "formattedCitation" : "(30)", "plainTextFormattedCitation" : "(30)", "previouslyFormattedCitation" : "(30)" }, "properties" : { "noteIndex" : 0 }, "schema" : "https://github.com/citation-style-language/schema/raw/master/csl-citation.json" }</w:instrText>
      </w:r>
      <w:r w:rsidR="000A218A" w:rsidRPr="004F4BB2">
        <w:rPr>
          <w:color w:val="000000" w:themeColor="text1"/>
        </w:rPr>
        <w:fldChar w:fldCharType="separate"/>
      </w:r>
      <w:r w:rsidR="00A032C6" w:rsidRPr="00A032C6">
        <w:rPr>
          <w:noProof/>
          <w:color w:val="000000" w:themeColor="text1"/>
          <w:lang w:val="en-US"/>
        </w:rPr>
        <w:t>(30)</w:t>
      </w:r>
      <w:r w:rsidR="000A218A" w:rsidRPr="004F4BB2">
        <w:rPr>
          <w:color w:val="000000" w:themeColor="text1"/>
        </w:rPr>
        <w:fldChar w:fldCharType="end"/>
      </w:r>
      <w:r w:rsidR="00883E14" w:rsidRPr="004F4BB2">
        <w:rPr>
          <w:color w:val="000000" w:themeColor="text1"/>
          <w:lang w:val="en-US"/>
        </w:rPr>
        <w:t xml:space="preserve">. </w:t>
      </w:r>
      <w:r w:rsidRPr="004F4BB2">
        <w:rPr>
          <w:color w:val="000000" w:themeColor="text1"/>
          <w:lang w:val="en-US"/>
        </w:rPr>
        <w:t>Thus, the</w:t>
      </w:r>
      <w:r w:rsidR="000A218A" w:rsidRPr="004F4BB2">
        <w:rPr>
          <w:color w:val="000000" w:themeColor="text1"/>
          <w:lang w:val="en-US"/>
        </w:rPr>
        <w:t xml:space="preserve"> </w:t>
      </w:r>
      <w:r w:rsidR="006660D8" w:rsidRPr="004F4BB2">
        <w:rPr>
          <w:color w:val="000000" w:themeColor="text1"/>
          <w:lang w:val="en-US"/>
        </w:rPr>
        <w:t xml:space="preserve">biomarker-based treatment-selection models </w:t>
      </w:r>
      <w:r w:rsidRPr="004F4BB2">
        <w:rPr>
          <w:color w:val="000000" w:themeColor="text1"/>
          <w:lang w:val="en-US"/>
        </w:rPr>
        <w:t>in the present paper</w:t>
      </w:r>
      <w:r w:rsidR="00883E14" w:rsidRPr="004F4BB2">
        <w:rPr>
          <w:color w:val="000000" w:themeColor="text1"/>
          <w:lang w:val="en-US"/>
        </w:rPr>
        <w:t xml:space="preserve"> ha</w:t>
      </w:r>
      <w:r w:rsidRPr="004F4BB2">
        <w:rPr>
          <w:color w:val="000000" w:themeColor="text1"/>
          <w:lang w:val="en-US"/>
        </w:rPr>
        <w:t>ve</w:t>
      </w:r>
      <w:r w:rsidR="00883E14" w:rsidRPr="004F4BB2">
        <w:rPr>
          <w:color w:val="000000" w:themeColor="text1"/>
          <w:lang w:val="en-US"/>
        </w:rPr>
        <w:t xml:space="preserve"> </w:t>
      </w:r>
      <w:r w:rsidRPr="004F4BB2">
        <w:rPr>
          <w:color w:val="000000" w:themeColor="text1"/>
          <w:lang w:val="en-US"/>
        </w:rPr>
        <w:t>similar</w:t>
      </w:r>
      <w:r w:rsidR="000A218A" w:rsidRPr="004F4BB2">
        <w:rPr>
          <w:color w:val="000000" w:themeColor="text1"/>
          <w:lang w:val="en-US"/>
        </w:rPr>
        <w:t xml:space="preserve"> </w:t>
      </w:r>
      <w:r w:rsidR="00883E14" w:rsidRPr="004F4BB2">
        <w:rPr>
          <w:color w:val="000000" w:themeColor="text1"/>
          <w:lang w:val="en-US"/>
        </w:rPr>
        <w:t xml:space="preserve">predictive performance </w:t>
      </w:r>
      <w:r w:rsidRPr="004F4BB2">
        <w:rPr>
          <w:color w:val="000000" w:themeColor="text1"/>
          <w:lang w:val="en-US"/>
        </w:rPr>
        <w:t>compared to</w:t>
      </w:r>
      <w:r w:rsidR="00883E14" w:rsidRPr="004F4BB2">
        <w:rPr>
          <w:color w:val="000000" w:themeColor="text1"/>
          <w:lang w:val="en-US"/>
        </w:rPr>
        <w:t xml:space="preserve"> existing models. Most of these prognostic models were based on clinical and biographical patient-characteristics with few biomarkers. The association of some biomarkers that we identified (e.g. NT-</w:t>
      </w:r>
      <w:proofErr w:type="spellStart"/>
      <w:r w:rsidR="00883E14" w:rsidRPr="004F4BB2">
        <w:rPr>
          <w:color w:val="000000" w:themeColor="text1"/>
          <w:lang w:val="en-US"/>
        </w:rPr>
        <w:t>proBNP</w:t>
      </w:r>
      <w:proofErr w:type="spellEnd"/>
      <w:r w:rsidR="00883E14" w:rsidRPr="004F4BB2">
        <w:rPr>
          <w:color w:val="000000" w:themeColor="text1"/>
          <w:lang w:val="en-US"/>
        </w:rPr>
        <w:t xml:space="preserve">, BUN, ST2, and hemoglobin) with mortality or heart failure hospitalization-risk in heart failure patients is well known </w:t>
      </w:r>
      <w:r w:rsidR="00883E14" w:rsidRPr="004F4BB2">
        <w:rPr>
          <w:color w:val="000000" w:themeColor="text1"/>
        </w:rPr>
        <w:fldChar w:fldCharType="begin" w:fldLock="1"/>
      </w:r>
      <w:r w:rsidR="00A032C6">
        <w:rPr>
          <w:color w:val="000000" w:themeColor="text1"/>
          <w:lang w:val="en-US"/>
        </w:rPr>
        <w:instrText>ADDIN CSL_CITATION { "citationItems" : [ { "id" : "ITEM-1", "itemData" : { "DOI" : "10.3978/j.issn.2223-3652.2012.06.03", "ISSN" : "2223-3652", "PMID" : "24282708", "abstract" : "The last decade has seen exciting advances in the field of biomarkers used in managing patients with heart failure (HF). Biomarker research has broadened our knowledge base, shedding more light on the underlying pathophysiological mechanisms occurring in patients with both acute and chronic HF. The criterion required by an ideal cardiovascular biomarker has been progressively changing to an era of sensitive assays that can be used to guide treatment. Recent technological advances have made it possible to rapidly measure even minute amounts of these proteins by means of higher sensitivity assays. With a high prevalence of comorbidities associated with HF, an integrated approach utilizing multiple biomarkers have shown promise in predicting mortality, better risk stratification and reducing re-hospitalizations, thus lowering health-care costs. This review provides a brief insight into recent advances in the field of biomarkers currently used in the diagnosis and prognosis of patients with acute and chronic HF.", "author" : [ { "dropping-particle" : "", "family" : "Iqbal", "given" : "Navaid", "non-dropping-particle" : "", "parse-names" : false, "suffix" : "" }, { "dropping-particle" : "", "family" : "Wentworth", "given" : "Bailey", "non-dropping-particle" : "", "parse-names" : false, "suffix" : "" }, { "dropping-particle" : "", "family" : "Choudhary", "given" : "Rajiv", "non-dropping-particle" : "", "parse-names" : false, "suffix" : "" }, { "dropping-particle" : "", "family" : "Landa", "given" : "Alejandro De La Parra", "non-dropping-particle" : "", "parse-names" : false, "suffix" : "" }, { "dropping-particle" : "", "family" : "Kipper", "given" : "Benjamin", "non-dropping-particle" : "", "parse-names" : false, "suffix" : "" }, { "dropping-particle" : "", "family" : "Fard", "given" : "Arrash", "non-dropping-particle" : "", "parse-names" : false, "suffix" : "" }, { "dropping-particle" : "", "family" : "Maisel", "given" : "Alan S", "non-dropping-particle" : "", "parse-names" : false, "suffix" : "" } ], "container-title" : "Cardiovascular diagnosis and therapy", "id" : "ITEM-1", "issue" : "2", "issued" : { "date-parts" : [ [ "2012", "6" ] ] }, "page" : "147-64", "title" : "Cardiac biomarkers: new tools for heart failure management.", "type" : "article-journal", "volume" : "2" }, "uris" : [ "http://www.mendeley.com/documents/?uuid=8d07d9b6-5729-4245-a8a5-ae6cb975bf50" ] }, { "id" : "ITEM-2", "itemData" : { "DOI" : "10.1016/j.amjcard.2008.01.047", "ISBN" : "0002-9149", "ISSN" : "0002-9149", "PMID" : "18489944", "abstract" : "Patients with chronic kidney disease and heart failure (HF) have been shown to be at higher risk for major adverse cardiovascular events and death. Recent studies have demonstrated that blood urea nitrogen (BUN) might serve as a powerful predictor of mortality in acutely decompensated HF. The goal of this study was to determine the impact of BUN on long-term mortality in patients with stage B and C HF. Our retrospective analysis included patients undergoing percutaneous intervention with a calculated left ventricular ejection fraction &lt; or =50%. Patients on dialysis or with technically inadequate left ventriculograms were excluded. Chart review was performed and mortality data were obtained. Our population included 444 patients with a mean ejection fraction of 38 +/- 10%, mean age of 59 +/- 11 years, median BUN of 14 mg/dl, and median glomerular filtration rate (GFR) of 81 ml/min/1.73 m(2); 31% had stage C HF, and 33% died during follow-up. Patients with increased BUN (&gt; or =17 mg/dl) and decreased GFR (&lt; or =69 ml/min/1.73 m(2)) had significantly increased long-term mortality on Kaplan-Meier analysis (8-year mortalities of 57% and 55%, respectively). In patients with stage C HF, mortalities at 8 years were 69% and 73% with abnormal BUN and GFR, respectively. Proportional hazard regression analysis demonstrated that BUN and stage C HF were independently associated with increased mortality, whereas GFR was not. In conclusion, we demonstrated that BUN is strongly associated with mortality in patients with stage B and C HF and may serve as a better biomarker than GFR for prognostication.", "author" : [ { "dropping-particle" : "", "family" : "Cauthen", "given" : "Clay a", "non-dropping-particle" : "", "parse-names" : false, "suffix" : "" }, { "dropping-particle" : "", "family" : "Lipinski", "given" : "Michael J", "non-dropping-particle" : "", "parse-names" : false, "suffix" : "" }, { "dropping-particle" : "", "family" : "Abbate", "given" : "Antonio", "non-dropping-particle" : "", "parse-names" : false, "suffix" : "" }, { "dropping-particle" : "", "family" : "Appleton", "given" : "Darryn", "non-dropping-particle" : "", "parse-names" : false, "suffix" : "" }, { "dropping-particle" : "", "family" : "Nusca", "given" : "Annunziata", "non-dropping-particle" : "", "parse-names" : false, "suffix" : "" }, { "dropping-particle" : "", "family" : "Varma", "given" : "Amit", "non-dropping-particle" : "", "parse-names" : false, "suffix" : "" }, { "dropping-particle" : "", "family" : "Goudreau", "given" : "Evelyne", "non-dropping-particle" : "", "parse-names" : false, "suffix" : "" }, { "dropping-particle" : "", "family" : "Cowley", "given" : "Michael J", "non-dropping-particle" : "", "parse-names" : false, "suffix" : "" }, { "dropping-particle" : "", "family" : "Vetrovec", "given" : "George W", "non-dropping-particle" : "", "parse-names" : false, "suffix" : "" } ], "container-title" : "The American journal of cardiology", "id" : "ITEM-2", "issue" : "11", "issued" : { "date-parts" : [ [ "2008", "6", "1" ] ] }, "page" : "1643-7", "title" : "Relation of blood urea nitrogen to long-term mortality in patients with heart failure.", "type" : "article-journal", "volume" : "101" }, "uris" : [ "http://www.mendeley.com/documents/?uuid=42431ad9-57f3-4e12-bb04-71b67c0e4730" ] }, { "id" : "ITEM-3", "itemData" : { "DOI" : "10.1016/j.hfc.2014.04.005", "ISBN" : "9780323311649", "ISSN" : "1551-7136", "PMID" : "24975910", "abstract" : "Heart failure with preserved ejection fraction (HFPEF) is a common subtype of heart failure with morbidity and mortality similar to that of heart failure with systolic dysfunction. This article discusses the numerous biomarkers that promise to play a substantial role in terms of our ability to understand the mechanisms of HFPEF and discern possible phenotypes that respond to targeted therapies: natriuretic peptides, high-sensitivity troponins, galectin-3, soluble ST2, neutrophil gelatinase-associated lipocalin, and cystatin C.", "author" : [ { "dropping-particle" : "", "family" : "Shah", "given" : "Kevin S.", "non-dropping-particle" : "", "parse-names" : false, "suffix" : "" }, { "dropping-particle" : "", "family" : "Maisel", "given" : "Alan S.", "non-dropping-particle" : "", "parse-names" : false, "suffix" : "" } ], "container-title" : "Heart failure clinics", "id" : "ITEM-3", "issue" : "3", "issued" : { "date-parts" : [ [ "2014", "7" ] ] }, "page" : "471-9", "title" : "Novel biomarkers in heart failure with preserved ejection fraction.", "type" : "article-journal", "volume" : "10" }, "uris" : [ "http://www.mendeley.com/documents/?uuid=9b81663a-7cb5-4320-9cd9-55356f87d058" ] }, { "id" : "ITEM-4", "itemData" : { "DOI" : "10.1093/eurjhf/hfs105", "ISSN" : "1879-0844", "PMID" : "22828712", "author" : [ { "dropping-particle" : "V", "family" : "McMurray", "given" : "John J", "non-dropping-particle" : "", "parse-names" : false, "suffix" : "" }, { "dropping-particle" : "", "family" : "Adamopoulos", "given" : "Stamatis", "non-dropping-particle" : "", "parse-names" : false, "suffix" : "" }, { "dropping-particle" : "", "family" : "Anker", "given" : "Stefan D", "non-dropping-particle" : "", "parse-names" : false, "suffix" : "" }, { "dropping-particle" : "", "family" : "Auricchio", "given" : "Angelo", "non-dropping-particle" : "", "parse-names" : false, "suffix" : "" }, { "dropping-particle" : "", "family" : "B\u00f6hm", "given" : "Michael", "non-dropping-particle" : "", "parse-names" : false, "suffix" : "" }, { "dropping-particle" : "", "family" : "Dickstein", "given" : "Kenneth", "non-dropping-particle" : "", "parse-names" : false, "suffix" : "" }, { "dropping-particle" : "", "family" : "Falk", "given" : "Volkmar", "non-dropping-particle" : "", "parse-names" : false, "suffix" : "" }, { "dropping-particle" : "", "family" : "Filippatos", "given" : "Gerasimos", "non-dropping-particle" : "", "parse-names" : false, "suffix" : "" }, { "dropping-particle" : "", "family" : "Fonseca", "given" : "C\u00e2ndida", "non-dropping-particle" : "", "parse-names" : false, "suffix" : "" }, { "dropping-particle" : "", "family" : "Gomez-Sanchez", "given" : "Miguel Angel", "non-dropping-particle" : "", "parse-names" : false, "suffix" : "" }, { "dropping-particle" : "", "family" : "Jaarsma", "given" : "Tiny", "non-dropping-particle" : "", "parse-names" : false, "suffix" : "" }, { "dropping-particle" : "", "family" : "K\u00f8ber", "given" : "Lars", "non-dropping-particle" : "", "parse-names" : false, "suffix" : "" }, { "dropping-particle" : "", "family" : "Lip", "given" : "Gregory Y H", "non-dropping-particle" : "", "parse-names" : false, "suffix" : "" }, { "dropping-particle" : "Pietro", "family" : "Maggioni", "given" : "Aldo", "non-dropping-particle" : "", "parse-names" : false, "suffix" : "" }, { "dropping-particle" : "", "family" : "Parkhomenko", "given" : "Alexander", "non-dropping-particle" : "", "parse-names" : false, "suffix" : "" }, { "dropping-particle" : "", "family" : "Pieske", "given" : "Burkert M", "non-dropping-particle" : "", "parse-names" : false, "suffix" : "" }, { "dropping-particle" : "", "family" : "Popescu", "given" : "Bogdan a", "non-dropping-particle" : "", "parse-names" : false, "suffix" : "" }, { "dropping-particle" : "", "family" : "R\u00f8nnevik", "given" : "Per K", "non-dropping-particle" : "", "parse-names" : false, "suffix" : "" }, { "dropping-particle" : "", "family" : "Rutten", "given" : "Frans H", "non-dropping-particle" : "", "parse-names" : false, "suffix" : "" }, { "dropping-particle" : "", "family" : "Schwitter", "given" : "Juerg", "non-dropping-particle" : "", "parse-names" : false, "suffix" : "" }, { "dropping-particle" : "", "family" : "Seferovic", "given" : "Petar", "non-dropping-particle" : "", "parse-names" : false, "suffix" : "" }, { "dropping-particle" : "", "family" : "Stepinska", "given" : "Janina", "non-dropping-particle" : "", "parse-names" : false, "suffix" : "" }, { "dropping-particle" : "", "family" : "Trindade", "given" : "Pedro T", "non-dropping-particle" : "", "parse-names" : false, "suffix" : "" }, { "dropping-particle" : "", "family" : "Voors", "given" : "Adriaan a", "non-dropping-particle" : "", "parse-names" : false, "suffix" : "" }, { "dropping-particle" : "", "family" : "Zannad", "given" : "Faiez", "non-dropping-particle" : "", "parse-names" : false, "suffix" : "" }, { "dropping-particle" : "", "family" : "Zeiher", "given" : "Andreas", "non-dropping-particle" : "", "parse-names" : false, "suffix" : "" }, { "dropping-particle" : "", "family" : "Task Force for the Diagnosis and Treatment of Acute and Chronic Heart Failure 2012 of the European Society of Cardiology", "given" : "", "non-dropping-particle" : "", "parse-names" : false, "suffix" : "" }, { "dropping-particle" : "", "family" : "Bax", "given" : "Jeroen J", "non-dropping-particle" : "", "parse-names" : false, "suffix" : "" }, { "dropping-particle" : "", "family" : "Baumgartner", "given" : "Helmut", "non-dropping-particle" : "", "parse-names" : false, "suffix" : "" }, { "dropping-particle" : "", "family" : "Ceconi", "given" : "Claudio", "non-dropping-particle" : "", "parse-names" : false, "suffix" : "" }, { "dropping-particle" : "", "family" : "Dean", "given" : "Veronica", "non-dropping-particle" : "", "parse-names" : false, "suffix" : "" }, { "dropping-particle" : "", "family" : "Deaton", "given" : "Christi", "non-dropping-particle" : "", "parse-names" : false, "suffix" : "" }, { "dropping-particle" : "", "family" : "Fagard", "given" : "Robert", "non-dropping-particle" : "", "parse-names" : false, "suffix" : "" }, { "dropping-particle" : "", "family" : "Funck-Brentano", "given" : "Christian", "non-dropping-particle" : "", "parse-names" : false, "suffix" : "" }, { "dropping-particle" : "", "family" : "Hasdai", "given" : "David", "non-dropping-particle" : "", "parse-names" : false, "suffix" : "" }, { "dropping-particle" : "", "family" : "Hoes", "given" : "Arno", "non-dropping-particle" : "", "parse-names" : false, "suffix" : "" }, { "dropping-particle" : "", "family" : "Kirchhof", "given" : "Paulus", "non-dropping-particle" : "", "parse-names" : false, "suffix" : "" }, { "dropping-particle" : "", "family" : "Knuuti", "given" : "Juhani", "non-dropping-particle" : "", "parse-names" : false, "suffix" : "" }, { "dropping-particle" : "", "family" : "Kolh", "given" : "Philippe", "non-dropping-particle" : "", "parse-names" : false, "suffix" : "" }, { "dropping-particle" : "", "family" : "McDonagh", "given" : "Theresa", "non-dropping-particle" : "", "parse-names" : false, "suffix" : "" }, { "dropping-particle" : "", "family" : "Moulin", "given" : "Cyril", "non-dropping-particle" : "", "parse-names" : false, "suffix" : "" }, { "dropping-particle" : "", "family" : "Popescu", "given" : "Bogdan a", "non-dropping-particle" : "", "parse-names" : false, "suffix" : "" }, { "dropping-particle" : "", "family" : "Reiner", "given" : "Zeljko", "non-dropping-particle" : "", "parse-names" : false, "suffix" : "" }, { "dropping-particle" : "", "family" : "Sechtem", "given" : "Udo", "non-dropping-particle" : "", "parse-names" : false, "suffix" : "" }, { "dropping-particle" : "", "family" : "Sirnes", "given" : "Per Anton", "non-dropping-particle" : "", "parse-names" : false, "suffix" : "" }, { "dropping-particle" : "", "family" : "Tendera", "given" : "Michal", "non-dropping-particle" : "", "parse-names" : false, "suffix" : "" }, { "dropping-particle" : "", "family" : "Torbicki", "given" : "Adam", "non-dropping-particle" : "", "parse-names" : false, "suffix" : "" }, { "dropping-particle" : "", "family" : "Vahanian", "given" : "Alec", "non-dropping-particle" : "", "parse-names" : false, "suffix" : "" }, { "dropping-particle" : "", "family" : "Windecker", "given" : "Stephan", "non-dropping-particle" : "", "parse-names" : false, "suffix" : "" }, { "dropping-particle" : "", "family" : "McDonagh", "given" : "Theresa", "non-dropping-particle" : "", "parse-names" : false, "suffix" : "" }, { "dropping-particle" : "", "family" : "Sechtem", "given" : "Udo", "non-dropping-particle" : "", "parse-names" : false, "suffix" : "" }, { "dropping-particle" : "", "family" : "Bonet", "given" : "Luis Almenar", "non-dropping-particle" : "", "parse-names" : false, "suffix" : "" }, { "dropping-particle" : "", "family" : "Avraamides", "given" : "Panayiotis", "non-dropping-particle" : "", "parse-names" : false, "suffix" : "" }, { "dropping-particle" : "", "family" : "Lamin", "given" : "Hisham a", "non-dropping-particle" : "Ben", "parse-names" : false, "suffix" : "" }, { "dropping-particle" : "", "family" : "Brignole", "given" : "Michele", "non-dropping-particle" : "", "parse-names" : false, "suffix" : "" }, { "dropping-particle" : "", "family" : "Coca", "given" : "Antonio", "non-dropping-particle" : "", "parse-names" : false, "suffix" : "" }, { "dropping-particle" : "", "family" : "Cowburn", "given" : "Peter", "non-dropping-particle" : "", "parse-names" : false, "suffix" : "" }, { "dropping-particle" : "", "family" : "Dargie", "given" : "Henry", "non-dropping-particle" : "", "parse-names" : false, "suffix" : "" }, { "dropping-particle" : "", "family" : "Elliott", "given" : "Perry", "non-dropping-particle" : "", "parse-names" : false, "suffix" : "" }, { "dropping-particle" : "", "family" : "Flachskampf", "given" : "Frank Arnold", "non-dropping-particle" : "", "parse-names" : false, "suffix" : "" }, { "dropping-particle" : "", "family" : "Guida", "given" : "Guido Francesco", "non-dropping-particle" : "", "parse-names" : false, "suffix" : "" }, { "dropping-particle" : "", "family" : "Hardman", "given" : "Suzanna", "non-dropping-particle" : "", "parse-names" : false, "suffix" : "" }, { "dropping-particle" : "", "family" : "Iung", "given" : "Bernard", "non-dropping-particle" : "", "parse-names" : false, "suffix" : "" }, { "dropping-particle" : "", "family" : "Merkely", "given" : "Bela", "non-dropping-particle" : "", "parse-names" : false, "suffix" : "" }, { "dropping-particle" : "", "family" : "Mueller", "given" : "Christian", "non-dropping-particle" : "", "parse-names" : false, "suffix" : "" }, { "dropping-particle" : "", "family" : "Nanas", "given" : "John N", "non-dropping-particle" : "", "parse-names" : false, "suffix" : "" }, { "dropping-particle" : "", "family" : "Nielsen", "given" : "Olav Wendelboe", "non-dropping-particle" : "", "parse-names" : false, "suffix" : "" }, { "dropping-particle" : "", "family" : "Orn", "given" : "Stein", "non-dropping-particle" : "", "parse-names" : false, "suffix" : "" }, { "dropping-particle" : "", "family" : "Parissis", "given" : "John T", "non-dropping-particle" : "", "parse-names" : false, "suffix" : "" }, { "dropping-particle" : "", "family" : "Ponikowski", "given" : "Piotr", "non-dropping-particle" : "", "parse-names" : false, "suffix" : "" }, { "dropping-particle" : "", "family" : "ESC Committee for Practice Guidelines", "given" : "", "non-dropping-particle" : "", "parse-names" : false, "suffix" : "" } ], "container-title" : "European journal of heart failure", "id" : "ITEM-4", "issue" : "8", "issued" : { "date-parts" : [ [ "2012", "8" ] ] }, "page" : "803-69", "title" : "ESC guidelines for the diagnosis and treatment of acute and chronic heart failure 2012: The Task Force for the Diagnosis and Treatment of Acute and Chronic Heart Failure 2012 of the European Society of Cardiology. Developed in collaboration with the Heart", "type" : "article-journal", "volume" : "14" }, "uris" : [ "http://www.mendeley.com/documents/?uuid=127cc366-5d5d-4141-9aaf-dadce2574fb0" ] }, { "id" : "ITEM-5", "itemData" : { "DOI" : "10.1093/eurheartj/ehn309", "ISSN" : "1522-9645", "PMID" : "18799522", "author" : [ { "dropping-particle" : "", "family" : "Dickstein", "given" : "Kenneth", "non-dropping-particle" : "", "parse-names" : false, "suffix" : "" }, { "dropping-particle" : "", "family" : "Cohen-Solal", "given" : "Alain", "non-dropping-particle" : "", "parse-names" : false, "suffix" : "" }, { "dropping-particle" : "", "family" : "Filippatos", "given" : "Gerasimos", "non-dropping-particle" : "", "parse-names" : false, "suffix" : "" }, { "dropping-particle" : "V", "family" : "McMurray", "given" : "John J", "non-dropping-particle" : "", "parse-names" : false, "suffix" : "" }, { "dropping-particle" : "", "family" : "Ponikowski", "given" : "Piotr", "non-dropping-particle" : "", "parse-names" : false, "suffix" : "" }, { "dropping-particle" : "", "family" : "Poole-Wilson", "given" : "Philip Alexander", "non-dropping-particle" : "", "parse-names" : false, "suffix" : "" }, { "dropping-particle" : "", "family" : "Str\u00f6mberg", "given" : "Anna", "non-dropping-particle" : "", "parse-names" : false, "suffix" : "" }, { "dropping-particle" : "", "family" : "Veldhuisen", "given" : "Dirk J", "non-dropping-particle" : "van", "parse-names" : false, "suffix" : "" }, { "dropping-particle" : "", "family" : "Atar", "given" : "Dan", "non-dropping-particle" : "", "parse-names" : false, "suffix" : "" }, { "dropping-particle" : "", "family" : "Hoes", "given" : "Arno W", "non-dropping-particle" : "", "parse-names" : false, "suffix" : "" }, { "dropping-particle" : "", "family" : "Keren", "given" : "Andre", "non-dropping-particle" : "", "parse-names" : false, "suffix" : "" }, { "dropping-particle" : "", "family" : "Mebazaa", "given" : "Alexandre", "non-dropping-particle" : "", "parse-names" : false, "suffix" : "" }, { "dropping-particle" : "", "family" : "Nieminen", "given" : "Markku", "non-dropping-particle" : "", "parse-names" : false, "suffix" : "" }, { "dropping-particle" : "", "family" : "Priori", "given" : "Silvia Giuliana", "non-dropping-particle" : "", "parse-names" : false, "suffix" : "" }, { "dropping-particle" : "", "family" : "Swedberg", "given" : "Karl", "non-dropping-particle" : "", "parse-names" : false, "suffix" : "" }, { "dropping-particle" : "", "family" : "ESC Committee for Practice Guidelines (CPG)", "given" : "", "non-dropping-particle" : "", "parse-names" : false, "suffix" : "" } ], "container-title" : "European heart journal", "id" : "ITEM-5", "issue" : "19", "issued" : { "date-parts" : [ [ "2008", "10", "1" ] ] }, "page" : "2388-442", "title" : "ESC Guidelines for the diagnosis and treatment of acute and chronic heart failure 2008: the Task Force for the Diagnosis and Treatment of Acute and Chronic Heart Failure 2008 of the European Society of Cardiology. Developed in collaboration with the Heart", "type" : "article-journal", "volume" : "29" }, "uris" : [ "http://www.mendeley.com/documents/?uuid=66357fde-93a9-4fac-ac3b-6e977b367958" ] }, { "id" : "ITEM-6", "itemData" : { "DOI" : "10.1161/CIRCHEARTFAILURE.108.770834", "ISBN" : "1941-3297 (Electronic)\\r1941-3289 (Linking)", "ISSN" : "1941-3297", "PMID" : "19808263", "author" : [ { "dropping-particle" : "", "family" : "Schrier", "given" : "Robert W", "non-dropping-particle" : "", "parse-names" : false, "suffix" : "" } ], "container-title" : "Circulation. Heart failure", "id" : "ITEM-6", "issue" : "1", "issued" : { "date-parts" : [ [ "2008", "5", "1" ] ] }, "page" : "2-5", "title" : "Blood urea nitrogen and serum creatinine: not married in heart failure.", "type" : "article-journal", "volume" : "1" }, "uris" : [ "http://www.mendeley.com/documents/?uuid=804b884b-dd44-4cd0-947f-13199f6b973a" ] }, { "id" : "ITEM-7", "itemData" : { "DOI" : "10.1161/01.CIR.0000126889.97626.B8", "ISSN" : "1524-4539", "PMID" : "15096460", "abstract" : "PMID: 15096460", "author" : [ { "dropping-particle" : "", "family" : "Toth", "given" : "Peter P.", "non-dropping-particle" : "", "parse-names" : false, "suffix" : "" } ], "container-title" : "Circulation", "id" : "ITEM-7", "issue" : "15", "issued" : { "date-parts" : [ [ "2004", "4", "20" ] ] }, "page" : "1809-12", "title" : "High-density lipoprotein and cardiovascular risk.", "type" : "article-journal", "volume" : "109" }, "uris" : [ "http://www.mendeley.com/documents/?uuid=b44af1fa-6f5c-47df-8f9f-c24ab8397539" ] }, { "id" : "ITEM-8", "itemData" : { "DOI" : "10.1016/S0735-1097(02)01854-5", "ISBN" : "0735-1097", "ISSN" : "0735-1097", "PMID" : "12039491", "abstract" : "OBJECTIVES This study aimed to evaluate the relationship between anemia and heart failure (HF) prognosis. BACKGROUND Although it is known that chronic diseases, including HF, may be associated with anemia, the impact of hemoglobin (Hb) level on symptoms and survival in HF has not been fully defined. We analyzed a cohort of 1,061 patients with advanced HF (New York Heart Association [NYHA] functional class III or IV and left ventricular ejection fraction [LVEF] &lt;40%) referred to a single center for evaluation and management. The Hb level was drawn at time of initial evaluation. Patients were divided into quartiles of Hb: Hb &lt;12.3; Hb 12.3 to 13.6; Hb 13.7 to 14.8; Hb &gt;14.8 g/dl. RESULTS Mean Hb was 13.6, and values ranged from 7.1 to 19.0 g/dl. The Hb groups were similar in age, medication profile, LVEF, hypertension, diabetes, smoking status and serum sodium. Lower Hb was associated with an impaired hemodynamic profile, higher blood urea nitrogen and creatinine, and lower albumin, total cholesterol and body mass index. Patients in the lower Hb quartiles were more likely to be NYHA functional class IV (p &lt; 0.0001) and have lower peak oxygen consumption (PKVO(2)) (p &lt; 0.0001). Survival at one year was higher with increased Hb quartile (55.6%, 63.9%, 71.4% and 74.4% for quartiles 1, 2, 3 and 4, respectively). On multivariate analysis adjusting for known HF prognostic factors, low Hb proved to be an independent predictor of mortality (relative risk 1.131, confidence interval 1.045 to 1.224 for each decrease of 1 g/dl). CONCLUSIONS In chronic HF, relatively mild degrees of anemia are associated with worsened symptoms, functional status and survival.", "author" : [ { "dropping-particle" : "", "family" : "Horwich", "given" : "Tamara B", "non-dropping-particle" : "", "parse-names" : false, "suffix" : "" }, { "dropping-particle" : "", "family" : "Fonarow", "given" : "Gregg C", "non-dropping-particle" : "", "parse-names" : false, "suffix" : "" }, { "dropping-particle" : "", "family" : "Hamilton", "given" : "Michele A", "non-dropping-particle" : "", "parse-names" : false, "suffix" : "" }, { "dropping-particle" : "", "family" : "MacLellan", "given" : "W Robb", "non-dropping-particle" : "", "parse-names" : false, "suffix" : "" }, { "dropping-particle" : "", "family" : "Borenstein", "given" : "Jeff", "non-dropping-particle" : "", "parse-names" : false, "suffix" : "" } ], "container-title" : "Journal of the American College of Cardiology", "id" : "ITEM-8", "issue" : "11", "issued" : { "date-parts" : [ [ "2002", "6", "5" ] ] }, "page" : "1780-6", "title" : "Anemia is associated with worse symptoms, greater impairment in functional capacity and a significant increase in mortality in patients with advanced heart failure.", "type" : "article-journal", "volume" : "39" }, "uris" : [ "http://www.mendeley.com/documents/?uuid=754e6340-38f4-4a4a-9f13-e7001f36d02f" ] }, { "id" : "ITEM-9", "itemData" : { "DOI" : "10.1161/CIRCHEARTFAILURE.113.000242", "ISSN" : "1941-3297", "PMID" : "24347663", "abstract" : "BACKGROUND In patients with heart failure, renal dysfunction is associated with a poor outcome. We aimed to assess the prognostic value of plasma neutrophil gelatinase-associated lipocalin (NGAL), a novel marker of renal tubular damage, in patients with heart failure with or without renal dysfunction, and compare it with 2 frequently used biomarkers of chronic kidney disease. METHODS AND RESULTS Plasma NGAL, estimated glomerular filtration rate (eGFR), and cystatin C were assessed in 562 patients with heart failure. Chronic kidney disease was defined as eGFR&lt;60 mL/min per 1.73 m2. Outcome was all-cause mortality at 36 months. Mean age was 71\u00b111 years, 61% were men, and 97% were in New York Heart Association functional class II/III. Mean baseline eGFR was 54\u00b120 mL/min per 1.73 m2, mean cystatin C was 11.2 (7.7-16.2) mg/L, and median plasma NGAL was 85 (60-123) ng/mL. Higher plasma NGAL levels were independently associated with an increased risk of all-cause mortality, in patients with and without chronic kidney disease (hazard ratio [per SD increase in log NGAL]=1.45 [1.22-1.72]; P&lt;0.001 and hazard ratio=1.51 [1.06-2.16]; P=0.023, respectively). Similarly, both in patients with high and low cystatin C (median cut-off), higher plasma NGAL levels were independently associated with an increased risk of all-cause mortality. Moreover, when NGAL was entered in the multivariable risk prediction model, eGFR (P=0.616) and cystatin C (P=0.937) were no longer associated with mortality. CONCLUSIONS Plasma NGAL predicts mortality in patients with heart failure, both in patients with and without chronic kidney disease and is a stronger predictor for mortality than the established renal function indices eGFR and cystatin C.", "author" : [ { "dropping-particle" : "", "family" : "Deursen", "given" : "Vincent M", "non-dropping-particle" : "van", "parse-names" : false, "suffix" : "" }, { "dropping-particle" : "", "family" : "Damman", "given" : "Kevin", "non-dropping-particle" : "", "parse-names" : false, "suffix" : "" }, { "dropping-particle" : "", "family" : "Voors", "given" : "Adriaan A.", "non-dropping-particle" : "", "parse-names" : false, "suffix" : "" }, { "dropping-particle" : "", "family" : "Wal", "given" : "Martje H", "non-dropping-particle" : "van der", "parse-names" : false, "suffix" : "" }, { "dropping-particle" : "", "family" : "Jaarsma", "given" : "Tiny", "non-dropping-particle" : "", "parse-names" : false, "suffix" : "" }, { "dropping-particle" : "", "family" : "Veldhuisen", "given" : "Dirk J", "non-dropping-particle" : "van", "parse-names" : false, "suffix" : "" }, { "dropping-particle" : "", "family" : "Hillege", "given" : "Hans L.", "non-dropping-particle" : "", "parse-names" : false, "suffix" : "" } ], "container-title" : "Circulation. Heart failure", "id" : "ITEM-9", "issue" : "1", "issued" : { "date-parts" : [ [ "2014", "1" ] ] }, "page" : "35-42", "title" : "Prognostic value of plasma neutrophil gelatinase-associated lipocalin for mortality in patients with heart failure.", "type" : "article-journal", "volume" : "7" }, "uris" : [ "http://www.mendeley.com/documents/?uuid=65a2a54d-1335-4db7-8efc-0931cf325ed3" ] }, { "id" : "ITEM-10", "itemData" : { "DOI" : "10.1016/j.jchf.2012.11.005", "ISSN" : "2213-1787", "PMID" : "24621840", "abstract" : "OBJECTIVES This study investigated clinical determinants and added prognostic value of HE4 as a biomarker not previously described in heart failure (HF). BACKGROUND Identification of plasma biomarkers that help to risk stratify HF patients may help to improve treatment. METHODS Plasma HE4 levels were determined in 567 participants of the COACH (Coordinating study evaluating outcomes of Advising and Counseling in Heart failure). Patients had been hospitalized for HF and were followed for 18 months. The primary endpoint of this study was a composite of all-cause mortality and HF hospitalization. RESULTS HE4 showed a strong correlation with HF severity, according to New York Heart Association functional class and brain natriuretic peptide (BNP) levels (p &lt; 0.001). HE4 also showed a positive correlation with GDF15 (p &lt; 0.001) and, in addition, correlated with kidney function (estimated glomerular filtration rate [eGFR]; p &lt; 0.001). Cox regression analysis revealed that a doubling of HE4 levels was associated with a hazard ratio (HR) of 1.73 (95% confidence interval [CI]: 1.53 to 1.95) for the primary outcome (p &lt; 0.001). After correction for age, gender, BNP, and eGFR, the HR was 1.46 (95% CI: 1.23 to 1.72; p &lt; 0.001), and after additional adjustment for GDF15, the HR lowered to 1.30 (95% CI: 1.07 to 1.59; p = 0.009). The area under the curve in the receiver-operating characteristic curve analysis increased from 0.727 to 0.752 when HE4 was included in the clinical evaluation (p = 0.051). The integrated discrimination improvement and net reclassification index for reclassification showed significant improvements when HE4 was added to the clinical model, and this remained significant after BNP inclusion in the model. CONCLUSIONS HE4 plasma levels are correlated with markers of HF severity, show prognostic value, and can improve risk assessment in HF.", "author" : [ { "dropping-particle" : "", "family" : "Boer", "given" : "Rudolf A", "non-dropping-particle" : "de", "parse-names" : false, "suffix" : "" }, { "dropping-particle" : "", "family" : "Cao", "given" : "Qi", "non-dropping-particle" : "", "parse-names" : false, "suffix" : "" }, { "dropping-particle" : "", "family" : "Postmus", "given" : "Douwe", "non-dropping-particle" : "", "parse-names" : false, "suffix" : "" }, { "dropping-particle" : "", "family" : "Damman", "given" : "Kevin", "non-dropping-particle" : "", "parse-names" : false, "suffix" : "" }, { "dropping-particle" : "", "family" : "Voors", "given" : "Adriaan A.", "non-dropping-particle" : "", "parse-names" : false, "suffix" : "" }, { "dropping-particle" : "", "family" : "Jaarsma", "given" : "Tiny", "non-dropping-particle" : "", "parse-names" : false, "suffix" : "" }, { "dropping-particle" : "", "family" : "Veldhuisen", "given" : "Dirk J", "non-dropping-particle" : "van", "parse-names" : false, "suffix" : "" }, { "dropping-particle" : "", "family" : "Arnold", "given" : "William D.", "non-dropping-particle" : "", "parse-names" : false, "suffix" : "" }, { "dropping-particle" : "", "family" : "Hillege", "given" : "Hans L.", "non-dropping-particle" : "", "parse-names" : false, "suffix" : "" }, { "dropping-particle" : "", "family" : "Sillj\u00e9", "given" : "Herman H W", "non-dropping-particle" : "", "parse-names" : false, "suffix" : "" } ], "container-title" : "JACC. Heart failure", "id" : "ITEM-10", "issue" : "2", "issued" : { "date-parts" : [ [ "2013", "4" ] ] }, "page" : "164-9", "title" : "The WAP four-disulfide core domain protein HE4: a novel biomarker for heart failure.", "type" : "article-journal", "volume" : "1" }, "uris" : [ "http://www.mendeley.com/documents/?uuid=9600ca60-dda4-45f5-9891-4765035b2486" ] } ], "mendeley" : { "formattedCitation" : "(9, 10, 31\u201338)", "plainTextFormattedCitation" : "(9, 10, 31\u201338)", "previouslyFormattedCitation" : "(9, 10, 31\u201338)" }, "properties" : { "noteIndex" : 0 }, "schema" : "https://github.com/citation-style-language/schema/raw/master/csl-citation.json" }</w:instrText>
      </w:r>
      <w:r w:rsidR="00883E14" w:rsidRPr="004F4BB2">
        <w:rPr>
          <w:color w:val="000000" w:themeColor="text1"/>
        </w:rPr>
        <w:fldChar w:fldCharType="separate"/>
      </w:r>
      <w:r w:rsidR="00A032C6" w:rsidRPr="00A032C6">
        <w:rPr>
          <w:noProof/>
          <w:color w:val="000000" w:themeColor="text1"/>
          <w:lang w:val="en-US"/>
        </w:rPr>
        <w:t>(9, 10, 31–38)</w:t>
      </w:r>
      <w:r w:rsidR="00883E14" w:rsidRPr="004F4BB2">
        <w:rPr>
          <w:color w:val="000000" w:themeColor="text1"/>
        </w:rPr>
        <w:fldChar w:fldCharType="end"/>
      </w:r>
      <w:r w:rsidR="00883E14" w:rsidRPr="004F4BB2">
        <w:rPr>
          <w:color w:val="000000" w:themeColor="text1"/>
          <w:lang w:val="en-US"/>
        </w:rPr>
        <w:t>, but</w:t>
      </w:r>
      <w:r w:rsidRPr="004F4BB2">
        <w:rPr>
          <w:color w:val="000000" w:themeColor="text1"/>
          <w:lang w:val="en-US"/>
        </w:rPr>
        <w:t xml:space="preserve"> a differential predictive value in patients who were successfully up</w:t>
      </w:r>
      <w:r w:rsidR="00A47E12" w:rsidRPr="004F4BB2">
        <w:rPr>
          <w:color w:val="000000" w:themeColor="text1"/>
          <w:lang w:val="en-US"/>
        </w:rPr>
        <w:t>-</w:t>
      </w:r>
      <w:r w:rsidRPr="004F4BB2">
        <w:rPr>
          <w:color w:val="000000" w:themeColor="text1"/>
          <w:lang w:val="en-US"/>
        </w:rPr>
        <w:t>titrated versus those who were not, was as yet unk</w:t>
      </w:r>
      <w:r w:rsidR="00DB59F8" w:rsidRPr="004F4BB2">
        <w:rPr>
          <w:color w:val="000000" w:themeColor="text1"/>
          <w:lang w:val="en-US"/>
        </w:rPr>
        <w:t>n</w:t>
      </w:r>
      <w:r w:rsidRPr="004F4BB2">
        <w:rPr>
          <w:color w:val="000000" w:themeColor="text1"/>
          <w:lang w:val="en-US"/>
        </w:rPr>
        <w:t xml:space="preserve">own. </w:t>
      </w:r>
      <w:r w:rsidR="00883E14" w:rsidRPr="004F4BB2">
        <w:rPr>
          <w:color w:val="000000" w:themeColor="text1"/>
          <w:lang w:val="en-US"/>
        </w:rPr>
        <w:t>This observation may be useful to identify residual heart failure disease and additional treatment targets in heart failure patients.</w:t>
      </w:r>
      <w:r w:rsidR="006660D8" w:rsidRPr="004F4BB2">
        <w:rPr>
          <w:color w:val="000000" w:themeColor="text1"/>
          <w:lang w:val="en-US"/>
        </w:rPr>
        <w:t xml:space="preserve"> </w:t>
      </w:r>
      <w:r w:rsidR="00837841" w:rsidRPr="005069E5">
        <w:rPr>
          <w:color w:val="000000" w:themeColor="text1"/>
          <w:lang w:val="en-US"/>
        </w:rPr>
        <w:t>Although our biomarker-based treatment-</w:t>
      </w:r>
      <w:r w:rsidR="00837841" w:rsidRPr="006F5DEC">
        <w:rPr>
          <w:color w:val="000000" w:themeColor="text1"/>
          <w:lang w:val="en-US"/>
        </w:rPr>
        <w:t>selection models have comparable performance to other prediction models, the performance of these models is still modest and they have large confidence bounds. In this study, we only looked at benefit, and did not take harm into account. Not up-titrating might be more beneficial for a patient, however up-titrating might not do harm.</w:t>
      </w:r>
    </w:p>
    <w:p w14:paraId="40C0F2B3" w14:textId="77777777" w:rsidR="001C748B" w:rsidRDefault="002C2536" w:rsidP="001C748B">
      <w:pPr>
        <w:spacing w:line="480" w:lineRule="auto"/>
        <w:ind w:firstLine="720"/>
        <w:rPr>
          <w:color w:val="000000" w:themeColor="text1"/>
          <w:lang w:val="en-GB"/>
        </w:rPr>
      </w:pPr>
      <w:r w:rsidRPr="004F4BB2">
        <w:rPr>
          <w:color w:val="000000" w:themeColor="text1"/>
          <w:lang w:val="en-GB"/>
        </w:rPr>
        <w:t>W</w:t>
      </w:r>
      <w:r w:rsidR="00883E14" w:rsidRPr="004F4BB2">
        <w:rPr>
          <w:color w:val="000000" w:themeColor="text1"/>
          <w:lang w:val="en-GB"/>
        </w:rPr>
        <w:t xml:space="preserve">e decided to dichotomize up-titration into successful or not. In </w:t>
      </w:r>
      <w:r w:rsidR="00DB59F8" w:rsidRPr="004F4BB2">
        <w:rPr>
          <w:color w:val="000000" w:themeColor="text1"/>
          <w:lang w:val="en-GB"/>
        </w:rPr>
        <w:t xml:space="preserve">clinical </w:t>
      </w:r>
      <w:r w:rsidR="00883E14" w:rsidRPr="004F4BB2">
        <w:rPr>
          <w:color w:val="000000" w:themeColor="text1"/>
          <w:lang w:val="en-GB"/>
        </w:rPr>
        <w:t xml:space="preserve">practice, the actual doses of ACE inhibitors/ARB’s and beta-blockers </w:t>
      </w:r>
      <w:r w:rsidR="00907CD0" w:rsidRPr="004F4BB2">
        <w:rPr>
          <w:color w:val="000000" w:themeColor="text1"/>
          <w:lang w:val="en-GB"/>
        </w:rPr>
        <w:t xml:space="preserve">vary </w:t>
      </w:r>
      <w:r w:rsidR="00883E14" w:rsidRPr="004F4BB2">
        <w:rPr>
          <w:color w:val="000000" w:themeColor="text1"/>
          <w:lang w:val="en-GB"/>
        </w:rPr>
        <w:t>substantially</w:t>
      </w:r>
      <w:r w:rsidR="00641933" w:rsidRPr="004F4BB2">
        <w:rPr>
          <w:color w:val="000000" w:themeColor="text1"/>
          <w:lang w:val="en-GB"/>
        </w:rPr>
        <w:t xml:space="preserve">. Since we recently published data from BIOSTAT-CHF showing that up-titrating patients to 50-99% of recommended ACE-inhibitor/ARB and beta-blocker doses results in comparable survival and/or </w:t>
      </w:r>
      <w:r w:rsidR="00641933" w:rsidRPr="004F4BB2">
        <w:rPr>
          <w:color w:val="000000" w:themeColor="text1"/>
          <w:lang w:val="en-GB"/>
        </w:rPr>
        <w:lastRenderedPageBreak/>
        <w:t xml:space="preserve">heart failure related hospitalization </w:t>
      </w:r>
      <w:r w:rsidR="00641933" w:rsidRPr="005069E5">
        <w:rPr>
          <w:color w:val="000000" w:themeColor="text1"/>
          <w:lang w:val="en-GB"/>
        </w:rPr>
        <w:t xml:space="preserve">reduction </w:t>
      </w:r>
      <w:r w:rsidR="005A17A4" w:rsidRPr="00F60220">
        <w:rPr>
          <w:color w:val="000000" w:themeColor="text1"/>
          <w:lang w:val="en-GB"/>
        </w:rPr>
        <w:fldChar w:fldCharType="begin" w:fldLock="1"/>
      </w:r>
      <w:r w:rsidR="00A032C6">
        <w:rPr>
          <w:color w:val="000000" w:themeColor="text1"/>
          <w:lang w:val="en-GB"/>
        </w:rPr>
        <w:instrText>ADDIN CSL_CITATION { "citationItems" : [ { "id" : "ITEM-1", "itemData" : { "DOI" : "10.1093/eurheartj/ehx026", "ISSN" : "0195-668X", "PMID" : "28329163", "abstract" : "Introduction Despite clear guidelines recommendations, most patients with heart failure and reduced ejection-fraction (HFrEF) do not attain guideline-recommended target doses. We aimed to investigate characteristics and for treatment-indication-bias corrected clinical outcome of patients with HFrEF that did not reach recommended treatment doses of ACE-inhibitors/Angiotensin receptor blockers (ARBs) and/or beta-blockers. Methods and results BIOSTAT-CHF was specifically designed to study uptitration of ACE-inhibitors/ARBs and/or beta-blockers in 2516 heart failure patients from 69 centres in 11 European countries who were selected if they were suboptimally treated while initiation or uptitration was anticipated and encouraged. Patients who died during the uptitration period (n = 151) and patients with a LVEF &gt; 40% (n = 242) were excluded. Median follow up was 21 months. We studied 2100 HFrEF patients (76% male; mean age 68 \u00b112), of which 22% achieved the recommended treatment dose for ACE-inhibitor/ARB and 12% of beta-blocker. There were marked differences between European countries. Reaching &lt;50% of the recommended ACE-inhibitor/ARB and beta-blocker dose was associated with an increased risk of death and/or heart failure hospitalization. Patients reaching 50-99% of the recommended ACE-inhibitor/ARB and/or beta-blocker dose had comparable risk of death and/or heart failure hospitalization to those reaching \u2265100%. Patients not reaching recommended dose because of symptoms, side effects and non-cardiac organ dysfunction had the highest mortality rate (for ACE-inhibitor/ARB: HR 1.72; 95% CI 1.43-2.01; for beta-blocker: HR 1.70; 95% CI 1.36-2.05). Conclusion Patients with HFrEF who were treated with less than 50% of recommended dose of ACE-inhibitors/ARBs and beta-blockers seemed to have a greater risk of death and/or heart failure hospitalization compared with patients reaching \u2265100%.", "author" : [ { "dropping-particle" : "", "family" : "Ouwerkerk", "given" : "Wouter", "non-dropping-particle" : "", "parse-names" : false, "suffix" : "" }, { "dropping-particle" : "", "family" : "Voors", "given" : "A.A.", "non-dropping-particle" : "", "parse-names" : false, "suffix" : "" }, { "dropping-particle" : "", "family" : "Anker", "given" : "S.D.", "non-dropping-particle" : "", "parse-names" : false, "suffix" : "" }, { "dropping-particle" : "", "family" : "Cleland", "given" : "J.G.", "non-dropping-particle" : "", "parse-names" : false, "suffix" : "" }, { "dropping-particle" : "", "family" : "Dickstein", "given" : "Kenneth", "non-dropping-particle" : "", "parse-names" : false, "suffix" : "" }, { "dropping-particle" : "", "family" : "Filippatos", "given" : "Gerasimos", "non-dropping-particle" : "", "parse-names" : false, "suffix" : "" }, { "dropping-particle" : "", "family" : "Harst", "given" : "Pim", "non-dropping-particle" : "van der", "parse-names" : false, "suffix" : "" }, { "dropping-particle" : "", "family" : "Hillege", "given" : "H.L.", "non-dropping-particle" : "", "parse-names" : false, "suffix" : "" }, { "dropping-particle" : "", "family" : "Lang", "given" : "C.C.", "non-dropping-particle" : "", "parse-names" : false, "suffix" : "" }, { "dropping-particle" : "", "family" : "Maaten", "given" : "J.M.", "non-dropping-particle" : "ter", "parse-names" : false, "suffix" : "" }, { "dropping-particle" : "", "family" : "Ng", "given" : "L.L.", "non-dropping-particle" : "", "parse-names" : false, "suffix" : "" }, { "dropping-particle" : "", "family" : "Ponikowski", "given" : "Piotr", "non-dropping-particle" : "", "parse-names" : false, "suffix" : "" }, { "dropping-particle" : "", "family" : "Samani", "given" : "N.J", "non-dropping-particle" : "", "parse-names" : false, "suffix" : "" }, { "dropping-particle" : "", "family" : "Veldhuisen", "given" : "D.J.", "non-dropping-particle" : "van", "parse-names" : false, "suffix" : "" }, { "dropping-particle" : "", "family" : "Zannad", "given" : "Faiz", "non-dropping-particle" : "", "parse-names" : false, "suffix" : "" }, { "dropping-particle" : "", "family" : "Metra", "given" : "Marco", "non-dropping-particle" : "", "parse-names" : false, "suffix" : "" }, { "dropping-particle" : "", "family" : "Zwinderman", "given" : "A.H.", "non-dropping-particle" : "", "parse-names" : false, "suffix" : "" } ], "container-title" : "European Heart Journal", "id" : "ITEM-1", "issue" : "24", "issued" : { "date-parts" : [ [ "2017", "6", "21" ] ] }, "page" : "1883-1890", "title" : "Determinants and clinical outcome of uptitration of ACE-inhibitors and beta-blockers in patients with heart failure: a prospective European study", "type" : "article-journal", "volume" : "38" }, "uris" : [ "http://www.mendeley.com/documents/?uuid=985ad792-6e3b-4e19-bac3-779bfa1de804" ] } ], "mendeley" : { "formattedCitation" : "(21)", "plainTextFormattedCitation" : "(21)", "previouslyFormattedCitation" : "(21)" }, "properties" : { "noteIndex" : 0 }, "schema" : "https://github.com/citation-style-language/schema/raw/master/csl-citation.json" }</w:instrText>
      </w:r>
      <w:r w:rsidR="005A17A4" w:rsidRPr="00F60220">
        <w:rPr>
          <w:color w:val="000000" w:themeColor="text1"/>
          <w:lang w:val="en-GB"/>
        </w:rPr>
        <w:fldChar w:fldCharType="separate"/>
      </w:r>
      <w:r w:rsidR="00A032C6" w:rsidRPr="00A032C6">
        <w:rPr>
          <w:noProof/>
          <w:color w:val="000000" w:themeColor="text1"/>
          <w:lang w:val="en-GB"/>
        </w:rPr>
        <w:t>(21)</w:t>
      </w:r>
      <w:r w:rsidR="005A17A4" w:rsidRPr="00F60220">
        <w:rPr>
          <w:color w:val="000000" w:themeColor="text1"/>
          <w:lang w:val="en-GB"/>
        </w:rPr>
        <w:fldChar w:fldCharType="end"/>
      </w:r>
      <w:r w:rsidR="00641933" w:rsidRPr="005069E5">
        <w:rPr>
          <w:color w:val="000000" w:themeColor="text1"/>
          <w:lang w:val="en-GB"/>
        </w:rPr>
        <w:t xml:space="preserve">, we </w:t>
      </w:r>
      <w:r w:rsidR="00641933" w:rsidRPr="004F4BB2">
        <w:rPr>
          <w:color w:val="000000" w:themeColor="text1"/>
          <w:lang w:val="en-GB"/>
        </w:rPr>
        <w:t xml:space="preserve">considered patients successfully up-titrated when </w:t>
      </w:r>
      <w:r w:rsidR="009D582A" w:rsidRPr="004F4BB2">
        <w:rPr>
          <w:color w:val="000000" w:themeColor="text1"/>
          <w:lang w:val="en-GB"/>
        </w:rPr>
        <w:t>&gt;50%</w:t>
      </w:r>
      <w:r w:rsidR="00641933" w:rsidRPr="004F4BB2">
        <w:rPr>
          <w:color w:val="000000" w:themeColor="text1"/>
          <w:lang w:val="en-GB"/>
        </w:rPr>
        <w:t xml:space="preserve"> of recommended dose was achieved after 3 months of up-titration.</w:t>
      </w:r>
    </w:p>
    <w:p w14:paraId="32E0C68F" w14:textId="77777777" w:rsidR="001C748B" w:rsidRDefault="00E10EF0" w:rsidP="001C748B">
      <w:pPr>
        <w:spacing w:line="480" w:lineRule="auto"/>
        <w:ind w:firstLine="720"/>
        <w:rPr>
          <w:rFonts w:eastAsia="Times New Roman"/>
          <w:color w:val="000000" w:themeColor="text1"/>
          <w:shd w:val="clear" w:color="auto" w:fill="FFFFFF"/>
          <w:lang w:val="en-US"/>
        </w:rPr>
      </w:pPr>
      <w:r w:rsidRPr="004F4BB2">
        <w:rPr>
          <w:rFonts w:eastAsia="Times New Roman"/>
          <w:color w:val="000000" w:themeColor="text1"/>
          <w:shd w:val="clear" w:color="auto" w:fill="FFFFFF"/>
          <w:lang w:val="en-US"/>
        </w:rPr>
        <w:t xml:space="preserve">The </w:t>
      </w:r>
      <w:r w:rsidR="00A9694E" w:rsidRPr="004F4BB2">
        <w:rPr>
          <w:rFonts w:eastAsia="Times New Roman"/>
          <w:color w:val="000000" w:themeColor="text1"/>
          <w:shd w:val="clear" w:color="auto" w:fill="FFFFFF"/>
          <w:lang w:val="en-US"/>
        </w:rPr>
        <w:t>BIOSTAT-CHF</w:t>
      </w:r>
      <w:r w:rsidRPr="004F4BB2">
        <w:rPr>
          <w:rFonts w:eastAsia="Times New Roman"/>
          <w:color w:val="000000" w:themeColor="text1"/>
          <w:shd w:val="clear" w:color="auto" w:fill="FFFFFF"/>
          <w:lang w:val="en-US"/>
        </w:rPr>
        <w:t xml:space="preserve"> population </w:t>
      </w:r>
      <w:r w:rsidR="00E870A2" w:rsidRPr="004F4BB2">
        <w:rPr>
          <w:rFonts w:eastAsia="Times New Roman"/>
          <w:color w:val="000000" w:themeColor="text1"/>
          <w:shd w:val="clear" w:color="auto" w:fill="FFFFFF"/>
          <w:lang w:val="en-US"/>
        </w:rPr>
        <w:t xml:space="preserve">mainly consists of </w:t>
      </w:r>
      <w:r w:rsidRPr="004F4BB2">
        <w:rPr>
          <w:rFonts w:eastAsia="Times New Roman"/>
          <w:color w:val="000000" w:themeColor="text1"/>
          <w:shd w:val="clear" w:color="auto" w:fill="FFFFFF"/>
          <w:lang w:val="en-US"/>
        </w:rPr>
        <w:t xml:space="preserve">patients with advanced heart failure who may be more likely to have limited benefit from up-titration of </w:t>
      </w:r>
      <w:r w:rsidR="00A9694E" w:rsidRPr="004F4BB2">
        <w:rPr>
          <w:rFonts w:eastAsia="Times New Roman"/>
          <w:color w:val="000000" w:themeColor="text1"/>
          <w:shd w:val="clear" w:color="auto" w:fill="FFFFFF"/>
          <w:lang w:val="en-US"/>
        </w:rPr>
        <w:t>ACE-inhibitor/ARB and beta-blocker therapy</w:t>
      </w:r>
      <w:r w:rsidRPr="004F4BB2">
        <w:rPr>
          <w:rFonts w:eastAsia="Times New Roman"/>
          <w:color w:val="000000" w:themeColor="text1"/>
          <w:shd w:val="clear" w:color="auto" w:fill="FFFFFF"/>
          <w:lang w:val="en-US"/>
        </w:rPr>
        <w:t xml:space="preserve">. These patients </w:t>
      </w:r>
      <w:r w:rsidR="00E870A2" w:rsidRPr="004F4BB2">
        <w:rPr>
          <w:rFonts w:eastAsia="Times New Roman"/>
          <w:color w:val="000000" w:themeColor="text1"/>
          <w:shd w:val="clear" w:color="auto" w:fill="FFFFFF"/>
          <w:lang w:val="en-US"/>
        </w:rPr>
        <w:t>may</w:t>
      </w:r>
      <w:r w:rsidRPr="004F4BB2">
        <w:rPr>
          <w:rFonts w:eastAsia="Times New Roman"/>
          <w:color w:val="000000" w:themeColor="text1"/>
          <w:shd w:val="clear" w:color="auto" w:fill="FFFFFF"/>
          <w:lang w:val="en-US"/>
        </w:rPr>
        <w:t xml:space="preserve"> be worsened by even small doses of </w:t>
      </w:r>
      <w:r w:rsidR="00A9694E" w:rsidRPr="004F4BB2">
        <w:rPr>
          <w:rFonts w:eastAsia="Times New Roman"/>
          <w:color w:val="000000" w:themeColor="text1"/>
          <w:shd w:val="clear" w:color="auto" w:fill="FFFFFF"/>
          <w:lang w:val="en-US"/>
        </w:rPr>
        <w:t>beta-blockers</w:t>
      </w:r>
      <w:r w:rsidR="00E870A2" w:rsidRPr="004F4BB2">
        <w:rPr>
          <w:rFonts w:eastAsia="Times New Roman"/>
          <w:color w:val="000000" w:themeColor="text1"/>
          <w:shd w:val="clear" w:color="auto" w:fill="FFFFFF"/>
          <w:lang w:val="en-US"/>
        </w:rPr>
        <w:t>, or t</w:t>
      </w:r>
      <w:r w:rsidRPr="004F4BB2">
        <w:rPr>
          <w:rFonts w:eastAsia="Times New Roman"/>
          <w:color w:val="000000" w:themeColor="text1"/>
          <w:shd w:val="clear" w:color="auto" w:fill="FFFFFF"/>
          <w:lang w:val="en-US"/>
        </w:rPr>
        <w:t xml:space="preserve">hey may experience excessive hypotension and worsening renal function from </w:t>
      </w:r>
      <w:r w:rsidR="00A9694E" w:rsidRPr="004F4BB2">
        <w:rPr>
          <w:rFonts w:eastAsia="Times New Roman"/>
          <w:color w:val="000000" w:themeColor="text1"/>
          <w:shd w:val="clear" w:color="auto" w:fill="FFFFFF"/>
          <w:lang w:val="en-US"/>
        </w:rPr>
        <w:t>ACE-inhibitor/ARBs</w:t>
      </w:r>
      <w:r w:rsidRPr="004F4BB2">
        <w:rPr>
          <w:rFonts w:eastAsia="Times New Roman"/>
          <w:color w:val="000000" w:themeColor="text1"/>
          <w:shd w:val="clear" w:color="auto" w:fill="FFFFFF"/>
          <w:lang w:val="en-US"/>
        </w:rPr>
        <w:t xml:space="preserve">. </w:t>
      </w:r>
      <w:r w:rsidR="00D068EF" w:rsidRPr="004F4BB2">
        <w:rPr>
          <w:rFonts w:eastAsia="Times New Roman"/>
          <w:color w:val="000000" w:themeColor="text1"/>
          <w:shd w:val="clear" w:color="auto" w:fill="FFFFFF"/>
          <w:lang w:val="en-US"/>
        </w:rPr>
        <w:t>BIOSTAT-CHF was specifically designed to record reasons for not up</w:t>
      </w:r>
      <w:r w:rsidR="00450116">
        <w:rPr>
          <w:rFonts w:eastAsia="Times New Roman"/>
          <w:color w:val="000000" w:themeColor="text1"/>
          <w:shd w:val="clear" w:color="auto" w:fill="FFFFFF"/>
          <w:lang w:val="en-US"/>
        </w:rPr>
        <w:t>-</w:t>
      </w:r>
      <w:r w:rsidR="00D068EF" w:rsidRPr="004F4BB2">
        <w:rPr>
          <w:rFonts w:eastAsia="Times New Roman"/>
          <w:color w:val="000000" w:themeColor="text1"/>
          <w:shd w:val="clear" w:color="auto" w:fill="FFFFFF"/>
          <w:lang w:val="en-US"/>
        </w:rPr>
        <w:t>titrating to</w:t>
      </w:r>
      <w:r w:rsidR="00BA7610" w:rsidRPr="004F4BB2">
        <w:rPr>
          <w:rFonts w:eastAsia="Times New Roman"/>
          <w:color w:val="000000" w:themeColor="text1"/>
          <w:shd w:val="clear" w:color="auto" w:fill="FFFFFF"/>
          <w:lang w:val="en-US"/>
        </w:rPr>
        <w:t xml:space="preserve"> recommended treatment doses. </w:t>
      </w:r>
      <w:r w:rsidR="00D068EF" w:rsidRPr="004F4BB2">
        <w:rPr>
          <w:rFonts w:eastAsia="Times New Roman"/>
          <w:color w:val="000000" w:themeColor="text1"/>
          <w:shd w:val="clear" w:color="auto" w:fill="FFFFFF"/>
          <w:lang w:val="en-US"/>
        </w:rPr>
        <w:t xml:space="preserve">Only in 26 and 22% of the patients for ACE-inhibitors/ARBs and beta-blockers, this was caused by intolerance to the drug, either because of organ dysfunction. In the majority of patients, no specific reason was provided </w:t>
      </w:r>
      <w:r w:rsidR="00D068EF" w:rsidRPr="004F4BB2">
        <w:rPr>
          <w:rFonts w:eastAsia="Times New Roman"/>
          <w:color w:val="000000" w:themeColor="text1"/>
          <w:shd w:val="clear" w:color="auto" w:fill="FFFFFF"/>
          <w:lang w:val="en-US"/>
        </w:rPr>
        <w:fldChar w:fldCharType="begin" w:fldLock="1"/>
      </w:r>
      <w:r w:rsidR="00A032C6">
        <w:rPr>
          <w:rFonts w:eastAsia="Times New Roman"/>
          <w:color w:val="000000" w:themeColor="text1"/>
          <w:shd w:val="clear" w:color="auto" w:fill="FFFFFF"/>
          <w:lang w:val="en-US"/>
        </w:rPr>
        <w:instrText>ADDIN CSL_CITATION { "citationItems" : [ { "id" : "ITEM-1", "itemData" : { "DOI" : "10.1093/eurheartj/ehx026", "ISSN" : "0195-668X", "PMID" : "28329163", "abstract" : "Introduction Despite clear guidelines recommendations, most patients with heart failure and reduced ejection-fraction (HFrEF) do not attain guideline-recommended target doses. We aimed to investigate characteristics and for treatment-indication-bias corrected clinical outcome of patients with HFrEF that did not reach recommended treatment doses of ACE-inhibitors/Angiotensin receptor blockers (ARBs) and/or beta-blockers. Methods and results BIOSTAT-CHF was specifically designed to study uptitration of ACE-inhibitors/ARBs and/or beta-blockers in 2516 heart failure patients from 69 centres in 11 European countries who were selected if they were suboptimally treated while initiation or uptitration was anticipated and encouraged. Patients who died during the uptitration period (n = 151) and patients with a LVEF &gt; 40% (n = 242) were excluded. Median follow up was 21 months. We studied 2100 HFrEF patients (76% male; mean age 68 \u00b112), of which 22% achieved the recommended treatment dose for ACE-inhibitor/ARB and 12% of beta-blocker. There were marked differences between European countries. Reaching &lt;50% of the recommended ACE-inhibitor/ARB and beta-blocker dose was associated with an increased risk of death and/or heart failure hospitalization. Patients reaching 50-99% of the recommended ACE-inhibitor/ARB and/or beta-blocker dose had comparable risk of death and/or heart failure hospitalization to those reaching \u2265100%. Patients not reaching recommended dose because of symptoms, side effects and non-cardiac organ dysfunction had the highest mortality rate (for ACE-inhibitor/ARB: HR 1.72; 95% CI 1.43-2.01; for beta-blocker: HR 1.70; 95% CI 1.36-2.05). Conclusion Patients with HFrEF who were treated with less than 50% of recommended dose of ACE-inhibitors/ARBs and beta-blockers seemed to have a greater risk of death and/or heart failure hospitalization compared with patients reaching \u2265100%.", "author" : [ { "dropping-particle" : "", "family" : "Ouwerkerk", "given" : "Wouter", "non-dropping-particle" : "", "parse-names" : false, "suffix" : "" }, { "dropping-particle" : "", "family" : "Voors", "given" : "A.A.", "non-dropping-particle" : "", "parse-names" : false, "suffix" : "" }, { "dropping-particle" : "", "family" : "Anker", "given" : "S.D.", "non-dropping-particle" : "", "parse-names" : false, "suffix" : "" }, { "dropping-particle" : "", "family" : "Cleland", "given" : "J.G.", "non-dropping-particle" : "", "parse-names" : false, "suffix" : "" }, { "dropping-particle" : "", "family" : "Dickstein", "given" : "Kenneth", "non-dropping-particle" : "", "parse-names" : false, "suffix" : "" }, { "dropping-particle" : "", "family" : "Filippatos", "given" : "Gerasimos", "non-dropping-particle" : "", "parse-names" : false, "suffix" : "" }, { "dropping-particle" : "", "family" : "Harst", "given" : "Pim", "non-dropping-particle" : "van der", "parse-names" : false, "suffix" : "" }, { "dropping-particle" : "", "family" : "Hillege", "given" : "H.L.", "non-dropping-particle" : "", "parse-names" : false, "suffix" : "" }, { "dropping-particle" : "", "family" : "Lang", "given" : "C.C.", "non-dropping-particle" : "", "parse-names" : false, "suffix" : "" }, { "dropping-particle" : "", "family" : "Maaten", "given" : "J.M.", "non-dropping-particle" : "ter", "parse-names" : false, "suffix" : "" }, { "dropping-particle" : "", "family" : "Ng", "given" : "L.L.", "non-dropping-particle" : "", "parse-names" : false, "suffix" : "" }, { "dropping-particle" : "", "family" : "Ponikowski", "given" : "Piotr", "non-dropping-particle" : "", "parse-names" : false, "suffix" : "" }, { "dropping-particle" : "", "family" : "Samani", "given" : "N.J", "non-dropping-particle" : "", "parse-names" : false, "suffix" : "" }, { "dropping-particle" : "", "family" : "Veldhuisen", "given" : "D.J.", "non-dropping-particle" : "van", "parse-names" : false, "suffix" : "" }, { "dropping-particle" : "", "family" : "Zannad", "given" : "Faiz", "non-dropping-particle" : "", "parse-names" : false, "suffix" : "" }, { "dropping-particle" : "", "family" : "Metra", "given" : "Marco", "non-dropping-particle" : "", "parse-names" : false, "suffix" : "" }, { "dropping-particle" : "", "family" : "Zwinderman", "given" : "A.H.", "non-dropping-particle" : "", "parse-names" : false, "suffix" : "" } ], "container-title" : "European Heart Journal", "id" : "ITEM-1", "issue" : "24", "issued" : { "date-parts" : [ [ "2017", "6", "21" ] ] }, "page" : "1883-1890", "title" : "Determinants and clinical outcome of uptitration of ACE-inhibitors and beta-blockers in patients with heart failure: a prospective European study", "type" : "article-journal", "volume" : "38" }, "uris" : [ "http://www.mendeley.com/documents/?uuid=985ad792-6e3b-4e19-bac3-779bfa1de804" ] } ], "mendeley" : { "formattedCitation" : "(21)", "plainTextFormattedCitation" : "(21)", "previouslyFormattedCitation" : "(21)" }, "properties" : { "noteIndex" : 17 }, "schema" : "https://github.com/citation-style-language/schema/raw/master/csl-citation.json" }</w:instrText>
      </w:r>
      <w:r w:rsidR="00D068EF" w:rsidRPr="004F4BB2">
        <w:rPr>
          <w:rFonts w:eastAsia="Times New Roman"/>
          <w:color w:val="000000" w:themeColor="text1"/>
          <w:shd w:val="clear" w:color="auto" w:fill="FFFFFF"/>
          <w:lang w:val="en-US"/>
        </w:rPr>
        <w:fldChar w:fldCharType="separate"/>
      </w:r>
      <w:r w:rsidR="00A032C6" w:rsidRPr="00A032C6">
        <w:rPr>
          <w:rFonts w:eastAsia="Times New Roman"/>
          <w:noProof/>
          <w:color w:val="000000" w:themeColor="text1"/>
          <w:shd w:val="clear" w:color="auto" w:fill="FFFFFF"/>
          <w:lang w:val="en-US"/>
        </w:rPr>
        <w:t>(21)</w:t>
      </w:r>
      <w:r w:rsidR="00D068EF" w:rsidRPr="004F4BB2">
        <w:rPr>
          <w:rFonts w:eastAsia="Times New Roman"/>
          <w:color w:val="000000" w:themeColor="text1"/>
          <w:shd w:val="clear" w:color="auto" w:fill="FFFFFF"/>
          <w:lang w:val="en-US"/>
        </w:rPr>
        <w:fldChar w:fldCharType="end"/>
      </w:r>
      <w:r w:rsidR="00562A4E" w:rsidRPr="004F4BB2">
        <w:rPr>
          <w:rFonts w:eastAsia="Times New Roman"/>
          <w:color w:val="000000" w:themeColor="text1"/>
          <w:shd w:val="clear" w:color="auto" w:fill="FFFFFF"/>
          <w:lang w:val="en-US"/>
        </w:rPr>
        <w:t xml:space="preserve">. </w:t>
      </w:r>
      <w:r w:rsidR="004C60C5" w:rsidRPr="004F4BB2">
        <w:rPr>
          <w:rFonts w:eastAsia="Times New Roman"/>
          <w:color w:val="000000" w:themeColor="text1"/>
          <w:shd w:val="clear" w:color="auto" w:fill="FFFFFF"/>
          <w:lang w:val="en-US"/>
        </w:rPr>
        <w:t>T</w:t>
      </w:r>
      <w:r w:rsidR="00125001" w:rsidRPr="004F4BB2">
        <w:rPr>
          <w:rFonts w:eastAsia="Times New Roman"/>
          <w:color w:val="000000" w:themeColor="text1"/>
          <w:shd w:val="clear" w:color="auto" w:fill="FFFFFF"/>
          <w:lang w:val="en-US"/>
        </w:rPr>
        <w:t>his</w:t>
      </w:r>
      <w:r w:rsidR="00E870A2" w:rsidRPr="004F4BB2">
        <w:rPr>
          <w:rFonts w:eastAsia="Times New Roman"/>
          <w:color w:val="000000" w:themeColor="text1"/>
          <w:shd w:val="clear" w:color="auto" w:fill="FFFFFF"/>
          <w:lang w:val="en-US"/>
        </w:rPr>
        <w:t xml:space="preserve"> analysis</w:t>
      </w:r>
      <w:r w:rsidRPr="004F4BB2">
        <w:rPr>
          <w:rFonts w:eastAsia="Times New Roman"/>
          <w:color w:val="000000" w:themeColor="text1"/>
          <w:shd w:val="clear" w:color="auto" w:fill="FFFFFF"/>
          <w:lang w:val="en-US"/>
        </w:rPr>
        <w:t xml:space="preserve"> supports the concept that even less clinical ill patients may not be helped by </w:t>
      </w:r>
      <w:r w:rsidR="00562A4E" w:rsidRPr="004F4BB2">
        <w:rPr>
          <w:rFonts w:eastAsia="Times New Roman"/>
          <w:color w:val="000000" w:themeColor="text1"/>
          <w:shd w:val="clear" w:color="auto" w:fill="FFFFFF"/>
          <w:lang w:val="en-US"/>
        </w:rPr>
        <w:t>ACE-inhibitor/ARB and beta-blocker up</w:t>
      </w:r>
      <w:r w:rsidR="00450116">
        <w:rPr>
          <w:rFonts w:eastAsia="Times New Roman"/>
          <w:color w:val="000000" w:themeColor="text1"/>
          <w:shd w:val="clear" w:color="auto" w:fill="FFFFFF"/>
          <w:lang w:val="en-US"/>
        </w:rPr>
        <w:t>-</w:t>
      </w:r>
      <w:r w:rsidR="00562A4E" w:rsidRPr="004F4BB2">
        <w:rPr>
          <w:rFonts w:eastAsia="Times New Roman"/>
          <w:color w:val="000000" w:themeColor="text1"/>
          <w:shd w:val="clear" w:color="auto" w:fill="FFFFFF"/>
          <w:lang w:val="en-US"/>
        </w:rPr>
        <w:t>titration</w:t>
      </w:r>
      <w:r w:rsidRPr="004F4BB2">
        <w:rPr>
          <w:rFonts w:eastAsia="Times New Roman"/>
          <w:color w:val="000000" w:themeColor="text1"/>
          <w:shd w:val="clear" w:color="auto" w:fill="FFFFFF"/>
          <w:lang w:val="en-US"/>
        </w:rPr>
        <w:t>.</w:t>
      </w:r>
    </w:p>
    <w:p w14:paraId="35541B46" w14:textId="77777777" w:rsidR="001C748B" w:rsidRDefault="00A504AE" w:rsidP="001C748B">
      <w:pPr>
        <w:spacing w:line="480" w:lineRule="auto"/>
        <w:ind w:firstLine="720"/>
        <w:rPr>
          <w:color w:val="000000" w:themeColor="text1"/>
          <w:lang w:val="en-GB"/>
        </w:rPr>
      </w:pPr>
      <w:r w:rsidRPr="004F4BB2">
        <w:rPr>
          <w:color w:val="000000" w:themeColor="text1"/>
          <w:lang w:val="en-GB"/>
        </w:rPr>
        <w:t xml:space="preserve">There were significant hemodynamic differences (heart rate and blood pressure) between patients who were up-titrated </w:t>
      </w:r>
      <w:r w:rsidR="009D582A" w:rsidRPr="004F4BB2">
        <w:rPr>
          <w:color w:val="000000" w:themeColor="text1"/>
          <w:lang w:val="en-US"/>
        </w:rPr>
        <w:t>&gt;50%</w:t>
      </w:r>
      <w:r w:rsidRPr="004F4BB2">
        <w:rPr>
          <w:color w:val="000000" w:themeColor="text1"/>
          <w:lang w:val="en-US"/>
        </w:rPr>
        <w:t xml:space="preserve"> of</w:t>
      </w:r>
      <w:r w:rsidRPr="005069E5">
        <w:rPr>
          <w:color w:val="000000" w:themeColor="text1"/>
          <w:lang w:val="en-GB"/>
        </w:rPr>
        <w:t xml:space="preserve"> </w:t>
      </w:r>
      <w:r w:rsidRPr="004F4BB2">
        <w:rPr>
          <w:color w:val="000000" w:themeColor="text1"/>
          <w:lang w:val="en-GB"/>
        </w:rPr>
        <w:t>recommended treatment dose and those who were not. This might suggest that these and other variables were at least partly responsible for the different achieved up-titration doses.</w:t>
      </w:r>
      <w:r w:rsidR="00C204CB" w:rsidRPr="004F4BB2">
        <w:rPr>
          <w:color w:val="000000" w:themeColor="text1"/>
          <w:lang w:val="en-GB"/>
        </w:rPr>
        <w:t xml:space="preserve"> We corrected for these difference by propensity score matching and inverse probability of treatment weighing.</w:t>
      </w:r>
    </w:p>
    <w:p w14:paraId="37270EB5" w14:textId="77777777" w:rsidR="001C748B" w:rsidRPr="001C748B" w:rsidRDefault="00EE00BE" w:rsidP="001C748B">
      <w:pPr>
        <w:spacing w:line="480" w:lineRule="auto"/>
        <w:rPr>
          <w:i/>
          <w:color w:val="000000" w:themeColor="text1"/>
          <w:lang w:val="en-GB"/>
        </w:rPr>
      </w:pPr>
      <w:r w:rsidRPr="001C748B">
        <w:rPr>
          <w:i/>
          <w:color w:val="000000" w:themeColor="text1"/>
          <w:lang w:val="en-GB"/>
        </w:rPr>
        <w:t>Limitations</w:t>
      </w:r>
    </w:p>
    <w:p w14:paraId="05E0D84B" w14:textId="77777777" w:rsidR="001C748B" w:rsidRDefault="00883E14" w:rsidP="001C748B">
      <w:pPr>
        <w:spacing w:line="480" w:lineRule="auto"/>
        <w:ind w:firstLine="720"/>
        <w:rPr>
          <w:color w:val="000000" w:themeColor="text1"/>
          <w:lang w:val="en-GB"/>
        </w:rPr>
      </w:pPr>
      <w:r w:rsidRPr="004F4BB2">
        <w:rPr>
          <w:color w:val="000000" w:themeColor="text1"/>
          <w:lang w:val="en-GB"/>
        </w:rPr>
        <w:t>One</w:t>
      </w:r>
      <w:r w:rsidR="00567305" w:rsidRPr="004F4BB2">
        <w:rPr>
          <w:color w:val="000000" w:themeColor="text1"/>
          <w:lang w:val="en-GB"/>
        </w:rPr>
        <w:t xml:space="preserve"> major</w:t>
      </w:r>
      <w:r w:rsidRPr="004F4BB2">
        <w:rPr>
          <w:color w:val="000000" w:themeColor="text1"/>
          <w:lang w:val="en-GB"/>
        </w:rPr>
        <w:t xml:space="preserve"> important limitation</w:t>
      </w:r>
      <w:r w:rsidR="00641933" w:rsidRPr="004F4BB2">
        <w:rPr>
          <w:color w:val="000000" w:themeColor="text1"/>
          <w:lang w:val="en-GB"/>
        </w:rPr>
        <w:t xml:space="preserve"> of the present study </w:t>
      </w:r>
      <w:r w:rsidRPr="004F4BB2">
        <w:rPr>
          <w:color w:val="000000" w:themeColor="text1"/>
          <w:lang w:val="en-GB"/>
        </w:rPr>
        <w:t xml:space="preserve">is that heart failure treatment was not randomly assigned in our study. Up-titration of ACE inhibitor/ARB’s and beta-blockers has been shown to be beneficial on average in many randomized clinical trials and has been adopted into the ESC </w:t>
      </w:r>
      <w:r w:rsidR="00DB59F8" w:rsidRPr="004F4BB2">
        <w:rPr>
          <w:color w:val="000000" w:themeColor="text1"/>
          <w:lang w:val="en-GB"/>
        </w:rPr>
        <w:t>heart failure</w:t>
      </w:r>
      <w:r w:rsidRPr="004F4BB2">
        <w:rPr>
          <w:color w:val="000000" w:themeColor="text1"/>
          <w:lang w:val="en-GB"/>
        </w:rPr>
        <w:t xml:space="preserve"> guidelines. It is striking</w:t>
      </w:r>
      <w:r w:rsidR="00907CD0" w:rsidRPr="004F4BB2">
        <w:rPr>
          <w:color w:val="000000" w:themeColor="text1"/>
          <w:lang w:val="en-GB"/>
        </w:rPr>
        <w:t>,</w:t>
      </w:r>
      <w:r w:rsidRPr="004F4BB2">
        <w:rPr>
          <w:color w:val="000000" w:themeColor="text1"/>
          <w:lang w:val="en-GB"/>
        </w:rPr>
        <w:t xml:space="preserve"> however</w:t>
      </w:r>
      <w:r w:rsidR="00907CD0" w:rsidRPr="004F4BB2">
        <w:rPr>
          <w:color w:val="000000" w:themeColor="text1"/>
          <w:lang w:val="en-GB"/>
        </w:rPr>
        <w:t>,</w:t>
      </w:r>
      <w:r w:rsidRPr="004F4BB2">
        <w:rPr>
          <w:color w:val="000000" w:themeColor="text1"/>
          <w:lang w:val="en-GB"/>
        </w:rPr>
        <w:t xml:space="preserve"> that in clinical practice so many patients are not up-titrated to </w:t>
      </w:r>
      <w:r w:rsidR="009D582A" w:rsidRPr="004F4BB2">
        <w:rPr>
          <w:color w:val="000000" w:themeColor="text1"/>
          <w:lang w:val="en-GB"/>
        </w:rPr>
        <w:t>&gt;50%</w:t>
      </w:r>
      <w:r w:rsidRPr="004F4BB2">
        <w:rPr>
          <w:color w:val="000000" w:themeColor="text1"/>
          <w:lang w:val="en-GB"/>
        </w:rPr>
        <w:t xml:space="preserve"> of recommended dose. </w:t>
      </w:r>
      <w:r w:rsidR="00514528" w:rsidRPr="004F4BB2">
        <w:rPr>
          <w:color w:val="000000" w:themeColor="text1"/>
          <w:lang w:val="en-GB"/>
        </w:rPr>
        <w:t>W</w:t>
      </w:r>
      <w:r w:rsidR="00641933" w:rsidRPr="004F4BB2">
        <w:rPr>
          <w:color w:val="000000" w:themeColor="text1"/>
          <w:lang w:val="en-GB"/>
        </w:rPr>
        <w:t>e</w:t>
      </w:r>
      <w:r w:rsidRPr="004F4BB2">
        <w:rPr>
          <w:color w:val="000000" w:themeColor="text1"/>
          <w:lang w:val="en-GB"/>
        </w:rPr>
        <w:t xml:space="preserve"> tried to adjust for this </w:t>
      </w:r>
      <w:r w:rsidR="00514528" w:rsidRPr="004F4BB2">
        <w:rPr>
          <w:color w:val="000000" w:themeColor="text1"/>
          <w:lang w:val="en-GB"/>
        </w:rPr>
        <w:t>treatment-</w:t>
      </w:r>
      <w:r w:rsidR="00567305" w:rsidRPr="004F4BB2">
        <w:rPr>
          <w:color w:val="000000" w:themeColor="text1"/>
          <w:lang w:val="en-GB"/>
        </w:rPr>
        <w:lastRenderedPageBreak/>
        <w:t>indication</w:t>
      </w:r>
      <w:r w:rsidR="00514528" w:rsidRPr="004F4BB2">
        <w:rPr>
          <w:color w:val="000000" w:themeColor="text1"/>
          <w:lang w:val="en-GB"/>
        </w:rPr>
        <w:t xml:space="preserve"> </w:t>
      </w:r>
      <w:r w:rsidRPr="004F4BB2">
        <w:rPr>
          <w:color w:val="000000" w:themeColor="text1"/>
          <w:lang w:val="en-GB"/>
        </w:rPr>
        <w:t>bias</w:t>
      </w:r>
      <w:r w:rsidR="00514528" w:rsidRPr="004F4BB2">
        <w:rPr>
          <w:color w:val="000000" w:themeColor="text1"/>
          <w:lang w:val="en-GB"/>
        </w:rPr>
        <w:t>,</w:t>
      </w:r>
      <w:r w:rsidRPr="004F4BB2">
        <w:rPr>
          <w:color w:val="000000" w:themeColor="text1"/>
          <w:lang w:val="en-GB"/>
        </w:rPr>
        <w:t xml:space="preserve"> </w:t>
      </w:r>
      <w:r w:rsidR="00514528" w:rsidRPr="004F4BB2">
        <w:rPr>
          <w:color w:val="000000" w:themeColor="text1"/>
          <w:lang w:val="en-GB"/>
        </w:rPr>
        <w:t xml:space="preserve">introduced in this cohort type BIOSTAT-CHF study, </w:t>
      </w:r>
      <w:r w:rsidRPr="004F4BB2">
        <w:rPr>
          <w:color w:val="000000" w:themeColor="text1"/>
          <w:lang w:val="en-GB"/>
        </w:rPr>
        <w:t xml:space="preserve">by </w:t>
      </w:r>
      <w:r w:rsidR="00514528" w:rsidRPr="004F4BB2">
        <w:rPr>
          <w:color w:val="000000" w:themeColor="text1"/>
          <w:lang w:val="en-GB"/>
        </w:rPr>
        <w:t>two generally accept</w:t>
      </w:r>
      <w:r w:rsidR="00567305" w:rsidRPr="004F4BB2">
        <w:rPr>
          <w:color w:val="000000" w:themeColor="text1"/>
          <w:lang w:val="en-GB"/>
        </w:rPr>
        <w:t xml:space="preserve">ed advanced </w:t>
      </w:r>
      <w:r w:rsidR="00514528" w:rsidRPr="004F4BB2">
        <w:rPr>
          <w:color w:val="000000" w:themeColor="text1"/>
          <w:lang w:val="en-GB"/>
        </w:rPr>
        <w:t xml:space="preserve">statistical methods: </w:t>
      </w:r>
      <w:r w:rsidRPr="004F4BB2">
        <w:rPr>
          <w:color w:val="000000" w:themeColor="text1"/>
          <w:lang w:val="en-GB"/>
        </w:rPr>
        <w:t xml:space="preserve">propensity scoring and inverse probability of treatment weighing. Whether this corrected the </w:t>
      </w:r>
      <w:r w:rsidR="00567305" w:rsidRPr="004F4BB2">
        <w:rPr>
          <w:color w:val="000000" w:themeColor="text1"/>
          <w:lang w:val="en-GB"/>
        </w:rPr>
        <w:t>treatment-</w:t>
      </w:r>
      <w:r w:rsidRPr="004F4BB2">
        <w:rPr>
          <w:color w:val="000000" w:themeColor="text1"/>
          <w:lang w:val="en-GB"/>
        </w:rPr>
        <w:t xml:space="preserve">indication bias </w:t>
      </w:r>
      <w:r w:rsidR="00567305" w:rsidRPr="004F4BB2">
        <w:rPr>
          <w:color w:val="000000" w:themeColor="text1"/>
          <w:lang w:val="en-GB"/>
        </w:rPr>
        <w:t xml:space="preserve">sufficiently </w:t>
      </w:r>
      <w:r w:rsidR="001C748B">
        <w:rPr>
          <w:color w:val="000000" w:themeColor="text1"/>
          <w:lang w:val="en-GB"/>
        </w:rPr>
        <w:t>is unfortunately not testable.</w:t>
      </w:r>
    </w:p>
    <w:p w14:paraId="4DF9DB05" w14:textId="77777777" w:rsidR="001C748B" w:rsidRDefault="00883E14" w:rsidP="001C748B">
      <w:pPr>
        <w:spacing w:line="480" w:lineRule="auto"/>
        <w:ind w:firstLine="720"/>
        <w:rPr>
          <w:color w:val="000000" w:themeColor="text1"/>
          <w:lang w:val="en-GB"/>
        </w:rPr>
      </w:pPr>
      <w:r w:rsidRPr="004F4BB2">
        <w:rPr>
          <w:color w:val="000000" w:themeColor="text1"/>
          <w:lang w:val="en-GB"/>
        </w:rPr>
        <w:t>A second limitation is the large number of biomarkers that we analysed</w:t>
      </w:r>
      <w:r w:rsidR="00641933" w:rsidRPr="004F4BB2">
        <w:rPr>
          <w:color w:val="000000" w:themeColor="text1"/>
          <w:lang w:val="en-GB"/>
        </w:rPr>
        <w:t xml:space="preserve"> which </w:t>
      </w:r>
      <w:r w:rsidRPr="004F4BB2">
        <w:rPr>
          <w:color w:val="000000" w:themeColor="text1"/>
          <w:lang w:val="en-GB"/>
        </w:rPr>
        <w:t xml:space="preserve">increased the chance of false positive findings. We used Bonferroni correction of </w:t>
      </w:r>
      <w:r w:rsidRPr="004F4BB2">
        <w:rPr>
          <w:i/>
          <w:color w:val="000000" w:themeColor="text1"/>
          <w:lang w:val="en-GB"/>
        </w:rPr>
        <w:t>p</w:t>
      </w:r>
      <w:r w:rsidRPr="004F4BB2">
        <w:rPr>
          <w:color w:val="000000" w:themeColor="text1"/>
          <w:lang w:val="en-GB"/>
        </w:rPr>
        <w:t xml:space="preserve">-values and we used sparse regression models to minimize the risk of overfitting. Lasso penalization is known to yield too large regression models (with too many predictor variables) </w:t>
      </w:r>
      <w:r w:rsidRPr="004F4BB2">
        <w:rPr>
          <w:color w:val="000000" w:themeColor="text1"/>
          <w:lang w:val="en-GB"/>
        </w:rPr>
        <w:fldChar w:fldCharType="begin" w:fldLock="1"/>
      </w:r>
      <w:r w:rsidR="00A032C6">
        <w:rPr>
          <w:color w:val="000000" w:themeColor="text1"/>
          <w:lang w:val="en-GB"/>
        </w:rPr>
        <w:instrText>ADDIN CSL_CITATION { "citationItems" : [ { "id" : "ITEM-1", "itemData" : { "DOI" : "10.1186/1471-2288-14-116", "ISSN" : "1471-2288", "PMID" : "25323009", "abstract" : "BACKGROUND In prognostic studies, the lasso technique is attractive since it improves the quality of predictions by shrinking regression coefficients, compared to predictions based on a model fitted via unpenalized maximum likelihood. Since some coefficients are set to zero, parsimony is achieved as well. It is unclear whether the performance of a model fitted using the lasso still shows some optimism. Bootstrap methods have been advocated to quantify optimism and generalize model performance to new subjects. It is unclear how resampling should be performed in the presence of multiply imputed data. METHOD The data were based on a cohort of Chronic Obstructive Pulmonary Disease patients. We constructed models to predict Chronic Respiratory Questionnaire dyspnea 6 months ahead. Optimism of the lasso model was investigated by comparing 4 approaches of handling multiply imputed data in the bootstrap procedure, using the study data and simulated data sets. In the first 3 approaches, data sets that had been completed via multiple imputation (MI) were resampled, while the fourth approach resampled the incomplete data set and then performed MI. RESULTS The discriminative model performance of the lasso was optimistic. There was suboptimal calibration due to over-shrinkage. The estimate of optimism was sensitive to the choice of handling imputed data in the bootstrap resampling procedure. Resampling the completed data sets underestimates optimism, especially if, within a bootstrap step, selected individuals differ over the imputed data sets. Incorporating the MI procedure in the validation yields estimates of optimism that are closer to the true value, albeit slightly too larger. CONCLUSION Performance of prognostic models constructed using the lasso technique can be optimistic as well. Results of the internal validation are sensitive to how bootstrap resampling is performed.", "author" : [ { "dropping-particle" : "", "family" : "Musoro", "given" : "Jammbe Z", "non-dropping-particle" : "", "parse-names" : false, "suffix" : "" }, { "dropping-particle" : "", "family" : "Zwinderman", "given" : "Aeilko H", "non-dropping-particle" : "", "parse-names" : false, "suffix" : "" }, { "dropping-particle" : "", "family" : "Puhan", "given" : "Milo a", "non-dropping-particle" : "", "parse-names" : false, "suffix" : "" }, { "dropping-particle" : "", "family" : "Riet", "given" : "Gerben", "non-dropping-particle" : "ter", "parse-names" : false, "suffix" : "" }, { "dropping-particle" : "", "family" : "Geskus", "given" : "Ronald B", "non-dropping-particle" : "", "parse-names" : false, "suffix" : "" } ], "container-title" : "BMC medical research methodology", "id" : "ITEM-1", "issued" : { "date-parts" : [ [ "2014", "10", "16" ] ] }, "page" : "116", "title" : "Validation of prediction models based on lasso regression with multiply imputed data.", "type" : "article-journal", "volume" : "14" }, "uris" : [ "http://www.mendeley.com/documents/?uuid=c48f50e9-8681-42f0-bace-63753e90801b" ] } ], "mendeley" : { "formattedCitation" : "(39)", "plainTextFormattedCitation" : "(39)", "previouslyFormattedCitation" : "(39)" }, "properties" : { "noteIndex" : 0 }, "schema" : "https://github.com/citation-style-language/schema/raw/master/csl-citation.json" }</w:instrText>
      </w:r>
      <w:r w:rsidRPr="004F4BB2">
        <w:rPr>
          <w:color w:val="000000" w:themeColor="text1"/>
          <w:lang w:val="en-GB"/>
        </w:rPr>
        <w:fldChar w:fldCharType="separate"/>
      </w:r>
      <w:r w:rsidR="00A032C6" w:rsidRPr="00A032C6">
        <w:rPr>
          <w:noProof/>
          <w:color w:val="000000" w:themeColor="text1"/>
          <w:lang w:val="en-GB"/>
        </w:rPr>
        <w:t>(39)</w:t>
      </w:r>
      <w:r w:rsidRPr="004F4BB2">
        <w:rPr>
          <w:color w:val="000000" w:themeColor="text1"/>
          <w:lang w:val="en-GB"/>
        </w:rPr>
        <w:fldChar w:fldCharType="end"/>
      </w:r>
      <w:r w:rsidRPr="004F4BB2">
        <w:rPr>
          <w:color w:val="000000" w:themeColor="text1"/>
          <w:lang w:val="en-GB"/>
        </w:rPr>
        <w:t>, so our models might still be somewhat larger than necessary (on average &gt; 23 biomarkers). We used a repeated split-sample technique to cross-validate benefit- and fit-statistics to reduce the effect of overfitting.</w:t>
      </w:r>
    </w:p>
    <w:p w14:paraId="61676F45" w14:textId="77777777" w:rsidR="001C748B" w:rsidRDefault="00883E14" w:rsidP="001C748B">
      <w:pPr>
        <w:spacing w:line="480" w:lineRule="auto"/>
        <w:ind w:firstLine="720"/>
        <w:rPr>
          <w:color w:val="000000" w:themeColor="text1"/>
          <w:lang w:val="en-GB"/>
        </w:rPr>
      </w:pPr>
      <w:r w:rsidRPr="004F4BB2">
        <w:rPr>
          <w:color w:val="000000" w:themeColor="text1"/>
          <w:lang w:val="en-GB"/>
        </w:rPr>
        <w:t xml:space="preserve">A </w:t>
      </w:r>
      <w:r w:rsidR="00641933" w:rsidRPr="004F4BB2">
        <w:rPr>
          <w:color w:val="000000" w:themeColor="text1"/>
          <w:lang w:val="en-GB"/>
        </w:rPr>
        <w:t xml:space="preserve">third </w:t>
      </w:r>
      <w:r w:rsidRPr="004F4BB2">
        <w:rPr>
          <w:color w:val="000000" w:themeColor="text1"/>
          <w:lang w:val="en-GB"/>
        </w:rPr>
        <w:t>limitation of our analyses is that we ignored patients who died in the first three months of up-titration period.</w:t>
      </w:r>
      <w:r w:rsidR="00530120" w:rsidRPr="004F4BB2">
        <w:rPr>
          <w:color w:val="000000" w:themeColor="text1"/>
          <w:lang w:val="en-GB"/>
        </w:rPr>
        <w:t xml:space="preserve"> We excluded 151 deaths and the survival at three months was only 93%. We made a prediction model for the risk of death within 3 months and found that FGF23, NT-</w:t>
      </w:r>
      <w:proofErr w:type="spellStart"/>
      <w:r w:rsidR="00530120" w:rsidRPr="004F4BB2">
        <w:rPr>
          <w:color w:val="000000" w:themeColor="text1"/>
          <w:lang w:val="en-GB"/>
        </w:rPr>
        <w:t>proBNP</w:t>
      </w:r>
      <w:proofErr w:type="spellEnd"/>
      <w:r w:rsidR="00530120" w:rsidRPr="004F4BB2">
        <w:rPr>
          <w:color w:val="000000" w:themeColor="text1"/>
          <w:lang w:val="en-GB"/>
        </w:rPr>
        <w:t>, BNP, low haemoglobin, TNI, ET1, ST2, WAP4C and CRP were the most important predictors of death within 3 months. This selection of biomarkers coincided largely with the set of biomarkers that we identified as prognostic in the patients who were not successfully up-titrated for both ACE-inhibitors/ARBs and beta-blockers. Therefore, we assume that the presented results were not largely biased by the removal of the 151 deaths.</w:t>
      </w:r>
      <w:r w:rsidR="00750D87">
        <w:rPr>
          <w:color w:val="000000" w:themeColor="text1"/>
          <w:lang w:val="en-GB"/>
        </w:rPr>
        <w:t xml:space="preserve"> We only had MRA dose data available after 9 months follow-up. This introduces additional bias because excluded even more patients than for the ACE-inhibitor/ARB and beta-blockers analyses. We tried to correct for this by inverse probability weighting. </w:t>
      </w:r>
      <w:r w:rsidR="001D3CCD">
        <w:rPr>
          <w:color w:val="000000" w:themeColor="text1"/>
          <w:lang w:val="en-GB"/>
        </w:rPr>
        <w:t>Although</w:t>
      </w:r>
      <w:r w:rsidR="00750D87">
        <w:rPr>
          <w:color w:val="000000" w:themeColor="text1"/>
          <w:lang w:val="en-GB"/>
        </w:rPr>
        <w:t xml:space="preserve">, we cannot test if this was </w:t>
      </w:r>
      <w:r w:rsidR="00827375">
        <w:rPr>
          <w:color w:val="000000" w:themeColor="text1"/>
          <w:lang w:val="en-GB"/>
        </w:rPr>
        <w:t>sufficient</w:t>
      </w:r>
      <w:r w:rsidR="001D3CCD">
        <w:rPr>
          <w:color w:val="000000" w:themeColor="text1"/>
          <w:lang w:val="en-GB"/>
        </w:rPr>
        <w:t>, we think the MRA data adds important information to our models.</w:t>
      </w:r>
    </w:p>
    <w:p w14:paraId="088D95A8" w14:textId="77777777" w:rsidR="001C748B" w:rsidRDefault="00C1152C" w:rsidP="001C748B">
      <w:pPr>
        <w:spacing w:line="480" w:lineRule="auto"/>
        <w:ind w:firstLine="720"/>
        <w:rPr>
          <w:color w:val="000000" w:themeColor="text1"/>
          <w:lang w:val="en-GB"/>
        </w:rPr>
      </w:pPr>
      <w:r w:rsidRPr="004F4BB2">
        <w:rPr>
          <w:color w:val="000000" w:themeColor="text1"/>
          <w:lang w:val="en-GB"/>
        </w:rPr>
        <w:t>Because not all biomarkers used in our treatment-</w:t>
      </w:r>
      <w:r w:rsidR="003750A4" w:rsidRPr="004F4BB2">
        <w:rPr>
          <w:color w:val="000000" w:themeColor="text1"/>
          <w:lang w:val="en-GB"/>
        </w:rPr>
        <w:t>selection</w:t>
      </w:r>
      <w:r w:rsidRPr="004F4BB2">
        <w:rPr>
          <w:color w:val="000000" w:themeColor="text1"/>
          <w:lang w:val="en-GB"/>
        </w:rPr>
        <w:t xml:space="preserve"> models were measured in the validation cohort of BIOSTAT-CHF existing of 1728 patients, we unfortunately could not </w:t>
      </w:r>
      <w:r w:rsidRPr="004F4BB2">
        <w:rPr>
          <w:color w:val="000000" w:themeColor="text1"/>
          <w:lang w:val="en-GB"/>
        </w:rPr>
        <w:lastRenderedPageBreak/>
        <w:t xml:space="preserve">validate our results in this cohort. In the future, and when funding is available we </w:t>
      </w:r>
      <w:r w:rsidR="00641933" w:rsidRPr="004F4BB2">
        <w:rPr>
          <w:color w:val="000000" w:themeColor="text1"/>
          <w:lang w:val="en-GB"/>
        </w:rPr>
        <w:t>aim</w:t>
      </w:r>
      <w:r w:rsidRPr="004F4BB2">
        <w:rPr>
          <w:color w:val="000000" w:themeColor="text1"/>
          <w:lang w:val="en-GB"/>
        </w:rPr>
        <w:t xml:space="preserve"> to measure the missing biomarkers </w:t>
      </w:r>
      <w:r w:rsidR="003750A4" w:rsidRPr="004F4BB2">
        <w:rPr>
          <w:color w:val="000000" w:themeColor="text1"/>
          <w:lang w:val="en-GB"/>
        </w:rPr>
        <w:t>and validate our treatment-selection models in this cohort</w:t>
      </w:r>
      <w:r w:rsidR="001C748B">
        <w:rPr>
          <w:color w:val="000000" w:themeColor="text1"/>
          <w:lang w:val="en-GB"/>
        </w:rPr>
        <w:t xml:space="preserve"> as well.</w:t>
      </w:r>
    </w:p>
    <w:p w14:paraId="04E599F5" w14:textId="77777777" w:rsidR="001C748B" w:rsidRPr="009C674F" w:rsidRDefault="00641933" w:rsidP="001C748B">
      <w:pPr>
        <w:spacing w:line="480" w:lineRule="auto"/>
        <w:ind w:firstLine="720"/>
        <w:rPr>
          <w:color w:val="000000" w:themeColor="text1"/>
          <w:lang w:val="en-US"/>
        </w:rPr>
      </w:pPr>
      <w:r w:rsidRPr="009C674F">
        <w:rPr>
          <w:color w:val="000000" w:themeColor="text1"/>
          <w:lang w:val="en-US"/>
        </w:rPr>
        <w:t>We found substantial differences between p</w:t>
      </w:r>
      <w:r w:rsidR="00883E14" w:rsidRPr="009C674F">
        <w:rPr>
          <w:color w:val="000000" w:themeColor="text1"/>
          <w:lang w:val="en-US"/>
        </w:rPr>
        <w:t xml:space="preserve">atients </w:t>
      </w:r>
      <w:r w:rsidRPr="009C674F">
        <w:rPr>
          <w:color w:val="000000" w:themeColor="text1"/>
          <w:lang w:val="en-US"/>
        </w:rPr>
        <w:t xml:space="preserve">of which the model assumed </w:t>
      </w:r>
      <w:r w:rsidR="00883E14" w:rsidRPr="009C674F">
        <w:rPr>
          <w:color w:val="000000" w:themeColor="text1"/>
          <w:lang w:val="en-US"/>
        </w:rPr>
        <w:t>not</w:t>
      </w:r>
      <w:r w:rsidRPr="009C674F">
        <w:rPr>
          <w:color w:val="000000" w:themeColor="text1"/>
          <w:lang w:val="en-US"/>
        </w:rPr>
        <w:t xml:space="preserve"> to</w:t>
      </w:r>
      <w:r w:rsidR="00883E14" w:rsidRPr="009C674F">
        <w:rPr>
          <w:color w:val="000000" w:themeColor="text1"/>
          <w:lang w:val="en-US"/>
        </w:rPr>
        <w:t xml:space="preserve"> benefit from ACE-inhibitor/ARB up-titration </w:t>
      </w:r>
      <w:r w:rsidRPr="009C674F">
        <w:rPr>
          <w:color w:val="000000" w:themeColor="text1"/>
          <w:lang w:val="en-US"/>
        </w:rPr>
        <w:t>and</w:t>
      </w:r>
      <w:r w:rsidR="00883E14" w:rsidRPr="009C674F">
        <w:rPr>
          <w:color w:val="000000" w:themeColor="text1"/>
          <w:lang w:val="en-US"/>
        </w:rPr>
        <w:t xml:space="preserve"> patients </w:t>
      </w:r>
      <w:r w:rsidRPr="009C674F">
        <w:rPr>
          <w:color w:val="000000" w:themeColor="text1"/>
          <w:lang w:val="en-US"/>
        </w:rPr>
        <w:t xml:space="preserve">of which the model assumed </w:t>
      </w:r>
      <w:r w:rsidR="00883E14" w:rsidRPr="009C674F">
        <w:rPr>
          <w:color w:val="000000" w:themeColor="text1"/>
          <w:lang w:val="en-US"/>
        </w:rPr>
        <w:t>not</w:t>
      </w:r>
      <w:r w:rsidRPr="009C674F">
        <w:rPr>
          <w:color w:val="000000" w:themeColor="text1"/>
          <w:lang w:val="en-US"/>
        </w:rPr>
        <w:t xml:space="preserve"> to</w:t>
      </w:r>
      <w:r w:rsidR="00883E14" w:rsidRPr="009C674F">
        <w:rPr>
          <w:color w:val="000000" w:themeColor="text1"/>
          <w:lang w:val="en-US"/>
        </w:rPr>
        <w:t xml:space="preserve"> benefit from beta-blocker up-titration. Patients not benefitting from ACE-inhibitor/ARB up-titration were </w:t>
      </w:r>
      <w:r w:rsidR="00C80EE2" w:rsidRPr="009C674F">
        <w:rPr>
          <w:color w:val="000000" w:themeColor="text1"/>
          <w:lang w:val="en-US"/>
        </w:rPr>
        <w:t>younger, with lower BNP and NT-</w:t>
      </w:r>
      <w:proofErr w:type="spellStart"/>
      <w:r w:rsidR="00C80EE2" w:rsidRPr="009C674F">
        <w:rPr>
          <w:color w:val="000000" w:themeColor="text1"/>
          <w:lang w:val="en-US"/>
        </w:rPr>
        <w:t>proBNP</w:t>
      </w:r>
      <w:proofErr w:type="spellEnd"/>
      <w:r w:rsidR="00C80EE2" w:rsidRPr="009C674F">
        <w:rPr>
          <w:color w:val="000000" w:themeColor="text1"/>
          <w:lang w:val="en-US"/>
        </w:rPr>
        <w:t xml:space="preserve">, higher </w:t>
      </w:r>
      <w:proofErr w:type="spellStart"/>
      <w:r w:rsidR="00C80EE2" w:rsidRPr="009C674F">
        <w:rPr>
          <w:color w:val="000000" w:themeColor="text1"/>
          <w:lang w:val="en-US"/>
        </w:rPr>
        <w:t>haemoglobin</w:t>
      </w:r>
      <w:proofErr w:type="spellEnd"/>
      <w:r w:rsidR="00C80EE2" w:rsidRPr="009C674F">
        <w:rPr>
          <w:color w:val="000000" w:themeColor="text1"/>
          <w:lang w:val="en-US"/>
        </w:rPr>
        <w:t xml:space="preserve"> levels</w:t>
      </w:r>
      <w:r w:rsidR="00883E14" w:rsidRPr="009C674F">
        <w:rPr>
          <w:color w:val="000000" w:themeColor="text1"/>
          <w:lang w:val="en-US"/>
        </w:rPr>
        <w:t>. Patients not benefitting from beta-blocker</w:t>
      </w:r>
      <w:r w:rsidR="00DE4C71" w:rsidRPr="009C674F">
        <w:rPr>
          <w:color w:val="000000" w:themeColor="text1"/>
          <w:lang w:val="en-US"/>
        </w:rPr>
        <w:t xml:space="preserve"> </w:t>
      </w:r>
      <w:r w:rsidR="00883E14" w:rsidRPr="009C674F">
        <w:rPr>
          <w:color w:val="000000" w:themeColor="text1"/>
          <w:lang w:val="en-US"/>
        </w:rPr>
        <w:t>up-titration</w:t>
      </w:r>
      <w:r w:rsidR="00DE4C71" w:rsidRPr="009C674F">
        <w:rPr>
          <w:color w:val="000000" w:themeColor="text1"/>
          <w:lang w:val="en-US"/>
        </w:rPr>
        <w:t xml:space="preserve">, conversely, </w:t>
      </w:r>
      <w:r w:rsidR="00CB16A6" w:rsidRPr="009C674F">
        <w:rPr>
          <w:color w:val="000000" w:themeColor="text1"/>
          <w:lang w:val="en-US"/>
        </w:rPr>
        <w:t>were</w:t>
      </w:r>
      <w:r w:rsidR="00883E14" w:rsidRPr="009C674F">
        <w:rPr>
          <w:color w:val="000000" w:themeColor="text1"/>
          <w:lang w:val="en-US"/>
        </w:rPr>
        <w:t xml:space="preserve"> </w:t>
      </w:r>
      <w:r w:rsidR="001840C8" w:rsidRPr="009C674F">
        <w:rPr>
          <w:color w:val="000000" w:themeColor="text1"/>
          <w:lang w:val="en-US"/>
        </w:rPr>
        <w:t xml:space="preserve">more often </w:t>
      </w:r>
      <w:r w:rsidR="00C80EE2" w:rsidRPr="009C674F">
        <w:rPr>
          <w:color w:val="000000" w:themeColor="text1"/>
          <w:lang w:val="en-US"/>
        </w:rPr>
        <w:t>older, had higher BNP and NT-</w:t>
      </w:r>
      <w:proofErr w:type="spellStart"/>
      <w:r w:rsidR="00C80EE2" w:rsidRPr="009C674F">
        <w:rPr>
          <w:color w:val="000000" w:themeColor="text1"/>
          <w:lang w:val="en-US"/>
        </w:rPr>
        <w:t>proBNP</w:t>
      </w:r>
      <w:proofErr w:type="spellEnd"/>
      <w:r w:rsidR="00C80EE2" w:rsidRPr="009C674F">
        <w:rPr>
          <w:color w:val="000000" w:themeColor="text1"/>
          <w:lang w:val="en-US"/>
        </w:rPr>
        <w:t xml:space="preserve">, lower </w:t>
      </w:r>
      <w:proofErr w:type="spellStart"/>
      <w:r w:rsidR="00C80EE2" w:rsidRPr="009C674F">
        <w:rPr>
          <w:color w:val="000000" w:themeColor="text1"/>
          <w:lang w:val="en-US"/>
        </w:rPr>
        <w:t>haemoglobin</w:t>
      </w:r>
      <w:proofErr w:type="spellEnd"/>
      <w:r w:rsidR="00C80EE2" w:rsidRPr="009C674F">
        <w:rPr>
          <w:color w:val="000000" w:themeColor="text1"/>
          <w:lang w:val="en-US"/>
        </w:rPr>
        <w:t xml:space="preserve"> </w:t>
      </w:r>
      <w:r w:rsidR="00CB16A6" w:rsidRPr="009C674F">
        <w:rPr>
          <w:color w:val="000000" w:themeColor="text1"/>
          <w:lang w:val="en-US"/>
        </w:rPr>
        <w:t xml:space="preserve">compared to patients </w:t>
      </w:r>
      <w:r w:rsidR="00A24087" w:rsidRPr="009C674F">
        <w:rPr>
          <w:color w:val="000000" w:themeColor="text1"/>
          <w:lang w:val="en-US"/>
        </w:rPr>
        <w:t>benefitting</w:t>
      </w:r>
      <w:r w:rsidR="00CB16A6" w:rsidRPr="009C674F">
        <w:rPr>
          <w:color w:val="000000" w:themeColor="text1"/>
          <w:lang w:val="en-US"/>
        </w:rPr>
        <w:t xml:space="preserve"> from beta-blocker up-titration</w:t>
      </w:r>
      <w:r w:rsidR="00DE4C71" w:rsidRPr="009C674F">
        <w:rPr>
          <w:color w:val="000000" w:themeColor="text1"/>
          <w:lang w:val="en-US"/>
        </w:rPr>
        <w:t>.</w:t>
      </w:r>
      <w:r w:rsidR="00883E14" w:rsidRPr="009C674F">
        <w:rPr>
          <w:color w:val="000000" w:themeColor="text1"/>
          <w:lang w:val="en-US"/>
        </w:rPr>
        <w:t xml:space="preserve"> Blood urea nitrogen was elevated</w:t>
      </w:r>
      <w:r w:rsidR="00CB16A6" w:rsidRPr="009C674F">
        <w:rPr>
          <w:color w:val="000000" w:themeColor="text1"/>
          <w:lang w:val="en-US"/>
        </w:rPr>
        <w:t xml:space="preserve"> and </w:t>
      </w:r>
      <w:r w:rsidR="00B766D6" w:rsidRPr="009C674F">
        <w:rPr>
          <w:color w:val="000000" w:themeColor="text1"/>
          <w:lang w:val="en-US"/>
        </w:rPr>
        <w:t>heart rate was</w:t>
      </w:r>
      <w:r w:rsidR="00CB16A6" w:rsidRPr="009C674F">
        <w:rPr>
          <w:color w:val="000000" w:themeColor="text1"/>
          <w:lang w:val="en-US"/>
        </w:rPr>
        <w:t xml:space="preserve"> lower </w:t>
      </w:r>
      <w:r w:rsidR="00883E14" w:rsidRPr="009C674F">
        <w:rPr>
          <w:color w:val="000000" w:themeColor="text1"/>
          <w:lang w:val="en-US"/>
        </w:rPr>
        <w:t>in both patients not benefitting from ACE-inhibitor/ARB up-titration and patients not benefitting from beta-blocker up-titration.</w:t>
      </w:r>
    </w:p>
    <w:p w14:paraId="621067AE" w14:textId="77777777" w:rsidR="001C748B" w:rsidRDefault="00AD0784" w:rsidP="001C748B">
      <w:pPr>
        <w:spacing w:line="480" w:lineRule="auto"/>
        <w:ind w:firstLine="720"/>
        <w:rPr>
          <w:rFonts w:eastAsia="Times New Roman"/>
          <w:color w:val="000000" w:themeColor="text1"/>
          <w:lang w:val="en-US"/>
        </w:rPr>
      </w:pPr>
      <w:r w:rsidRPr="005069E5">
        <w:rPr>
          <w:color w:val="000000" w:themeColor="text1"/>
          <w:lang w:val="en-GB"/>
        </w:rPr>
        <w:t>O</w:t>
      </w:r>
      <w:r w:rsidRPr="00F60220">
        <w:rPr>
          <w:color w:val="000000" w:themeColor="text1"/>
          <w:lang w:val="en-GB"/>
        </w:rPr>
        <w:t>t</w:t>
      </w:r>
      <w:r w:rsidRPr="006F5DEC">
        <w:rPr>
          <w:color w:val="000000" w:themeColor="text1"/>
          <w:lang w:val="en-GB"/>
        </w:rPr>
        <w:t>her</w:t>
      </w:r>
      <w:r w:rsidR="009A3342" w:rsidRPr="006F5DEC">
        <w:rPr>
          <w:color w:val="000000" w:themeColor="text1"/>
          <w:lang w:val="en-GB"/>
        </w:rPr>
        <w:t xml:space="preserve"> possible limitation</w:t>
      </w:r>
      <w:r w:rsidRPr="00607D43">
        <w:rPr>
          <w:color w:val="000000" w:themeColor="text1"/>
          <w:lang w:val="en-GB"/>
        </w:rPr>
        <w:t>s</w:t>
      </w:r>
      <w:r w:rsidR="009A3342" w:rsidRPr="00607D43">
        <w:rPr>
          <w:color w:val="000000" w:themeColor="text1"/>
          <w:lang w:val="en-GB"/>
        </w:rPr>
        <w:t xml:space="preserve"> that could not be addressed in our cohort </w:t>
      </w:r>
      <w:r w:rsidRPr="00406193">
        <w:rPr>
          <w:color w:val="000000" w:themeColor="text1"/>
          <w:lang w:val="en-GB"/>
        </w:rPr>
        <w:t>are</w:t>
      </w:r>
      <w:r w:rsidR="009A3342" w:rsidRPr="00B64C2A">
        <w:rPr>
          <w:color w:val="000000" w:themeColor="text1"/>
          <w:lang w:val="en-GB"/>
        </w:rPr>
        <w:t xml:space="preserve"> the fact </w:t>
      </w:r>
      <w:r w:rsidR="00476DDA" w:rsidRPr="00750D87">
        <w:rPr>
          <w:rFonts w:eastAsia="Times New Roman"/>
          <w:color w:val="000000" w:themeColor="text1"/>
          <w:lang w:val="en-US"/>
        </w:rPr>
        <w:t xml:space="preserve">that our data is unfortunately limited to </w:t>
      </w:r>
      <w:r w:rsidR="00476DDA" w:rsidRPr="005069E5">
        <w:rPr>
          <w:color w:val="000000" w:themeColor="text1"/>
          <w:lang w:val="en-US"/>
        </w:rPr>
        <w:t>Caucasian patients only</w:t>
      </w:r>
      <w:r w:rsidRPr="005069E5">
        <w:rPr>
          <w:color w:val="000000" w:themeColor="text1"/>
          <w:lang w:val="en-US"/>
        </w:rPr>
        <w:t>, and that there was a very low use of device therapy</w:t>
      </w:r>
      <w:r w:rsidR="00440E63" w:rsidRPr="005069E5">
        <w:rPr>
          <w:color w:val="000000" w:themeColor="text1"/>
          <w:lang w:val="en-GB"/>
        </w:rPr>
        <w:t>. This would possibly limit the use of our biomarker-selection model in a more heterogeneous population.</w:t>
      </w:r>
      <w:r w:rsidRPr="005069E5">
        <w:rPr>
          <w:color w:val="000000" w:themeColor="text1"/>
          <w:lang w:val="en-GB"/>
        </w:rPr>
        <w:t xml:space="preserve"> T</w:t>
      </w:r>
      <w:r w:rsidRPr="005069E5">
        <w:rPr>
          <w:rFonts w:eastAsia="Times New Roman"/>
          <w:color w:val="000000" w:themeColor="text1"/>
          <w:lang w:val="en-US"/>
        </w:rPr>
        <w:t xml:space="preserve">he percentage of device therapy is nevertheless comparable to EMPHASIS-HF which recruited patients at the same time as BIOSTAT-CHF </w:t>
      </w:r>
      <w:r w:rsidRPr="00F60220">
        <w:rPr>
          <w:rFonts w:eastAsia="Times New Roman"/>
          <w:color w:val="000000" w:themeColor="text1"/>
          <w:lang w:val="en-US"/>
        </w:rPr>
        <w:fldChar w:fldCharType="begin" w:fldLock="1"/>
      </w:r>
      <w:r w:rsidR="00A032C6">
        <w:rPr>
          <w:rFonts w:eastAsia="Times New Roman"/>
          <w:color w:val="000000" w:themeColor="text1"/>
          <w:lang w:val="en-US"/>
        </w:rPr>
        <w:instrText>ADDIN CSL_CITATION { "citationItems" : [ { "id" : "ITEM-1", "itemData" : { "abstract" : "BACKGROUND Mineralocorticoid antagonists improve survival among patients with chronic, se- vere systolic heart failure and heart failure after myocardial infarction. We evalu- ated the effects of eplerenone in patients with chronic systolic heart failure and mild symptoms. METHODS In this randomized, double-blind trial, we randomly assigned 2737 patients with New York Heart Association class II heart failure and an ejection fraction of no more than 35% to receive eplerenone (up to 50 mg daily) or placebo, in addition to recommended therapy. The primary outcome was a composite of death from car- diovascular causes or hospitalization for heart failure. RESULTS The trial was stopped prematurely, according to prespecified rules, after a median follow-up period of 21 months. The primary outcome occurred in 18.3% of patients in the eplerenone group as compared with 25.9% in the placebo group (hazard ra- tio, 0.63; 95% confidence interval [CI], 0.54 to 0.74; P&lt;0.001). A total of 12.5% of patients receiving eplerenone and 15.5% of those receiving placebo died (hazard ratio, 0.76; 95% CI, 0.62 to 0.93; P = 0.008); 10.8% and 13.5%, respectively, died of cardiovascular causes (hazard ratio, 0.76; 95% CI, 0.61 to 0.94; P = 0.01). Hospital- izations for heart failure and for any cause were also reduced with eplerenone. A serum potassium level exceeding 5.5 mmol per liter occurred in 11.8% of patients in the eplerenone group and 7.2% of those in the placebo group (P&lt;0.001). CONCLUSIONS Eplerenone, as compared with placebo, reduced both the risk of death and the risk of hospitalization among patients with systolic heart failure and mild symptoms. (Funded by Pfizer; ClinicalTrials.gov number, NCT00232180.)", "author" : [ { "dropping-particle" : "", "family" : "Zannad", "given" : "Faiez", "non-dropping-particle" : "", "parse-names" : false, "suffix" : "" }, { "dropping-particle" : "", "family" : "McMurray", "given" : "John J.V.", "non-dropping-particle" : "", "parse-names" : false, "suffix" : "" }, { "dropping-particle" : "", "family" : "Krum", "given" : "Henry", "non-dropping-particle" : "", "parse-names" : false, "suffix" : "" }, { "dropping-particle" : "van", "family" : "Veldhuisen", "given" : "Dirk J.", "non-dropping-particle" : "", "parse-names" : false, "suffix" : "" }, { "dropping-particle" : "", "family" : "Swedberg", "given" : "Karl", "non-dropping-particle" : "", "parse-names" : false, "suffix" : "" }, { "dropping-particle" : "", "family" : "Shi", "given" : "Harry", "non-dropping-particle" : "", "parse-names" : false, "suffix" : "" }, { "dropping-particle" : "", "family" : "Vincent", "given" : "John", "non-dropping-particle" : "", "parse-names" : false, "suffix" : "" }, { "dropping-particle" : "", "family" : "Pocock", "given" : "Stuart J.", "non-dropping-particle" : "", "parse-names" : false, "suffix" : "" }, { "dropping-particle" : "", "family" : "Pitt", "given" : "Bertram", "non-dropping-particle" : "", "parse-names" : false, "suffix" : "" } ], "container-title" : "The New England journal of medicine", "id" : "ITEM-1", "issue" : "1", "issued" : { "date-parts" : [ [ "2011" ] ] }, "page" : "11-21", "title" : "Eplerenone in Patients with Systolic Heart Failure and Mild Symptoms", "type" : "article-journal", "volume" : "364" }, "uris" : [ "http://www.mendeley.com/documents/?uuid=88cec962-cabe-4a77-aa6f-1e416c1c6cfd" ] } ], "mendeley" : { "formattedCitation" : "(40)", "plainTextFormattedCitation" : "(40)", "previouslyFormattedCitation" : "(40)" }, "properties" : { "noteIndex" : 19 }, "schema" : "https://github.com/citation-style-language/schema/raw/master/csl-citation.json" }</w:instrText>
      </w:r>
      <w:r w:rsidRPr="00F60220">
        <w:rPr>
          <w:rFonts w:eastAsia="Times New Roman"/>
          <w:color w:val="000000" w:themeColor="text1"/>
          <w:lang w:val="en-US"/>
        </w:rPr>
        <w:fldChar w:fldCharType="separate"/>
      </w:r>
      <w:r w:rsidR="00A032C6" w:rsidRPr="00A032C6">
        <w:rPr>
          <w:rFonts w:eastAsia="Times New Roman"/>
          <w:noProof/>
          <w:color w:val="000000" w:themeColor="text1"/>
          <w:lang w:val="en-US"/>
        </w:rPr>
        <w:t>(40)</w:t>
      </w:r>
      <w:r w:rsidRPr="00F60220">
        <w:rPr>
          <w:rFonts w:eastAsia="Times New Roman"/>
          <w:color w:val="000000" w:themeColor="text1"/>
          <w:lang w:val="en-US"/>
        </w:rPr>
        <w:fldChar w:fldCharType="end"/>
      </w:r>
      <w:r w:rsidR="001C748B">
        <w:rPr>
          <w:rFonts w:eastAsia="Times New Roman"/>
          <w:color w:val="000000" w:themeColor="text1"/>
          <w:lang w:val="en-US"/>
        </w:rPr>
        <w:t>.</w:t>
      </w:r>
    </w:p>
    <w:p w14:paraId="6D56E7A0" w14:textId="77777777" w:rsidR="001C748B" w:rsidRDefault="00235663" w:rsidP="001C748B">
      <w:pPr>
        <w:spacing w:line="480" w:lineRule="auto"/>
        <w:ind w:firstLine="720"/>
        <w:rPr>
          <w:color w:val="000000" w:themeColor="text1"/>
          <w:lang w:val="en-GB"/>
        </w:rPr>
      </w:pPr>
      <w:r w:rsidRPr="004F4BB2">
        <w:rPr>
          <w:color w:val="000000" w:themeColor="text1"/>
          <w:lang w:val="en-GB"/>
        </w:rPr>
        <w:t>B</w:t>
      </w:r>
      <w:r w:rsidR="00025C98" w:rsidRPr="004F4BB2">
        <w:rPr>
          <w:color w:val="000000" w:themeColor="text1"/>
          <w:lang w:val="en-GB"/>
        </w:rPr>
        <w:t>iomarkers predictive for mortality and/or hospitalization</w:t>
      </w:r>
      <w:r w:rsidR="004B3B02" w:rsidRPr="004F4BB2">
        <w:rPr>
          <w:color w:val="000000" w:themeColor="text1"/>
          <w:lang w:val="en-GB"/>
        </w:rPr>
        <w:t>,</w:t>
      </w:r>
      <w:r w:rsidR="00025C98" w:rsidRPr="004F4BB2">
        <w:rPr>
          <w:color w:val="000000" w:themeColor="text1"/>
          <w:lang w:val="en-GB"/>
        </w:rPr>
        <w:t xml:space="preserve"> </w:t>
      </w:r>
      <w:r w:rsidR="004B3B02" w:rsidRPr="004F4BB2">
        <w:rPr>
          <w:color w:val="000000" w:themeColor="text1"/>
          <w:lang w:val="en-GB"/>
        </w:rPr>
        <w:t>were</w:t>
      </w:r>
      <w:r w:rsidR="00641933" w:rsidRPr="004F4BB2">
        <w:rPr>
          <w:color w:val="000000" w:themeColor="text1"/>
          <w:lang w:val="en-GB"/>
        </w:rPr>
        <w:t xml:space="preserve"> also markedly</w:t>
      </w:r>
      <w:r w:rsidR="00025C98" w:rsidRPr="004F4BB2">
        <w:rPr>
          <w:color w:val="000000" w:themeColor="text1"/>
          <w:lang w:val="en-GB"/>
        </w:rPr>
        <w:t xml:space="preserve"> different </w:t>
      </w:r>
      <w:r w:rsidR="00677678" w:rsidRPr="004F4BB2">
        <w:rPr>
          <w:color w:val="000000" w:themeColor="text1"/>
          <w:lang w:val="en-GB"/>
        </w:rPr>
        <w:t>between</w:t>
      </w:r>
      <w:r w:rsidR="00025C98" w:rsidRPr="004F4BB2">
        <w:rPr>
          <w:color w:val="000000" w:themeColor="text1"/>
          <w:lang w:val="en-GB"/>
        </w:rPr>
        <w:t xml:space="preserve"> patients </w:t>
      </w:r>
      <w:r w:rsidR="00E82DF2" w:rsidRPr="004F4BB2">
        <w:rPr>
          <w:color w:val="000000" w:themeColor="text1"/>
          <w:lang w:val="en-GB"/>
        </w:rPr>
        <w:t xml:space="preserve">who </w:t>
      </w:r>
      <w:r w:rsidR="00025C98" w:rsidRPr="004F4BB2">
        <w:rPr>
          <w:color w:val="000000" w:themeColor="text1"/>
          <w:lang w:val="en-GB"/>
        </w:rPr>
        <w:t xml:space="preserve">were successfully up-titrated or not. </w:t>
      </w:r>
      <w:r w:rsidR="00545E65" w:rsidRPr="004F4BB2">
        <w:rPr>
          <w:color w:val="000000" w:themeColor="text1"/>
          <w:lang w:val="en-GB"/>
        </w:rPr>
        <w:t xml:space="preserve">This might have been expected because biomarkers related to ACE inhibition/ARB and beta-blocking pathways are likely </w:t>
      </w:r>
      <w:r w:rsidR="00E900F6" w:rsidRPr="004F4BB2">
        <w:rPr>
          <w:color w:val="000000" w:themeColor="text1"/>
          <w:lang w:val="en-GB"/>
        </w:rPr>
        <w:t xml:space="preserve">to </w:t>
      </w:r>
      <w:r w:rsidR="00545E65" w:rsidRPr="004F4BB2">
        <w:rPr>
          <w:color w:val="000000" w:themeColor="text1"/>
          <w:lang w:val="en-GB"/>
        </w:rPr>
        <w:t>chang</w:t>
      </w:r>
      <w:r w:rsidR="00987CFD" w:rsidRPr="004F4BB2">
        <w:rPr>
          <w:color w:val="000000" w:themeColor="text1"/>
          <w:lang w:val="en-GB"/>
        </w:rPr>
        <w:t xml:space="preserve">e substantially as a result of </w:t>
      </w:r>
      <w:r w:rsidR="00545E65" w:rsidRPr="004F4BB2">
        <w:rPr>
          <w:color w:val="000000" w:themeColor="text1"/>
          <w:lang w:val="en-GB"/>
        </w:rPr>
        <w:t>up</w:t>
      </w:r>
      <w:r w:rsidR="00A47E12" w:rsidRPr="004F4BB2">
        <w:rPr>
          <w:color w:val="000000" w:themeColor="text1"/>
          <w:lang w:val="en-GB"/>
        </w:rPr>
        <w:t>-</w:t>
      </w:r>
      <w:r w:rsidR="00545E65" w:rsidRPr="004F4BB2">
        <w:rPr>
          <w:color w:val="000000" w:themeColor="text1"/>
          <w:lang w:val="en-GB"/>
        </w:rPr>
        <w:t>titration</w:t>
      </w:r>
      <w:r w:rsidR="00EE6FD5" w:rsidRPr="004F4BB2">
        <w:rPr>
          <w:color w:val="000000" w:themeColor="text1"/>
          <w:lang w:val="en-GB"/>
        </w:rPr>
        <w:t xml:space="preserve"> </w:t>
      </w:r>
      <w:r w:rsidR="00EE6FD5" w:rsidRPr="004F4BB2">
        <w:rPr>
          <w:color w:val="000000" w:themeColor="text1"/>
          <w:lang w:val="en-GB"/>
        </w:rPr>
        <w:fldChar w:fldCharType="begin" w:fldLock="1"/>
      </w:r>
      <w:r w:rsidR="00A032C6">
        <w:rPr>
          <w:color w:val="000000" w:themeColor="text1"/>
          <w:lang w:val="en-GB"/>
        </w:rPr>
        <w:instrText>ADDIN CSL_CITATION { "citationItems" : [ { "id" : "ITEM-1", "itemData" : { "DOI" : "http://dx.doi.org/10.1016/S0735-1097(98)00464-1", "ISBN" : "0735-1097", "ISSN" : "0735-1097", "PMID" : "9857856", "abstract" : "OBJECTIVES To determine dose-related clinical and neurohumoral effects of angiotensin-converting enzyme (ACE) inhibitors in patients with chronic heart failure (CHF), we conducted a double-blind, placebo-controlled, randomized study of three doses (2.5 mg, 5 mg and 10 mg) of the long-acting ACE inhibitor imidapril. BACKGROUND The ACE inhibitors have become a cornerstone in the treatment of CHF, but whether high doses are more effective than low doses has not been fully elucidated, nor have the mechanisms involved in such a dose-related effect. METHODS In a parallel group comparison, the effects of three doses of imidapril were examined. We studied 244 patients with mild to moderate CHF (New York Heart Association class II-III: +/-80%/20%), who were stable on digoxin and diuretics. Patients were treated for 12 weeks, and the main end points were exercise capacity and plasma neurohormones. RESULTS At baseline, the four treatment groups were well-matched for demographic variables. Of the 244 patients, 25 dropped out: 3 patients died, and 9 developed progressive CHF (3/182 patients on imidapril vs. 6/62 patients on placebo, p &lt; 0.05). Exercise time increased 45 s in the 10-mg group (p = 0.02 vs. placebo), but it did not significantly change in the 5-mg (+16 s), and 2.5-mg (+11 s) imidapril group, compared to placebo (+3 s). Physical working capacity also increased in a dose-related manner. Plasma brain and atrial natriuretic peptide decreased (p &lt; 0.05 for linear trend), while (nor)epinephrine, aldosterone and endothelin were not significantly affected. Renin increased in a dose-related manner, but plasma ACE activity was suppressed similarly (+/-60%) on all three doses. CONCLUSIONS Already within 3 months after treatment initiation, high-dose ACE inhibition (with imidapril) is superior to low-dose. This is reflected by a more pronounced effect on exercise capacity and some of the neurohormones, but it does not appear to be related to the extent of suppression of plasma ACE.", "author" : [ { "dropping-particle" : "", "family" : "Veldhuisen", "given" : "Dirk J", "non-dropping-particle" : "van", "parse-names" : false, "suffix" : "" }, { "dropping-particle" : "", "family" : "Genth-Zotz", "given" : "Sabine", "non-dropping-particle" : "", "parse-names" : false, "suffix" : "" }, { "dropping-particle" : "", "family" : "Brouwer", "given" : "Jan", "non-dropping-particle" : "", "parse-names" : false, "suffix" : "" }, { "dropping-particle" : "", "family" : "Boomsma", "given" : "Frans", "non-dropping-particle" : "", "parse-names" : false, "suffix" : "" }, { "dropping-particle" : "", "family" : "Netzer", "given" : "Tilo", "non-dropping-particle" : "", "parse-names" : false, "suffix" : "" }, { "dropping-particle" : "", "family" : "Man In 'T Veld", "given" : "A J", "non-dropping-particle" : "", "parse-names" : false, "suffix" : "" }, { "dropping-particle" : "", "family" : "Pinto", "given" : "Yigal M", "non-dropping-particle" : "", "parse-names" : false, "suffix" : "" }, { "dropping-particle" : "", "family" : "Lie", "given" : "K I", "non-dropping-particle" : "", "parse-names" : false, "suffix" : "" }, { "dropping-particle" : "", "family" : "Crijns", "given" : "H J", "non-dropping-particle" : "", "parse-names" : false, "suffix" : "" } ], "container-title" : "Journal of the American College of Cardiology", "id" : "ITEM-1", "issue" : "7", "issued" : { "date-parts" : [ [ "1998", "12" ] ] }, "page" : "1811-8", "title" : "High- versus low-dose ACE inhibition in chronic heart failure: a double-blind, placebo-controlled study of imidapril.", "type" : "article-journal", "volume" : "32" }, "uris" : [ "http://www.mendeley.com/documents/?uuid=d4b4c572-2fad-437c-bde3-3ac96b4b71ff" ] } ], "mendeley" : { "formattedCitation" : "(41)", "plainTextFormattedCitation" : "(41)", "previouslyFormattedCitation" : "(41)" }, "properties" : { "noteIndex" : 0 }, "schema" : "https://github.com/citation-style-language/schema/raw/master/csl-citation.json" }</w:instrText>
      </w:r>
      <w:r w:rsidR="00EE6FD5" w:rsidRPr="004F4BB2">
        <w:rPr>
          <w:color w:val="000000" w:themeColor="text1"/>
          <w:lang w:val="en-GB"/>
        </w:rPr>
        <w:fldChar w:fldCharType="separate"/>
      </w:r>
      <w:r w:rsidR="00A032C6" w:rsidRPr="00A032C6">
        <w:rPr>
          <w:noProof/>
          <w:color w:val="000000" w:themeColor="text1"/>
          <w:lang w:val="en-GB"/>
        </w:rPr>
        <w:t>(41)</w:t>
      </w:r>
      <w:r w:rsidR="00EE6FD5" w:rsidRPr="004F4BB2">
        <w:rPr>
          <w:color w:val="000000" w:themeColor="text1"/>
          <w:lang w:val="en-GB"/>
        </w:rPr>
        <w:fldChar w:fldCharType="end"/>
      </w:r>
      <w:r w:rsidR="001C748B">
        <w:rPr>
          <w:color w:val="000000" w:themeColor="text1"/>
          <w:lang w:val="en-GB"/>
        </w:rPr>
        <w:t>.</w:t>
      </w:r>
    </w:p>
    <w:p w14:paraId="3E807FCE" w14:textId="77777777" w:rsidR="001C748B" w:rsidRDefault="00287C20" w:rsidP="001C748B">
      <w:pPr>
        <w:spacing w:line="480" w:lineRule="auto"/>
        <w:rPr>
          <w:b/>
          <w:color w:val="000000" w:themeColor="text1"/>
          <w:lang w:val="en-GB"/>
        </w:rPr>
      </w:pPr>
      <w:r w:rsidRPr="006F5DEC">
        <w:rPr>
          <w:b/>
          <w:color w:val="000000" w:themeColor="text1"/>
          <w:lang w:val="en-GB"/>
        </w:rPr>
        <w:t>Conclusion</w:t>
      </w:r>
    </w:p>
    <w:p w14:paraId="1F482779" w14:textId="77777777" w:rsidR="001C748B" w:rsidRDefault="008824E7" w:rsidP="001C748B">
      <w:pPr>
        <w:spacing w:line="480" w:lineRule="auto"/>
        <w:ind w:firstLine="720"/>
        <w:rPr>
          <w:color w:val="000000" w:themeColor="text1"/>
          <w:lang w:val="en-GB"/>
        </w:rPr>
      </w:pPr>
      <w:r w:rsidRPr="004F4BB2">
        <w:rPr>
          <w:color w:val="000000" w:themeColor="text1"/>
          <w:lang w:val="en-US"/>
        </w:rPr>
        <w:t>A biomarker-based treatment</w:t>
      </w:r>
      <w:r w:rsidR="00FB152F" w:rsidRPr="004F4BB2">
        <w:rPr>
          <w:color w:val="000000" w:themeColor="text1"/>
          <w:lang w:val="en-US"/>
        </w:rPr>
        <w:t xml:space="preserve"> up</w:t>
      </w:r>
      <w:r w:rsidR="00294FA3" w:rsidRPr="004F4BB2">
        <w:rPr>
          <w:color w:val="000000" w:themeColor="text1"/>
          <w:lang w:val="en-US"/>
        </w:rPr>
        <w:t>-</w:t>
      </w:r>
      <w:r w:rsidR="00FB152F" w:rsidRPr="004F4BB2">
        <w:rPr>
          <w:color w:val="000000" w:themeColor="text1"/>
          <w:lang w:val="en-US"/>
        </w:rPr>
        <w:t>titration</w:t>
      </w:r>
      <w:r w:rsidRPr="004F4BB2">
        <w:rPr>
          <w:color w:val="000000" w:themeColor="text1"/>
          <w:lang w:val="en-US"/>
        </w:rPr>
        <w:t xml:space="preserve"> choice</w:t>
      </w:r>
      <w:r w:rsidR="00FB152F" w:rsidRPr="004F4BB2">
        <w:rPr>
          <w:color w:val="000000" w:themeColor="text1"/>
          <w:lang w:val="en-US"/>
        </w:rPr>
        <w:t xml:space="preserve"> in patients with heart failure</w:t>
      </w:r>
      <w:r w:rsidRPr="004F4BB2">
        <w:rPr>
          <w:color w:val="000000" w:themeColor="text1"/>
          <w:lang w:val="en-US"/>
        </w:rPr>
        <w:t xml:space="preserve"> was </w:t>
      </w:r>
      <w:proofErr w:type="spellStart"/>
      <w:r w:rsidRPr="004F4BB2">
        <w:rPr>
          <w:color w:val="000000" w:themeColor="text1"/>
          <w:lang w:val="en-US"/>
        </w:rPr>
        <w:t>favourable</w:t>
      </w:r>
      <w:proofErr w:type="spellEnd"/>
      <w:r w:rsidRPr="004F4BB2">
        <w:rPr>
          <w:color w:val="000000" w:themeColor="text1"/>
          <w:lang w:val="en-US"/>
        </w:rPr>
        <w:t xml:space="preserve"> over </w:t>
      </w:r>
      <w:r w:rsidR="00CC7E8A" w:rsidRPr="004F4BB2">
        <w:rPr>
          <w:color w:val="000000" w:themeColor="text1"/>
          <w:lang w:val="en-US"/>
        </w:rPr>
        <w:t>both</w:t>
      </w:r>
      <w:r w:rsidR="00FB152F" w:rsidRPr="004F4BB2">
        <w:rPr>
          <w:color w:val="000000" w:themeColor="text1"/>
          <w:lang w:val="en-US"/>
        </w:rPr>
        <w:t xml:space="preserve"> a hypothetical scenario in which </w:t>
      </w:r>
      <w:r w:rsidRPr="004F4BB2">
        <w:rPr>
          <w:color w:val="000000" w:themeColor="text1"/>
          <w:lang w:val="en-US"/>
        </w:rPr>
        <w:t xml:space="preserve">all patients </w:t>
      </w:r>
      <w:r w:rsidR="00FB152F" w:rsidRPr="004F4BB2">
        <w:rPr>
          <w:color w:val="000000" w:themeColor="text1"/>
          <w:lang w:val="en-US"/>
        </w:rPr>
        <w:t xml:space="preserve">would have been successfully </w:t>
      </w:r>
      <w:r w:rsidR="00FB152F" w:rsidRPr="004F4BB2">
        <w:rPr>
          <w:color w:val="000000" w:themeColor="text1"/>
          <w:lang w:val="en-US"/>
        </w:rPr>
        <w:lastRenderedPageBreak/>
        <w:t>up</w:t>
      </w:r>
      <w:r w:rsidR="0051293F" w:rsidRPr="004F4BB2">
        <w:rPr>
          <w:color w:val="000000" w:themeColor="text1"/>
          <w:lang w:val="en-US"/>
        </w:rPr>
        <w:t>-</w:t>
      </w:r>
      <w:r w:rsidR="00FB152F" w:rsidRPr="004F4BB2">
        <w:rPr>
          <w:color w:val="000000" w:themeColor="text1"/>
          <w:lang w:val="en-US"/>
        </w:rPr>
        <w:t>titrated to</w:t>
      </w:r>
      <w:r w:rsidRPr="004F4BB2">
        <w:rPr>
          <w:color w:val="000000" w:themeColor="text1"/>
          <w:lang w:val="en-US"/>
        </w:rPr>
        <w:t xml:space="preserve"> </w:t>
      </w:r>
      <w:r w:rsidR="009D582A" w:rsidRPr="004F4BB2">
        <w:rPr>
          <w:color w:val="000000" w:themeColor="text1"/>
          <w:lang w:val="en-US"/>
        </w:rPr>
        <w:t>&gt;50%</w:t>
      </w:r>
      <w:r w:rsidRPr="004F4BB2">
        <w:rPr>
          <w:color w:val="000000" w:themeColor="text1"/>
          <w:lang w:val="en-US"/>
        </w:rPr>
        <w:t xml:space="preserve"> of</w:t>
      </w:r>
      <w:r w:rsidRPr="005069E5">
        <w:rPr>
          <w:color w:val="000000" w:themeColor="text1"/>
          <w:lang w:val="en-GB"/>
        </w:rPr>
        <w:t xml:space="preserve"> </w:t>
      </w:r>
      <w:r w:rsidRPr="004F4BB2">
        <w:rPr>
          <w:color w:val="000000" w:themeColor="text1"/>
          <w:lang w:val="en-GB"/>
        </w:rPr>
        <w:t>recommended of ACE-inhibitor/ARB and beta-blocker dose</w:t>
      </w:r>
      <w:r w:rsidR="003843BD">
        <w:rPr>
          <w:color w:val="000000" w:themeColor="text1"/>
          <w:lang w:val="en-GB"/>
        </w:rPr>
        <w:t xml:space="preserve"> and </w:t>
      </w:r>
      <w:r w:rsidR="003843BD">
        <w:rPr>
          <w:color w:val="000000" w:themeColor="text1"/>
          <w:lang w:val="en-US"/>
        </w:rPr>
        <w:t>≥</w:t>
      </w:r>
      <w:r w:rsidR="003843BD" w:rsidRPr="00147D69">
        <w:rPr>
          <w:color w:val="000000" w:themeColor="text1"/>
          <w:lang w:val="en-US"/>
        </w:rPr>
        <w:t>50%</w:t>
      </w:r>
      <w:r w:rsidR="003843BD">
        <w:rPr>
          <w:color w:val="000000" w:themeColor="text1"/>
          <w:lang w:val="en-US"/>
        </w:rPr>
        <w:t xml:space="preserve"> MRA dose</w:t>
      </w:r>
      <w:r w:rsidRPr="004F4BB2">
        <w:rPr>
          <w:color w:val="000000" w:themeColor="text1"/>
          <w:lang w:val="en-US"/>
        </w:rPr>
        <w:t xml:space="preserve">. We estimated that 1 in </w:t>
      </w:r>
      <w:r w:rsidR="00CC3647" w:rsidRPr="004F4BB2">
        <w:rPr>
          <w:color w:val="000000" w:themeColor="text1"/>
          <w:lang w:val="en-US"/>
        </w:rPr>
        <w:t>50</w:t>
      </w:r>
      <w:r w:rsidR="002F4230">
        <w:rPr>
          <w:color w:val="000000" w:themeColor="text1"/>
          <w:lang w:val="en-US"/>
        </w:rPr>
        <w:t>,</w:t>
      </w:r>
      <w:r w:rsidR="00CC3647" w:rsidRPr="004F4BB2">
        <w:rPr>
          <w:color w:val="000000" w:themeColor="text1"/>
          <w:lang w:val="en-US"/>
        </w:rPr>
        <w:t xml:space="preserve"> 1/3 </w:t>
      </w:r>
      <w:r w:rsidR="002F4230">
        <w:rPr>
          <w:color w:val="000000" w:themeColor="text1"/>
          <w:lang w:val="en-US"/>
        </w:rPr>
        <w:t xml:space="preserve">and 1/8 </w:t>
      </w:r>
      <w:r w:rsidRPr="004F4BB2">
        <w:rPr>
          <w:color w:val="000000" w:themeColor="text1"/>
          <w:lang w:val="en-US"/>
        </w:rPr>
        <w:t>patients will not benefit from ACE- inhibitor/ARB</w:t>
      </w:r>
      <w:r w:rsidR="002F4230">
        <w:rPr>
          <w:color w:val="000000" w:themeColor="text1"/>
          <w:lang w:val="en-US"/>
        </w:rPr>
        <w:t>,</w:t>
      </w:r>
      <w:r w:rsidRPr="004F4BB2">
        <w:rPr>
          <w:color w:val="000000" w:themeColor="text1"/>
          <w:lang w:val="en-US"/>
        </w:rPr>
        <w:t xml:space="preserve"> beta-blocker </w:t>
      </w:r>
      <w:r w:rsidR="002F4230">
        <w:rPr>
          <w:color w:val="000000" w:themeColor="text1"/>
          <w:lang w:val="en-US"/>
        </w:rPr>
        <w:t xml:space="preserve">or MRA </w:t>
      </w:r>
      <w:r w:rsidRPr="004F4BB2">
        <w:rPr>
          <w:color w:val="000000" w:themeColor="text1"/>
          <w:lang w:val="en-US"/>
        </w:rPr>
        <w:t xml:space="preserve">up-titration, but their mortality/hospitalization hazards do not increase much by up-titration. </w:t>
      </w:r>
      <w:r w:rsidR="00936E06">
        <w:rPr>
          <w:color w:val="000000" w:themeColor="text1"/>
          <w:lang w:val="en-US"/>
        </w:rPr>
        <w:t>B</w:t>
      </w:r>
      <w:r w:rsidR="00294FA3" w:rsidRPr="004F4BB2">
        <w:rPr>
          <w:color w:val="000000" w:themeColor="text1"/>
          <w:lang w:val="en-US"/>
        </w:rPr>
        <w:t xml:space="preserve">ecause of the nature of this study, and the small differences between biomarker-based treatment choice and the scenario in which all patients would have been successfully up-titrated, we suggest </w:t>
      </w:r>
      <w:r w:rsidR="00294FA3" w:rsidRPr="004F4BB2">
        <w:rPr>
          <w:color w:val="000000" w:themeColor="text1"/>
          <w:lang w:val="en-GB"/>
        </w:rPr>
        <w:t>that up-titration should always be attempted in heart failure patients, which should lead to improved treatment of life-saving therapies across Europe.</w:t>
      </w:r>
    </w:p>
    <w:p w14:paraId="7AC7414C" w14:textId="77777777" w:rsidR="001C748B" w:rsidRDefault="001C748B">
      <w:pPr>
        <w:spacing w:after="160" w:line="259" w:lineRule="auto"/>
        <w:rPr>
          <w:color w:val="000000" w:themeColor="text1"/>
          <w:lang w:val="en-GB"/>
        </w:rPr>
      </w:pPr>
      <w:r>
        <w:rPr>
          <w:color w:val="000000" w:themeColor="text1"/>
          <w:lang w:val="en-GB"/>
        </w:rPr>
        <w:br w:type="page"/>
      </w:r>
    </w:p>
    <w:p w14:paraId="01D69667" w14:textId="77777777" w:rsidR="002478E9" w:rsidRPr="002478E9" w:rsidRDefault="002478E9" w:rsidP="002478E9">
      <w:pPr>
        <w:spacing w:line="480" w:lineRule="auto"/>
        <w:rPr>
          <w:b/>
          <w:color w:val="000000" w:themeColor="text1"/>
          <w:lang w:val="en-GB"/>
        </w:rPr>
      </w:pPr>
      <w:r w:rsidRPr="002478E9">
        <w:rPr>
          <w:b/>
          <w:color w:val="000000" w:themeColor="text1"/>
          <w:lang w:val="en-GB"/>
        </w:rPr>
        <w:lastRenderedPageBreak/>
        <w:t>PERSPECTIVES</w:t>
      </w:r>
    </w:p>
    <w:p w14:paraId="6AF7D3FE" w14:textId="48363ABF" w:rsidR="002478E9" w:rsidRPr="002478E9" w:rsidRDefault="002478E9" w:rsidP="002478E9">
      <w:pPr>
        <w:spacing w:line="480" w:lineRule="auto"/>
        <w:rPr>
          <w:color w:val="000000" w:themeColor="text1"/>
          <w:lang w:val="en-GB"/>
        </w:rPr>
      </w:pPr>
      <w:r w:rsidRPr="002478E9">
        <w:rPr>
          <w:b/>
          <w:color w:val="000000" w:themeColor="text1"/>
          <w:lang w:val="en-GB"/>
        </w:rPr>
        <w:t>Competency in Medical Knowledge</w:t>
      </w:r>
      <w:r w:rsidRPr="002478E9">
        <w:rPr>
          <w:color w:val="000000" w:themeColor="text1"/>
          <w:lang w:val="en-GB"/>
        </w:rPr>
        <w:t>: Not all patients benefit from up-titrating ACE-inhibitor/ARB, beta-blocker and MRA to high evidence based recommended treatment dose. Predicting benefit based on treatment-selection models using individual biomarker profiles results in a higher reduction of mortality and/or heart failure related hospitalization than when all patients are up-titrated, although the difference is small.</w:t>
      </w:r>
    </w:p>
    <w:p w14:paraId="6D00C7C3" w14:textId="4AD7E8A2" w:rsidR="002478E9" w:rsidRPr="002478E9" w:rsidRDefault="002478E9" w:rsidP="002478E9">
      <w:pPr>
        <w:spacing w:line="480" w:lineRule="auto"/>
        <w:rPr>
          <w:color w:val="000000" w:themeColor="text1"/>
          <w:lang w:val="en-GB"/>
        </w:rPr>
      </w:pPr>
      <w:r w:rsidRPr="002478E9">
        <w:rPr>
          <w:b/>
          <w:color w:val="000000" w:themeColor="text1"/>
          <w:lang w:val="en-GB"/>
        </w:rPr>
        <w:t xml:space="preserve">Competency in Patient Care: </w:t>
      </w:r>
      <w:r w:rsidRPr="002478E9">
        <w:rPr>
          <w:color w:val="000000" w:themeColor="text1"/>
          <w:lang w:val="en-GB"/>
        </w:rPr>
        <w:t>A patient should be up-titrated to evidence based recommended treatment dose or not based on a biomarker profile using our treatment-selection models. This reduces the change of death and/or heart failure related hospitalization.</w:t>
      </w:r>
    </w:p>
    <w:p w14:paraId="303EB9ED" w14:textId="63BB6D1D" w:rsidR="002478E9" w:rsidRPr="002478E9" w:rsidRDefault="002478E9" w:rsidP="002478E9">
      <w:pPr>
        <w:spacing w:line="480" w:lineRule="auto"/>
        <w:rPr>
          <w:color w:val="000000" w:themeColor="text1"/>
          <w:lang w:val="en-GB"/>
        </w:rPr>
      </w:pPr>
      <w:r w:rsidRPr="002478E9">
        <w:rPr>
          <w:b/>
          <w:color w:val="000000" w:themeColor="text1"/>
          <w:lang w:val="en-GB"/>
        </w:rPr>
        <w:t xml:space="preserve">Translational Outlook: </w:t>
      </w:r>
      <w:r w:rsidRPr="002478E9">
        <w:rPr>
          <w:color w:val="000000" w:themeColor="text1"/>
          <w:lang w:val="en-GB"/>
        </w:rPr>
        <w:t xml:space="preserve">We have developed treatment-selection models in which patients should be up-titrated or not based on biomarker profiles. These biomarker treatment-selection models should be </w:t>
      </w:r>
      <w:r>
        <w:rPr>
          <w:color w:val="000000" w:themeColor="text1"/>
          <w:lang w:val="en-GB"/>
        </w:rPr>
        <w:t xml:space="preserve">tested in a randomized fashion. </w:t>
      </w:r>
      <w:r w:rsidRPr="002478E9">
        <w:rPr>
          <w:color w:val="000000" w:themeColor="text1"/>
          <w:lang w:val="en-GB"/>
        </w:rPr>
        <w:t>The biomarkers selected in our treatment-selection models might lead to more insight into heart failure pathogenesis, and may lead to new treatment options.</w:t>
      </w:r>
    </w:p>
    <w:p w14:paraId="5E5F6A23" w14:textId="77777777" w:rsidR="002478E9" w:rsidRDefault="002478E9">
      <w:pPr>
        <w:spacing w:after="160" w:line="259" w:lineRule="auto"/>
        <w:rPr>
          <w:b/>
          <w:color w:val="000000" w:themeColor="text1"/>
          <w:lang w:val="en-GB"/>
        </w:rPr>
      </w:pPr>
      <w:r>
        <w:rPr>
          <w:b/>
          <w:color w:val="000000" w:themeColor="text1"/>
          <w:lang w:val="en-GB"/>
        </w:rPr>
        <w:br w:type="page"/>
      </w:r>
    </w:p>
    <w:p w14:paraId="19A9376D" w14:textId="716F8572" w:rsidR="00025C98" w:rsidRPr="004F4BB2" w:rsidRDefault="001C748B" w:rsidP="002478E9">
      <w:pPr>
        <w:spacing w:line="480" w:lineRule="auto"/>
        <w:rPr>
          <w:b/>
          <w:color w:val="000000" w:themeColor="text1"/>
          <w:lang w:val="en-GB"/>
        </w:rPr>
      </w:pPr>
      <w:r w:rsidRPr="004F4BB2">
        <w:rPr>
          <w:b/>
          <w:color w:val="000000" w:themeColor="text1"/>
          <w:lang w:val="en-GB"/>
        </w:rPr>
        <w:lastRenderedPageBreak/>
        <w:t>References</w:t>
      </w:r>
    </w:p>
    <w:p w14:paraId="6083E4E6" w14:textId="2F5ADEB9" w:rsidR="00A032C6" w:rsidRPr="004F4BB2" w:rsidRDefault="00025C98" w:rsidP="00A032C6">
      <w:pPr>
        <w:widowControl w:val="0"/>
        <w:autoSpaceDE w:val="0"/>
        <w:autoSpaceDN w:val="0"/>
        <w:adjustRightInd w:val="0"/>
        <w:spacing w:line="480" w:lineRule="auto"/>
        <w:rPr>
          <w:rFonts w:eastAsia="Times New Roman"/>
          <w:noProof/>
          <w:lang w:val="en-US"/>
        </w:rPr>
      </w:pPr>
      <w:r w:rsidRPr="004F4BB2">
        <w:rPr>
          <w:color w:val="000000" w:themeColor="text1"/>
          <w:lang w:val="en-GB"/>
        </w:rPr>
        <w:fldChar w:fldCharType="begin" w:fldLock="1"/>
      </w:r>
      <w:r w:rsidRPr="004F4BB2">
        <w:rPr>
          <w:color w:val="000000" w:themeColor="text1"/>
          <w:lang w:val="en-GB"/>
        </w:rPr>
        <w:instrText xml:space="preserve">ADDIN Mendeley Bibliography CSL_BIBLIOGRAPHY </w:instrText>
      </w:r>
      <w:r w:rsidRPr="004F4BB2">
        <w:rPr>
          <w:color w:val="000000" w:themeColor="text1"/>
          <w:lang w:val="en-GB"/>
        </w:rPr>
        <w:fldChar w:fldCharType="separate"/>
      </w:r>
      <w:r w:rsidR="00A032C6" w:rsidRPr="004F4BB2">
        <w:rPr>
          <w:rFonts w:eastAsia="Times New Roman"/>
          <w:noProof/>
          <w:lang w:val="en-US"/>
        </w:rPr>
        <w:t xml:space="preserve">1. The SOLVD Investigators. Effect of enalapril on survival in patients with reduced left ventricular ejection fractions </w:t>
      </w:r>
      <w:r w:rsidR="00BA3B7C">
        <w:rPr>
          <w:rFonts w:eastAsia="Times New Roman"/>
          <w:noProof/>
          <w:lang w:val="en-US"/>
        </w:rPr>
        <w:t>and congestive heart failure. N Engl J</w:t>
      </w:r>
      <w:r w:rsidR="00A032C6" w:rsidRPr="004F4BB2">
        <w:rPr>
          <w:rFonts w:eastAsia="Times New Roman"/>
          <w:noProof/>
          <w:lang w:val="en-US"/>
        </w:rPr>
        <w:t xml:space="preserve"> Med. 1991;325:293–302. </w:t>
      </w:r>
    </w:p>
    <w:p w14:paraId="3EF1379A" w14:textId="654C6DFC"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2. Garg R, Yusuf S. Overview of randomized trials of angiotensin-converting enzyme inhibitors on mortality and morbidity in patients with heart failure. Collaborative Group on ACE Inhibitor Trials. JAMA 1995;273:1450–6.</w:t>
      </w:r>
    </w:p>
    <w:p w14:paraId="46EEE5F0" w14:textId="1DE4C678"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3. Packer M, Bristow MR, Cohn JN, et al. The effect of carvedilol on morbidity and mortality in patients with chronic heart failure. U.S. Carvedilol Heart Failure Study Group. N</w:t>
      </w:r>
      <w:r w:rsidR="00BA3B7C">
        <w:rPr>
          <w:rFonts w:eastAsia="Times New Roman"/>
          <w:noProof/>
          <w:lang w:val="en-US"/>
        </w:rPr>
        <w:t xml:space="preserve"> </w:t>
      </w:r>
      <w:r w:rsidRPr="004F4BB2">
        <w:rPr>
          <w:rFonts w:eastAsia="Times New Roman"/>
          <w:noProof/>
          <w:lang w:val="en-US"/>
        </w:rPr>
        <w:t>Engl J Med. 1996;334:1349–55.</w:t>
      </w:r>
    </w:p>
    <w:p w14:paraId="55F7FD9B" w14:textId="1C7DE765"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4. CIBIS-II Investigators and Committees. The Cardiac Insufficiency Bisoprolol Study II (CIBIS-II): a randomised trial. Lancet (London, England) 1999;353:9–13.</w:t>
      </w:r>
    </w:p>
    <w:p w14:paraId="25C8FFD9" w14:textId="428F9D53"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5. Hjalmarson A, Goldstein S, Fagerberg B, et al. Effects of controlled-release metoprolol on total mortality, hospitalizations, and well-being in patients with heart failure: the Metoprolol CR/XL Randomized Intervention Trial in congestive heart failure (MERIT-HF). MERIT-HF Study</w:t>
      </w:r>
      <w:r w:rsidR="00BA3B7C">
        <w:rPr>
          <w:rFonts w:eastAsia="Times New Roman"/>
          <w:noProof/>
          <w:lang w:val="en-US"/>
        </w:rPr>
        <w:t xml:space="preserve"> Group. JAMA 2000;283:1295–302.</w:t>
      </w:r>
    </w:p>
    <w:p w14:paraId="2B0BE7D3" w14:textId="29E01E1C"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6. Packer M, Coats AJS, Fowler MB, et al. Effect of carvedilol on survival in severe chronic heart failure. N</w:t>
      </w:r>
      <w:r w:rsidR="00BA3B7C">
        <w:rPr>
          <w:rFonts w:eastAsia="Times New Roman"/>
          <w:noProof/>
          <w:lang w:val="en-US"/>
        </w:rPr>
        <w:t xml:space="preserve"> Engl</w:t>
      </w:r>
      <w:r w:rsidRPr="004F4BB2">
        <w:rPr>
          <w:rFonts w:eastAsia="Times New Roman"/>
          <w:noProof/>
          <w:lang w:val="en-US"/>
        </w:rPr>
        <w:t xml:space="preserve"> J Med</w:t>
      </w:r>
      <w:r w:rsidR="00BA3B7C">
        <w:rPr>
          <w:rFonts w:eastAsia="Times New Roman"/>
          <w:noProof/>
          <w:lang w:val="en-US"/>
        </w:rPr>
        <w:t>. 2001;344:1651–8.</w:t>
      </w:r>
    </w:p>
    <w:p w14:paraId="02C941C7" w14:textId="7BC2D8CD"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 xml:space="preserve">7. Poole-Wilson P a, Swedberg K, Cleland JGF, et al. Comparison of carvedilol and metoprolol on clinical outcomes in patients with chronic heart failure in the Carvedilol Or Metoprolol European Trial (COMET): randomised controlled trial. Lancet </w:t>
      </w:r>
      <w:r w:rsidR="00BA3B7C">
        <w:rPr>
          <w:rFonts w:eastAsia="Times New Roman"/>
          <w:noProof/>
          <w:lang w:val="en-US"/>
        </w:rPr>
        <w:t xml:space="preserve"> 2003;362:7–13. </w:t>
      </w:r>
    </w:p>
    <w:p w14:paraId="7DED24A3" w14:textId="6FC08C9B"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 xml:space="preserve">8. Flather MD, Shibata MC, Coats AJS, et al. Randomized trial to determine the effect of nebivolol on mortality and cardiovascular hospital admission in elderly patients with heart failure (SENIORS). Eur Heart </w:t>
      </w:r>
      <w:r w:rsidR="00BA3B7C">
        <w:rPr>
          <w:rFonts w:eastAsia="Times New Roman"/>
          <w:noProof/>
          <w:lang w:val="en-US"/>
        </w:rPr>
        <w:t>J. 2005;26:215–25.</w:t>
      </w:r>
    </w:p>
    <w:p w14:paraId="0DA38E03" w14:textId="58341253"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lastRenderedPageBreak/>
        <w:t>9. Dickstein K, Cohen-Solal A, Filippatos G, et al. ESC Guidelines for the diagnosis and treatment of acute and chronic heart failure 2008: the Task Force for the Diagnosis and Treatment of Acute and Chronic Heart Failure 2008 of the European Society of Cardiology. Developed in collaboration with the Heart. E</w:t>
      </w:r>
      <w:r w:rsidR="00BA3B7C">
        <w:rPr>
          <w:rFonts w:eastAsia="Times New Roman"/>
          <w:noProof/>
          <w:lang w:val="en-US"/>
        </w:rPr>
        <w:t>ur. Heart J. 2008;29:2388–442.</w:t>
      </w:r>
    </w:p>
    <w:p w14:paraId="568BB8D1" w14:textId="45F31011"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10. McMurray JJ V, Adamopoulos S, Anker SD, et al. ESC guidelines for the diagnosis and treatment of acute and chronic heart failure 2012: The Task Force for the Diagnosis and Treatment of Acute and Chronic Heart Failure 2012 of the European Society of Cardiology. Developed in col</w:t>
      </w:r>
      <w:r w:rsidR="00BA3B7C">
        <w:rPr>
          <w:rFonts w:eastAsia="Times New Roman"/>
          <w:noProof/>
          <w:lang w:val="en-US"/>
        </w:rPr>
        <w:t>laboration with the Heart. Eur J</w:t>
      </w:r>
      <w:r w:rsidRPr="004F4BB2">
        <w:rPr>
          <w:rFonts w:eastAsia="Times New Roman"/>
          <w:noProof/>
          <w:lang w:val="en-US"/>
        </w:rPr>
        <w:t xml:space="preserve"> Heart Fail. 2012;14:803–69. </w:t>
      </w:r>
    </w:p>
    <w:p w14:paraId="493E1ED0" w14:textId="54BC8E4B"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 xml:space="preserve">11. Ponikowski P, Voors AA, Anker SD, et al. 2016 ESC Guidelines for the diagnosis and treatment of acute and chronic heart failure: The Task Force for the diagnosis and treatment of acute and chronic heart failure of the European Society of Cardiology (ESC). Developed with the special contribution. Eur. J. Heart Fail. 2016;18:891–975. </w:t>
      </w:r>
    </w:p>
    <w:p w14:paraId="6F30F930" w14:textId="5C6FAC41" w:rsidR="00A032C6" w:rsidRPr="004F4BB2" w:rsidRDefault="00A032C6" w:rsidP="00A032C6">
      <w:pPr>
        <w:widowControl w:val="0"/>
        <w:autoSpaceDE w:val="0"/>
        <w:autoSpaceDN w:val="0"/>
        <w:adjustRightInd w:val="0"/>
        <w:spacing w:line="480" w:lineRule="auto"/>
        <w:rPr>
          <w:rFonts w:eastAsia="Times New Roman"/>
          <w:noProof/>
          <w:lang w:val="en-US"/>
        </w:rPr>
      </w:pPr>
      <w:r w:rsidRPr="009C674F">
        <w:rPr>
          <w:rFonts w:eastAsia="Times New Roman"/>
          <w:noProof/>
          <w:lang w:val="en-US"/>
        </w:rPr>
        <w:t xml:space="preserve">12. Pitt B, Zannad F, Remme WJ, et al. </w:t>
      </w:r>
      <w:r w:rsidRPr="004F4BB2">
        <w:rPr>
          <w:rFonts w:eastAsia="Times New Roman"/>
          <w:noProof/>
          <w:lang w:val="en-US"/>
        </w:rPr>
        <w:t>The effect of spironolactone on morbidity and mortality in patients with severe heart failure. N</w:t>
      </w:r>
      <w:r w:rsidR="00BA3B7C">
        <w:rPr>
          <w:rFonts w:eastAsia="Times New Roman"/>
          <w:noProof/>
          <w:lang w:val="en-US"/>
        </w:rPr>
        <w:t xml:space="preserve"> Engl J</w:t>
      </w:r>
      <w:r w:rsidRPr="004F4BB2">
        <w:rPr>
          <w:rFonts w:eastAsia="Times New Roman"/>
          <w:noProof/>
          <w:lang w:val="en-US"/>
        </w:rPr>
        <w:t xml:space="preserve"> Med. 1999;341:709–717.</w:t>
      </w:r>
    </w:p>
    <w:p w14:paraId="44D4884B" w14:textId="2AF34670"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13. Stewart S, MacIntyre K, Hole DJ, Capewell S, McMurray JJ. More “malignant” than cancer? Five-year survival following a first admission for heart failure. Eur. J. Heart Fail. 2001;3:315–22.</w:t>
      </w:r>
    </w:p>
    <w:p w14:paraId="287D87C7" w14:textId="0B3ED221"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 xml:space="preserve">14. Jhund PS, Macintyre K, Simpson CR, et al. Long-term trends in first hospitalization for heart failure and subsequent survival between 1986 and 2003: a population study of 5.1 million people. Circulation </w:t>
      </w:r>
      <w:r w:rsidR="00BA3B7C">
        <w:rPr>
          <w:rFonts w:eastAsia="Times New Roman"/>
          <w:noProof/>
          <w:lang w:val="en-US"/>
        </w:rPr>
        <w:t>2009;119:515–23.</w:t>
      </w:r>
    </w:p>
    <w:p w14:paraId="72CEB1A9" w14:textId="3FC6A8A4" w:rsidR="00A032C6" w:rsidRPr="009C674F"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15. Stewart S, Ekman I, Ekman T, Odén A, Rosengren A. Population impact of heart failure and the most common forms of cancer: a study of 1 162 309 hospital cases in Sweden (1988 to 2004). Circ. Cardiovasc.</w:t>
      </w:r>
      <w:r w:rsidR="00BA3B7C">
        <w:rPr>
          <w:rFonts w:eastAsia="Times New Roman"/>
          <w:noProof/>
          <w:lang w:val="en-US"/>
        </w:rPr>
        <w:t xml:space="preserve"> Qual. Outcomes 2010;3:573–80</w:t>
      </w:r>
      <w:r w:rsidRPr="009C674F">
        <w:rPr>
          <w:rFonts w:eastAsia="Times New Roman"/>
          <w:noProof/>
          <w:lang w:val="en-US"/>
        </w:rPr>
        <w:t>.</w:t>
      </w:r>
    </w:p>
    <w:p w14:paraId="7E828E76" w14:textId="1D410063" w:rsidR="00A032C6" w:rsidRPr="004F4BB2" w:rsidRDefault="00A032C6" w:rsidP="00A032C6">
      <w:pPr>
        <w:widowControl w:val="0"/>
        <w:autoSpaceDE w:val="0"/>
        <w:autoSpaceDN w:val="0"/>
        <w:adjustRightInd w:val="0"/>
        <w:spacing w:line="480" w:lineRule="auto"/>
        <w:rPr>
          <w:rFonts w:eastAsia="Times New Roman"/>
          <w:noProof/>
          <w:lang w:val="en-US"/>
        </w:rPr>
      </w:pPr>
      <w:r w:rsidRPr="009C674F">
        <w:rPr>
          <w:rFonts w:eastAsia="Times New Roman"/>
          <w:noProof/>
          <w:lang w:val="en-US"/>
        </w:rPr>
        <w:t xml:space="preserve">16. Voors AA, Ouwerkerk W, Zannad F, et al. </w:t>
      </w:r>
      <w:r w:rsidRPr="004F4BB2">
        <w:rPr>
          <w:rFonts w:eastAsia="Times New Roman"/>
          <w:noProof/>
          <w:lang w:val="en-US"/>
        </w:rPr>
        <w:t xml:space="preserve">Development and validation of multivariable </w:t>
      </w:r>
      <w:r w:rsidRPr="004F4BB2">
        <w:rPr>
          <w:rFonts w:eastAsia="Times New Roman"/>
          <w:noProof/>
          <w:lang w:val="en-US"/>
        </w:rPr>
        <w:lastRenderedPageBreak/>
        <w:t>models to predict mortality and hospitalization in patients with heart failure. Eur. J. Heart Fail. 2017;2:429–36.</w:t>
      </w:r>
    </w:p>
    <w:p w14:paraId="71A03E9F" w14:textId="77777777"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17. Cleland JGF. Contemporary management of heart failure in clinical practice. Heart 2002;88 Suppl 2:ii5-8. Available at: http://www.ncbi.nlm.nih.gov/pubmed/12213792.</w:t>
      </w:r>
    </w:p>
    <w:p w14:paraId="2B8F6069" w14:textId="3DB3E34D"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18. Komajda M, Follath F, Swedberg K, et al. The EuroHeart Failure Survey programme--a survey on the quality of care among patients with heart failure in Europe. Part 2: treatment. Eur. Heart J.</w:t>
      </w:r>
      <w:r w:rsidR="00BA3B7C">
        <w:rPr>
          <w:rFonts w:eastAsia="Times New Roman"/>
          <w:noProof/>
          <w:lang w:val="en-US"/>
        </w:rPr>
        <w:t xml:space="preserve"> 2003;24:464–74.</w:t>
      </w:r>
    </w:p>
    <w:p w14:paraId="36725F5B" w14:textId="3051A671"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19. Kalra PR, Morley C, Barnes S, et al. Discontinuation of beta-blockers in cardiovascular disease: UK primary care cohort study. Int. J. Cardiol. 2013;167:2695–9.</w:t>
      </w:r>
    </w:p>
    <w:p w14:paraId="5CC0FD46" w14:textId="70884F73" w:rsidR="00A032C6" w:rsidRPr="009C674F" w:rsidRDefault="00A032C6" w:rsidP="00A032C6">
      <w:pPr>
        <w:widowControl w:val="0"/>
        <w:autoSpaceDE w:val="0"/>
        <w:autoSpaceDN w:val="0"/>
        <w:adjustRightInd w:val="0"/>
        <w:spacing w:line="480" w:lineRule="auto"/>
        <w:rPr>
          <w:rFonts w:eastAsia="Times New Roman"/>
          <w:noProof/>
        </w:rPr>
      </w:pPr>
      <w:r w:rsidRPr="009C674F">
        <w:rPr>
          <w:rFonts w:eastAsia="Times New Roman"/>
          <w:noProof/>
          <w:lang w:val="en-US"/>
        </w:rPr>
        <w:t xml:space="preserve">20. Voors AA, Anker SD, Cleland JG, et al. </w:t>
      </w:r>
      <w:r w:rsidRPr="004F4BB2">
        <w:rPr>
          <w:rFonts w:eastAsia="Times New Roman"/>
          <w:noProof/>
          <w:lang w:val="en-US"/>
        </w:rPr>
        <w:t xml:space="preserve">A systems BIOlogy Study to TAilored Treatment in Chronic Heart Failure: rationale, design, and baseline characteristics of BIOSTAT-CHF. </w:t>
      </w:r>
      <w:r w:rsidRPr="009C674F">
        <w:rPr>
          <w:rFonts w:eastAsia="Times New Roman"/>
          <w:noProof/>
        </w:rPr>
        <w:t>Eur. J. Heart Fail. 2016;18:716–26.</w:t>
      </w:r>
    </w:p>
    <w:p w14:paraId="72C150C0" w14:textId="5CC80D47" w:rsidR="00A032C6" w:rsidRPr="004F4BB2" w:rsidRDefault="00A032C6" w:rsidP="00A032C6">
      <w:pPr>
        <w:widowControl w:val="0"/>
        <w:autoSpaceDE w:val="0"/>
        <w:autoSpaceDN w:val="0"/>
        <w:adjustRightInd w:val="0"/>
        <w:spacing w:line="480" w:lineRule="auto"/>
        <w:rPr>
          <w:rFonts w:eastAsia="Times New Roman"/>
          <w:noProof/>
          <w:lang w:val="en-US"/>
        </w:rPr>
      </w:pPr>
      <w:r w:rsidRPr="00A032C6">
        <w:rPr>
          <w:rFonts w:eastAsia="Times New Roman"/>
          <w:noProof/>
        </w:rPr>
        <w:t xml:space="preserve">21. Ouwerkerk W, Voors AA, Anker SD, et al. </w:t>
      </w:r>
      <w:r w:rsidRPr="004F4BB2">
        <w:rPr>
          <w:rFonts w:eastAsia="Times New Roman"/>
          <w:noProof/>
          <w:lang w:val="en-US"/>
        </w:rPr>
        <w:t>Determinants and clinical outcome of uptitration of ACE-inhibitors and beta-blockers in patients with heart failure: a prospective European study. Eur. Heart J. 2017;38:1883–1890.</w:t>
      </w:r>
    </w:p>
    <w:p w14:paraId="7D43CC48" w14:textId="14F00C42"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22. Apple FS, Christenson RH, Valdes R, et al. Simultaneous rapid measurement of whole blood myoglobin, creatine kinase MB, and cardiac troponin I by the triage cardiac panel for detection of myocardial infarction. Clin. Chem</w:t>
      </w:r>
      <w:r w:rsidR="00BA3B7C">
        <w:rPr>
          <w:rFonts w:eastAsia="Times New Roman"/>
          <w:noProof/>
          <w:lang w:val="en-US"/>
        </w:rPr>
        <w:t>. 1999;45:199–205.</w:t>
      </w:r>
    </w:p>
    <w:p w14:paraId="2D00F426" w14:textId="48303A9D"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 xml:space="preserve">23. Straface AL, Myers JH, Kirchick HJ, Blick KE. A rapid point-of-care cardiac marker testing strategy facilitates the rapid diagnosis and management of chest pain patients in the emergency department. Am. J. Clin. </w:t>
      </w:r>
      <w:r w:rsidR="00BA3B7C">
        <w:rPr>
          <w:rFonts w:eastAsia="Times New Roman"/>
          <w:noProof/>
          <w:lang w:val="en-US"/>
        </w:rPr>
        <w:t>Pathol. 2008;129:788–95.</w:t>
      </w:r>
    </w:p>
    <w:p w14:paraId="18A31160" w14:textId="77777777"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24. Buuren S van, Groothuis-Oudshoorn K. mice : Multivariate Imputation by Chained Equations in R. J. Stat. Softw. 2011;45:1–67. Available at: http://www.jstatsoft.org/v45/i03/.</w:t>
      </w:r>
    </w:p>
    <w:p w14:paraId="42DE52DC" w14:textId="77777777"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lastRenderedPageBreak/>
        <w:t>25. R Core Team. R: A Language and Environment for Statistical Computing. 2016. Available at: https://www.r-project.org/.</w:t>
      </w:r>
    </w:p>
    <w:p w14:paraId="661DAA98" w14:textId="77777777"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26. Grambsch PM, Therneau TM. Proportional Hazards Tests and Diagnostics Based on Weighted Residuals. Biometrika 1994;81:515. Available at: https://academic.oup.com/biomet/article-lookup/doi/10.1093/biomet/81.3.515.</w:t>
      </w:r>
    </w:p>
    <w:p w14:paraId="1B267FE8" w14:textId="6D602104"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27. Liu LCY, Voors AA, Valente MAE, van der Meer P. A novel approach to drug development in heart failure: towards personalized medicine. Can. J. Cardiol. 2014;30:288–95.</w:t>
      </w:r>
    </w:p>
    <w:p w14:paraId="2F05B655" w14:textId="6BA37CC7"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28. Schuetz P, Aujesky D, Müller C, Müller B. Biomarker-guided personalised emergency medicine for all - hope for another hype? Swiss Med. Wkly. 2015;145:w14079.</w:t>
      </w:r>
    </w:p>
    <w:p w14:paraId="0930A68F" w14:textId="09FCD6ED"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29. Demissei BG, Postmus D, Liu LCY, et al. Risk-based evaluation of efficacy of rolofylline in patients hospitalized with acute heart failure - Post-hoc analysis of the PROTECT trial. Int. J. Cardiol. 2016;223:967–975.</w:t>
      </w:r>
    </w:p>
    <w:p w14:paraId="2A7280F6" w14:textId="1D99A91C" w:rsidR="00A032C6" w:rsidRPr="004F4BB2" w:rsidRDefault="00A032C6" w:rsidP="00A032C6">
      <w:pPr>
        <w:widowControl w:val="0"/>
        <w:autoSpaceDE w:val="0"/>
        <w:autoSpaceDN w:val="0"/>
        <w:adjustRightInd w:val="0"/>
        <w:spacing w:line="480" w:lineRule="auto"/>
        <w:rPr>
          <w:rFonts w:eastAsia="Times New Roman"/>
          <w:noProof/>
          <w:lang w:val="en-US"/>
        </w:rPr>
      </w:pPr>
      <w:r w:rsidRPr="009C674F">
        <w:rPr>
          <w:rFonts w:eastAsia="Times New Roman"/>
          <w:noProof/>
          <w:lang w:val="en-US"/>
        </w:rPr>
        <w:t xml:space="preserve">30. Ouwerkerk W, Voors AA, Zwinderman AH. </w:t>
      </w:r>
      <w:r w:rsidRPr="004F4BB2">
        <w:rPr>
          <w:rFonts w:eastAsia="Times New Roman"/>
          <w:noProof/>
          <w:lang w:val="en-US"/>
        </w:rPr>
        <w:t>Factors influencing the predictive power of models for predicting mortality and/or heart failure hospitalization in patients with heart failure. JACC. Heart Fail.</w:t>
      </w:r>
      <w:r w:rsidR="00BA3B7C">
        <w:rPr>
          <w:rFonts w:eastAsia="Times New Roman"/>
          <w:noProof/>
          <w:lang w:val="en-US"/>
        </w:rPr>
        <w:t xml:space="preserve"> 2014;2:429–36.</w:t>
      </w:r>
    </w:p>
    <w:p w14:paraId="05CA1C03" w14:textId="2042B81B"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31. Iqbal N, Wentworth B, Choudhary R, et al. Cardiac biomarkers: new tools for heart failure management. Cardiovasc. Diagn. The</w:t>
      </w:r>
      <w:r w:rsidR="00BA3B7C">
        <w:rPr>
          <w:rFonts w:eastAsia="Times New Roman"/>
          <w:noProof/>
          <w:lang w:val="en-US"/>
        </w:rPr>
        <w:t>r. 2012;2:147–64.</w:t>
      </w:r>
    </w:p>
    <w:p w14:paraId="35A14CDF" w14:textId="1409EDF3"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32. Cauthen C a, Lipinski MJ, Abbate A, et al. Relation of blood urea nitrogen to long-term mortality in patients with heart failure. Am J Cardiol.</w:t>
      </w:r>
      <w:r w:rsidR="00BA3B7C">
        <w:rPr>
          <w:rFonts w:eastAsia="Times New Roman"/>
          <w:noProof/>
          <w:lang w:val="en-US"/>
        </w:rPr>
        <w:t xml:space="preserve"> 2008;101:1643–7. </w:t>
      </w:r>
    </w:p>
    <w:p w14:paraId="080EE02E" w14:textId="1FA28160"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33. Shah KS, Maisel AS. Novel biomarkers in heart failure with preserved ejection fraction. Heart Fail. Clin. 2014;10:471–9.</w:t>
      </w:r>
    </w:p>
    <w:p w14:paraId="3DBAFE08" w14:textId="3EF79EA3"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34. Schrier RW. Blood urea nitrogen and serum creatinine: not married in heart failure. Circ. Heart Fail. 2008;1:2–5.</w:t>
      </w:r>
    </w:p>
    <w:p w14:paraId="49B05106" w14:textId="5BFA44FD"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lastRenderedPageBreak/>
        <w:t xml:space="preserve">35. Toth PP. High-density lipoprotein and cardiovascular risk. Circulation 2004;109:1809–12. </w:t>
      </w:r>
    </w:p>
    <w:p w14:paraId="0C211E09" w14:textId="28FA6B3E" w:rsidR="00A032C6" w:rsidRPr="009C674F" w:rsidRDefault="00A032C6" w:rsidP="00A032C6">
      <w:pPr>
        <w:widowControl w:val="0"/>
        <w:autoSpaceDE w:val="0"/>
        <w:autoSpaceDN w:val="0"/>
        <w:adjustRightInd w:val="0"/>
        <w:spacing w:line="480" w:lineRule="auto"/>
        <w:rPr>
          <w:rFonts w:eastAsia="Times New Roman"/>
          <w:noProof/>
        </w:rPr>
      </w:pPr>
      <w:r w:rsidRPr="004F4BB2">
        <w:rPr>
          <w:rFonts w:eastAsia="Times New Roman"/>
          <w:noProof/>
          <w:lang w:val="en-US"/>
        </w:rPr>
        <w:t xml:space="preserve">36. Horwich TB, Fonarow GC, Hamilton MA, MacLellan WR, Borenstein J. Anemia is associated with worse symptoms, greater impairment in functional capacity and a significant increase in mortality in patients with advanced heart failure. </w:t>
      </w:r>
      <w:r w:rsidRPr="009C674F">
        <w:rPr>
          <w:rFonts w:eastAsia="Times New Roman"/>
          <w:noProof/>
        </w:rPr>
        <w:t>J Am Coll Cardiol. 2002;39:1780–6.</w:t>
      </w:r>
    </w:p>
    <w:p w14:paraId="6D8A045A" w14:textId="1DECDA87" w:rsidR="00A032C6" w:rsidRPr="004F4BB2" w:rsidRDefault="00A032C6" w:rsidP="00A032C6">
      <w:pPr>
        <w:widowControl w:val="0"/>
        <w:autoSpaceDE w:val="0"/>
        <w:autoSpaceDN w:val="0"/>
        <w:adjustRightInd w:val="0"/>
        <w:spacing w:line="480" w:lineRule="auto"/>
        <w:rPr>
          <w:rFonts w:eastAsia="Times New Roman"/>
          <w:noProof/>
          <w:lang w:val="en-US"/>
        </w:rPr>
      </w:pPr>
      <w:r w:rsidRPr="00A032C6">
        <w:rPr>
          <w:rFonts w:eastAsia="Times New Roman"/>
          <w:noProof/>
        </w:rPr>
        <w:t xml:space="preserve">37. van Deursen VM, Damman K, Voors AA, et al. </w:t>
      </w:r>
      <w:r w:rsidRPr="004F4BB2">
        <w:rPr>
          <w:rFonts w:eastAsia="Times New Roman"/>
          <w:noProof/>
          <w:lang w:val="en-US"/>
        </w:rPr>
        <w:t>Prognostic value of plasma neutrophil gelatinase-associated lipocalin for mortality in patients with heart failure. Circ. Heart Fail. 2014;7:35–42.</w:t>
      </w:r>
    </w:p>
    <w:p w14:paraId="62D5DCAA" w14:textId="5F64F12C" w:rsidR="00A032C6" w:rsidRPr="004F4BB2" w:rsidRDefault="00A032C6" w:rsidP="00A032C6">
      <w:pPr>
        <w:widowControl w:val="0"/>
        <w:autoSpaceDE w:val="0"/>
        <w:autoSpaceDN w:val="0"/>
        <w:adjustRightInd w:val="0"/>
        <w:spacing w:line="480" w:lineRule="auto"/>
        <w:rPr>
          <w:rFonts w:eastAsia="Times New Roman"/>
          <w:noProof/>
          <w:lang w:val="en-US"/>
        </w:rPr>
      </w:pPr>
      <w:r w:rsidRPr="009C674F">
        <w:rPr>
          <w:rFonts w:eastAsia="Times New Roman"/>
          <w:noProof/>
          <w:lang w:val="en-US"/>
        </w:rPr>
        <w:t xml:space="preserve">38. de Boer RA, Cao Q, Postmus D, et al. </w:t>
      </w:r>
      <w:r w:rsidRPr="004F4BB2">
        <w:rPr>
          <w:rFonts w:eastAsia="Times New Roman"/>
          <w:noProof/>
          <w:lang w:val="en-US"/>
        </w:rPr>
        <w:t>The WAP four-disulfide core domain protein HE4: a novel biomarker for heart failure. JACC. Heart Fail. 2013;1:164–9.</w:t>
      </w:r>
    </w:p>
    <w:p w14:paraId="417F5C38" w14:textId="0FC62F9A" w:rsidR="00A032C6" w:rsidRPr="004F4BB2" w:rsidRDefault="00A032C6" w:rsidP="00A032C6">
      <w:pPr>
        <w:widowControl w:val="0"/>
        <w:autoSpaceDE w:val="0"/>
        <w:autoSpaceDN w:val="0"/>
        <w:adjustRightInd w:val="0"/>
        <w:spacing w:line="480" w:lineRule="auto"/>
        <w:rPr>
          <w:rFonts w:eastAsia="Times New Roman"/>
          <w:noProof/>
          <w:lang w:val="en-US"/>
        </w:rPr>
      </w:pPr>
      <w:r w:rsidRPr="004F4BB2">
        <w:rPr>
          <w:rFonts w:eastAsia="Times New Roman"/>
          <w:noProof/>
          <w:lang w:val="en-US"/>
        </w:rPr>
        <w:t>39. Musoro JZ, Zwinderman AH, Puhan M a, ter Riet G, Geskus RB. Validation of prediction models based on lasso regression with multiply imputed data. BMC Med. Res. Methodol. 2014;14:116.</w:t>
      </w:r>
    </w:p>
    <w:p w14:paraId="4E01B0DA" w14:textId="792B51B6" w:rsidR="00A032C6" w:rsidRPr="00A032C6" w:rsidRDefault="00A032C6" w:rsidP="00A032C6">
      <w:pPr>
        <w:widowControl w:val="0"/>
        <w:autoSpaceDE w:val="0"/>
        <w:autoSpaceDN w:val="0"/>
        <w:adjustRightInd w:val="0"/>
        <w:spacing w:line="480" w:lineRule="auto"/>
        <w:rPr>
          <w:rFonts w:eastAsia="Times New Roman"/>
          <w:noProof/>
        </w:rPr>
      </w:pPr>
      <w:r w:rsidRPr="009C674F">
        <w:rPr>
          <w:rFonts w:eastAsia="Times New Roman"/>
          <w:noProof/>
          <w:lang w:val="en-US"/>
        </w:rPr>
        <w:t xml:space="preserve">40. Zannad F, McMurray JJV, Krum H, et al. </w:t>
      </w:r>
      <w:r w:rsidRPr="004F4BB2">
        <w:rPr>
          <w:rFonts w:eastAsia="Times New Roman"/>
          <w:noProof/>
          <w:lang w:val="en-US"/>
        </w:rPr>
        <w:t xml:space="preserve">Eplerenone in Patients with Systolic Heart Failure and Mild Symptoms. </w:t>
      </w:r>
      <w:r w:rsidRPr="00A032C6">
        <w:rPr>
          <w:rFonts w:eastAsia="Times New Roman"/>
          <w:noProof/>
        </w:rPr>
        <w:t>N Engl J. Med. 2011;364:11–21.</w:t>
      </w:r>
    </w:p>
    <w:p w14:paraId="43F316EA" w14:textId="09A46E4F" w:rsidR="001C748B" w:rsidRDefault="00A032C6" w:rsidP="001C748B">
      <w:pPr>
        <w:widowControl w:val="0"/>
        <w:autoSpaceDE w:val="0"/>
        <w:autoSpaceDN w:val="0"/>
        <w:adjustRightInd w:val="0"/>
        <w:spacing w:line="480" w:lineRule="auto"/>
        <w:rPr>
          <w:color w:val="000000" w:themeColor="text1"/>
          <w:lang w:val="en-GB"/>
        </w:rPr>
      </w:pPr>
      <w:r w:rsidRPr="00A032C6">
        <w:rPr>
          <w:rFonts w:eastAsia="Times New Roman"/>
          <w:noProof/>
        </w:rPr>
        <w:t xml:space="preserve">41. van Veldhuisen DJ, Genth-Zotz S, Brouwer J, et al. </w:t>
      </w:r>
      <w:r w:rsidRPr="004F4BB2">
        <w:rPr>
          <w:rFonts w:eastAsia="Times New Roman"/>
          <w:noProof/>
          <w:lang w:val="en-US"/>
        </w:rPr>
        <w:t>High- versus low-dose ACE inhibition in chronic heart failure: a double-blind, placebo-controlled study of imidapril. J Am Coll Cardiol. 1998;32:1811–8.</w:t>
      </w:r>
      <w:r w:rsidR="00025C98" w:rsidRPr="004F4BB2">
        <w:rPr>
          <w:color w:val="000000" w:themeColor="text1"/>
          <w:lang w:val="en-GB"/>
        </w:rPr>
        <w:fldChar w:fldCharType="end"/>
      </w:r>
      <w:r w:rsidR="001C748B">
        <w:rPr>
          <w:color w:val="000000" w:themeColor="text1"/>
          <w:lang w:val="en-GB"/>
        </w:rPr>
        <w:br w:type="page"/>
      </w:r>
    </w:p>
    <w:p w14:paraId="71CCAD63" w14:textId="2FA2899A" w:rsidR="00025C98" w:rsidRPr="001C748B" w:rsidRDefault="001C748B" w:rsidP="001C748B">
      <w:pPr>
        <w:widowControl w:val="0"/>
        <w:autoSpaceDE w:val="0"/>
        <w:autoSpaceDN w:val="0"/>
        <w:adjustRightInd w:val="0"/>
        <w:spacing w:line="480" w:lineRule="auto"/>
        <w:rPr>
          <w:b/>
          <w:color w:val="000000" w:themeColor="text1"/>
          <w:lang w:val="en-GB"/>
        </w:rPr>
      </w:pPr>
      <w:r w:rsidRPr="001C748B">
        <w:rPr>
          <w:b/>
          <w:color w:val="000000" w:themeColor="text1"/>
          <w:lang w:val="en-GB"/>
        </w:rPr>
        <w:lastRenderedPageBreak/>
        <w:t>Figure Legends</w:t>
      </w:r>
    </w:p>
    <w:p w14:paraId="30E90B48" w14:textId="511A9364" w:rsidR="002D527E" w:rsidRPr="002D527E" w:rsidRDefault="002D527E" w:rsidP="002D527E">
      <w:pPr>
        <w:pStyle w:val="Geenafstand"/>
        <w:spacing w:line="480" w:lineRule="auto"/>
        <w:rPr>
          <w:color w:val="000000" w:themeColor="text1"/>
          <w:lang w:val="en-GB"/>
        </w:rPr>
      </w:pPr>
      <w:r>
        <w:rPr>
          <w:b/>
          <w:color w:val="000000" w:themeColor="text1"/>
          <w:lang w:val="en-GB"/>
        </w:rPr>
        <w:t>Central Illustration:</w:t>
      </w:r>
      <w:r w:rsidRPr="002D527E">
        <w:rPr>
          <w:b/>
          <w:color w:val="000000" w:themeColor="text1"/>
          <w:lang w:val="en-GB"/>
        </w:rPr>
        <w:t xml:space="preserve"> Biomarker Guided treatment in heart failure.</w:t>
      </w:r>
      <w:r w:rsidRPr="002D527E">
        <w:rPr>
          <w:color w:val="000000" w:themeColor="text1"/>
          <w:lang w:val="en-GB"/>
        </w:rPr>
        <w:t xml:space="preserve"> A multitude of biomarker values determine if a patient should be treated to evidence based recommended treatment or not.</w:t>
      </w:r>
    </w:p>
    <w:p w14:paraId="23836446" w14:textId="7F159B58" w:rsidR="00FE6785" w:rsidRPr="001C748B" w:rsidRDefault="00FE6785" w:rsidP="00FE6785">
      <w:pPr>
        <w:pStyle w:val="Geenafstand"/>
        <w:spacing w:line="480" w:lineRule="auto"/>
        <w:rPr>
          <w:color w:val="000000" w:themeColor="text1"/>
          <w:lang w:val="en-GB"/>
        </w:rPr>
      </w:pPr>
      <w:r w:rsidRPr="001C748B">
        <w:rPr>
          <w:b/>
          <w:color w:val="000000" w:themeColor="text1"/>
          <w:lang w:val="en-GB"/>
        </w:rPr>
        <w:t>Figure 1. Estimated Kaplan-Meier survival curves based on three scenarios</w:t>
      </w:r>
      <w:r w:rsidR="005417D7" w:rsidRPr="001C748B">
        <w:rPr>
          <w:b/>
          <w:color w:val="000000" w:themeColor="text1"/>
          <w:lang w:val="en-GB"/>
        </w:rPr>
        <w:t xml:space="preserve"> for up-titrating ACE-inhibitors/ARBs</w:t>
      </w:r>
      <w:r w:rsidR="001C748B" w:rsidRPr="001C748B">
        <w:rPr>
          <w:b/>
          <w:color w:val="000000" w:themeColor="text1"/>
          <w:lang w:val="en-GB"/>
        </w:rPr>
        <w:t>.</w:t>
      </w:r>
      <w:r w:rsidR="001C748B" w:rsidRPr="001C748B">
        <w:rPr>
          <w:color w:val="000000" w:themeColor="text1"/>
          <w:lang w:val="en-GB"/>
        </w:rPr>
        <w:t xml:space="preserve"> </w:t>
      </w:r>
      <w:r w:rsidR="00A5227B" w:rsidRPr="001C748B">
        <w:rPr>
          <w:color w:val="000000" w:themeColor="text1"/>
          <w:lang w:val="en-GB"/>
        </w:rPr>
        <w:t>Estimated Kaplan-Meier survival curves</w:t>
      </w:r>
      <w:r w:rsidR="00376BE0" w:rsidRPr="001C748B">
        <w:rPr>
          <w:color w:val="000000" w:themeColor="text1"/>
          <w:lang w:val="en-GB"/>
        </w:rPr>
        <w:t xml:space="preserve"> with the expected event-free survival rate and time in months</w:t>
      </w:r>
      <w:r w:rsidR="00A5227B" w:rsidRPr="001C748B">
        <w:rPr>
          <w:color w:val="000000" w:themeColor="text1"/>
          <w:lang w:val="en-GB"/>
        </w:rPr>
        <w:t xml:space="preserve"> based on three scenarios</w:t>
      </w:r>
      <w:r w:rsidR="00376BE0" w:rsidRPr="001C748B">
        <w:rPr>
          <w:color w:val="000000" w:themeColor="text1"/>
          <w:lang w:val="en-GB"/>
        </w:rPr>
        <w:t xml:space="preserve"> (green, blue and red lines)</w:t>
      </w:r>
      <w:r w:rsidRPr="001C748B">
        <w:rPr>
          <w:color w:val="000000" w:themeColor="text1"/>
          <w:lang w:val="en-GB"/>
        </w:rPr>
        <w:t xml:space="preserve">: A) if all patients were up-titrated to </w:t>
      </w:r>
      <w:r w:rsidR="009D582A" w:rsidRPr="001C748B">
        <w:rPr>
          <w:color w:val="000000" w:themeColor="text1"/>
          <w:lang w:val="en-GB"/>
        </w:rPr>
        <w:t>&gt;50%</w:t>
      </w:r>
      <w:r w:rsidRPr="001C748B">
        <w:rPr>
          <w:color w:val="000000" w:themeColor="text1"/>
          <w:lang w:val="en-GB"/>
        </w:rPr>
        <w:t xml:space="preserve"> of recommended ACE-inhibitor/ARB dose (green); B) if all patients were up-titrated according to biomarker-selection model (blue); C) if no patient was up-titrated to </w:t>
      </w:r>
      <w:r w:rsidR="009D582A" w:rsidRPr="001C748B">
        <w:rPr>
          <w:color w:val="000000" w:themeColor="text1"/>
          <w:lang w:val="en-GB"/>
        </w:rPr>
        <w:t>&gt;50%</w:t>
      </w:r>
      <w:r w:rsidRPr="001C748B">
        <w:rPr>
          <w:color w:val="000000" w:themeColor="text1"/>
          <w:lang w:val="en-GB"/>
        </w:rPr>
        <w:t xml:space="preserve"> of recommended ACE-inhibitor/ARB dose (red)</w:t>
      </w:r>
      <w:r w:rsidR="006F6C5B" w:rsidRPr="001C748B">
        <w:rPr>
          <w:color w:val="000000" w:themeColor="text1"/>
          <w:lang w:val="en-GB"/>
        </w:rPr>
        <w:t>, with 95% confidence interval</w:t>
      </w:r>
      <w:r w:rsidRPr="001C748B">
        <w:rPr>
          <w:color w:val="000000" w:themeColor="text1"/>
          <w:lang w:val="en-GB"/>
        </w:rPr>
        <w:t>.</w:t>
      </w:r>
      <w:r w:rsidR="00376BE0" w:rsidRPr="001C748B">
        <w:rPr>
          <w:color w:val="000000" w:themeColor="text1"/>
          <w:lang w:val="en-GB"/>
        </w:rPr>
        <w:t xml:space="preserve"> </w:t>
      </w:r>
    </w:p>
    <w:p w14:paraId="66D87A7D" w14:textId="1B93DCAB" w:rsidR="00FE6785" w:rsidRPr="001C748B" w:rsidRDefault="00FE6785" w:rsidP="00FE6785">
      <w:pPr>
        <w:pStyle w:val="Geenafstand"/>
        <w:spacing w:line="480" w:lineRule="auto"/>
        <w:rPr>
          <w:color w:val="000000" w:themeColor="text1"/>
          <w:lang w:val="en-GB"/>
        </w:rPr>
      </w:pPr>
      <w:r w:rsidRPr="001C748B">
        <w:rPr>
          <w:b/>
          <w:color w:val="000000" w:themeColor="text1"/>
          <w:lang w:val="en-GB"/>
        </w:rPr>
        <w:t>Figure 2. Estimated Kaplan-Meier survival curves based three scenarios</w:t>
      </w:r>
      <w:r w:rsidR="005417D7" w:rsidRPr="001C748B">
        <w:rPr>
          <w:b/>
          <w:color w:val="000000" w:themeColor="text1"/>
          <w:lang w:val="en-GB"/>
        </w:rPr>
        <w:t xml:space="preserve"> for up-titrating beta-blockers</w:t>
      </w:r>
      <w:r w:rsidR="001C748B">
        <w:rPr>
          <w:b/>
          <w:color w:val="000000" w:themeColor="text1"/>
          <w:lang w:val="en-GB"/>
        </w:rPr>
        <w:t xml:space="preserve">. </w:t>
      </w:r>
      <w:r w:rsidR="00376BE0" w:rsidRPr="001C748B">
        <w:rPr>
          <w:color w:val="000000" w:themeColor="text1"/>
          <w:lang w:val="en-GB"/>
        </w:rPr>
        <w:t>Estimated Kaplan-Meier survival curves with the expected event-free survival rate and time in months based on three scenarios (green, blue and red lines)</w:t>
      </w:r>
      <w:r w:rsidRPr="001C748B">
        <w:rPr>
          <w:color w:val="000000" w:themeColor="text1"/>
          <w:lang w:val="en-GB"/>
        </w:rPr>
        <w:t xml:space="preserve">: A) if all patients were up-titrated to </w:t>
      </w:r>
      <w:r w:rsidR="009D582A" w:rsidRPr="001C748B">
        <w:rPr>
          <w:color w:val="000000" w:themeColor="text1"/>
          <w:lang w:val="en-GB"/>
        </w:rPr>
        <w:t>&gt;50%</w:t>
      </w:r>
      <w:r w:rsidRPr="001C748B">
        <w:rPr>
          <w:color w:val="000000" w:themeColor="text1"/>
          <w:lang w:val="en-GB"/>
        </w:rPr>
        <w:t xml:space="preserve"> of recommended beta-blocker dose (green); B) if all patients were up-titrated according to biomarker-selection model (blue); C) if no patient was up-titrated to </w:t>
      </w:r>
      <w:r w:rsidR="009D582A" w:rsidRPr="001C748B">
        <w:rPr>
          <w:color w:val="000000" w:themeColor="text1"/>
          <w:lang w:val="en-GB"/>
        </w:rPr>
        <w:t>&gt;50%</w:t>
      </w:r>
      <w:r w:rsidRPr="001C748B">
        <w:rPr>
          <w:color w:val="000000" w:themeColor="text1"/>
          <w:lang w:val="en-GB"/>
        </w:rPr>
        <w:t xml:space="preserve"> of recommended of beta-blocker dose (red)</w:t>
      </w:r>
      <w:r w:rsidR="00A944C2" w:rsidRPr="001C748B">
        <w:rPr>
          <w:color w:val="000000" w:themeColor="text1"/>
          <w:lang w:val="en-GB"/>
        </w:rPr>
        <w:t>, with 95% confidence interval</w:t>
      </w:r>
      <w:r w:rsidRPr="001C748B">
        <w:rPr>
          <w:color w:val="000000" w:themeColor="text1"/>
          <w:lang w:val="en-GB"/>
        </w:rPr>
        <w:t>.</w:t>
      </w:r>
      <w:r w:rsidR="00376BE0" w:rsidRPr="001C748B">
        <w:rPr>
          <w:color w:val="000000" w:themeColor="text1"/>
          <w:lang w:val="en-GB"/>
        </w:rPr>
        <w:t xml:space="preserve"> </w:t>
      </w:r>
    </w:p>
    <w:p w14:paraId="4F5CD0C8" w14:textId="77368F39" w:rsidR="00F60220" w:rsidRPr="001C748B" w:rsidRDefault="00F60220" w:rsidP="00F60220">
      <w:pPr>
        <w:pStyle w:val="Geenafstand"/>
        <w:spacing w:line="480" w:lineRule="auto"/>
        <w:rPr>
          <w:color w:val="000000" w:themeColor="text1"/>
          <w:lang w:val="en-GB"/>
        </w:rPr>
      </w:pPr>
      <w:r w:rsidRPr="001C748B">
        <w:rPr>
          <w:b/>
          <w:color w:val="000000" w:themeColor="text1"/>
          <w:lang w:val="en-GB"/>
        </w:rPr>
        <w:t>Figure 3. Estimated Kaplan-Meier survival curves based three scenarios</w:t>
      </w:r>
      <w:r w:rsidR="005417D7" w:rsidRPr="001C748B">
        <w:rPr>
          <w:b/>
          <w:color w:val="000000" w:themeColor="text1"/>
          <w:lang w:val="en-GB"/>
        </w:rPr>
        <w:t xml:space="preserve"> for up-titrating MRA’s</w:t>
      </w:r>
      <w:r w:rsidR="001C748B">
        <w:rPr>
          <w:b/>
          <w:color w:val="000000" w:themeColor="text1"/>
          <w:lang w:val="en-GB"/>
        </w:rPr>
        <w:t xml:space="preserve">. </w:t>
      </w:r>
      <w:r w:rsidRPr="001C748B">
        <w:rPr>
          <w:color w:val="000000" w:themeColor="text1"/>
          <w:lang w:val="en-GB"/>
        </w:rPr>
        <w:t xml:space="preserve">Estimated Kaplan-Meier survival curves with the expected event-free survival rate and time in months based on three scenarios (green, blue and red lines): A) if all patients were up-titrated to </w:t>
      </w:r>
      <w:r w:rsidR="00CE3A2C" w:rsidRPr="001C748B">
        <w:rPr>
          <w:color w:val="000000" w:themeColor="text1"/>
          <w:lang w:val="en-GB"/>
        </w:rPr>
        <w:t>≥</w:t>
      </w:r>
      <w:r w:rsidRPr="001C748B">
        <w:rPr>
          <w:color w:val="000000" w:themeColor="text1"/>
          <w:lang w:val="en-GB"/>
        </w:rPr>
        <w:t xml:space="preserve">50% of recommended </w:t>
      </w:r>
      <w:r w:rsidR="00CE3A2C" w:rsidRPr="001C748B">
        <w:rPr>
          <w:color w:val="000000" w:themeColor="text1"/>
          <w:lang w:val="en-GB"/>
        </w:rPr>
        <w:t xml:space="preserve">MRA </w:t>
      </w:r>
      <w:r w:rsidRPr="001C748B">
        <w:rPr>
          <w:color w:val="000000" w:themeColor="text1"/>
          <w:lang w:val="en-GB"/>
        </w:rPr>
        <w:t xml:space="preserve">dose (green); B) if all patients were up-titrated according to biomarker-selection model (blue); C) if no patient was up-titrated to </w:t>
      </w:r>
      <w:r w:rsidR="00CE3A2C" w:rsidRPr="001C748B">
        <w:rPr>
          <w:color w:val="000000" w:themeColor="text1"/>
          <w:lang w:val="en-GB"/>
        </w:rPr>
        <w:t>≥</w:t>
      </w:r>
      <w:r w:rsidRPr="001C748B">
        <w:rPr>
          <w:color w:val="000000" w:themeColor="text1"/>
          <w:lang w:val="en-GB"/>
        </w:rPr>
        <w:t xml:space="preserve">50% of recommended of </w:t>
      </w:r>
      <w:r w:rsidR="00CE3A2C" w:rsidRPr="001C748B">
        <w:rPr>
          <w:color w:val="000000" w:themeColor="text1"/>
          <w:lang w:val="en-GB"/>
        </w:rPr>
        <w:t>MRA</w:t>
      </w:r>
      <w:r w:rsidRPr="001C748B">
        <w:rPr>
          <w:color w:val="000000" w:themeColor="text1"/>
          <w:lang w:val="en-GB"/>
        </w:rPr>
        <w:t xml:space="preserve"> dose (red), with 95% confidence interval. </w:t>
      </w:r>
    </w:p>
    <w:p w14:paraId="6FF1182E" w14:textId="50EC89D7" w:rsidR="005140CB" w:rsidRDefault="005140CB">
      <w:pPr>
        <w:spacing w:after="160" w:line="259" w:lineRule="auto"/>
        <w:rPr>
          <w:b/>
          <w:color w:val="000000" w:themeColor="text1"/>
          <w:lang w:val="en-GB"/>
        </w:rPr>
      </w:pPr>
    </w:p>
    <w:p w14:paraId="0F399A98" w14:textId="77777777" w:rsidR="005140CB" w:rsidRDefault="005140CB">
      <w:pPr>
        <w:spacing w:after="160" w:line="259" w:lineRule="auto"/>
        <w:rPr>
          <w:b/>
          <w:color w:val="000000" w:themeColor="text1"/>
          <w:lang w:val="en-GB"/>
        </w:rPr>
      </w:pPr>
    </w:p>
    <w:p w14:paraId="6B416A71" w14:textId="77777777" w:rsidR="003D03F6" w:rsidRDefault="003D03F6">
      <w:pPr>
        <w:spacing w:after="160" w:line="259" w:lineRule="auto"/>
        <w:rPr>
          <w:b/>
          <w:color w:val="000000" w:themeColor="text1"/>
          <w:lang w:val="en-GB"/>
        </w:rPr>
        <w:sectPr w:rsidR="003D03F6" w:rsidSect="0061411C">
          <w:footerReference w:type="even" r:id="rId9"/>
          <w:pgSz w:w="12240" w:h="15840" w:code="1"/>
          <w:pgMar w:top="1440" w:right="1440" w:bottom="1440" w:left="1440" w:header="720" w:footer="720" w:gutter="0"/>
          <w:cols w:space="720"/>
          <w:docGrid w:linePitch="360"/>
        </w:sectPr>
      </w:pPr>
    </w:p>
    <w:p w14:paraId="54249D7C" w14:textId="2D9944A4" w:rsidR="00025C98" w:rsidRPr="004F4BB2" w:rsidRDefault="00025C98" w:rsidP="00C01D00">
      <w:pPr>
        <w:spacing w:line="480" w:lineRule="auto"/>
        <w:rPr>
          <w:color w:val="000000" w:themeColor="text1"/>
          <w:lang w:val="en-GB"/>
        </w:rPr>
      </w:pPr>
      <w:r w:rsidRPr="004F4BB2">
        <w:rPr>
          <w:b/>
          <w:color w:val="000000" w:themeColor="text1"/>
          <w:lang w:val="en-GB"/>
        </w:rPr>
        <w:lastRenderedPageBreak/>
        <w:t>Table 1</w:t>
      </w:r>
      <w:r w:rsidRPr="004F4BB2">
        <w:rPr>
          <w:color w:val="000000" w:themeColor="text1"/>
          <w:lang w:val="en-GB"/>
        </w:rPr>
        <w:t xml:space="preserve">: Baseline characteristics of the patients who were up-titrated </w:t>
      </w:r>
      <w:r w:rsidR="007179CF" w:rsidRPr="004F4BB2">
        <w:rPr>
          <w:color w:val="000000" w:themeColor="text1"/>
          <w:lang w:val="en-GB"/>
        </w:rPr>
        <w:t xml:space="preserve">to </w:t>
      </w:r>
      <w:r w:rsidR="001A77ED" w:rsidRPr="004F4BB2">
        <w:rPr>
          <w:color w:val="000000" w:themeColor="text1"/>
          <w:lang w:val="en-GB"/>
        </w:rPr>
        <w:t>&gt;</w:t>
      </w:r>
      <w:r w:rsidRPr="004F4BB2">
        <w:rPr>
          <w:color w:val="000000" w:themeColor="text1"/>
          <w:lang w:val="en-GB"/>
        </w:rPr>
        <w:t xml:space="preserve">50% of recommended ACE-inhibitor/ARB </w:t>
      </w:r>
      <w:r w:rsidR="009F1A62" w:rsidRPr="004F4BB2">
        <w:rPr>
          <w:color w:val="000000" w:themeColor="text1"/>
          <w:lang w:val="en-GB"/>
        </w:rPr>
        <w:t xml:space="preserve">and beta-blocker </w:t>
      </w:r>
      <w:r w:rsidR="00D8341E">
        <w:rPr>
          <w:color w:val="000000" w:themeColor="text1"/>
          <w:lang w:val="en-GB"/>
        </w:rPr>
        <w:t xml:space="preserve">and </w:t>
      </w:r>
      <w:r w:rsidR="00D8341E">
        <w:rPr>
          <w:color w:val="000000" w:themeColor="text1"/>
          <w:sz w:val="20"/>
          <w:szCs w:val="20"/>
          <w:lang w:val="en-GB"/>
        </w:rPr>
        <w:t>≥</w:t>
      </w:r>
      <w:r w:rsidR="00D8341E" w:rsidRPr="00147D69">
        <w:rPr>
          <w:color w:val="000000" w:themeColor="text1"/>
          <w:sz w:val="20"/>
          <w:szCs w:val="20"/>
          <w:lang w:val="en-GB"/>
        </w:rPr>
        <w:t xml:space="preserve">50% </w:t>
      </w:r>
      <w:r w:rsidR="00D8341E">
        <w:rPr>
          <w:color w:val="000000" w:themeColor="text1"/>
          <w:sz w:val="20"/>
          <w:szCs w:val="20"/>
          <w:lang w:val="en-GB"/>
        </w:rPr>
        <w:t>MRA dose</w:t>
      </w:r>
      <w:r w:rsidRPr="004F4BB2">
        <w:rPr>
          <w:color w:val="000000" w:themeColor="text1"/>
          <w:lang w:val="en-GB"/>
        </w:rPr>
        <w:t xml:space="preserve"> and those who were not.</w:t>
      </w:r>
    </w:p>
    <w:tbl>
      <w:tblPr>
        <w:tblW w:w="14743" w:type="dxa"/>
        <w:tblInd w:w="-639" w:type="dxa"/>
        <w:tblLayout w:type="fixed"/>
        <w:tblCellMar>
          <w:left w:w="70" w:type="dxa"/>
          <w:right w:w="70" w:type="dxa"/>
        </w:tblCellMar>
        <w:tblLook w:val="04A0" w:firstRow="1" w:lastRow="0" w:firstColumn="1" w:lastColumn="0" w:noHBand="0" w:noVBand="1"/>
      </w:tblPr>
      <w:tblGrid>
        <w:gridCol w:w="3369"/>
        <w:gridCol w:w="2328"/>
        <w:gridCol w:w="994"/>
        <w:gridCol w:w="747"/>
        <w:gridCol w:w="8"/>
        <w:gridCol w:w="1822"/>
        <w:gridCol w:w="994"/>
        <w:gridCol w:w="795"/>
        <w:gridCol w:w="1812"/>
        <w:gridCol w:w="994"/>
        <w:gridCol w:w="880"/>
      </w:tblGrid>
      <w:tr w:rsidR="006A1EE2" w14:paraId="5E50F571"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4A7FAD5B" w14:textId="77777777" w:rsidR="00582028" w:rsidRPr="004F4BB2" w:rsidRDefault="00582028">
            <w:pPr>
              <w:spacing w:after="160" w:line="259" w:lineRule="auto"/>
              <w:rPr>
                <w:rFonts w:asciiTheme="minorHAnsi" w:hAnsiTheme="minorHAnsi" w:cstheme="minorBidi"/>
                <w:sz w:val="20"/>
                <w:szCs w:val="20"/>
                <w:lang w:val="en-US"/>
              </w:rPr>
            </w:pPr>
          </w:p>
        </w:tc>
        <w:tc>
          <w:tcPr>
            <w:tcW w:w="4077" w:type="dxa"/>
            <w:gridSpan w:val="4"/>
            <w:tcBorders>
              <w:top w:val="nil"/>
              <w:left w:val="single" w:sz="4" w:space="0" w:color="auto"/>
              <w:bottom w:val="nil"/>
              <w:right w:val="single" w:sz="4" w:space="0" w:color="000000"/>
            </w:tcBorders>
            <w:shd w:val="clear" w:color="auto" w:fill="auto"/>
            <w:noWrap/>
            <w:vAlign w:val="bottom"/>
            <w:hideMark/>
          </w:tcPr>
          <w:p w14:paraId="1F2A548D" w14:textId="77777777" w:rsidR="00582028" w:rsidRDefault="00582028">
            <w:pPr>
              <w:jc w:val="center"/>
              <w:rPr>
                <w:rFonts w:ascii="Calibri" w:eastAsia="Times New Roman" w:hAnsi="Calibri"/>
                <w:color w:val="000000"/>
                <w:sz w:val="16"/>
                <w:szCs w:val="16"/>
              </w:rPr>
            </w:pPr>
            <w:r>
              <w:rPr>
                <w:rFonts w:ascii="Calibri" w:eastAsia="Times New Roman" w:hAnsi="Calibri"/>
                <w:color w:val="000000"/>
                <w:sz w:val="16"/>
                <w:szCs w:val="16"/>
              </w:rPr>
              <w:t>ACE-inhibitor/ARB</w:t>
            </w:r>
          </w:p>
        </w:tc>
        <w:tc>
          <w:tcPr>
            <w:tcW w:w="3611" w:type="dxa"/>
            <w:gridSpan w:val="3"/>
            <w:tcBorders>
              <w:top w:val="nil"/>
              <w:left w:val="nil"/>
              <w:bottom w:val="nil"/>
              <w:right w:val="single" w:sz="4" w:space="0" w:color="000000"/>
            </w:tcBorders>
            <w:shd w:val="clear" w:color="auto" w:fill="auto"/>
            <w:noWrap/>
            <w:vAlign w:val="bottom"/>
            <w:hideMark/>
          </w:tcPr>
          <w:p w14:paraId="35FA6C8E" w14:textId="77777777" w:rsidR="00582028" w:rsidRDefault="00582028">
            <w:pPr>
              <w:jc w:val="center"/>
              <w:rPr>
                <w:rFonts w:ascii="Calibri" w:eastAsia="Times New Roman" w:hAnsi="Calibri"/>
                <w:color w:val="000000"/>
                <w:sz w:val="16"/>
                <w:szCs w:val="16"/>
              </w:rPr>
            </w:pPr>
            <w:proofErr w:type="spellStart"/>
            <w:proofErr w:type="gramStart"/>
            <w:r>
              <w:rPr>
                <w:rFonts w:ascii="Calibri" w:eastAsia="Times New Roman" w:hAnsi="Calibri"/>
                <w:color w:val="000000"/>
                <w:sz w:val="16"/>
                <w:szCs w:val="16"/>
              </w:rPr>
              <w:t>beta</w:t>
            </w:r>
            <w:proofErr w:type="gramEnd"/>
            <w:r>
              <w:rPr>
                <w:rFonts w:ascii="Calibri" w:eastAsia="Times New Roman" w:hAnsi="Calibri"/>
                <w:color w:val="000000"/>
                <w:sz w:val="16"/>
                <w:szCs w:val="16"/>
              </w:rPr>
              <w:t>-blocker</w:t>
            </w:r>
            <w:proofErr w:type="spellEnd"/>
          </w:p>
        </w:tc>
        <w:tc>
          <w:tcPr>
            <w:tcW w:w="3686" w:type="dxa"/>
            <w:gridSpan w:val="3"/>
            <w:tcBorders>
              <w:top w:val="nil"/>
              <w:left w:val="nil"/>
              <w:bottom w:val="nil"/>
              <w:right w:val="single" w:sz="4" w:space="0" w:color="000000"/>
            </w:tcBorders>
            <w:shd w:val="clear" w:color="auto" w:fill="auto"/>
            <w:noWrap/>
            <w:vAlign w:val="bottom"/>
            <w:hideMark/>
          </w:tcPr>
          <w:p w14:paraId="63235A6D" w14:textId="77777777" w:rsidR="00582028" w:rsidRDefault="00582028" w:rsidP="00582028">
            <w:pPr>
              <w:ind w:left="68" w:hanging="68"/>
              <w:jc w:val="center"/>
              <w:rPr>
                <w:rFonts w:ascii="Calibri" w:eastAsia="Times New Roman" w:hAnsi="Calibri"/>
                <w:color w:val="000000"/>
                <w:sz w:val="16"/>
                <w:szCs w:val="16"/>
              </w:rPr>
            </w:pPr>
            <w:r>
              <w:rPr>
                <w:rFonts w:ascii="Calibri" w:eastAsia="Times New Roman" w:hAnsi="Calibri"/>
                <w:color w:val="000000"/>
                <w:sz w:val="16"/>
                <w:szCs w:val="16"/>
              </w:rPr>
              <w:t>MRA</w:t>
            </w:r>
          </w:p>
        </w:tc>
      </w:tr>
      <w:tr w:rsidR="006A1EE2" w14:paraId="2C5A4733" w14:textId="77777777" w:rsidTr="006A1EE2">
        <w:trPr>
          <w:trHeight w:val="220"/>
        </w:trPr>
        <w:tc>
          <w:tcPr>
            <w:tcW w:w="3369" w:type="dxa"/>
            <w:tcBorders>
              <w:top w:val="nil"/>
              <w:left w:val="nil"/>
              <w:bottom w:val="single" w:sz="4" w:space="0" w:color="auto"/>
              <w:right w:val="single" w:sz="4" w:space="0" w:color="auto"/>
            </w:tcBorders>
            <w:shd w:val="clear" w:color="auto" w:fill="auto"/>
            <w:noWrap/>
            <w:vAlign w:val="bottom"/>
            <w:hideMark/>
          </w:tcPr>
          <w:p w14:paraId="62E4D4D4" w14:textId="2CDB2A7D" w:rsidR="00582028" w:rsidRDefault="00582028">
            <w:pPr>
              <w:rPr>
                <w:rFonts w:ascii="Calibri" w:eastAsia="Times New Roman" w:hAnsi="Calibri"/>
                <w:color w:val="000000"/>
                <w:sz w:val="16"/>
                <w:szCs w:val="16"/>
              </w:rPr>
            </w:pPr>
            <w:bookmarkStart w:id="1" w:name="RANGE!A2:D49"/>
            <w:r>
              <w:rPr>
                <w:rFonts w:ascii="Calibri" w:eastAsia="Times New Roman" w:hAnsi="Calibri"/>
                <w:color w:val="000000"/>
                <w:sz w:val="16"/>
                <w:szCs w:val="16"/>
              </w:rPr>
              <w:t> </w:t>
            </w:r>
            <w:bookmarkEnd w:id="1"/>
          </w:p>
        </w:tc>
        <w:tc>
          <w:tcPr>
            <w:tcW w:w="2328" w:type="dxa"/>
            <w:tcBorders>
              <w:top w:val="nil"/>
              <w:left w:val="nil"/>
              <w:bottom w:val="single" w:sz="4" w:space="0" w:color="auto"/>
              <w:right w:val="nil"/>
            </w:tcBorders>
            <w:shd w:val="clear" w:color="auto" w:fill="auto"/>
            <w:noWrap/>
            <w:vAlign w:val="bottom"/>
            <w:hideMark/>
          </w:tcPr>
          <w:p w14:paraId="7FC5AE9D" w14:textId="77777777" w:rsidR="00582028" w:rsidRDefault="00582028">
            <w:pPr>
              <w:rPr>
                <w:rFonts w:ascii="Calibri" w:eastAsia="Times New Roman" w:hAnsi="Calibri"/>
                <w:color w:val="000000"/>
                <w:sz w:val="16"/>
                <w:szCs w:val="16"/>
              </w:rPr>
            </w:pPr>
            <w:proofErr w:type="spellStart"/>
            <w:proofErr w:type="gramStart"/>
            <w:r>
              <w:rPr>
                <w:rFonts w:ascii="Calibri" w:eastAsia="Times New Roman" w:hAnsi="Calibri"/>
                <w:color w:val="000000"/>
                <w:sz w:val="16"/>
                <w:szCs w:val="16"/>
              </w:rPr>
              <w:t>successful</w:t>
            </w:r>
            <w:proofErr w:type="spellEnd"/>
            <w:proofErr w:type="gramEnd"/>
            <w:r>
              <w:rPr>
                <w:rFonts w:ascii="Calibri" w:eastAsia="Times New Roman" w:hAnsi="Calibri"/>
                <w:color w:val="000000"/>
                <w:sz w:val="16"/>
                <w:szCs w:val="16"/>
              </w:rPr>
              <w:t xml:space="preserve"> up-</w:t>
            </w:r>
            <w:proofErr w:type="spellStart"/>
            <w:r>
              <w:rPr>
                <w:rFonts w:ascii="Calibri" w:eastAsia="Times New Roman" w:hAnsi="Calibri"/>
                <w:color w:val="000000"/>
                <w:sz w:val="16"/>
                <w:szCs w:val="16"/>
              </w:rPr>
              <w:t>titration</w:t>
            </w:r>
            <w:proofErr w:type="spellEnd"/>
          </w:p>
        </w:tc>
        <w:tc>
          <w:tcPr>
            <w:tcW w:w="994" w:type="dxa"/>
            <w:tcBorders>
              <w:top w:val="nil"/>
              <w:left w:val="nil"/>
              <w:bottom w:val="single" w:sz="4" w:space="0" w:color="auto"/>
              <w:right w:val="nil"/>
            </w:tcBorders>
            <w:shd w:val="clear" w:color="auto" w:fill="auto"/>
            <w:noWrap/>
            <w:vAlign w:val="bottom"/>
            <w:hideMark/>
          </w:tcPr>
          <w:p w14:paraId="5DC8C8ED" w14:textId="77777777" w:rsidR="00582028" w:rsidRDefault="00582028">
            <w:pPr>
              <w:rPr>
                <w:rFonts w:ascii="Calibri" w:eastAsia="Times New Roman" w:hAnsi="Calibri"/>
                <w:color w:val="000000"/>
                <w:sz w:val="16"/>
                <w:szCs w:val="16"/>
              </w:rPr>
            </w:pPr>
            <w:proofErr w:type="gramStart"/>
            <w:r>
              <w:rPr>
                <w:rFonts w:ascii="Calibri" w:eastAsia="Times New Roman" w:hAnsi="Calibri"/>
                <w:color w:val="000000"/>
                <w:sz w:val="16"/>
                <w:szCs w:val="16"/>
              </w:rPr>
              <w:t>no</w:t>
            </w:r>
            <w:proofErr w:type="gram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successful</w:t>
            </w:r>
            <w:proofErr w:type="spellEnd"/>
            <w:r>
              <w:rPr>
                <w:rFonts w:ascii="Calibri" w:eastAsia="Times New Roman" w:hAnsi="Calibri"/>
                <w:color w:val="000000"/>
                <w:sz w:val="16"/>
                <w:szCs w:val="16"/>
              </w:rPr>
              <w:t xml:space="preserve"> up-</w:t>
            </w:r>
            <w:proofErr w:type="spellStart"/>
            <w:r>
              <w:rPr>
                <w:rFonts w:ascii="Calibri" w:eastAsia="Times New Roman" w:hAnsi="Calibri"/>
                <w:color w:val="000000"/>
                <w:sz w:val="16"/>
                <w:szCs w:val="16"/>
              </w:rPr>
              <w:t>titration</w:t>
            </w:r>
            <w:proofErr w:type="spellEnd"/>
          </w:p>
        </w:tc>
        <w:tc>
          <w:tcPr>
            <w:tcW w:w="747" w:type="dxa"/>
            <w:tcBorders>
              <w:top w:val="nil"/>
              <w:left w:val="nil"/>
              <w:bottom w:val="single" w:sz="4" w:space="0" w:color="auto"/>
              <w:right w:val="single" w:sz="4" w:space="0" w:color="auto"/>
            </w:tcBorders>
            <w:shd w:val="clear" w:color="auto" w:fill="auto"/>
            <w:noWrap/>
            <w:vAlign w:val="bottom"/>
            <w:hideMark/>
          </w:tcPr>
          <w:p w14:paraId="7AD10ABB"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xml:space="preserve">P - </w:t>
            </w:r>
            <w:proofErr w:type="spellStart"/>
            <w:r>
              <w:rPr>
                <w:rFonts w:ascii="Calibri" w:eastAsia="Times New Roman" w:hAnsi="Calibri"/>
                <w:color w:val="000000"/>
                <w:sz w:val="16"/>
                <w:szCs w:val="16"/>
              </w:rPr>
              <w:t>value</w:t>
            </w:r>
            <w:proofErr w:type="spellEnd"/>
          </w:p>
        </w:tc>
        <w:tc>
          <w:tcPr>
            <w:tcW w:w="1830" w:type="dxa"/>
            <w:gridSpan w:val="2"/>
            <w:tcBorders>
              <w:top w:val="nil"/>
              <w:left w:val="nil"/>
              <w:bottom w:val="single" w:sz="4" w:space="0" w:color="auto"/>
              <w:right w:val="nil"/>
            </w:tcBorders>
            <w:shd w:val="clear" w:color="auto" w:fill="auto"/>
            <w:noWrap/>
            <w:vAlign w:val="bottom"/>
            <w:hideMark/>
          </w:tcPr>
          <w:p w14:paraId="40959195" w14:textId="77777777" w:rsidR="00582028" w:rsidRDefault="00582028">
            <w:pPr>
              <w:rPr>
                <w:rFonts w:ascii="Calibri" w:eastAsia="Times New Roman" w:hAnsi="Calibri"/>
                <w:color w:val="000000"/>
                <w:sz w:val="16"/>
                <w:szCs w:val="16"/>
              </w:rPr>
            </w:pPr>
            <w:proofErr w:type="spellStart"/>
            <w:proofErr w:type="gramStart"/>
            <w:r>
              <w:rPr>
                <w:rFonts w:ascii="Calibri" w:eastAsia="Times New Roman" w:hAnsi="Calibri"/>
                <w:color w:val="000000"/>
                <w:sz w:val="16"/>
                <w:szCs w:val="16"/>
              </w:rPr>
              <w:t>successful</w:t>
            </w:r>
            <w:proofErr w:type="spellEnd"/>
            <w:proofErr w:type="gramEnd"/>
            <w:r>
              <w:rPr>
                <w:rFonts w:ascii="Calibri" w:eastAsia="Times New Roman" w:hAnsi="Calibri"/>
                <w:color w:val="000000"/>
                <w:sz w:val="16"/>
                <w:szCs w:val="16"/>
              </w:rPr>
              <w:t xml:space="preserve"> up-</w:t>
            </w:r>
            <w:proofErr w:type="spellStart"/>
            <w:r>
              <w:rPr>
                <w:rFonts w:ascii="Calibri" w:eastAsia="Times New Roman" w:hAnsi="Calibri"/>
                <w:color w:val="000000"/>
                <w:sz w:val="16"/>
                <w:szCs w:val="16"/>
              </w:rPr>
              <w:t>titration</w:t>
            </w:r>
            <w:proofErr w:type="spellEnd"/>
          </w:p>
        </w:tc>
        <w:tc>
          <w:tcPr>
            <w:tcW w:w="994" w:type="dxa"/>
            <w:tcBorders>
              <w:top w:val="nil"/>
              <w:left w:val="nil"/>
              <w:bottom w:val="single" w:sz="4" w:space="0" w:color="auto"/>
              <w:right w:val="nil"/>
            </w:tcBorders>
            <w:shd w:val="clear" w:color="auto" w:fill="auto"/>
            <w:noWrap/>
            <w:vAlign w:val="bottom"/>
            <w:hideMark/>
          </w:tcPr>
          <w:p w14:paraId="44FEDF77" w14:textId="77777777" w:rsidR="00582028" w:rsidRDefault="00582028">
            <w:pPr>
              <w:rPr>
                <w:rFonts w:ascii="Calibri" w:eastAsia="Times New Roman" w:hAnsi="Calibri"/>
                <w:color w:val="000000"/>
                <w:sz w:val="16"/>
                <w:szCs w:val="16"/>
              </w:rPr>
            </w:pPr>
            <w:proofErr w:type="gramStart"/>
            <w:r>
              <w:rPr>
                <w:rFonts w:ascii="Calibri" w:eastAsia="Times New Roman" w:hAnsi="Calibri"/>
                <w:color w:val="000000"/>
                <w:sz w:val="16"/>
                <w:szCs w:val="16"/>
              </w:rPr>
              <w:t>no</w:t>
            </w:r>
            <w:proofErr w:type="gram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successful</w:t>
            </w:r>
            <w:proofErr w:type="spellEnd"/>
            <w:r>
              <w:rPr>
                <w:rFonts w:ascii="Calibri" w:eastAsia="Times New Roman" w:hAnsi="Calibri"/>
                <w:color w:val="000000"/>
                <w:sz w:val="16"/>
                <w:szCs w:val="16"/>
              </w:rPr>
              <w:t xml:space="preserve"> up-</w:t>
            </w:r>
            <w:proofErr w:type="spellStart"/>
            <w:r>
              <w:rPr>
                <w:rFonts w:ascii="Calibri" w:eastAsia="Times New Roman" w:hAnsi="Calibri"/>
                <w:color w:val="000000"/>
                <w:sz w:val="16"/>
                <w:szCs w:val="16"/>
              </w:rPr>
              <w:t>titration</w:t>
            </w:r>
            <w:proofErr w:type="spellEnd"/>
          </w:p>
        </w:tc>
        <w:tc>
          <w:tcPr>
            <w:tcW w:w="795" w:type="dxa"/>
            <w:tcBorders>
              <w:top w:val="nil"/>
              <w:left w:val="nil"/>
              <w:bottom w:val="single" w:sz="4" w:space="0" w:color="auto"/>
              <w:right w:val="single" w:sz="4" w:space="0" w:color="auto"/>
            </w:tcBorders>
            <w:shd w:val="clear" w:color="auto" w:fill="auto"/>
            <w:noWrap/>
            <w:vAlign w:val="bottom"/>
            <w:hideMark/>
          </w:tcPr>
          <w:p w14:paraId="00CFA603"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xml:space="preserve">P - </w:t>
            </w:r>
            <w:proofErr w:type="spellStart"/>
            <w:r>
              <w:rPr>
                <w:rFonts w:ascii="Calibri" w:eastAsia="Times New Roman" w:hAnsi="Calibri"/>
                <w:color w:val="000000"/>
                <w:sz w:val="16"/>
                <w:szCs w:val="16"/>
              </w:rPr>
              <w:t>value</w:t>
            </w:r>
            <w:proofErr w:type="spellEnd"/>
          </w:p>
        </w:tc>
        <w:tc>
          <w:tcPr>
            <w:tcW w:w="1812" w:type="dxa"/>
            <w:tcBorders>
              <w:top w:val="nil"/>
              <w:left w:val="nil"/>
              <w:bottom w:val="single" w:sz="4" w:space="0" w:color="auto"/>
              <w:right w:val="nil"/>
            </w:tcBorders>
            <w:shd w:val="clear" w:color="auto" w:fill="auto"/>
            <w:noWrap/>
            <w:vAlign w:val="bottom"/>
            <w:hideMark/>
          </w:tcPr>
          <w:p w14:paraId="39206308" w14:textId="77777777" w:rsidR="00582028" w:rsidRDefault="00582028">
            <w:pPr>
              <w:rPr>
                <w:rFonts w:ascii="Calibri" w:eastAsia="Times New Roman" w:hAnsi="Calibri"/>
                <w:color w:val="000000"/>
                <w:sz w:val="16"/>
                <w:szCs w:val="16"/>
              </w:rPr>
            </w:pPr>
            <w:proofErr w:type="spellStart"/>
            <w:proofErr w:type="gramStart"/>
            <w:r>
              <w:rPr>
                <w:rFonts w:ascii="Calibri" w:eastAsia="Times New Roman" w:hAnsi="Calibri"/>
                <w:color w:val="000000"/>
                <w:sz w:val="16"/>
                <w:szCs w:val="16"/>
              </w:rPr>
              <w:t>successful</w:t>
            </w:r>
            <w:proofErr w:type="spellEnd"/>
            <w:proofErr w:type="gramEnd"/>
            <w:r>
              <w:rPr>
                <w:rFonts w:ascii="Calibri" w:eastAsia="Times New Roman" w:hAnsi="Calibri"/>
                <w:color w:val="000000"/>
                <w:sz w:val="16"/>
                <w:szCs w:val="16"/>
              </w:rPr>
              <w:t xml:space="preserve"> up-</w:t>
            </w:r>
            <w:proofErr w:type="spellStart"/>
            <w:r>
              <w:rPr>
                <w:rFonts w:ascii="Calibri" w:eastAsia="Times New Roman" w:hAnsi="Calibri"/>
                <w:color w:val="000000"/>
                <w:sz w:val="16"/>
                <w:szCs w:val="16"/>
              </w:rPr>
              <w:t>titration</w:t>
            </w:r>
            <w:proofErr w:type="spellEnd"/>
          </w:p>
        </w:tc>
        <w:tc>
          <w:tcPr>
            <w:tcW w:w="994" w:type="dxa"/>
            <w:tcBorders>
              <w:top w:val="nil"/>
              <w:left w:val="nil"/>
              <w:bottom w:val="single" w:sz="4" w:space="0" w:color="auto"/>
              <w:right w:val="nil"/>
            </w:tcBorders>
            <w:shd w:val="clear" w:color="auto" w:fill="auto"/>
            <w:noWrap/>
            <w:vAlign w:val="bottom"/>
            <w:hideMark/>
          </w:tcPr>
          <w:p w14:paraId="2A840E9D" w14:textId="77777777" w:rsidR="00582028" w:rsidRDefault="00582028">
            <w:pPr>
              <w:rPr>
                <w:rFonts w:ascii="Calibri" w:eastAsia="Times New Roman" w:hAnsi="Calibri"/>
                <w:color w:val="000000"/>
                <w:sz w:val="16"/>
                <w:szCs w:val="16"/>
              </w:rPr>
            </w:pPr>
            <w:proofErr w:type="gramStart"/>
            <w:r>
              <w:rPr>
                <w:rFonts w:ascii="Calibri" w:eastAsia="Times New Roman" w:hAnsi="Calibri"/>
                <w:color w:val="000000"/>
                <w:sz w:val="16"/>
                <w:szCs w:val="16"/>
              </w:rPr>
              <w:t>no</w:t>
            </w:r>
            <w:proofErr w:type="gram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successful</w:t>
            </w:r>
            <w:proofErr w:type="spellEnd"/>
            <w:r>
              <w:rPr>
                <w:rFonts w:ascii="Calibri" w:eastAsia="Times New Roman" w:hAnsi="Calibri"/>
                <w:color w:val="000000"/>
                <w:sz w:val="16"/>
                <w:szCs w:val="16"/>
              </w:rPr>
              <w:t xml:space="preserve"> up-</w:t>
            </w:r>
            <w:proofErr w:type="spellStart"/>
            <w:r>
              <w:rPr>
                <w:rFonts w:ascii="Calibri" w:eastAsia="Times New Roman" w:hAnsi="Calibri"/>
                <w:color w:val="000000"/>
                <w:sz w:val="16"/>
                <w:szCs w:val="16"/>
              </w:rPr>
              <w:t>titration</w:t>
            </w:r>
            <w:proofErr w:type="spellEnd"/>
          </w:p>
        </w:tc>
        <w:tc>
          <w:tcPr>
            <w:tcW w:w="880" w:type="dxa"/>
            <w:tcBorders>
              <w:top w:val="nil"/>
              <w:left w:val="nil"/>
              <w:bottom w:val="single" w:sz="4" w:space="0" w:color="auto"/>
              <w:right w:val="single" w:sz="4" w:space="0" w:color="auto"/>
            </w:tcBorders>
            <w:shd w:val="clear" w:color="auto" w:fill="auto"/>
            <w:noWrap/>
            <w:vAlign w:val="bottom"/>
            <w:hideMark/>
          </w:tcPr>
          <w:p w14:paraId="273160C6"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xml:space="preserve">P - </w:t>
            </w:r>
            <w:proofErr w:type="spellStart"/>
            <w:r>
              <w:rPr>
                <w:rFonts w:ascii="Calibri" w:eastAsia="Times New Roman" w:hAnsi="Calibri"/>
                <w:color w:val="000000"/>
                <w:sz w:val="16"/>
                <w:szCs w:val="16"/>
              </w:rPr>
              <w:t>value</w:t>
            </w:r>
            <w:proofErr w:type="spellEnd"/>
          </w:p>
        </w:tc>
      </w:tr>
      <w:tr w:rsidR="006A1EE2" w14:paraId="379749FE"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1E6A3D01"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Number</w:t>
            </w:r>
            <w:proofErr w:type="spellEnd"/>
            <w:r>
              <w:rPr>
                <w:rFonts w:ascii="Calibri" w:eastAsia="Times New Roman" w:hAnsi="Calibri"/>
                <w:color w:val="000000"/>
                <w:sz w:val="16"/>
                <w:szCs w:val="16"/>
              </w:rPr>
              <w:t xml:space="preserve"> of </w:t>
            </w:r>
            <w:proofErr w:type="spellStart"/>
            <w:r>
              <w:rPr>
                <w:rFonts w:ascii="Calibri" w:eastAsia="Times New Roman" w:hAnsi="Calibri"/>
                <w:color w:val="000000"/>
                <w:sz w:val="16"/>
                <w:szCs w:val="16"/>
              </w:rPr>
              <w:t>patients</w:t>
            </w:r>
            <w:proofErr w:type="spellEnd"/>
            <w:r>
              <w:rPr>
                <w:rFonts w:ascii="Calibri" w:eastAsia="Times New Roman" w:hAnsi="Calibri"/>
                <w:color w:val="000000"/>
                <w:sz w:val="16"/>
                <w:szCs w:val="16"/>
              </w:rPr>
              <w:t>: n (%)</w:t>
            </w:r>
          </w:p>
        </w:tc>
        <w:tc>
          <w:tcPr>
            <w:tcW w:w="2328" w:type="dxa"/>
            <w:tcBorders>
              <w:top w:val="nil"/>
              <w:left w:val="nil"/>
              <w:bottom w:val="nil"/>
              <w:right w:val="nil"/>
            </w:tcBorders>
            <w:shd w:val="clear" w:color="auto" w:fill="auto"/>
            <w:noWrap/>
            <w:vAlign w:val="bottom"/>
            <w:hideMark/>
          </w:tcPr>
          <w:p w14:paraId="6CB3222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529</w:t>
            </w:r>
          </w:p>
        </w:tc>
        <w:tc>
          <w:tcPr>
            <w:tcW w:w="994" w:type="dxa"/>
            <w:tcBorders>
              <w:top w:val="nil"/>
              <w:left w:val="nil"/>
              <w:bottom w:val="nil"/>
              <w:right w:val="nil"/>
            </w:tcBorders>
            <w:shd w:val="clear" w:color="auto" w:fill="auto"/>
            <w:noWrap/>
            <w:vAlign w:val="bottom"/>
            <w:hideMark/>
          </w:tcPr>
          <w:p w14:paraId="2F324DB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1273</w:t>
            </w:r>
          </w:p>
        </w:tc>
        <w:tc>
          <w:tcPr>
            <w:tcW w:w="747" w:type="dxa"/>
            <w:tcBorders>
              <w:top w:val="nil"/>
              <w:left w:val="nil"/>
              <w:bottom w:val="nil"/>
              <w:right w:val="single" w:sz="4" w:space="0" w:color="auto"/>
            </w:tcBorders>
            <w:shd w:val="clear" w:color="auto" w:fill="auto"/>
            <w:noWrap/>
            <w:vAlign w:val="bottom"/>
            <w:hideMark/>
          </w:tcPr>
          <w:p w14:paraId="37DC68FB"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30" w:type="dxa"/>
            <w:gridSpan w:val="2"/>
            <w:tcBorders>
              <w:top w:val="nil"/>
              <w:left w:val="nil"/>
              <w:bottom w:val="nil"/>
              <w:right w:val="nil"/>
            </w:tcBorders>
            <w:shd w:val="clear" w:color="auto" w:fill="auto"/>
            <w:noWrap/>
            <w:vAlign w:val="bottom"/>
            <w:hideMark/>
          </w:tcPr>
          <w:p w14:paraId="1DB4368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318</w:t>
            </w:r>
          </w:p>
        </w:tc>
        <w:tc>
          <w:tcPr>
            <w:tcW w:w="994" w:type="dxa"/>
            <w:tcBorders>
              <w:top w:val="nil"/>
              <w:left w:val="nil"/>
              <w:bottom w:val="nil"/>
              <w:right w:val="nil"/>
            </w:tcBorders>
            <w:shd w:val="clear" w:color="auto" w:fill="auto"/>
            <w:noWrap/>
            <w:vAlign w:val="bottom"/>
            <w:hideMark/>
          </w:tcPr>
          <w:p w14:paraId="259DC97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1484</w:t>
            </w:r>
          </w:p>
        </w:tc>
        <w:tc>
          <w:tcPr>
            <w:tcW w:w="795" w:type="dxa"/>
            <w:tcBorders>
              <w:top w:val="nil"/>
              <w:left w:val="nil"/>
              <w:bottom w:val="nil"/>
              <w:right w:val="single" w:sz="4" w:space="0" w:color="auto"/>
            </w:tcBorders>
            <w:shd w:val="clear" w:color="auto" w:fill="auto"/>
            <w:noWrap/>
            <w:vAlign w:val="bottom"/>
            <w:hideMark/>
          </w:tcPr>
          <w:p w14:paraId="3146B8F1"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12" w:type="dxa"/>
            <w:tcBorders>
              <w:top w:val="nil"/>
              <w:left w:val="nil"/>
              <w:bottom w:val="nil"/>
              <w:right w:val="nil"/>
            </w:tcBorders>
            <w:shd w:val="clear" w:color="auto" w:fill="auto"/>
            <w:noWrap/>
            <w:vAlign w:val="bottom"/>
            <w:hideMark/>
          </w:tcPr>
          <w:p w14:paraId="0131BFC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195</w:t>
            </w:r>
          </w:p>
        </w:tc>
        <w:tc>
          <w:tcPr>
            <w:tcW w:w="994" w:type="dxa"/>
            <w:tcBorders>
              <w:top w:val="nil"/>
              <w:left w:val="nil"/>
              <w:bottom w:val="nil"/>
              <w:right w:val="nil"/>
            </w:tcBorders>
            <w:shd w:val="clear" w:color="auto" w:fill="auto"/>
            <w:noWrap/>
            <w:vAlign w:val="bottom"/>
            <w:hideMark/>
          </w:tcPr>
          <w:p w14:paraId="6C981BE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1228</w:t>
            </w:r>
          </w:p>
        </w:tc>
        <w:tc>
          <w:tcPr>
            <w:tcW w:w="880" w:type="dxa"/>
            <w:tcBorders>
              <w:top w:val="nil"/>
              <w:left w:val="nil"/>
              <w:bottom w:val="nil"/>
              <w:right w:val="single" w:sz="4" w:space="0" w:color="auto"/>
            </w:tcBorders>
            <w:shd w:val="clear" w:color="auto" w:fill="auto"/>
            <w:noWrap/>
            <w:vAlign w:val="bottom"/>
            <w:hideMark/>
          </w:tcPr>
          <w:p w14:paraId="22732D23"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r>
      <w:tr w:rsidR="006A1EE2" w14:paraId="586056ED"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41FE6A8B"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 of recommended ACE-</w:t>
            </w:r>
            <w:proofErr w:type="spellStart"/>
            <w:r w:rsidRPr="004F4BB2">
              <w:rPr>
                <w:rFonts w:ascii="Calibri" w:eastAsia="Times New Roman" w:hAnsi="Calibri"/>
                <w:color w:val="000000"/>
                <w:sz w:val="16"/>
                <w:szCs w:val="16"/>
                <w:lang w:val="en-US"/>
              </w:rPr>
              <w:t>inhibotor</w:t>
            </w:r>
            <w:proofErr w:type="spellEnd"/>
            <w:r w:rsidRPr="004F4BB2">
              <w:rPr>
                <w:rFonts w:ascii="Calibri" w:eastAsia="Times New Roman" w:hAnsi="Calibri"/>
                <w:color w:val="000000"/>
                <w:sz w:val="16"/>
                <w:szCs w:val="16"/>
                <w:lang w:val="en-US"/>
              </w:rPr>
              <w:t>/ARB dose: mean (SD)</w:t>
            </w:r>
          </w:p>
        </w:tc>
        <w:tc>
          <w:tcPr>
            <w:tcW w:w="2328" w:type="dxa"/>
            <w:tcBorders>
              <w:top w:val="nil"/>
              <w:left w:val="nil"/>
              <w:bottom w:val="nil"/>
              <w:right w:val="nil"/>
            </w:tcBorders>
            <w:shd w:val="clear" w:color="auto" w:fill="auto"/>
            <w:noWrap/>
            <w:vAlign w:val="bottom"/>
            <w:hideMark/>
          </w:tcPr>
          <w:p w14:paraId="584A251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100 (28)</w:t>
            </w:r>
          </w:p>
        </w:tc>
        <w:tc>
          <w:tcPr>
            <w:tcW w:w="994" w:type="dxa"/>
            <w:tcBorders>
              <w:top w:val="nil"/>
              <w:left w:val="nil"/>
              <w:bottom w:val="nil"/>
              <w:right w:val="nil"/>
            </w:tcBorders>
            <w:shd w:val="clear" w:color="auto" w:fill="auto"/>
            <w:noWrap/>
            <w:vAlign w:val="bottom"/>
            <w:hideMark/>
          </w:tcPr>
          <w:p w14:paraId="2F7DF85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29 (18)</w:t>
            </w:r>
          </w:p>
        </w:tc>
        <w:tc>
          <w:tcPr>
            <w:tcW w:w="747" w:type="dxa"/>
            <w:tcBorders>
              <w:top w:val="nil"/>
              <w:left w:val="nil"/>
              <w:bottom w:val="nil"/>
              <w:right w:val="single" w:sz="4" w:space="0" w:color="auto"/>
            </w:tcBorders>
            <w:shd w:val="clear" w:color="auto" w:fill="auto"/>
            <w:noWrap/>
            <w:vAlign w:val="bottom"/>
            <w:hideMark/>
          </w:tcPr>
          <w:p w14:paraId="0EABF2CD"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30" w:type="dxa"/>
            <w:gridSpan w:val="2"/>
            <w:tcBorders>
              <w:top w:val="nil"/>
              <w:left w:val="nil"/>
              <w:bottom w:val="nil"/>
              <w:right w:val="nil"/>
            </w:tcBorders>
            <w:shd w:val="clear" w:color="auto" w:fill="auto"/>
            <w:noWrap/>
            <w:vAlign w:val="bottom"/>
            <w:hideMark/>
          </w:tcPr>
          <w:p w14:paraId="758E5ED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61 (39)</w:t>
            </w:r>
          </w:p>
        </w:tc>
        <w:tc>
          <w:tcPr>
            <w:tcW w:w="994" w:type="dxa"/>
            <w:tcBorders>
              <w:top w:val="nil"/>
              <w:left w:val="nil"/>
              <w:bottom w:val="nil"/>
              <w:right w:val="nil"/>
            </w:tcBorders>
            <w:shd w:val="clear" w:color="auto" w:fill="auto"/>
            <w:noWrap/>
            <w:vAlign w:val="bottom"/>
            <w:hideMark/>
          </w:tcPr>
          <w:p w14:paraId="71DA2D8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48 (38)</w:t>
            </w:r>
          </w:p>
        </w:tc>
        <w:tc>
          <w:tcPr>
            <w:tcW w:w="795" w:type="dxa"/>
            <w:tcBorders>
              <w:top w:val="nil"/>
              <w:left w:val="nil"/>
              <w:bottom w:val="nil"/>
              <w:right w:val="single" w:sz="4" w:space="0" w:color="auto"/>
            </w:tcBorders>
            <w:shd w:val="clear" w:color="auto" w:fill="auto"/>
            <w:noWrap/>
            <w:vAlign w:val="bottom"/>
            <w:hideMark/>
          </w:tcPr>
          <w:p w14:paraId="5A12A8BB"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12" w:type="dxa"/>
            <w:tcBorders>
              <w:top w:val="nil"/>
              <w:left w:val="nil"/>
              <w:bottom w:val="nil"/>
              <w:right w:val="nil"/>
            </w:tcBorders>
            <w:shd w:val="clear" w:color="auto" w:fill="auto"/>
            <w:noWrap/>
            <w:vAlign w:val="bottom"/>
            <w:hideMark/>
          </w:tcPr>
          <w:p w14:paraId="18DFE96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54 (38)</w:t>
            </w:r>
          </w:p>
        </w:tc>
        <w:tc>
          <w:tcPr>
            <w:tcW w:w="994" w:type="dxa"/>
            <w:tcBorders>
              <w:top w:val="nil"/>
              <w:left w:val="nil"/>
              <w:bottom w:val="nil"/>
              <w:right w:val="nil"/>
            </w:tcBorders>
            <w:shd w:val="clear" w:color="auto" w:fill="auto"/>
            <w:noWrap/>
            <w:vAlign w:val="bottom"/>
            <w:hideMark/>
          </w:tcPr>
          <w:p w14:paraId="610AA5C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52 (39)</w:t>
            </w:r>
          </w:p>
        </w:tc>
        <w:tc>
          <w:tcPr>
            <w:tcW w:w="880" w:type="dxa"/>
            <w:tcBorders>
              <w:top w:val="nil"/>
              <w:left w:val="nil"/>
              <w:bottom w:val="nil"/>
              <w:right w:val="single" w:sz="4" w:space="0" w:color="auto"/>
            </w:tcBorders>
            <w:shd w:val="clear" w:color="auto" w:fill="auto"/>
            <w:noWrap/>
            <w:vAlign w:val="bottom"/>
            <w:hideMark/>
          </w:tcPr>
          <w:p w14:paraId="7085CEED"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r>
      <w:tr w:rsidR="006A1EE2" w14:paraId="5D414D9B"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02F3B39E"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 of recommended beta-blocker dose: mean (SD)</w:t>
            </w:r>
          </w:p>
        </w:tc>
        <w:tc>
          <w:tcPr>
            <w:tcW w:w="2328" w:type="dxa"/>
            <w:tcBorders>
              <w:top w:val="nil"/>
              <w:left w:val="nil"/>
              <w:bottom w:val="nil"/>
              <w:right w:val="nil"/>
            </w:tcBorders>
            <w:shd w:val="clear" w:color="auto" w:fill="auto"/>
            <w:noWrap/>
            <w:vAlign w:val="bottom"/>
            <w:hideMark/>
          </w:tcPr>
          <w:p w14:paraId="5A3E6EF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45 (32)</w:t>
            </w:r>
          </w:p>
        </w:tc>
        <w:tc>
          <w:tcPr>
            <w:tcW w:w="994" w:type="dxa"/>
            <w:tcBorders>
              <w:top w:val="nil"/>
              <w:left w:val="nil"/>
              <w:bottom w:val="nil"/>
              <w:right w:val="nil"/>
            </w:tcBorders>
            <w:shd w:val="clear" w:color="auto" w:fill="auto"/>
            <w:noWrap/>
            <w:vAlign w:val="bottom"/>
            <w:hideMark/>
          </w:tcPr>
          <w:p w14:paraId="2834E1C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34 (30)</w:t>
            </w:r>
          </w:p>
        </w:tc>
        <w:tc>
          <w:tcPr>
            <w:tcW w:w="747" w:type="dxa"/>
            <w:tcBorders>
              <w:top w:val="nil"/>
              <w:left w:val="nil"/>
              <w:bottom w:val="nil"/>
              <w:right w:val="single" w:sz="4" w:space="0" w:color="auto"/>
            </w:tcBorders>
            <w:shd w:val="clear" w:color="auto" w:fill="auto"/>
            <w:noWrap/>
            <w:vAlign w:val="bottom"/>
            <w:hideMark/>
          </w:tcPr>
          <w:p w14:paraId="0FC5DE5E"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30" w:type="dxa"/>
            <w:gridSpan w:val="2"/>
            <w:tcBorders>
              <w:top w:val="nil"/>
              <w:left w:val="nil"/>
              <w:bottom w:val="nil"/>
              <w:right w:val="nil"/>
            </w:tcBorders>
            <w:shd w:val="clear" w:color="auto" w:fill="auto"/>
            <w:noWrap/>
            <w:vAlign w:val="bottom"/>
            <w:hideMark/>
          </w:tcPr>
          <w:p w14:paraId="34F07E8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93 (18)</w:t>
            </w:r>
          </w:p>
        </w:tc>
        <w:tc>
          <w:tcPr>
            <w:tcW w:w="994" w:type="dxa"/>
            <w:tcBorders>
              <w:top w:val="nil"/>
              <w:left w:val="nil"/>
              <w:bottom w:val="nil"/>
              <w:right w:val="nil"/>
            </w:tcBorders>
            <w:shd w:val="clear" w:color="auto" w:fill="auto"/>
            <w:noWrap/>
            <w:vAlign w:val="bottom"/>
            <w:hideMark/>
          </w:tcPr>
          <w:p w14:paraId="0933251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25 (17)</w:t>
            </w:r>
          </w:p>
        </w:tc>
        <w:tc>
          <w:tcPr>
            <w:tcW w:w="795" w:type="dxa"/>
            <w:tcBorders>
              <w:top w:val="nil"/>
              <w:left w:val="nil"/>
              <w:bottom w:val="nil"/>
              <w:right w:val="single" w:sz="4" w:space="0" w:color="auto"/>
            </w:tcBorders>
            <w:shd w:val="clear" w:color="auto" w:fill="auto"/>
            <w:noWrap/>
            <w:vAlign w:val="bottom"/>
            <w:hideMark/>
          </w:tcPr>
          <w:p w14:paraId="0A21A1BF"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12" w:type="dxa"/>
            <w:tcBorders>
              <w:top w:val="nil"/>
              <w:left w:val="nil"/>
              <w:bottom w:val="nil"/>
              <w:right w:val="nil"/>
            </w:tcBorders>
            <w:shd w:val="clear" w:color="auto" w:fill="auto"/>
            <w:noWrap/>
            <w:vAlign w:val="bottom"/>
            <w:hideMark/>
          </w:tcPr>
          <w:p w14:paraId="4746C21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38 (30)</w:t>
            </w:r>
          </w:p>
        </w:tc>
        <w:tc>
          <w:tcPr>
            <w:tcW w:w="994" w:type="dxa"/>
            <w:tcBorders>
              <w:top w:val="nil"/>
              <w:left w:val="nil"/>
              <w:bottom w:val="nil"/>
              <w:right w:val="nil"/>
            </w:tcBorders>
            <w:shd w:val="clear" w:color="auto" w:fill="auto"/>
            <w:noWrap/>
            <w:vAlign w:val="bottom"/>
            <w:hideMark/>
          </w:tcPr>
          <w:p w14:paraId="00903AC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37 (31)</w:t>
            </w:r>
          </w:p>
        </w:tc>
        <w:tc>
          <w:tcPr>
            <w:tcW w:w="880" w:type="dxa"/>
            <w:tcBorders>
              <w:top w:val="nil"/>
              <w:left w:val="nil"/>
              <w:bottom w:val="nil"/>
              <w:right w:val="single" w:sz="4" w:space="0" w:color="auto"/>
            </w:tcBorders>
            <w:shd w:val="clear" w:color="auto" w:fill="auto"/>
            <w:noWrap/>
            <w:vAlign w:val="bottom"/>
            <w:hideMark/>
          </w:tcPr>
          <w:p w14:paraId="382ACE83"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r>
      <w:tr w:rsidR="006A1EE2" w14:paraId="2488F861"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2D4B2CB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Age (</w:t>
            </w:r>
            <w:proofErr w:type="spellStart"/>
            <w:r>
              <w:rPr>
                <w:rFonts w:ascii="Calibri" w:eastAsia="Times New Roman" w:hAnsi="Calibri"/>
                <w:color w:val="000000"/>
                <w:sz w:val="16"/>
                <w:szCs w:val="16"/>
              </w:rPr>
              <w:t>years</w:t>
            </w:r>
            <w:proofErr w:type="spell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mean</w:t>
            </w:r>
            <w:proofErr w:type="spellEnd"/>
            <w:r>
              <w:rPr>
                <w:rFonts w:ascii="Calibri" w:eastAsia="Times New Roman" w:hAnsi="Calibri"/>
                <w:color w:val="000000"/>
                <w:sz w:val="16"/>
                <w:szCs w:val="16"/>
              </w:rPr>
              <w:t xml:space="preserve"> (SD)</w:t>
            </w:r>
          </w:p>
        </w:tc>
        <w:tc>
          <w:tcPr>
            <w:tcW w:w="2328" w:type="dxa"/>
            <w:tcBorders>
              <w:top w:val="nil"/>
              <w:left w:val="nil"/>
              <w:bottom w:val="nil"/>
              <w:right w:val="nil"/>
            </w:tcBorders>
            <w:shd w:val="clear" w:color="auto" w:fill="auto"/>
            <w:noWrap/>
            <w:vAlign w:val="bottom"/>
            <w:hideMark/>
          </w:tcPr>
          <w:p w14:paraId="37FE660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66.36 (11.85)</w:t>
            </w:r>
          </w:p>
        </w:tc>
        <w:tc>
          <w:tcPr>
            <w:tcW w:w="994" w:type="dxa"/>
            <w:tcBorders>
              <w:top w:val="nil"/>
              <w:left w:val="nil"/>
              <w:bottom w:val="nil"/>
              <w:right w:val="nil"/>
            </w:tcBorders>
            <w:shd w:val="clear" w:color="auto" w:fill="auto"/>
            <w:noWrap/>
            <w:vAlign w:val="bottom"/>
            <w:hideMark/>
          </w:tcPr>
          <w:p w14:paraId="359D11A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68.15 (12.12)</w:t>
            </w:r>
          </w:p>
        </w:tc>
        <w:tc>
          <w:tcPr>
            <w:tcW w:w="747" w:type="dxa"/>
            <w:tcBorders>
              <w:top w:val="nil"/>
              <w:left w:val="nil"/>
              <w:bottom w:val="nil"/>
              <w:right w:val="single" w:sz="4" w:space="0" w:color="auto"/>
            </w:tcBorders>
            <w:shd w:val="clear" w:color="auto" w:fill="auto"/>
            <w:noWrap/>
            <w:vAlign w:val="bottom"/>
            <w:hideMark/>
          </w:tcPr>
          <w:p w14:paraId="65BC12B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0.004</w:t>
            </w:r>
          </w:p>
        </w:tc>
        <w:tc>
          <w:tcPr>
            <w:tcW w:w="1830" w:type="dxa"/>
            <w:gridSpan w:val="2"/>
            <w:tcBorders>
              <w:top w:val="nil"/>
              <w:left w:val="nil"/>
              <w:bottom w:val="nil"/>
              <w:right w:val="nil"/>
            </w:tcBorders>
            <w:shd w:val="clear" w:color="auto" w:fill="auto"/>
            <w:noWrap/>
            <w:vAlign w:val="bottom"/>
            <w:hideMark/>
          </w:tcPr>
          <w:p w14:paraId="7B26831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66.14 (12.63)</w:t>
            </w:r>
          </w:p>
        </w:tc>
        <w:tc>
          <w:tcPr>
            <w:tcW w:w="994" w:type="dxa"/>
            <w:tcBorders>
              <w:top w:val="nil"/>
              <w:left w:val="nil"/>
              <w:bottom w:val="nil"/>
              <w:right w:val="nil"/>
            </w:tcBorders>
            <w:shd w:val="clear" w:color="auto" w:fill="auto"/>
            <w:noWrap/>
            <w:vAlign w:val="bottom"/>
            <w:hideMark/>
          </w:tcPr>
          <w:p w14:paraId="0F7F10C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67.94 (11.92)</w:t>
            </w:r>
          </w:p>
        </w:tc>
        <w:tc>
          <w:tcPr>
            <w:tcW w:w="795" w:type="dxa"/>
            <w:tcBorders>
              <w:top w:val="nil"/>
              <w:left w:val="nil"/>
              <w:bottom w:val="nil"/>
              <w:right w:val="single" w:sz="4" w:space="0" w:color="auto"/>
            </w:tcBorders>
            <w:shd w:val="clear" w:color="auto" w:fill="auto"/>
            <w:noWrap/>
            <w:vAlign w:val="bottom"/>
            <w:hideMark/>
          </w:tcPr>
          <w:p w14:paraId="18B43210"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0.02</w:t>
            </w:r>
          </w:p>
        </w:tc>
        <w:tc>
          <w:tcPr>
            <w:tcW w:w="1812" w:type="dxa"/>
            <w:tcBorders>
              <w:top w:val="nil"/>
              <w:left w:val="nil"/>
              <w:bottom w:val="nil"/>
              <w:right w:val="nil"/>
            </w:tcBorders>
            <w:shd w:val="clear" w:color="auto" w:fill="auto"/>
            <w:noWrap/>
            <w:vAlign w:val="bottom"/>
            <w:hideMark/>
          </w:tcPr>
          <w:p w14:paraId="53F13C0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63.21 (12.35)</w:t>
            </w:r>
          </w:p>
        </w:tc>
        <w:tc>
          <w:tcPr>
            <w:tcW w:w="994" w:type="dxa"/>
            <w:tcBorders>
              <w:top w:val="nil"/>
              <w:left w:val="nil"/>
              <w:bottom w:val="nil"/>
              <w:right w:val="nil"/>
            </w:tcBorders>
            <w:shd w:val="clear" w:color="auto" w:fill="auto"/>
            <w:noWrap/>
            <w:vAlign w:val="bottom"/>
            <w:hideMark/>
          </w:tcPr>
          <w:p w14:paraId="68986C1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67.71 (11.89)</w:t>
            </w:r>
          </w:p>
        </w:tc>
        <w:tc>
          <w:tcPr>
            <w:tcW w:w="880" w:type="dxa"/>
            <w:tcBorders>
              <w:top w:val="nil"/>
              <w:left w:val="nil"/>
              <w:bottom w:val="nil"/>
              <w:right w:val="single" w:sz="4" w:space="0" w:color="auto"/>
            </w:tcBorders>
            <w:shd w:val="clear" w:color="auto" w:fill="auto"/>
            <w:noWrap/>
            <w:vAlign w:val="bottom"/>
            <w:hideMark/>
          </w:tcPr>
          <w:p w14:paraId="3A77E49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&lt;0.00001</w:t>
            </w:r>
          </w:p>
        </w:tc>
      </w:tr>
      <w:tr w:rsidR="006A1EE2" w14:paraId="21F55B96"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35AD695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Male gender: n (%)</w:t>
            </w:r>
          </w:p>
        </w:tc>
        <w:tc>
          <w:tcPr>
            <w:tcW w:w="2328" w:type="dxa"/>
            <w:tcBorders>
              <w:top w:val="nil"/>
              <w:left w:val="nil"/>
              <w:bottom w:val="nil"/>
              <w:right w:val="nil"/>
            </w:tcBorders>
            <w:shd w:val="clear" w:color="auto" w:fill="auto"/>
            <w:noWrap/>
            <w:vAlign w:val="bottom"/>
            <w:hideMark/>
          </w:tcPr>
          <w:p w14:paraId="58AE3E9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395 (75%)</w:t>
            </w:r>
          </w:p>
        </w:tc>
        <w:tc>
          <w:tcPr>
            <w:tcW w:w="994" w:type="dxa"/>
            <w:tcBorders>
              <w:top w:val="nil"/>
              <w:left w:val="nil"/>
              <w:bottom w:val="nil"/>
              <w:right w:val="nil"/>
            </w:tcBorders>
            <w:shd w:val="clear" w:color="auto" w:fill="auto"/>
            <w:noWrap/>
            <w:vAlign w:val="bottom"/>
            <w:hideMark/>
          </w:tcPr>
          <w:p w14:paraId="2FA3EB7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967 (76%)</w:t>
            </w:r>
          </w:p>
        </w:tc>
        <w:tc>
          <w:tcPr>
            <w:tcW w:w="747" w:type="dxa"/>
            <w:tcBorders>
              <w:top w:val="nil"/>
              <w:left w:val="nil"/>
              <w:bottom w:val="nil"/>
              <w:right w:val="single" w:sz="4" w:space="0" w:color="auto"/>
            </w:tcBorders>
            <w:shd w:val="clear" w:color="auto" w:fill="auto"/>
            <w:noWrap/>
            <w:vAlign w:val="bottom"/>
            <w:hideMark/>
          </w:tcPr>
          <w:p w14:paraId="3E8E02EF"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0.56</w:t>
            </w:r>
          </w:p>
        </w:tc>
        <w:tc>
          <w:tcPr>
            <w:tcW w:w="1830" w:type="dxa"/>
            <w:gridSpan w:val="2"/>
            <w:tcBorders>
              <w:top w:val="nil"/>
              <w:left w:val="nil"/>
              <w:bottom w:val="nil"/>
              <w:right w:val="nil"/>
            </w:tcBorders>
            <w:shd w:val="clear" w:color="auto" w:fill="auto"/>
            <w:noWrap/>
            <w:vAlign w:val="bottom"/>
            <w:hideMark/>
          </w:tcPr>
          <w:p w14:paraId="6913739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235 (74%)</w:t>
            </w:r>
          </w:p>
        </w:tc>
        <w:tc>
          <w:tcPr>
            <w:tcW w:w="994" w:type="dxa"/>
            <w:tcBorders>
              <w:top w:val="nil"/>
              <w:left w:val="nil"/>
              <w:bottom w:val="nil"/>
              <w:right w:val="nil"/>
            </w:tcBorders>
            <w:shd w:val="clear" w:color="auto" w:fill="auto"/>
            <w:noWrap/>
            <w:vAlign w:val="bottom"/>
            <w:hideMark/>
          </w:tcPr>
          <w:p w14:paraId="2A45A5B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1127 (76%)</w:t>
            </w:r>
          </w:p>
        </w:tc>
        <w:tc>
          <w:tcPr>
            <w:tcW w:w="795" w:type="dxa"/>
            <w:tcBorders>
              <w:top w:val="nil"/>
              <w:left w:val="nil"/>
              <w:bottom w:val="nil"/>
              <w:right w:val="single" w:sz="4" w:space="0" w:color="auto"/>
            </w:tcBorders>
            <w:shd w:val="clear" w:color="auto" w:fill="auto"/>
            <w:noWrap/>
            <w:vAlign w:val="bottom"/>
            <w:hideMark/>
          </w:tcPr>
          <w:p w14:paraId="4CF26898"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0.44</w:t>
            </w:r>
          </w:p>
        </w:tc>
        <w:tc>
          <w:tcPr>
            <w:tcW w:w="1812" w:type="dxa"/>
            <w:tcBorders>
              <w:top w:val="nil"/>
              <w:left w:val="nil"/>
              <w:bottom w:val="nil"/>
              <w:right w:val="nil"/>
            </w:tcBorders>
            <w:shd w:val="clear" w:color="auto" w:fill="auto"/>
            <w:noWrap/>
            <w:vAlign w:val="bottom"/>
            <w:hideMark/>
          </w:tcPr>
          <w:p w14:paraId="0AA35B4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161 (83%)</w:t>
            </w:r>
          </w:p>
        </w:tc>
        <w:tc>
          <w:tcPr>
            <w:tcW w:w="994" w:type="dxa"/>
            <w:tcBorders>
              <w:top w:val="nil"/>
              <w:left w:val="nil"/>
              <w:bottom w:val="nil"/>
              <w:right w:val="nil"/>
            </w:tcBorders>
            <w:shd w:val="clear" w:color="auto" w:fill="auto"/>
            <w:noWrap/>
            <w:vAlign w:val="bottom"/>
            <w:hideMark/>
          </w:tcPr>
          <w:p w14:paraId="37F14DEB"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914 (74%)</w:t>
            </w:r>
          </w:p>
        </w:tc>
        <w:tc>
          <w:tcPr>
            <w:tcW w:w="880" w:type="dxa"/>
            <w:tcBorders>
              <w:top w:val="nil"/>
              <w:left w:val="nil"/>
              <w:bottom w:val="nil"/>
              <w:right w:val="single" w:sz="4" w:space="0" w:color="auto"/>
            </w:tcBorders>
            <w:shd w:val="clear" w:color="auto" w:fill="auto"/>
            <w:noWrap/>
            <w:vAlign w:val="bottom"/>
            <w:hideMark/>
          </w:tcPr>
          <w:p w14:paraId="3F4700C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0.01</w:t>
            </w:r>
          </w:p>
        </w:tc>
      </w:tr>
      <w:tr w:rsidR="006A1EE2" w14:paraId="0E3BE234"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5CC7510C"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Caucasian</w:t>
            </w:r>
            <w:proofErr w:type="spell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ethnicity</w:t>
            </w:r>
            <w:proofErr w:type="spellEnd"/>
            <w:r>
              <w:rPr>
                <w:rFonts w:ascii="Calibri" w:eastAsia="Times New Roman" w:hAnsi="Calibri"/>
                <w:color w:val="000000"/>
                <w:sz w:val="16"/>
                <w:szCs w:val="16"/>
              </w:rPr>
              <w:t>: n (%)</w:t>
            </w:r>
          </w:p>
        </w:tc>
        <w:tc>
          <w:tcPr>
            <w:tcW w:w="2328" w:type="dxa"/>
            <w:tcBorders>
              <w:top w:val="nil"/>
              <w:left w:val="nil"/>
              <w:bottom w:val="nil"/>
              <w:right w:val="nil"/>
            </w:tcBorders>
            <w:shd w:val="clear" w:color="auto" w:fill="auto"/>
            <w:noWrap/>
            <w:vAlign w:val="bottom"/>
            <w:hideMark/>
          </w:tcPr>
          <w:p w14:paraId="657D251B"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523 (99%)</w:t>
            </w:r>
          </w:p>
        </w:tc>
        <w:tc>
          <w:tcPr>
            <w:tcW w:w="994" w:type="dxa"/>
            <w:tcBorders>
              <w:top w:val="nil"/>
              <w:left w:val="nil"/>
              <w:bottom w:val="nil"/>
              <w:right w:val="nil"/>
            </w:tcBorders>
            <w:shd w:val="clear" w:color="auto" w:fill="auto"/>
            <w:noWrap/>
            <w:vAlign w:val="bottom"/>
            <w:hideMark/>
          </w:tcPr>
          <w:p w14:paraId="0D055E4B"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1259 (99%)</w:t>
            </w:r>
          </w:p>
        </w:tc>
        <w:tc>
          <w:tcPr>
            <w:tcW w:w="747" w:type="dxa"/>
            <w:tcBorders>
              <w:top w:val="nil"/>
              <w:left w:val="nil"/>
              <w:bottom w:val="nil"/>
              <w:right w:val="single" w:sz="4" w:space="0" w:color="auto"/>
            </w:tcBorders>
            <w:shd w:val="clear" w:color="auto" w:fill="auto"/>
            <w:noWrap/>
            <w:vAlign w:val="bottom"/>
            <w:hideMark/>
          </w:tcPr>
          <w:p w14:paraId="21FF22CA"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0.29</w:t>
            </w:r>
          </w:p>
        </w:tc>
        <w:tc>
          <w:tcPr>
            <w:tcW w:w="1830" w:type="dxa"/>
            <w:gridSpan w:val="2"/>
            <w:tcBorders>
              <w:top w:val="nil"/>
              <w:left w:val="nil"/>
              <w:bottom w:val="nil"/>
              <w:right w:val="nil"/>
            </w:tcBorders>
            <w:shd w:val="clear" w:color="auto" w:fill="auto"/>
            <w:noWrap/>
            <w:vAlign w:val="bottom"/>
            <w:hideMark/>
          </w:tcPr>
          <w:p w14:paraId="53E6540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314 (99%)</w:t>
            </w:r>
          </w:p>
        </w:tc>
        <w:tc>
          <w:tcPr>
            <w:tcW w:w="994" w:type="dxa"/>
            <w:tcBorders>
              <w:top w:val="nil"/>
              <w:left w:val="nil"/>
              <w:bottom w:val="nil"/>
              <w:right w:val="nil"/>
            </w:tcBorders>
            <w:shd w:val="clear" w:color="auto" w:fill="auto"/>
            <w:noWrap/>
            <w:vAlign w:val="bottom"/>
            <w:hideMark/>
          </w:tcPr>
          <w:p w14:paraId="4633918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1468 (99%)</w:t>
            </w:r>
          </w:p>
        </w:tc>
        <w:tc>
          <w:tcPr>
            <w:tcW w:w="795" w:type="dxa"/>
            <w:tcBorders>
              <w:top w:val="nil"/>
              <w:left w:val="nil"/>
              <w:bottom w:val="nil"/>
              <w:right w:val="single" w:sz="4" w:space="0" w:color="auto"/>
            </w:tcBorders>
            <w:shd w:val="clear" w:color="auto" w:fill="auto"/>
            <w:noWrap/>
            <w:vAlign w:val="bottom"/>
            <w:hideMark/>
          </w:tcPr>
          <w:p w14:paraId="4362A5DC"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0.04</w:t>
            </w:r>
          </w:p>
        </w:tc>
        <w:tc>
          <w:tcPr>
            <w:tcW w:w="1812" w:type="dxa"/>
            <w:tcBorders>
              <w:top w:val="nil"/>
              <w:left w:val="nil"/>
              <w:bottom w:val="nil"/>
              <w:right w:val="nil"/>
            </w:tcBorders>
            <w:shd w:val="clear" w:color="auto" w:fill="auto"/>
            <w:noWrap/>
            <w:vAlign w:val="bottom"/>
            <w:hideMark/>
          </w:tcPr>
          <w:p w14:paraId="3A81BD2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187 (96%)</w:t>
            </w:r>
          </w:p>
        </w:tc>
        <w:tc>
          <w:tcPr>
            <w:tcW w:w="994" w:type="dxa"/>
            <w:tcBorders>
              <w:top w:val="nil"/>
              <w:left w:val="nil"/>
              <w:bottom w:val="nil"/>
              <w:right w:val="nil"/>
            </w:tcBorders>
            <w:shd w:val="clear" w:color="auto" w:fill="auto"/>
            <w:noWrap/>
            <w:vAlign w:val="bottom"/>
            <w:hideMark/>
          </w:tcPr>
          <w:p w14:paraId="1E41EE3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1219 (99%)</w:t>
            </w:r>
          </w:p>
        </w:tc>
        <w:tc>
          <w:tcPr>
            <w:tcW w:w="880" w:type="dxa"/>
            <w:tcBorders>
              <w:top w:val="nil"/>
              <w:left w:val="nil"/>
              <w:bottom w:val="nil"/>
              <w:right w:val="single" w:sz="4" w:space="0" w:color="auto"/>
            </w:tcBorders>
            <w:shd w:val="clear" w:color="auto" w:fill="auto"/>
            <w:noWrap/>
            <w:vAlign w:val="bottom"/>
            <w:hideMark/>
          </w:tcPr>
          <w:p w14:paraId="625C692E"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0.0006</w:t>
            </w:r>
          </w:p>
        </w:tc>
      </w:tr>
      <w:tr w:rsidR="006A1EE2" w14:paraId="0F4A2C06"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2A61AC39"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BMI (kg/m2): mean (SD)</w:t>
            </w:r>
          </w:p>
        </w:tc>
        <w:tc>
          <w:tcPr>
            <w:tcW w:w="2328" w:type="dxa"/>
            <w:tcBorders>
              <w:top w:val="nil"/>
              <w:left w:val="nil"/>
              <w:bottom w:val="nil"/>
              <w:right w:val="nil"/>
            </w:tcBorders>
            <w:shd w:val="clear" w:color="auto" w:fill="auto"/>
            <w:noWrap/>
            <w:vAlign w:val="bottom"/>
            <w:hideMark/>
          </w:tcPr>
          <w:p w14:paraId="0018DD8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28.93 (6.02)</w:t>
            </w:r>
          </w:p>
        </w:tc>
        <w:tc>
          <w:tcPr>
            <w:tcW w:w="994" w:type="dxa"/>
            <w:tcBorders>
              <w:top w:val="nil"/>
              <w:left w:val="nil"/>
              <w:bottom w:val="nil"/>
              <w:right w:val="nil"/>
            </w:tcBorders>
            <w:shd w:val="clear" w:color="auto" w:fill="auto"/>
            <w:noWrap/>
            <w:vAlign w:val="bottom"/>
            <w:hideMark/>
          </w:tcPr>
          <w:p w14:paraId="54F831B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27.49 (5.26)</w:t>
            </w:r>
          </w:p>
        </w:tc>
        <w:tc>
          <w:tcPr>
            <w:tcW w:w="747" w:type="dxa"/>
            <w:tcBorders>
              <w:top w:val="nil"/>
              <w:left w:val="nil"/>
              <w:bottom w:val="nil"/>
              <w:right w:val="single" w:sz="4" w:space="0" w:color="auto"/>
            </w:tcBorders>
            <w:shd w:val="clear" w:color="auto" w:fill="auto"/>
            <w:noWrap/>
            <w:vAlign w:val="bottom"/>
            <w:hideMark/>
          </w:tcPr>
          <w:p w14:paraId="5097AB2B"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&lt;0.00001</w:t>
            </w:r>
          </w:p>
        </w:tc>
        <w:tc>
          <w:tcPr>
            <w:tcW w:w="1830" w:type="dxa"/>
            <w:gridSpan w:val="2"/>
            <w:tcBorders>
              <w:top w:val="nil"/>
              <w:left w:val="nil"/>
              <w:bottom w:val="nil"/>
              <w:right w:val="nil"/>
            </w:tcBorders>
            <w:shd w:val="clear" w:color="auto" w:fill="auto"/>
            <w:noWrap/>
            <w:vAlign w:val="bottom"/>
            <w:hideMark/>
          </w:tcPr>
          <w:p w14:paraId="658E83D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28.41 (5.57)</w:t>
            </w:r>
          </w:p>
        </w:tc>
        <w:tc>
          <w:tcPr>
            <w:tcW w:w="994" w:type="dxa"/>
            <w:tcBorders>
              <w:top w:val="nil"/>
              <w:left w:val="nil"/>
              <w:bottom w:val="nil"/>
              <w:right w:val="nil"/>
            </w:tcBorders>
            <w:shd w:val="clear" w:color="auto" w:fill="auto"/>
            <w:noWrap/>
            <w:vAlign w:val="bottom"/>
            <w:hideMark/>
          </w:tcPr>
          <w:p w14:paraId="276576B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27.81 (5.51)</w:t>
            </w:r>
          </w:p>
        </w:tc>
        <w:tc>
          <w:tcPr>
            <w:tcW w:w="795" w:type="dxa"/>
            <w:tcBorders>
              <w:top w:val="nil"/>
              <w:left w:val="nil"/>
              <w:bottom w:val="nil"/>
              <w:right w:val="single" w:sz="4" w:space="0" w:color="auto"/>
            </w:tcBorders>
            <w:shd w:val="clear" w:color="auto" w:fill="auto"/>
            <w:noWrap/>
            <w:vAlign w:val="bottom"/>
            <w:hideMark/>
          </w:tcPr>
          <w:p w14:paraId="7A877A7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0.09</w:t>
            </w:r>
          </w:p>
        </w:tc>
        <w:tc>
          <w:tcPr>
            <w:tcW w:w="1812" w:type="dxa"/>
            <w:tcBorders>
              <w:top w:val="nil"/>
              <w:left w:val="nil"/>
              <w:bottom w:val="nil"/>
              <w:right w:val="nil"/>
            </w:tcBorders>
            <w:shd w:val="clear" w:color="auto" w:fill="auto"/>
            <w:noWrap/>
            <w:vAlign w:val="bottom"/>
            <w:hideMark/>
          </w:tcPr>
          <w:p w14:paraId="3A71B4A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28.84 (5.55)</w:t>
            </w:r>
          </w:p>
        </w:tc>
        <w:tc>
          <w:tcPr>
            <w:tcW w:w="994" w:type="dxa"/>
            <w:tcBorders>
              <w:top w:val="nil"/>
              <w:left w:val="nil"/>
              <w:bottom w:val="nil"/>
              <w:right w:val="nil"/>
            </w:tcBorders>
            <w:shd w:val="clear" w:color="auto" w:fill="auto"/>
            <w:noWrap/>
            <w:vAlign w:val="bottom"/>
            <w:hideMark/>
          </w:tcPr>
          <w:p w14:paraId="372BE53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27.87 (5.51)</w:t>
            </w:r>
          </w:p>
        </w:tc>
        <w:tc>
          <w:tcPr>
            <w:tcW w:w="880" w:type="dxa"/>
            <w:tcBorders>
              <w:top w:val="nil"/>
              <w:left w:val="nil"/>
              <w:bottom w:val="nil"/>
              <w:right w:val="single" w:sz="4" w:space="0" w:color="auto"/>
            </w:tcBorders>
            <w:shd w:val="clear" w:color="auto" w:fill="auto"/>
            <w:noWrap/>
            <w:vAlign w:val="bottom"/>
            <w:hideMark/>
          </w:tcPr>
          <w:p w14:paraId="2A04A567"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0.02</w:t>
            </w:r>
          </w:p>
        </w:tc>
      </w:tr>
      <w:tr w:rsidR="006A1EE2" w14:paraId="7E16B241"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2B87A039"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Systolic blood pressure: mean (SD)</w:t>
            </w:r>
          </w:p>
        </w:tc>
        <w:tc>
          <w:tcPr>
            <w:tcW w:w="2328" w:type="dxa"/>
            <w:tcBorders>
              <w:top w:val="nil"/>
              <w:left w:val="nil"/>
              <w:bottom w:val="nil"/>
              <w:right w:val="nil"/>
            </w:tcBorders>
            <w:shd w:val="clear" w:color="auto" w:fill="auto"/>
            <w:noWrap/>
            <w:vAlign w:val="bottom"/>
            <w:hideMark/>
          </w:tcPr>
          <w:p w14:paraId="0D1A6D7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130.04 (22.37)</w:t>
            </w:r>
          </w:p>
        </w:tc>
        <w:tc>
          <w:tcPr>
            <w:tcW w:w="994" w:type="dxa"/>
            <w:tcBorders>
              <w:top w:val="nil"/>
              <w:left w:val="nil"/>
              <w:bottom w:val="nil"/>
              <w:right w:val="nil"/>
            </w:tcBorders>
            <w:shd w:val="clear" w:color="auto" w:fill="auto"/>
            <w:noWrap/>
            <w:vAlign w:val="bottom"/>
            <w:hideMark/>
          </w:tcPr>
          <w:p w14:paraId="49E6685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121.24 (20.5)</w:t>
            </w:r>
          </w:p>
        </w:tc>
        <w:tc>
          <w:tcPr>
            <w:tcW w:w="747" w:type="dxa"/>
            <w:tcBorders>
              <w:top w:val="nil"/>
              <w:left w:val="nil"/>
              <w:bottom w:val="nil"/>
              <w:right w:val="single" w:sz="4" w:space="0" w:color="auto"/>
            </w:tcBorders>
            <w:shd w:val="clear" w:color="auto" w:fill="auto"/>
            <w:noWrap/>
            <w:vAlign w:val="bottom"/>
            <w:hideMark/>
          </w:tcPr>
          <w:p w14:paraId="273E9479"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&lt;0.00001</w:t>
            </w:r>
          </w:p>
        </w:tc>
        <w:tc>
          <w:tcPr>
            <w:tcW w:w="1830" w:type="dxa"/>
            <w:gridSpan w:val="2"/>
            <w:tcBorders>
              <w:top w:val="nil"/>
              <w:left w:val="nil"/>
              <w:bottom w:val="nil"/>
              <w:right w:val="nil"/>
            </w:tcBorders>
            <w:shd w:val="clear" w:color="auto" w:fill="auto"/>
            <w:noWrap/>
            <w:vAlign w:val="bottom"/>
            <w:hideMark/>
          </w:tcPr>
          <w:p w14:paraId="26D2B3E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125.47 (21.7)</w:t>
            </w:r>
          </w:p>
        </w:tc>
        <w:tc>
          <w:tcPr>
            <w:tcW w:w="994" w:type="dxa"/>
            <w:tcBorders>
              <w:top w:val="nil"/>
              <w:left w:val="nil"/>
              <w:bottom w:val="nil"/>
              <w:right w:val="nil"/>
            </w:tcBorders>
            <w:shd w:val="clear" w:color="auto" w:fill="auto"/>
            <w:noWrap/>
            <w:vAlign w:val="bottom"/>
            <w:hideMark/>
          </w:tcPr>
          <w:p w14:paraId="7C4BBB5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123.46 (21.37)</w:t>
            </w:r>
          </w:p>
        </w:tc>
        <w:tc>
          <w:tcPr>
            <w:tcW w:w="795" w:type="dxa"/>
            <w:tcBorders>
              <w:top w:val="nil"/>
              <w:left w:val="nil"/>
              <w:bottom w:val="nil"/>
              <w:right w:val="single" w:sz="4" w:space="0" w:color="auto"/>
            </w:tcBorders>
            <w:shd w:val="clear" w:color="auto" w:fill="auto"/>
            <w:noWrap/>
            <w:vAlign w:val="bottom"/>
            <w:hideMark/>
          </w:tcPr>
          <w:p w14:paraId="005EFB6F"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0.13</w:t>
            </w:r>
          </w:p>
        </w:tc>
        <w:tc>
          <w:tcPr>
            <w:tcW w:w="1812" w:type="dxa"/>
            <w:tcBorders>
              <w:top w:val="nil"/>
              <w:left w:val="nil"/>
              <w:bottom w:val="nil"/>
              <w:right w:val="nil"/>
            </w:tcBorders>
            <w:shd w:val="clear" w:color="auto" w:fill="auto"/>
            <w:noWrap/>
            <w:vAlign w:val="bottom"/>
            <w:hideMark/>
          </w:tcPr>
          <w:p w14:paraId="56E08A7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121.62 (18.39)</w:t>
            </w:r>
          </w:p>
        </w:tc>
        <w:tc>
          <w:tcPr>
            <w:tcW w:w="994" w:type="dxa"/>
            <w:tcBorders>
              <w:top w:val="nil"/>
              <w:left w:val="nil"/>
              <w:bottom w:val="nil"/>
              <w:right w:val="nil"/>
            </w:tcBorders>
            <w:shd w:val="clear" w:color="auto" w:fill="auto"/>
            <w:noWrap/>
            <w:vAlign w:val="bottom"/>
            <w:hideMark/>
          </w:tcPr>
          <w:p w14:paraId="7F2DF45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125.68 (21.24)</w:t>
            </w:r>
          </w:p>
        </w:tc>
        <w:tc>
          <w:tcPr>
            <w:tcW w:w="880" w:type="dxa"/>
            <w:tcBorders>
              <w:top w:val="nil"/>
              <w:left w:val="nil"/>
              <w:bottom w:val="nil"/>
              <w:right w:val="single" w:sz="4" w:space="0" w:color="auto"/>
            </w:tcBorders>
            <w:shd w:val="clear" w:color="auto" w:fill="auto"/>
            <w:noWrap/>
            <w:vAlign w:val="bottom"/>
            <w:hideMark/>
          </w:tcPr>
          <w:p w14:paraId="2102A8E9"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0.006</w:t>
            </w:r>
          </w:p>
        </w:tc>
      </w:tr>
      <w:tr w:rsidR="006A1EE2" w14:paraId="178BE863"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47C16FFC"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Diastolic blood pressure (mmHg): mean (SD)</w:t>
            </w:r>
          </w:p>
        </w:tc>
        <w:tc>
          <w:tcPr>
            <w:tcW w:w="2328" w:type="dxa"/>
            <w:tcBorders>
              <w:top w:val="nil"/>
              <w:left w:val="nil"/>
              <w:bottom w:val="nil"/>
              <w:right w:val="nil"/>
            </w:tcBorders>
            <w:shd w:val="clear" w:color="auto" w:fill="auto"/>
            <w:noWrap/>
            <w:vAlign w:val="bottom"/>
            <w:hideMark/>
          </w:tcPr>
          <w:p w14:paraId="62F1E08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79.03 (13.71)</w:t>
            </w:r>
          </w:p>
        </w:tc>
        <w:tc>
          <w:tcPr>
            <w:tcW w:w="994" w:type="dxa"/>
            <w:tcBorders>
              <w:top w:val="nil"/>
              <w:left w:val="nil"/>
              <w:bottom w:val="nil"/>
              <w:right w:val="nil"/>
            </w:tcBorders>
            <w:shd w:val="clear" w:color="auto" w:fill="auto"/>
            <w:noWrap/>
            <w:vAlign w:val="bottom"/>
            <w:hideMark/>
          </w:tcPr>
          <w:p w14:paraId="743E730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73.68 (12.6)</w:t>
            </w:r>
          </w:p>
        </w:tc>
        <w:tc>
          <w:tcPr>
            <w:tcW w:w="747" w:type="dxa"/>
            <w:tcBorders>
              <w:top w:val="nil"/>
              <w:left w:val="nil"/>
              <w:bottom w:val="nil"/>
              <w:right w:val="single" w:sz="4" w:space="0" w:color="auto"/>
            </w:tcBorders>
            <w:shd w:val="clear" w:color="auto" w:fill="auto"/>
            <w:noWrap/>
            <w:vAlign w:val="bottom"/>
            <w:hideMark/>
          </w:tcPr>
          <w:p w14:paraId="1AD0B0C9"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&lt;0.00001</w:t>
            </w:r>
          </w:p>
        </w:tc>
        <w:tc>
          <w:tcPr>
            <w:tcW w:w="1830" w:type="dxa"/>
            <w:gridSpan w:val="2"/>
            <w:tcBorders>
              <w:top w:val="nil"/>
              <w:left w:val="nil"/>
              <w:bottom w:val="nil"/>
              <w:right w:val="nil"/>
            </w:tcBorders>
            <w:shd w:val="clear" w:color="auto" w:fill="auto"/>
            <w:noWrap/>
            <w:vAlign w:val="bottom"/>
            <w:hideMark/>
          </w:tcPr>
          <w:p w14:paraId="531ADA9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78.35 (14.45)</w:t>
            </w:r>
          </w:p>
        </w:tc>
        <w:tc>
          <w:tcPr>
            <w:tcW w:w="994" w:type="dxa"/>
            <w:tcBorders>
              <w:top w:val="nil"/>
              <w:left w:val="nil"/>
              <w:bottom w:val="nil"/>
              <w:right w:val="nil"/>
            </w:tcBorders>
            <w:shd w:val="clear" w:color="auto" w:fill="auto"/>
            <w:noWrap/>
            <w:vAlign w:val="bottom"/>
            <w:hideMark/>
          </w:tcPr>
          <w:p w14:paraId="4841EA2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74.58 (12.77)</w:t>
            </w:r>
          </w:p>
        </w:tc>
        <w:tc>
          <w:tcPr>
            <w:tcW w:w="795" w:type="dxa"/>
            <w:tcBorders>
              <w:top w:val="nil"/>
              <w:left w:val="nil"/>
              <w:bottom w:val="nil"/>
              <w:right w:val="single" w:sz="4" w:space="0" w:color="auto"/>
            </w:tcBorders>
            <w:shd w:val="clear" w:color="auto" w:fill="auto"/>
            <w:noWrap/>
            <w:vAlign w:val="bottom"/>
            <w:hideMark/>
          </w:tcPr>
          <w:p w14:paraId="23C13662"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0.00002</w:t>
            </w:r>
          </w:p>
        </w:tc>
        <w:tc>
          <w:tcPr>
            <w:tcW w:w="1812" w:type="dxa"/>
            <w:tcBorders>
              <w:top w:val="nil"/>
              <w:left w:val="nil"/>
              <w:bottom w:val="nil"/>
              <w:right w:val="nil"/>
            </w:tcBorders>
            <w:shd w:val="clear" w:color="auto" w:fill="auto"/>
            <w:noWrap/>
            <w:vAlign w:val="bottom"/>
            <w:hideMark/>
          </w:tcPr>
          <w:p w14:paraId="4650215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75.03 (11.24)</w:t>
            </w:r>
          </w:p>
        </w:tc>
        <w:tc>
          <w:tcPr>
            <w:tcW w:w="994" w:type="dxa"/>
            <w:tcBorders>
              <w:top w:val="nil"/>
              <w:left w:val="nil"/>
              <w:bottom w:val="nil"/>
              <w:right w:val="nil"/>
            </w:tcBorders>
            <w:shd w:val="clear" w:color="auto" w:fill="auto"/>
            <w:noWrap/>
            <w:vAlign w:val="bottom"/>
            <w:hideMark/>
          </w:tcPr>
          <w:p w14:paraId="0B1D163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76.36 (13.35)</w:t>
            </w:r>
          </w:p>
        </w:tc>
        <w:tc>
          <w:tcPr>
            <w:tcW w:w="880" w:type="dxa"/>
            <w:tcBorders>
              <w:top w:val="nil"/>
              <w:left w:val="nil"/>
              <w:bottom w:val="nil"/>
              <w:right w:val="single" w:sz="4" w:space="0" w:color="auto"/>
            </w:tcBorders>
            <w:shd w:val="clear" w:color="auto" w:fill="auto"/>
            <w:noWrap/>
            <w:vAlign w:val="bottom"/>
            <w:hideMark/>
          </w:tcPr>
          <w:p w14:paraId="75E97073"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0.14</w:t>
            </w:r>
          </w:p>
        </w:tc>
      </w:tr>
      <w:tr w:rsidR="006A1EE2" w14:paraId="76FFF60E"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6D5ED423"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Heart rate (bpm): mean (SD)</w:t>
            </w:r>
          </w:p>
        </w:tc>
        <w:tc>
          <w:tcPr>
            <w:tcW w:w="2328" w:type="dxa"/>
            <w:tcBorders>
              <w:top w:val="nil"/>
              <w:left w:val="nil"/>
              <w:bottom w:val="nil"/>
              <w:right w:val="nil"/>
            </w:tcBorders>
            <w:shd w:val="clear" w:color="auto" w:fill="auto"/>
            <w:noWrap/>
            <w:vAlign w:val="bottom"/>
            <w:hideMark/>
          </w:tcPr>
          <w:p w14:paraId="69FD291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79.88 (20.33)</w:t>
            </w:r>
          </w:p>
        </w:tc>
        <w:tc>
          <w:tcPr>
            <w:tcW w:w="994" w:type="dxa"/>
            <w:tcBorders>
              <w:top w:val="nil"/>
              <w:left w:val="nil"/>
              <w:bottom w:val="nil"/>
              <w:right w:val="nil"/>
            </w:tcBorders>
            <w:shd w:val="clear" w:color="auto" w:fill="auto"/>
            <w:noWrap/>
            <w:vAlign w:val="bottom"/>
            <w:hideMark/>
          </w:tcPr>
          <w:p w14:paraId="301D4FD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79.97 (19.19)</w:t>
            </w:r>
          </w:p>
        </w:tc>
        <w:tc>
          <w:tcPr>
            <w:tcW w:w="747" w:type="dxa"/>
            <w:tcBorders>
              <w:top w:val="nil"/>
              <w:left w:val="nil"/>
              <w:bottom w:val="nil"/>
              <w:right w:val="single" w:sz="4" w:space="0" w:color="auto"/>
            </w:tcBorders>
            <w:shd w:val="clear" w:color="auto" w:fill="auto"/>
            <w:noWrap/>
            <w:vAlign w:val="bottom"/>
            <w:hideMark/>
          </w:tcPr>
          <w:p w14:paraId="6F8BA1D8"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0.93</w:t>
            </w:r>
          </w:p>
        </w:tc>
        <w:tc>
          <w:tcPr>
            <w:tcW w:w="1830" w:type="dxa"/>
            <w:gridSpan w:val="2"/>
            <w:tcBorders>
              <w:top w:val="nil"/>
              <w:left w:val="nil"/>
              <w:bottom w:val="nil"/>
              <w:right w:val="nil"/>
            </w:tcBorders>
            <w:shd w:val="clear" w:color="auto" w:fill="auto"/>
            <w:noWrap/>
            <w:vAlign w:val="bottom"/>
            <w:hideMark/>
          </w:tcPr>
          <w:p w14:paraId="5ACCE00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85.3 (22.25)</w:t>
            </w:r>
          </w:p>
        </w:tc>
        <w:tc>
          <w:tcPr>
            <w:tcW w:w="994" w:type="dxa"/>
            <w:tcBorders>
              <w:top w:val="nil"/>
              <w:left w:val="nil"/>
              <w:bottom w:val="nil"/>
              <w:right w:val="nil"/>
            </w:tcBorders>
            <w:shd w:val="clear" w:color="auto" w:fill="auto"/>
            <w:noWrap/>
            <w:vAlign w:val="bottom"/>
            <w:hideMark/>
          </w:tcPr>
          <w:p w14:paraId="00BADFB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78.8 (18.7)</w:t>
            </w:r>
          </w:p>
        </w:tc>
        <w:tc>
          <w:tcPr>
            <w:tcW w:w="795" w:type="dxa"/>
            <w:tcBorders>
              <w:top w:val="nil"/>
              <w:left w:val="nil"/>
              <w:bottom w:val="nil"/>
              <w:right w:val="single" w:sz="4" w:space="0" w:color="auto"/>
            </w:tcBorders>
            <w:shd w:val="clear" w:color="auto" w:fill="auto"/>
            <w:noWrap/>
            <w:vAlign w:val="bottom"/>
            <w:hideMark/>
          </w:tcPr>
          <w:p w14:paraId="1C25E07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&lt;0.00001</w:t>
            </w:r>
          </w:p>
        </w:tc>
        <w:tc>
          <w:tcPr>
            <w:tcW w:w="1812" w:type="dxa"/>
            <w:tcBorders>
              <w:top w:val="nil"/>
              <w:left w:val="nil"/>
              <w:bottom w:val="nil"/>
              <w:right w:val="nil"/>
            </w:tcBorders>
            <w:shd w:val="clear" w:color="auto" w:fill="auto"/>
            <w:noWrap/>
            <w:vAlign w:val="bottom"/>
            <w:hideMark/>
          </w:tcPr>
          <w:p w14:paraId="74207B9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80.66 (18.97)</w:t>
            </w:r>
          </w:p>
        </w:tc>
        <w:tc>
          <w:tcPr>
            <w:tcW w:w="994" w:type="dxa"/>
            <w:tcBorders>
              <w:top w:val="nil"/>
              <w:left w:val="nil"/>
              <w:bottom w:val="nil"/>
              <w:right w:val="nil"/>
            </w:tcBorders>
            <w:shd w:val="clear" w:color="auto" w:fill="auto"/>
            <w:noWrap/>
            <w:vAlign w:val="bottom"/>
            <w:hideMark/>
          </w:tcPr>
          <w:p w14:paraId="1D33013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79.87 (20.29)</w:t>
            </w:r>
          </w:p>
        </w:tc>
        <w:tc>
          <w:tcPr>
            <w:tcW w:w="880" w:type="dxa"/>
            <w:tcBorders>
              <w:top w:val="nil"/>
              <w:left w:val="nil"/>
              <w:bottom w:val="nil"/>
              <w:right w:val="single" w:sz="4" w:space="0" w:color="auto"/>
            </w:tcBorders>
            <w:shd w:val="clear" w:color="auto" w:fill="auto"/>
            <w:noWrap/>
            <w:vAlign w:val="bottom"/>
            <w:hideMark/>
          </w:tcPr>
          <w:p w14:paraId="48C2DF5E"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0.59</w:t>
            </w:r>
          </w:p>
        </w:tc>
      </w:tr>
      <w:tr w:rsidR="006A1EE2" w14:paraId="7E34D2C4"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548F8047"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Smoking (current/ever/never): n</w:t>
            </w:r>
          </w:p>
        </w:tc>
        <w:tc>
          <w:tcPr>
            <w:tcW w:w="2328" w:type="dxa"/>
            <w:tcBorders>
              <w:top w:val="nil"/>
              <w:left w:val="nil"/>
              <w:bottom w:val="nil"/>
              <w:right w:val="nil"/>
            </w:tcBorders>
            <w:shd w:val="clear" w:color="auto" w:fill="auto"/>
            <w:noWrap/>
            <w:vAlign w:val="bottom"/>
            <w:hideMark/>
          </w:tcPr>
          <w:p w14:paraId="2039141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197/256/76</w:t>
            </w:r>
          </w:p>
        </w:tc>
        <w:tc>
          <w:tcPr>
            <w:tcW w:w="994" w:type="dxa"/>
            <w:tcBorders>
              <w:top w:val="nil"/>
              <w:left w:val="nil"/>
              <w:bottom w:val="nil"/>
              <w:right w:val="nil"/>
            </w:tcBorders>
            <w:shd w:val="clear" w:color="auto" w:fill="auto"/>
            <w:noWrap/>
            <w:vAlign w:val="bottom"/>
            <w:hideMark/>
          </w:tcPr>
          <w:p w14:paraId="48C55AB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450/630/193</w:t>
            </w:r>
          </w:p>
        </w:tc>
        <w:tc>
          <w:tcPr>
            <w:tcW w:w="747" w:type="dxa"/>
            <w:tcBorders>
              <w:top w:val="nil"/>
              <w:left w:val="nil"/>
              <w:bottom w:val="nil"/>
              <w:right w:val="single" w:sz="4" w:space="0" w:color="auto"/>
            </w:tcBorders>
            <w:shd w:val="clear" w:color="auto" w:fill="auto"/>
            <w:noWrap/>
            <w:vAlign w:val="bottom"/>
            <w:hideMark/>
          </w:tcPr>
          <w:p w14:paraId="5636624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0.73</w:t>
            </w:r>
          </w:p>
        </w:tc>
        <w:tc>
          <w:tcPr>
            <w:tcW w:w="1830" w:type="dxa"/>
            <w:gridSpan w:val="2"/>
            <w:tcBorders>
              <w:top w:val="nil"/>
              <w:left w:val="nil"/>
              <w:bottom w:val="nil"/>
              <w:right w:val="nil"/>
            </w:tcBorders>
            <w:shd w:val="clear" w:color="auto" w:fill="auto"/>
            <w:noWrap/>
            <w:vAlign w:val="bottom"/>
            <w:hideMark/>
          </w:tcPr>
          <w:p w14:paraId="7F64BC9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101/177/40</w:t>
            </w:r>
          </w:p>
        </w:tc>
        <w:tc>
          <w:tcPr>
            <w:tcW w:w="994" w:type="dxa"/>
            <w:tcBorders>
              <w:top w:val="nil"/>
              <w:left w:val="nil"/>
              <w:bottom w:val="nil"/>
              <w:right w:val="nil"/>
            </w:tcBorders>
            <w:shd w:val="clear" w:color="auto" w:fill="auto"/>
            <w:noWrap/>
            <w:vAlign w:val="bottom"/>
            <w:hideMark/>
          </w:tcPr>
          <w:p w14:paraId="56A3F0A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546/709/229</w:t>
            </w:r>
          </w:p>
        </w:tc>
        <w:tc>
          <w:tcPr>
            <w:tcW w:w="795" w:type="dxa"/>
            <w:tcBorders>
              <w:top w:val="nil"/>
              <w:left w:val="nil"/>
              <w:bottom w:val="nil"/>
              <w:right w:val="single" w:sz="4" w:space="0" w:color="auto"/>
            </w:tcBorders>
            <w:shd w:val="clear" w:color="auto" w:fill="auto"/>
            <w:noWrap/>
            <w:vAlign w:val="bottom"/>
            <w:hideMark/>
          </w:tcPr>
          <w:p w14:paraId="6A5423FC"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0.04</w:t>
            </w:r>
          </w:p>
        </w:tc>
        <w:tc>
          <w:tcPr>
            <w:tcW w:w="1812" w:type="dxa"/>
            <w:tcBorders>
              <w:top w:val="nil"/>
              <w:left w:val="nil"/>
              <w:bottom w:val="nil"/>
              <w:right w:val="nil"/>
            </w:tcBorders>
            <w:shd w:val="clear" w:color="auto" w:fill="auto"/>
            <w:noWrap/>
            <w:vAlign w:val="bottom"/>
            <w:hideMark/>
          </w:tcPr>
          <w:p w14:paraId="38F57B4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63/94/38</w:t>
            </w:r>
          </w:p>
        </w:tc>
        <w:tc>
          <w:tcPr>
            <w:tcW w:w="994" w:type="dxa"/>
            <w:tcBorders>
              <w:top w:val="nil"/>
              <w:left w:val="nil"/>
              <w:bottom w:val="nil"/>
              <w:right w:val="nil"/>
            </w:tcBorders>
            <w:shd w:val="clear" w:color="auto" w:fill="auto"/>
            <w:noWrap/>
            <w:vAlign w:val="bottom"/>
            <w:hideMark/>
          </w:tcPr>
          <w:p w14:paraId="3C87088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450/602/176</w:t>
            </w:r>
          </w:p>
        </w:tc>
        <w:tc>
          <w:tcPr>
            <w:tcW w:w="880" w:type="dxa"/>
            <w:tcBorders>
              <w:top w:val="nil"/>
              <w:left w:val="nil"/>
              <w:bottom w:val="nil"/>
              <w:right w:val="single" w:sz="4" w:space="0" w:color="auto"/>
            </w:tcBorders>
            <w:shd w:val="clear" w:color="auto" w:fill="auto"/>
            <w:noWrap/>
            <w:vAlign w:val="bottom"/>
            <w:hideMark/>
          </w:tcPr>
          <w:p w14:paraId="235E92DC"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0.14</w:t>
            </w:r>
          </w:p>
        </w:tc>
      </w:tr>
      <w:tr w:rsidR="006A1EE2" w14:paraId="2536AA15"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4B86A90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 xml:space="preserve">Alcohol </w:t>
            </w:r>
            <w:proofErr w:type="spellStart"/>
            <w:r>
              <w:rPr>
                <w:rFonts w:ascii="Calibri" w:eastAsia="Times New Roman" w:hAnsi="Calibri"/>
                <w:color w:val="000000"/>
                <w:sz w:val="16"/>
                <w:szCs w:val="16"/>
              </w:rPr>
              <w:t>use</w:t>
            </w:r>
            <w:proofErr w:type="spellEnd"/>
            <w:r>
              <w:rPr>
                <w:rFonts w:ascii="Calibri" w:eastAsia="Times New Roman" w:hAnsi="Calibri"/>
                <w:color w:val="000000"/>
                <w:sz w:val="16"/>
                <w:szCs w:val="16"/>
              </w:rPr>
              <w:t>: n (%)</w:t>
            </w:r>
          </w:p>
        </w:tc>
        <w:tc>
          <w:tcPr>
            <w:tcW w:w="2328" w:type="dxa"/>
            <w:tcBorders>
              <w:top w:val="nil"/>
              <w:left w:val="nil"/>
              <w:bottom w:val="nil"/>
              <w:right w:val="nil"/>
            </w:tcBorders>
            <w:shd w:val="clear" w:color="auto" w:fill="auto"/>
            <w:noWrap/>
            <w:vAlign w:val="bottom"/>
            <w:hideMark/>
          </w:tcPr>
          <w:p w14:paraId="080F6D4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368 (70%)</w:t>
            </w:r>
          </w:p>
        </w:tc>
        <w:tc>
          <w:tcPr>
            <w:tcW w:w="994" w:type="dxa"/>
            <w:tcBorders>
              <w:top w:val="nil"/>
              <w:left w:val="nil"/>
              <w:bottom w:val="nil"/>
              <w:right w:val="nil"/>
            </w:tcBorders>
            <w:shd w:val="clear" w:color="auto" w:fill="auto"/>
            <w:noWrap/>
            <w:vAlign w:val="bottom"/>
            <w:hideMark/>
          </w:tcPr>
          <w:p w14:paraId="52DF05D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909 (71%)</w:t>
            </w:r>
          </w:p>
        </w:tc>
        <w:tc>
          <w:tcPr>
            <w:tcW w:w="747" w:type="dxa"/>
            <w:tcBorders>
              <w:top w:val="nil"/>
              <w:left w:val="nil"/>
              <w:bottom w:val="nil"/>
              <w:right w:val="single" w:sz="4" w:space="0" w:color="auto"/>
            </w:tcBorders>
            <w:shd w:val="clear" w:color="auto" w:fill="auto"/>
            <w:noWrap/>
            <w:vAlign w:val="bottom"/>
            <w:hideMark/>
          </w:tcPr>
          <w:p w14:paraId="50EF0D66"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0.45</w:t>
            </w:r>
          </w:p>
        </w:tc>
        <w:tc>
          <w:tcPr>
            <w:tcW w:w="1830" w:type="dxa"/>
            <w:gridSpan w:val="2"/>
            <w:tcBorders>
              <w:top w:val="nil"/>
              <w:left w:val="nil"/>
              <w:bottom w:val="nil"/>
              <w:right w:val="nil"/>
            </w:tcBorders>
            <w:shd w:val="clear" w:color="auto" w:fill="auto"/>
            <w:noWrap/>
            <w:vAlign w:val="bottom"/>
            <w:hideMark/>
          </w:tcPr>
          <w:p w14:paraId="7DE1E02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203 (64%)</w:t>
            </w:r>
          </w:p>
        </w:tc>
        <w:tc>
          <w:tcPr>
            <w:tcW w:w="994" w:type="dxa"/>
            <w:tcBorders>
              <w:top w:val="nil"/>
              <w:left w:val="nil"/>
              <w:bottom w:val="nil"/>
              <w:right w:val="nil"/>
            </w:tcBorders>
            <w:shd w:val="clear" w:color="auto" w:fill="auto"/>
            <w:noWrap/>
            <w:vAlign w:val="bottom"/>
            <w:hideMark/>
          </w:tcPr>
          <w:p w14:paraId="5D618A7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1074 (72%)</w:t>
            </w:r>
          </w:p>
        </w:tc>
        <w:tc>
          <w:tcPr>
            <w:tcW w:w="795" w:type="dxa"/>
            <w:tcBorders>
              <w:top w:val="nil"/>
              <w:left w:val="nil"/>
              <w:bottom w:val="nil"/>
              <w:right w:val="single" w:sz="4" w:space="0" w:color="auto"/>
            </w:tcBorders>
            <w:shd w:val="clear" w:color="auto" w:fill="auto"/>
            <w:noWrap/>
            <w:vAlign w:val="bottom"/>
            <w:hideMark/>
          </w:tcPr>
          <w:p w14:paraId="020AD88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0.003</w:t>
            </w:r>
          </w:p>
        </w:tc>
        <w:tc>
          <w:tcPr>
            <w:tcW w:w="1812" w:type="dxa"/>
            <w:tcBorders>
              <w:top w:val="nil"/>
              <w:left w:val="nil"/>
              <w:bottom w:val="nil"/>
              <w:right w:val="nil"/>
            </w:tcBorders>
            <w:shd w:val="clear" w:color="auto" w:fill="auto"/>
            <w:noWrap/>
            <w:vAlign w:val="bottom"/>
            <w:hideMark/>
          </w:tcPr>
          <w:p w14:paraId="75212A8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132 (68%)</w:t>
            </w:r>
          </w:p>
        </w:tc>
        <w:tc>
          <w:tcPr>
            <w:tcW w:w="994" w:type="dxa"/>
            <w:tcBorders>
              <w:top w:val="nil"/>
              <w:left w:val="nil"/>
              <w:bottom w:val="nil"/>
              <w:right w:val="nil"/>
            </w:tcBorders>
            <w:shd w:val="clear" w:color="auto" w:fill="auto"/>
            <w:noWrap/>
            <w:vAlign w:val="bottom"/>
            <w:hideMark/>
          </w:tcPr>
          <w:p w14:paraId="1468559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872 (71%)</w:t>
            </w:r>
          </w:p>
        </w:tc>
        <w:tc>
          <w:tcPr>
            <w:tcW w:w="880" w:type="dxa"/>
            <w:tcBorders>
              <w:top w:val="nil"/>
              <w:left w:val="nil"/>
              <w:bottom w:val="nil"/>
              <w:right w:val="single" w:sz="4" w:space="0" w:color="auto"/>
            </w:tcBorders>
            <w:shd w:val="clear" w:color="auto" w:fill="auto"/>
            <w:noWrap/>
            <w:vAlign w:val="bottom"/>
            <w:hideMark/>
          </w:tcPr>
          <w:p w14:paraId="01A800E3"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0.33</w:t>
            </w:r>
          </w:p>
        </w:tc>
      </w:tr>
      <w:tr w:rsidR="006A1EE2" w14:paraId="081BE0A5"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3D27A226"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Ischemic</w:t>
            </w:r>
            <w:proofErr w:type="spellEnd"/>
            <w:r>
              <w:rPr>
                <w:rFonts w:ascii="Calibri" w:eastAsia="Times New Roman" w:hAnsi="Calibri"/>
                <w:color w:val="000000"/>
                <w:sz w:val="16"/>
                <w:szCs w:val="16"/>
              </w:rPr>
              <w:t xml:space="preserve"> HF </w:t>
            </w:r>
            <w:proofErr w:type="spellStart"/>
            <w:r>
              <w:rPr>
                <w:rFonts w:ascii="Calibri" w:eastAsia="Times New Roman" w:hAnsi="Calibri"/>
                <w:color w:val="000000"/>
                <w:sz w:val="16"/>
                <w:szCs w:val="16"/>
              </w:rPr>
              <w:t>etiology</w:t>
            </w:r>
            <w:proofErr w:type="spellEnd"/>
            <w:r>
              <w:rPr>
                <w:rFonts w:ascii="Calibri" w:eastAsia="Times New Roman" w:hAnsi="Calibri"/>
                <w:color w:val="000000"/>
                <w:sz w:val="16"/>
                <w:szCs w:val="16"/>
              </w:rPr>
              <w:t>: n (%)</w:t>
            </w:r>
          </w:p>
        </w:tc>
        <w:tc>
          <w:tcPr>
            <w:tcW w:w="2328" w:type="dxa"/>
            <w:tcBorders>
              <w:top w:val="nil"/>
              <w:left w:val="nil"/>
              <w:bottom w:val="nil"/>
              <w:right w:val="nil"/>
            </w:tcBorders>
            <w:shd w:val="clear" w:color="auto" w:fill="auto"/>
            <w:noWrap/>
            <w:vAlign w:val="bottom"/>
            <w:hideMark/>
          </w:tcPr>
          <w:p w14:paraId="34846BD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261 (49%)</w:t>
            </w:r>
          </w:p>
        </w:tc>
        <w:tc>
          <w:tcPr>
            <w:tcW w:w="994" w:type="dxa"/>
            <w:tcBorders>
              <w:top w:val="nil"/>
              <w:left w:val="nil"/>
              <w:bottom w:val="nil"/>
              <w:right w:val="nil"/>
            </w:tcBorders>
            <w:shd w:val="clear" w:color="auto" w:fill="auto"/>
            <w:noWrap/>
            <w:vAlign w:val="bottom"/>
            <w:hideMark/>
          </w:tcPr>
          <w:p w14:paraId="572961E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563 (44%)</w:t>
            </w:r>
          </w:p>
        </w:tc>
        <w:tc>
          <w:tcPr>
            <w:tcW w:w="747" w:type="dxa"/>
            <w:tcBorders>
              <w:top w:val="nil"/>
              <w:left w:val="nil"/>
              <w:bottom w:val="nil"/>
              <w:right w:val="single" w:sz="4" w:space="0" w:color="auto"/>
            </w:tcBorders>
            <w:shd w:val="clear" w:color="auto" w:fill="auto"/>
            <w:noWrap/>
            <w:vAlign w:val="bottom"/>
            <w:hideMark/>
          </w:tcPr>
          <w:p w14:paraId="699DDC77"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0.05</w:t>
            </w:r>
          </w:p>
        </w:tc>
        <w:tc>
          <w:tcPr>
            <w:tcW w:w="1830" w:type="dxa"/>
            <w:gridSpan w:val="2"/>
            <w:tcBorders>
              <w:top w:val="nil"/>
              <w:left w:val="nil"/>
              <w:bottom w:val="nil"/>
              <w:right w:val="nil"/>
            </w:tcBorders>
            <w:shd w:val="clear" w:color="auto" w:fill="auto"/>
            <w:noWrap/>
            <w:vAlign w:val="bottom"/>
            <w:hideMark/>
          </w:tcPr>
          <w:p w14:paraId="681FC39B"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163 (51%)</w:t>
            </w:r>
          </w:p>
        </w:tc>
        <w:tc>
          <w:tcPr>
            <w:tcW w:w="994" w:type="dxa"/>
            <w:tcBorders>
              <w:top w:val="nil"/>
              <w:left w:val="nil"/>
              <w:bottom w:val="nil"/>
              <w:right w:val="nil"/>
            </w:tcBorders>
            <w:shd w:val="clear" w:color="auto" w:fill="auto"/>
            <w:noWrap/>
            <w:vAlign w:val="bottom"/>
            <w:hideMark/>
          </w:tcPr>
          <w:p w14:paraId="259FED3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661 (45%)</w:t>
            </w:r>
          </w:p>
        </w:tc>
        <w:tc>
          <w:tcPr>
            <w:tcW w:w="795" w:type="dxa"/>
            <w:tcBorders>
              <w:top w:val="nil"/>
              <w:left w:val="nil"/>
              <w:bottom w:val="nil"/>
              <w:right w:val="single" w:sz="4" w:space="0" w:color="auto"/>
            </w:tcBorders>
            <w:shd w:val="clear" w:color="auto" w:fill="auto"/>
            <w:noWrap/>
            <w:vAlign w:val="bottom"/>
            <w:hideMark/>
          </w:tcPr>
          <w:p w14:paraId="035D5EDC"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0.03</w:t>
            </w:r>
          </w:p>
        </w:tc>
        <w:tc>
          <w:tcPr>
            <w:tcW w:w="1812" w:type="dxa"/>
            <w:tcBorders>
              <w:top w:val="nil"/>
              <w:left w:val="nil"/>
              <w:bottom w:val="nil"/>
              <w:right w:val="nil"/>
            </w:tcBorders>
            <w:shd w:val="clear" w:color="auto" w:fill="auto"/>
            <w:noWrap/>
            <w:vAlign w:val="bottom"/>
            <w:hideMark/>
          </w:tcPr>
          <w:p w14:paraId="300CD0A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100 (51%)</w:t>
            </w:r>
          </w:p>
        </w:tc>
        <w:tc>
          <w:tcPr>
            <w:tcW w:w="994" w:type="dxa"/>
            <w:tcBorders>
              <w:top w:val="nil"/>
              <w:left w:val="nil"/>
              <w:bottom w:val="nil"/>
              <w:right w:val="nil"/>
            </w:tcBorders>
            <w:shd w:val="clear" w:color="auto" w:fill="auto"/>
            <w:noWrap/>
            <w:vAlign w:val="bottom"/>
            <w:hideMark/>
          </w:tcPr>
          <w:p w14:paraId="76AD490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584 (48%)</w:t>
            </w:r>
          </w:p>
        </w:tc>
        <w:tc>
          <w:tcPr>
            <w:tcW w:w="880" w:type="dxa"/>
            <w:tcBorders>
              <w:top w:val="nil"/>
              <w:left w:val="nil"/>
              <w:bottom w:val="nil"/>
              <w:right w:val="single" w:sz="4" w:space="0" w:color="auto"/>
            </w:tcBorders>
            <w:shd w:val="clear" w:color="auto" w:fill="auto"/>
            <w:noWrap/>
            <w:vAlign w:val="bottom"/>
            <w:hideMark/>
          </w:tcPr>
          <w:p w14:paraId="70D7210D"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0.33</w:t>
            </w:r>
          </w:p>
        </w:tc>
      </w:tr>
      <w:tr w:rsidR="006A1EE2" w14:paraId="740382A0"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3085C33A"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HF duration (years): median (IQR)</w:t>
            </w:r>
          </w:p>
        </w:tc>
        <w:tc>
          <w:tcPr>
            <w:tcW w:w="2328" w:type="dxa"/>
            <w:tcBorders>
              <w:top w:val="nil"/>
              <w:left w:val="nil"/>
              <w:bottom w:val="nil"/>
              <w:right w:val="nil"/>
            </w:tcBorders>
            <w:shd w:val="clear" w:color="auto" w:fill="auto"/>
            <w:noWrap/>
            <w:vAlign w:val="bottom"/>
            <w:hideMark/>
          </w:tcPr>
          <w:p w14:paraId="169F652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8.81 (4.43-14.09)</w:t>
            </w:r>
          </w:p>
        </w:tc>
        <w:tc>
          <w:tcPr>
            <w:tcW w:w="994" w:type="dxa"/>
            <w:tcBorders>
              <w:top w:val="nil"/>
              <w:left w:val="nil"/>
              <w:bottom w:val="nil"/>
              <w:right w:val="nil"/>
            </w:tcBorders>
            <w:shd w:val="clear" w:color="auto" w:fill="auto"/>
            <w:noWrap/>
            <w:vAlign w:val="bottom"/>
            <w:hideMark/>
          </w:tcPr>
          <w:p w14:paraId="7BF793C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7.59 (3.34-13.2)</w:t>
            </w:r>
          </w:p>
        </w:tc>
        <w:tc>
          <w:tcPr>
            <w:tcW w:w="747" w:type="dxa"/>
            <w:tcBorders>
              <w:top w:val="nil"/>
              <w:left w:val="nil"/>
              <w:bottom w:val="nil"/>
              <w:right w:val="single" w:sz="4" w:space="0" w:color="auto"/>
            </w:tcBorders>
            <w:shd w:val="clear" w:color="auto" w:fill="auto"/>
            <w:noWrap/>
            <w:vAlign w:val="bottom"/>
            <w:hideMark/>
          </w:tcPr>
          <w:p w14:paraId="63EC3B1D"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0.5</w:t>
            </w:r>
          </w:p>
        </w:tc>
        <w:tc>
          <w:tcPr>
            <w:tcW w:w="1830" w:type="dxa"/>
            <w:gridSpan w:val="2"/>
            <w:tcBorders>
              <w:top w:val="nil"/>
              <w:left w:val="nil"/>
              <w:bottom w:val="nil"/>
              <w:right w:val="nil"/>
            </w:tcBorders>
            <w:shd w:val="clear" w:color="auto" w:fill="auto"/>
            <w:noWrap/>
            <w:vAlign w:val="bottom"/>
            <w:hideMark/>
          </w:tcPr>
          <w:p w14:paraId="78A4A5D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8.54 (3.77-17.02)</w:t>
            </w:r>
          </w:p>
        </w:tc>
        <w:tc>
          <w:tcPr>
            <w:tcW w:w="994" w:type="dxa"/>
            <w:tcBorders>
              <w:top w:val="nil"/>
              <w:left w:val="nil"/>
              <w:bottom w:val="nil"/>
              <w:right w:val="nil"/>
            </w:tcBorders>
            <w:shd w:val="clear" w:color="auto" w:fill="auto"/>
            <w:noWrap/>
            <w:vAlign w:val="bottom"/>
            <w:hideMark/>
          </w:tcPr>
          <w:p w14:paraId="5F7C29C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7.64 (3.49-12.72)</w:t>
            </w:r>
          </w:p>
        </w:tc>
        <w:tc>
          <w:tcPr>
            <w:tcW w:w="795" w:type="dxa"/>
            <w:tcBorders>
              <w:top w:val="nil"/>
              <w:left w:val="nil"/>
              <w:bottom w:val="nil"/>
              <w:right w:val="single" w:sz="4" w:space="0" w:color="auto"/>
            </w:tcBorders>
            <w:shd w:val="clear" w:color="auto" w:fill="auto"/>
            <w:noWrap/>
            <w:vAlign w:val="bottom"/>
            <w:hideMark/>
          </w:tcPr>
          <w:p w14:paraId="395BF2D7"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0.39</w:t>
            </w:r>
          </w:p>
        </w:tc>
        <w:tc>
          <w:tcPr>
            <w:tcW w:w="1812" w:type="dxa"/>
            <w:tcBorders>
              <w:top w:val="nil"/>
              <w:left w:val="nil"/>
              <w:bottom w:val="nil"/>
              <w:right w:val="nil"/>
            </w:tcBorders>
            <w:shd w:val="clear" w:color="auto" w:fill="auto"/>
            <w:noWrap/>
            <w:vAlign w:val="bottom"/>
            <w:hideMark/>
          </w:tcPr>
          <w:p w14:paraId="177FEE6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10.52 (5.86-15.42)</w:t>
            </w:r>
          </w:p>
        </w:tc>
        <w:tc>
          <w:tcPr>
            <w:tcW w:w="994" w:type="dxa"/>
            <w:tcBorders>
              <w:top w:val="nil"/>
              <w:left w:val="nil"/>
              <w:bottom w:val="nil"/>
              <w:right w:val="nil"/>
            </w:tcBorders>
            <w:shd w:val="clear" w:color="auto" w:fill="auto"/>
            <w:noWrap/>
            <w:vAlign w:val="bottom"/>
            <w:hideMark/>
          </w:tcPr>
          <w:p w14:paraId="21E8FBF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6.76 (2.89-12.93)</w:t>
            </w:r>
          </w:p>
        </w:tc>
        <w:tc>
          <w:tcPr>
            <w:tcW w:w="880" w:type="dxa"/>
            <w:tcBorders>
              <w:top w:val="nil"/>
              <w:left w:val="nil"/>
              <w:bottom w:val="nil"/>
              <w:right w:val="single" w:sz="4" w:space="0" w:color="auto"/>
            </w:tcBorders>
            <w:shd w:val="clear" w:color="auto" w:fill="auto"/>
            <w:noWrap/>
            <w:vAlign w:val="bottom"/>
            <w:hideMark/>
          </w:tcPr>
          <w:p w14:paraId="021829AD"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0.27</w:t>
            </w:r>
          </w:p>
        </w:tc>
      </w:tr>
      <w:tr w:rsidR="006A1EE2" w14:paraId="17D5EE1E"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45B7177B"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NYHA class III/IV: n (%)</w:t>
            </w:r>
          </w:p>
        </w:tc>
        <w:tc>
          <w:tcPr>
            <w:tcW w:w="2328" w:type="dxa"/>
            <w:tcBorders>
              <w:top w:val="nil"/>
              <w:left w:val="nil"/>
              <w:bottom w:val="nil"/>
              <w:right w:val="nil"/>
            </w:tcBorders>
            <w:shd w:val="clear" w:color="auto" w:fill="auto"/>
            <w:noWrap/>
            <w:vAlign w:val="bottom"/>
            <w:hideMark/>
          </w:tcPr>
          <w:p w14:paraId="1C0CB50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244 (46%)</w:t>
            </w:r>
          </w:p>
        </w:tc>
        <w:tc>
          <w:tcPr>
            <w:tcW w:w="994" w:type="dxa"/>
            <w:tcBorders>
              <w:top w:val="nil"/>
              <w:left w:val="nil"/>
              <w:bottom w:val="nil"/>
              <w:right w:val="nil"/>
            </w:tcBorders>
            <w:shd w:val="clear" w:color="auto" w:fill="auto"/>
            <w:noWrap/>
            <w:vAlign w:val="bottom"/>
            <w:hideMark/>
          </w:tcPr>
          <w:p w14:paraId="2E8ABF1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509 (40%)</w:t>
            </w:r>
          </w:p>
        </w:tc>
        <w:tc>
          <w:tcPr>
            <w:tcW w:w="747" w:type="dxa"/>
            <w:tcBorders>
              <w:top w:val="nil"/>
              <w:left w:val="nil"/>
              <w:bottom w:val="nil"/>
              <w:right w:val="single" w:sz="4" w:space="0" w:color="auto"/>
            </w:tcBorders>
            <w:shd w:val="clear" w:color="auto" w:fill="auto"/>
            <w:noWrap/>
            <w:vAlign w:val="bottom"/>
            <w:hideMark/>
          </w:tcPr>
          <w:p w14:paraId="1BD1A981"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0.02</w:t>
            </w:r>
          </w:p>
        </w:tc>
        <w:tc>
          <w:tcPr>
            <w:tcW w:w="1830" w:type="dxa"/>
            <w:gridSpan w:val="2"/>
            <w:tcBorders>
              <w:top w:val="nil"/>
              <w:left w:val="nil"/>
              <w:bottom w:val="nil"/>
              <w:right w:val="nil"/>
            </w:tcBorders>
            <w:shd w:val="clear" w:color="auto" w:fill="auto"/>
            <w:noWrap/>
            <w:vAlign w:val="bottom"/>
            <w:hideMark/>
          </w:tcPr>
          <w:p w14:paraId="55606CA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134 (42%)</w:t>
            </w:r>
          </w:p>
        </w:tc>
        <w:tc>
          <w:tcPr>
            <w:tcW w:w="994" w:type="dxa"/>
            <w:tcBorders>
              <w:top w:val="nil"/>
              <w:left w:val="nil"/>
              <w:bottom w:val="nil"/>
              <w:right w:val="nil"/>
            </w:tcBorders>
            <w:shd w:val="clear" w:color="auto" w:fill="auto"/>
            <w:noWrap/>
            <w:vAlign w:val="bottom"/>
            <w:hideMark/>
          </w:tcPr>
          <w:p w14:paraId="6F35957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619 (42%)</w:t>
            </w:r>
          </w:p>
        </w:tc>
        <w:tc>
          <w:tcPr>
            <w:tcW w:w="795" w:type="dxa"/>
            <w:tcBorders>
              <w:top w:val="nil"/>
              <w:left w:val="nil"/>
              <w:bottom w:val="nil"/>
              <w:right w:val="single" w:sz="4" w:space="0" w:color="auto"/>
            </w:tcBorders>
            <w:shd w:val="clear" w:color="auto" w:fill="auto"/>
            <w:noWrap/>
            <w:vAlign w:val="bottom"/>
            <w:hideMark/>
          </w:tcPr>
          <w:p w14:paraId="75B2E82A"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0.89</w:t>
            </w:r>
          </w:p>
        </w:tc>
        <w:tc>
          <w:tcPr>
            <w:tcW w:w="1812" w:type="dxa"/>
            <w:tcBorders>
              <w:top w:val="nil"/>
              <w:left w:val="nil"/>
              <w:bottom w:val="nil"/>
              <w:right w:val="nil"/>
            </w:tcBorders>
            <w:shd w:val="clear" w:color="auto" w:fill="auto"/>
            <w:noWrap/>
            <w:vAlign w:val="bottom"/>
            <w:hideMark/>
          </w:tcPr>
          <w:p w14:paraId="6B81847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83 (43%)</w:t>
            </w:r>
          </w:p>
        </w:tc>
        <w:tc>
          <w:tcPr>
            <w:tcW w:w="994" w:type="dxa"/>
            <w:tcBorders>
              <w:top w:val="nil"/>
              <w:left w:val="nil"/>
              <w:bottom w:val="nil"/>
              <w:right w:val="nil"/>
            </w:tcBorders>
            <w:shd w:val="clear" w:color="auto" w:fill="auto"/>
            <w:noWrap/>
            <w:vAlign w:val="bottom"/>
            <w:hideMark/>
          </w:tcPr>
          <w:p w14:paraId="62C4017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566 (46%)</w:t>
            </w:r>
          </w:p>
        </w:tc>
        <w:tc>
          <w:tcPr>
            <w:tcW w:w="880" w:type="dxa"/>
            <w:tcBorders>
              <w:top w:val="nil"/>
              <w:left w:val="nil"/>
              <w:bottom w:val="nil"/>
              <w:right w:val="single" w:sz="4" w:space="0" w:color="auto"/>
            </w:tcBorders>
            <w:shd w:val="clear" w:color="auto" w:fill="auto"/>
            <w:noWrap/>
            <w:vAlign w:val="bottom"/>
            <w:hideMark/>
          </w:tcPr>
          <w:p w14:paraId="14799857"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0.36</w:t>
            </w:r>
          </w:p>
        </w:tc>
      </w:tr>
      <w:tr w:rsidR="006A1EE2" w14:paraId="59EF87A9"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051CA45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 xml:space="preserve">LVEF: </w:t>
            </w:r>
            <w:proofErr w:type="spellStart"/>
            <w:r>
              <w:rPr>
                <w:rFonts w:ascii="Calibri" w:eastAsia="Times New Roman" w:hAnsi="Calibri"/>
                <w:color w:val="000000"/>
                <w:sz w:val="16"/>
                <w:szCs w:val="16"/>
              </w:rPr>
              <w:t>median</w:t>
            </w:r>
            <w:proofErr w:type="spellEnd"/>
            <w:r>
              <w:rPr>
                <w:rFonts w:ascii="Calibri" w:eastAsia="Times New Roman" w:hAnsi="Calibri"/>
                <w:color w:val="000000"/>
                <w:sz w:val="16"/>
                <w:szCs w:val="16"/>
              </w:rPr>
              <w:t xml:space="preserve"> (IQR)</w:t>
            </w:r>
          </w:p>
        </w:tc>
        <w:tc>
          <w:tcPr>
            <w:tcW w:w="2328" w:type="dxa"/>
            <w:tcBorders>
              <w:top w:val="nil"/>
              <w:left w:val="nil"/>
              <w:bottom w:val="nil"/>
              <w:right w:val="nil"/>
            </w:tcBorders>
            <w:shd w:val="clear" w:color="auto" w:fill="auto"/>
            <w:noWrap/>
            <w:vAlign w:val="bottom"/>
            <w:hideMark/>
          </w:tcPr>
          <w:p w14:paraId="36D9038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29 (24-34)</w:t>
            </w:r>
          </w:p>
        </w:tc>
        <w:tc>
          <w:tcPr>
            <w:tcW w:w="994" w:type="dxa"/>
            <w:tcBorders>
              <w:top w:val="nil"/>
              <w:left w:val="nil"/>
              <w:bottom w:val="nil"/>
              <w:right w:val="nil"/>
            </w:tcBorders>
            <w:shd w:val="clear" w:color="auto" w:fill="auto"/>
            <w:noWrap/>
            <w:vAlign w:val="bottom"/>
            <w:hideMark/>
          </w:tcPr>
          <w:p w14:paraId="3E694A2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28 (22-34)</w:t>
            </w:r>
          </w:p>
        </w:tc>
        <w:tc>
          <w:tcPr>
            <w:tcW w:w="747" w:type="dxa"/>
            <w:tcBorders>
              <w:top w:val="nil"/>
              <w:left w:val="nil"/>
              <w:bottom w:val="nil"/>
              <w:right w:val="single" w:sz="4" w:space="0" w:color="auto"/>
            </w:tcBorders>
            <w:shd w:val="clear" w:color="auto" w:fill="auto"/>
            <w:noWrap/>
            <w:vAlign w:val="bottom"/>
            <w:hideMark/>
          </w:tcPr>
          <w:p w14:paraId="684E9A86"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0.0005</w:t>
            </w:r>
          </w:p>
        </w:tc>
        <w:tc>
          <w:tcPr>
            <w:tcW w:w="1830" w:type="dxa"/>
            <w:gridSpan w:val="2"/>
            <w:tcBorders>
              <w:top w:val="nil"/>
              <w:left w:val="nil"/>
              <w:bottom w:val="nil"/>
              <w:right w:val="nil"/>
            </w:tcBorders>
            <w:shd w:val="clear" w:color="auto" w:fill="auto"/>
            <w:noWrap/>
            <w:vAlign w:val="bottom"/>
            <w:hideMark/>
          </w:tcPr>
          <w:p w14:paraId="2A8AF72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29 (24-34)</w:t>
            </w:r>
          </w:p>
        </w:tc>
        <w:tc>
          <w:tcPr>
            <w:tcW w:w="994" w:type="dxa"/>
            <w:tcBorders>
              <w:top w:val="nil"/>
              <w:left w:val="nil"/>
              <w:bottom w:val="nil"/>
              <w:right w:val="nil"/>
            </w:tcBorders>
            <w:shd w:val="clear" w:color="auto" w:fill="auto"/>
            <w:noWrap/>
            <w:vAlign w:val="bottom"/>
            <w:hideMark/>
          </w:tcPr>
          <w:p w14:paraId="303838E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29 (24-34)</w:t>
            </w:r>
          </w:p>
        </w:tc>
        <w:tc>
          <w:tcPr>
            <w:tcW w:w="795" w:type="dxa"/>
            <w:tcBorders>
              <w:top w:val="nil"/>
              <w:left w:val="nil"/>
              <w:bottom w:val="nil"/>
              <w:right w:val="single" w:sz="4" w:space="0" w:color="auto"/>
            </w:tcBorders>
            <w:shd w:val="clear" w:color="auto" w:fill="auto"/>
            <w:noWrap/>
            <w:vAlign w:val="bottom"/>
            <w:hideMark/>
          </w:tcPr>
          <w:p w14:paraId="77ECF147"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0.3</w:t>
            </w:r>
          </w:p>
        </w:tc>
        <w:tc>
          <w:tcPr>
            <w:tcW w:w="1812" w:type="dxa"/>
            <w:tcBorders>
              <w:top w:val="nil"/>
              <w:left w:val="nil"/>
              <w:bottom w:val="nil"/>
              <w:right w:val="nil"/>
            </w:tcBorders>
            <w:shd w:val="clear" w:color="auto" w:fill="auto"/>
            <w:noWrap/>
            <w:vAlign w:val="bottom"/>
            <w:hideMark/>
          </w:tcPr>
          <w:p w14:paraId="57F1236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24 (19-29)</w:t>
            </w:r>
          </w:p>
        </w:tc>
        <w:tc>
          <w:tcPr>
            <w:tcW w:w="994" w:type="dxa"/>
            <w:tcBorders>
              <w:top w:val="nil"/>
              <w:left w:val="nil"/>
              <w:bottom w:val="nil"/>
              <w:right w:val="nil"/>
            </w:tcBorders>
            <w:shd w:val="clear" w:color="auto" w:fill="auto"/>
            <w:noWrap/>
            <w:vAlign w:val="bottom"/>
            <w:hideMark/>
          </w:tcPr>
          <w:p w14:paraId="58E92FD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29 (24-34)</w:t>
            </w:r>
          </w:p>
        </w:tc>
        <w:tc>
          <w:tcPr>
            <w:tcW w:w="880" w:type="dxa"/>
            <w:tcBorders>
              <w:top w:val="nil"/>
              <w:left w:val="nil"/>
              <w:bottom w:val="nil"/>
              <w:right w:val="single" w:sz="4" w:space="0" w:color="auto"/>
            </w:tcBorders>
            <w:shd w:val="clear" w:color="auto" w:fill="auto"/>
            <w:noWrap/>
            <w:vAlign w:val="bottom"/>
            <w:hideMark/>
          </w:tcPr>
          <w:p w14:paraId="04DE29A0"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0.00001</w:t>
            </w:r>
          </w:p>
        </w:tc>
      </w:tr>
      <w:tr w:rsidR="006A1EE2" w14:paraId="1D9EB172"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5534427F"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NT-</w:t>
            </w:r>
            <w:proofErr w:type="spellStart"/>
            <w:r w:rsidRPr="004F4BB2">
              <w:rPr>
                <w:rFonts w:ascii="Calibri" w:eastAsia="Times New Roman" w:hAnsi="Calibri"/>
                <w:color w:val="000000"/>
                <w:sz w:val="16"/>
                <w:szCs w:val="16"/>
                <w:lang w:val="en-US"/>
              </w:rPr>
              <w:t>proBNP</w:t>
            </w:r>
            <w:proofErr w:type="spellEnd"/>
            <w:r w:rsidRPr="004F4BB2">
              <w:rPr>
                <w:rFonts w:ascii="Calibri" w:eastAsia="Times New Roman" w:hAnsi="Calibri"/>
                <w:color w:val="000000"/>
                <w:sz w:val="16"/>
                <w:szCs w:val="16"/>
                <w:lang w:val="en-US"/>
              </w:rPr>
              <w:t>, ng/L: median (IQR)</w:t>
            </w:r>
          </w:p>
        </w:tc>
        <w:tc>
          <w:tcPr>
            <w:tcW w:w="2328" w:type="dxa"/>
            <w:tcBorders>
              <w:top w:val="nil"/>
              <w:left w:val="nil"/>
              <w:bottom w:val="nil"/>
              <w:right w:val="nil"/>
            </w:tcBorders>
            <w:shd w:val="clear" w:color="auto" w:fill="auto"/>
            <w:noWrap/>
            <w:vAlign w:val="bottom"/>
            <w:hideMark/>
          </w:tcPr>
          <w:p w14:paraId="50E7F5C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32109 (29824-34465)</w:t>
            </w:r>
          </w:p>
        </w:tc>
        <w:tc>
          <w:tcPr>
            <w:tcW w:w="994" w:type="dxa"/>
            <w:tcBorders>
              <w:top w:val="nil"/>
              <w:left w:val="nil"/>
              <w:bottom w:val="nil"/>
              <w:right w:val="nil"/>
            </w:tcBorders>
            <w:shd w:val="clear" w:color="auto" w:fill="auto"/>
            <w:noWrap/>
            <w:vAlign w:val="bottom"/>
            <w:hideMark/>
          </w:tcPr>
          <w:p w14:paraId="6DCBAB0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33454 (30868-35940)</w:t>
            </w:r>
          </w:p>
        </w:tc>
        <w:tc>
          <w:tcPr>
            <w:tcW w:w="747" w:type="dxa"/>
            <w:tcBorders>
              <w:top w:val="nil"/>
              <w:left w:val="nil"/>
              <w:bottom w:val="nil"/>
              <w:right w:val="single" w:sz="4" w:space="0" w:color="auto"/>
            </w:tcBorders>
            <w:shd w:val="clear" w:color="auto" w:fill="auto"/>
            <w:noWrap/>
            <w:vAlign w:val="bottom"/>
            <w:hideMark/>
          </w:tcPr>
          <w:p w14:paraId="396C208D"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0.00001</w:t>
            </w:r>
          </w:p>
        </w:tc>
        <w:tc>
          <w:tcPr>
            <w:tcW w:w="1830" w:type="dxa"/>
            <w:gridSpan w:val="2"/>
            <w:tcBorders>
              <w:top w:val="nil"/>
              <w:left w:val="nil"/>
              <w:bottom w:val="nil"/>
              <w:right w:val="nil"/>
            </w:tcBorders>
            <w:shd w:val="clear" w:color="auto" w:fill="auto"/>
            <w:noWrap/>
            <w:vAlign w:val="bottom"/>
            <w:hideMark/>
          </w:tcPr>
          <w:p w14:paraId="04299D5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32593 (30378-35101)</w:t>
            </w:r>
          </w:p>
        </w:tc>
        <w:tc>
          <w:tcPr>
            <w:tcW w:w="994" w:type="dxa"/>
            <w:tcBorders>
              <w:top w:val="nil"/>
              <w:left w:val="nil"/>
              <w:bottom w:val="nil"/>
              <w:right w:val="nil"/>
            </w:tcBorders>
            <w:shd w:val="clear" w:color="auto" w:fill="auto"/>
            <w:noWrap/>
            <w:vAlign w:val="bottom"/>
            <w:hideMark/>
          </w:tcPr>
          <w:p w14:paraId="4B84C29B"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32919 (30630-35676)</w:t>
            </w:r>
          </w:p>
        </w:tc>
        <w:tc>
          <w:tcPr>
            <w:tcW w:w="795" w:type="dxa"/>
            <w:tcBorders>
              <w:top w:val="nil"/>
              <w:left w:val="nil"/>
              <w:bottom w:val="nil"/>
              <w:right w:val="single" w:sz="4" w:space="0" w:color="auto"/>
            </w:tcBorders>
            <w:shd w:val="clear" w:color="auto" w:fill="auto"/>
            <w:noWrap/>
            <w:vAlign w:val="bottom"/>
            <w:hideMark/>
          </w:tcPr>
          <w:p w14:paraId="3F2A8528"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0.19</w:t>
            </w:r>
          </w:p>
        </w:tc>
        <w:tc>
          <w:tcPr>
            <w:tcW w:w="1812" w:type="dxa"/>
            <w:tcBorders>
              <w:top w:val="nil"/>
              <w:left w:val="nil"/>
              <w:bottom w:val="nil"/>
              <w:right w:val="nil"/>
            </w:tcBorders>
            <w:shd w:val="clear" w:color="auto" w:fill="auto"/>
            <w:noWrap/>
            <w:vAlign w:val="bottom"/>
            <w:hideMark/>
          </w:tcPr>
          <w:p w14:paraId="5D4328F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32008 (29504-34411)</w:t>
            </w:r>
          </w:p>
        </w:tc>
        <w:tc>
          <w:tcPr>
            <w:tcW w:w="994" w:type="dxa"/>
            <w:tcBorders>
              <w:top w:val="nil"/>
              <w:left w:val="nil"/>
              <w:bottom w:val="nil"/>
              <w:right w:val="nil"/>
            </w:tcBorders>
            <w:shd w:val="clear" w:color="auto" w:fill="auto"/>
            <w:noWrap/>
            <w:vAlign w:val="bottom"/>
            <w:hideMark/>
          </w:tcPr>
          <w:p w14:paraId="748893D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32704 (30398-35513)</w:t>
            </w:r>
          </w:p>
        </w:tc>
        <w:tc>
          <w:tcPr>
            <w:tcW w:w="880" w:type="dxa"/>
            <w:tcBorders>
              <w:top w:val="nil"/>
              <w:left w:val="nil"/>
              <w:bottom w:val="nil"/>
              <w:right w:val="single" w:sz="4" w:space="0" w:color="auto"/>
            </w:tcBorders>
            <w:shd w:val="clear" w:color="auto" w:fill="auto"/>
            <w:noWrap/>
            <w:vAlign w:val="bottom"/>
            <w:hideMark/>
          </w:tcPr>
          <w:p w14:paraId="369C1A03"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0.03</w:t>
            </w:r>
          </w:p>
        </w:tc>
      </w:tr>
      <w:tr w:rsidR="006A1EE2" w14:paraId="05B7EE71"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6C0A1969"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Oedema</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5A7DB76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228 (43%)</w:t>
            </w:r>
          </w:p>
        </w:tc>
        <w:tc>
          <w:tcPr>
            <w:tcW w:w="994" w:type="dxa"/>
            <w:tcBorders>
              <w:top w:val="nil"/>
              <w:left w:val="nil"/>
              <w:bottom w:val="nil"/>
              <w:right w:val="nil"/>
            </w:tcBorders>
            <w:shd w:val="clear" w:color="auto" w:fill="auto"/>
            <w:noWrap/>
            <w:vAlign w:val="bottom"/>
            <w:hideMark/>
          </w:tcPr>
          <w:p w14:paraId="23F281D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603 (47%)</w:t>
            </w:r>
          </w:p>
        </w:tc>
        <w:tc>
          <w:tcPr>
            <w:tcW w:w="747" w:type="dxa"/>
            <w:tcBorders>
              <w:top w:val="nil"/>
              <w:left w:val="nil"/>
              <w:bottom w:val="nil"/>
              <w:right w:val="single" w:sz="4" w:space="0" w:color="auto"/>
            </w:tcBorders>
            <w:shd w:val="clear" w:color="auto" w:fill="auto"/>
            <w:noWrap/>
            <w:vAlign w:val="bottom"/>
            <w:hideMark/>
          </w:tcPr>
          <w:p w14:paraId="296B627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w:t>
            </w:r>
          </w:p>
        </w:tc>
        <w:tc>
          <w:tcPr>
            <w:tcW w:w="1830" w:type="dxa"/>
            <w:gridSpan w:val="2"/>
            <w:tcBorders>
              <w:top w:val="nil"/>
              <w:left w:val="nil"/>
              <w:bottom w:val="nil"/>
              <w:right w:val="nil"/>
            </w:tcBorders>
            <w:shd w:val="clear" w:color="auto" w:fill="auto"/>
            <w:noWrap/>
            <w:vAlign w:val="bottom"/>
            <w:hideMark/>
          </w:tcPr>
          <w:p w14:paraId="17ACDE1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156 (49%)</w:t>
            </w:r>
          </w:p>
        </w:tc>
        <w:tc>
          <w:tcPr>
            <w:tcW w:w="994" w:type="dxa"/>
            <w:tcBorders>
              <w:top w:val="nil"/>
              <w:left w:val="nil"/>
              <w:bottom w:val="nil"/>
              <w:right w:val="nil"/>
            </w:tcBorders>
            <w:shd w:val="clear" w:color="auto" w:fill="auto"/>
            <w:noWrap/>
            <w:vAlign w:val="bottom"/>
            <w:hideMark/>
          </w:tcPr>
          <w:p w14:paraId="5DD041E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675 (45%)</w:t>
            </w:r>
          </w:p>
        </w:tc>
        <w:tc>
          <w:tcPr>
            <w:tcW w:w="795" w:type="dxa"/>
            <w:tcBorders>
              <w:top w:val="nil"/>
              <w:left w:val="nil"/>
              <w:bottom w:val="nil"/>
              <w:right w:val="single" w:sz="4" w:space="0" w:color="auto"/>
            </w:tcBorders>
            <w:shd w:val="clear" w:color="auto" w:fill="auto"/>
            <w:noWrap/>
            <w:vAlign w:val="bottom"/>
            <w:hideMark/>
          </w:tcPr>
          <w:p w14:paraId="197C8A2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0.25</w:t>
            </w:r>
          </w:p>
        </w:tc>
        <w:tc>
          <w:tcPr>
            <w:tcW w:w="1812" w:type="dxa"/>
            <w:tcBorders>
              <w:top w:val="nil"/>
              <w:left w:val="nil"/>
              <w:bottom w:val="nil"/>
              <w:right w:val="nil"/>
            </w:tcBorders>
            <w:shd w:val="clear" w:color="auto" w:fill="auto"/>
            <w:noWrap/>
            <w:vAlign w:val="bottom"/>
            <w:hideMark/>
          </w:tcPr>
          <w:p w14:paraId="59CC576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86 (44%)</w:t>
            </w:r>
          </w:p>
        </w:tc>
        <w:tc>
          <w:tcPr>
            <w:tcW w:w="994" w:type="dxa"/>
            <w:tcBorders>
              <w:top w:val="nil"/>
              <w:left w:val="nil"/>
              <w:bottom w:val="nil"/>
              <w:right w:val="nil"/>
            </w:tcBorders>
            <w:shd w:val="clear" w:color="auto" w:fill="auto"/>
            <w:noWrap/>
            <w:vAlign w:val="bottom"/>
            <w:hideMark/>
          </w:tcPr>
          <w:p w14:paraId="0F41D97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526 (43%)</w:t>
            </w:r>
          </w:p>
        </w:tc>
        <w:tc>
          <w:tcPr>
            <w:tcW w:w="880" w:type="dxa"/>
            <w:tcBorders>
              <w:top w:val="nil"/>
              <w:left w:val="nil"/>
              <w:bottom w:val="nil"/>
              <w:right w:val="single" w:sz="4" w:space="0" w:color="auto"/>
            </w:tcBorders>
            <w:shd w:val="clear" w:color="auto" w:fill="auto"/>
            <w:noWrap/>
            <w:vAlign w:val="bottom"/>
            <w:hideMark/>
          </w:tcPr>
          <w:p w14:paraId="6C409C4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0.74</w:t>
            </w:r>
          </w:p>
        </w:tc>
      </w:tr>
      <w:tr w:rsidR="006A1EE2" w14:paraId="1119D52E"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7C4323C3"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Orthopnoea</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36BFF15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150 (28%)</w:t>
            </w:r>
          </w:p>
        </w:tc>
        <w:tc>
          <w:tcPr>
            <w:tcW w:w="994" w:type="dxa"/>
            <w:tcBorders>
              <w:top w:val="nil"/>
              <w:left w:val="nil"/>
              <w:bottom w:val="nil"/>
              <w:right w:val="nil"/>
            </w:tcBorders>
            <w:shd w:val="clear" w:color="auto" w:fill="auto"/>
            <w:noWrap/>
            <w:vAlign w:val="bottom"/>
            <w:hideMark/>
          </w:tcPr>
          <w:p w14:paraId="7C99857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431 (34%)</w:t>
            </w:r>
          </w:p>
        </w:tc>
        <w:tc>
          <w:tcPr>
            <w:tcW w:w="747" w:type="dxa"/>
            <w:tcBorders>
              <w:top w:val="nil"/>
              <w:left w:val="nil"/>
              <w:bottom w:val="nil"/>
              <w:right w:val="single" w:sz="4" w:space="0" w:color="auto"/>
            </w:tcBorders>
            <w:shd w:val="clear" w:color="auto" w:fill="auto"/>
            <w:noWrap/>
            <w:vAlign w:val="bottom"/>
            <w:hideMark/>
          </w:tcPr>
          <w:p w14:paraId="28A22CA7"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0.02</w:t>
            </w:r>
          </w:p>
        </w:tc>
        <w:tc>
          <w:tcPr>
            <w:tcW w:w="1830" w:type="dxa"/>
            <w:gridSpan w:val="2"/>
            <w:tcBorders>
              <w:top w:val="nil"/>
              <w:left w:val="nil"/>
              <w:bottom w:val="nil"/>
              <w:right w:val="nil"/>
            </w:tcBorders>
            <w:shd w:val="clear" w:color="auto" w:fill="auto"/>
            <w:noWrap/>
            <w:vAlign w:val="bottom"/>
            <w:hideMark/>
          </w:tcPr>
          <w:p w14:paraId="7097D76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82 (26%)</w:t>
            </w:r>
          </w:p>
        </w:tc>
        <w:tc>
          <w:tcPr>
            <w:tcW w:w="994" w:type="dxa"/>
            <w:tcBorders>
              <w:top w:val="nil"/>
              <w:left w:val="nil"/>
              <w:bottom w:val="nil"/>
              <w:right w:val="nil"/>
            </w:tcBorders>
            <w:shd w:val="clear" w:color="auto" w:fill="auto"/>
            <w:noWrap/>
            <w:vAlign w:val="bottom"/>
            <w:hideMark/>
          </w:tcPr>
          <w:p w14:paraId="0C2FC1B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499 (34%)</w:t>
            </w:r>
          </w:p>
        </w:tc>
        <w:tc>
          <w:tcPr>
            <w:tcW w:w="795" w:type="dxa"/>
            <w:tcBorders>
              <w:top w:val="nil"/>
              <w:left w:val="nil"/>
              <w:bottom w:val="nil"/>
              <w:right w:val="single" w:sz="4" w:space="0" w:color="auto"/>
            </w:tcBorders>
            <w:shd w:val="clear" w:color="auto" w:fill="auto"/>
            <w:noWrap/>
            <w:vAlign w:val="bottom"/>
            <w:hideMark/>
          </w:tcPr>
          <w:p w14:paraId="1F268888"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0.006</w:t>
            </w:r>
          </w:p>
        </w:tc>
        <w:tc>
          <w:tcPr>
            <w:tcW w:w="1812" w:type="dxa"/>
            <w:tcBorders>
              <w:top w:val="nil"/>
              <w:left w:val="nil"/>
              <w:bottom w:val="nil"/>
              <w:right w:val="nil"/>
            </w:tcBorders>
            <w:shd w:val="clear" w:color="auto" w:fill="auto"/>
            <w:noWrap/>
            <w:vAlign w:val="bottom"/>
            <w:hideMark/>
          </w:tcPr>
          <w:p w14:paraId="24508C1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62 (32%)</w:t>
            </w:r>
          </w:p>
        </w:tc>
        <w:tc>
          <w:tcPr>
            <w:tcW w:w="994" w:type="dxa"/>
            <w:tcBorders>
              <w:top w:val="nil"/>
              <w:left w:val="nil"/>
              <w:bottom w:val="nil"/>
              <w:right w:val="nil"/>
            </w:tcBorders>
            <w:shd w:val="clear" w:color="auto" w:fill="auto"/>
            <w:noWrap/>
            <w:vAlign w:val="bottom"/>
            <w:hideMark/>
          </w:tcPr>
          <w:p w14:paraId="411B418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366 (30%)</w:t>
            </w:r>
          </w:p>
        </w:tc>
        <w:tc>
          <w:tcPr>
            <w:tcW w:w="880" w:type="dxa"/>
            <w:tcBorders>
              <w:top w:val="nil"/>
              <w:left w:val="nil"/>
              <w:bottom w:val="nil"/>
              <w:right w:val="single" w:sz="4" w:space="0" w:color="auto"/>
            </w:tcBorders>
            <w:shd w:val="clear" w:color="auto" w:fill="auto"/>
            <w:noWrap/>
            <w:vAlign w:val="bottom"/>
            <w:hideMark/>
          </w:tcPr>
          <w:p w14:paraId="4DAD6C20"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0.58</w:t>
            </w:r>
          </w:p>
        </w:tc>
      </w:tr>
      <w:tr w:rsidR="006A1EE2" w14:paraId="64F02068"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2713F91D"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Rales &gt;1/3 up lung fields, % (n)</w:t>
            </w:r>
          </w:p>
        </w:tc>
        <w:tc>
          <w:tcPr>
            <w:tcW w:w="2328" w:type="dxa"/>
            <w:tcBorders>
              <w:top w:val="nil"/>
              <w:left w:val="nil"/>
              <w:bottom w:val="nil"/>
              <w:right w:val="nil"/>
            </w:tcBorders>
            <w:shd w:val="clear" w:color="auto" w:fill="auto"/>
            <w:noWrap/>
            <w:vAlign w:val="bottom"/>
            <w:hideMark/>
          </w:tcPr>
          <w:p w14:paraId="4448983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44 (19%)</w:t>
            </w:r>
          </w:p>
        </w:tc>
        <w:tc>
          <w:tcPr>
            <w:tcW w:w="994" w:type="dxa"/>
            <w:tcBorders>
              <w:top w:val="nil"/>
              <w:left w:val="nil"/>
              <w:bottom w:val="nil"/>
              <w:right w:val="nil"/>
            </w:tcBorders>
            <w:shd w:val="clear" w:color="auto" w:fill="auto"/>
            <w:noWrap/>
            <w:vAlign w:val="bottom"/>
            <w:hideMark/>
          </w:tcPr>
          <w:p w14:paraId="300539A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125 (19%)</w:t>
            </w:r>
          </w:p>
        </w:tc>
        <w:tc>
          <w:tcPr>
            <w:tcW w:w="747" w:type="dxa"/>
            <w:tcBorders>
              <w:top w:val="nil"/>
              <w:left w:val="nil"/>
              <w:bottom w:val="nil"/>
              <w:right w:val="single" w:sz="4" w:space="0" w:color="auto"/>
            </w:tcBorders>
            <w:shd w:val="clear" w:color="auto" w:fill="auto"/>
            <w:noWrap/>
            <w:vAlign w:val="bottom"/>
            <w:hideMark/>
          </w:tcPr>
          <w:p w14:paraId="53824956"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0.98</w:t>
            </w:r>
          </w:p>
        </w:tc>
        <w:tc>
          <w:tcPr>
            <w:tcW w:w="1830" w:type="dxa"/>
            <w:gridSpan w:val="2"/>
            <w:tcBorders>
              <w:top w:val="nil"/>
              <w:left w:val="nil"/>
              <w:bottom w:val="nil"/>
              <w:right w:val="nil"/>
            </w:tcBorders>
            <w:shd w:val="clear" w:color="auto" w:fill="auto"/>
            <w:noWrap/>
            <w:vAlign w:val="bottom"/>
            <w:hideMark/>
          </w:tcPr>
          <w:p w14:paraId="4844378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17 (12%)</w:t>
            </w:r>
          </w:p>
        </w:tc>
        <w:tc>
          <w:tcPr>
            <w:tcW w:w="994" w:type="dxa"/>
            <w:tcBorders>
              <w:top w:val="nil"/>
              <w:left w:val="nil"/>
              <w:bottom w:val="nil"/>
              <w:right w:val="nil"/>
            </w:tcBorders>
            <w:shd w:val="clear" w:color="auto" w:fill="auto"/>
            <w:noWrap/>
            <w:vAlign w:val="bottom"/>
            <w:hideMark/>
          </w:tcPr>
          <w:p w14:paraId="7C12A38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152 (20%)</w:t>
            </w:r>
          </w:p>
        </w:tc>
        <w:tc>
          <w:tcPr>
            <w:tcW w:w="795" w:type="dxa"/>
            <w:tcBorders>
              <w:top w:val="nil"/>
              <w:left w:val="nil"/>
              <w:bottom w:val="nil"/>
              <w:right w:val="single" w:sz="4" w:space="0" w:color="auto"/>
            </w:tcBorders>
            <w:shd w:val="clear" w:color="auto" w:fill="auto"/>
            <w:noWrap/>
            <w:vAlign w:val="bottom"/>
            <w:hideMark/>
          </w:tcPr>
          <w:p w14:paraId="72189DC7"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0.03</w:t>
            </w:r>
          </w:p>
        </w:tc>
        <w:tc>
          <w:tcPr>
            <w:tcW w:w="1812" w:type="dxa"/>
            <w:tcBorders>
              <w:top w:val="nil"/>
              <w:left w:val="nil"/>
              <w:bottom w:val="nil"/>
              <w:right w:val="nil"/>
            </w:tcBorders>
            <w:shd w:val="clear" w:color="auto" w:fill="auto"/>
            <w:noWrap/>
            <w:vAlign w:val="bottom"/>
            <w:hideMark/>
          </w:tcPr>
          <w:p w14:paraId="3569C16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 (13%)</w:t>
            </w:r>
          </w:p>
        </w:tc>
        <w:tc>
          <w:tcPr>
            <w:tcW w:w="994" w:type="dxa"/>
            <w:tcBorders>
              <w:top w:val="nil"/>
              <w:left w:val="nil"/>
              <w:bottom w:val="nil"/>
              <w:right w:val="nil"/>
            </w:tcBorders>
            <w:shd w:val="clear" w:color="auto" w:fill="auto"/>
            <w:noWrap/>
            <w:vAlign w:val="bottom"/>
            <w:hideMark/>
          </w:tcPr>
          <w:p w14:paraId="352E15E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104 (18%)</w:t>
            </w:r>
          </w:p>
        </w:tc>
        <w:tc>
          <w:tcPr>
            <w:tcW w:w="880" w:type="dxa"/>
            <w:tcBorders>
              <w:top w:val="nil"/>
              <w:left w:val="nil"/>
              <w:bottom w:val="nil"/>
              <w:right w:val="single" w:sz="4" w:space="0" w:color="auto"/>
            </w:tcBorders>
            <w:shd w:val="clear" w:color="auto" w:fill="auto"/>
            <w:noWrap/>
            <w:vAlign w:val="bottom"/>
            <w:hideMark/>
          </w:tcPr>
          <w:p w14:paraId="440A9482"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0.21</w:t>
            </w:r>
          </w:p>
        </w:tc>
      </w:tr>
      <w:tr w:rsidR="006A1EE2" w14:paraId="07E06F9C"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6B18262C"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Jugular</w:t>
            </w:r>
            <w:proofErr w:type="spell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venous</w:t>
            </w:r>
            <w:proofErr w:type="spell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pressure</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187D518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111 (29%)</w:t>
            </w:r>
          </w:p>
        </w:tc>
        <w:tc>
          <w:tcPr>
            <w:tcW w:w="994" w:type="dxa"/>
            <w:tcBorders>
              <w:top w:val="nil"/>
              <w:left w:val="nil"/>
              <w:bottom w:val="nil"/>
              <w:right w:val="nil"/>
            </w:tcBorders>
            <w:shd w:val="clear" w:color="auto" w:fill="auto"/>
            <w:noWrap/>
            <w:vAlign w:val="bottom"/>
            <w:hideMark/>
          </w:tcPr>
          <w:p w14:paraId="1AACB4E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281 (31%)</w:t>
            </w:r>
          </w:p>
        </w:tc>
        <w:tc>
          <w:tcPr>
            <w:tcW w:w="747" w:type="dxa"/>
            <w:tcBorders>
              <w:top w:val="nil"/>
              <w:left w:val="nil"/>
              <w:bottom w:val="nil"/>
              <w:right w:val="single" w:sz="4" w:space="0" w:color="auto"/>
            </w:tcBorders>
            <w:shd w:val="clear" w:color="auto" w:fill="auto"/>
            <w:noWrap/>
            <w:vAlign w:val="bottom"/>
            <w:hideMark/>
          </w:tcPr>
          <w:p w14:paraId="6EA3EE9B"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0.45</w:t>
            </w:r>
          </w:p>
        </w:tc>
        <w:tc>
          <w:tcPr>
            <w:tcW w:w="1830" w:type="dxa"/>
            <w:gridSpan w:val="2"/>
            <w:tcBorders>
              <w:top w:val="nil"/>
              <w:left w:val="nil"/>
              <w:bottom w:val="nil"/>
              <w:right w:val="nil"/>
            </w:tcBorders>
            <w:shd w:val="clear" w:color="auto" w:fill="auto"/>
            <w:noWrap/>
            <w:vAlign w:val="bottom"/>
            <w:hideMark/>
          </w:tcPr>
          <w:p w14:paraId="2205AC7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63 (28%)</w:t>
            </w:r>
          </w:p>
        </w:tc>
        <w:tc>
          <w:tcPr>
            <w:tcW w:w="994" w:type="dxa"/>
            <w:tcBorders>
              <w:top w:val="nil"/>
              <w:left w:val="nil"/>
              <w:bottom w:val="nil"/>
              <w:right w:val="nil"/>
            </w:tcBorders>
            <w:shd w:val="clear" w:color="auto" w:fill="auto"/>
            <w:noWrap/>
            <w:vAlign w:val="bottom"/>
            <w:hideMark/>
          </w:tcPr>
          <w:p w14:paraId="4EB62A5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329 (31%)</w:t>
            </w:r>
          </w:p>
        </w:tc>
        <w:tc>
          <w:tcPr>
            <w:tcW w:w="795" w:type="dxa"/>
            <w:tcBorders>
              <w:top w:val="nil"/>
              <w:left w:val="nil"/>
              <w:bottom w:val="nil"/>
              <w:right w:val="single" w:sz="4" w:space="0" w:color="auto"/>
            </w:tcBorders>
            <w:shd w:val="clear" w:color="auto" w:fill="auto"/>
            <w:noWrap/>
            <w:vAlign w:val="bottom"/>
            <w:hideMark/>
          </w:tcPr>
          <w:p w14:paraId="3D826481"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0.37</w:t>
            </w:r>
          </w:p>
        </w:tc>
        <w:tc>
          <w:tcPr>
            <w:tcW w:w="1812" w:type="dxa"/>
            <w:tcBorders>
              <w:top w:val="nil"/>
              <w:left w:val="nil"/>
              <w:bottom w:val="nil"/>
              <w:right w:val="nil"/>
            </w:tcBorders>
            <w:shd w:val="clear" w:color="auto" w:fill="auto"/>
            <w:noWrap/>
            <w:vAlign w:val="bottom"/>
            <w:hideMark/>
          </w:tcPr>
          <w:p w14:paraId="4E56851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43 (30%)</w:t>
            </w:r>
          </w:p>
        </w:tc>
        <w:tc>
          <w:tcPr>
            <w:tcW w:w="994" w:type="dxa"/>
            <w:tcBorders>
              <w:top w:val="nil"/>
              <w:left w:val="nil"/>
              <w:bottom w:val="nil"/>
              <w:right w:val="nil"/>
            </w:tcBorders>
            <w:shd w:val="clear" w:color="auto" w:fill="auto"/>
            <w:noWrap/>
            <w:vAlign w:val="bottom"/>
            <w:hideMark/>
          </w:tcPr>
          <w:p w14:paraId="683D00E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240 (27%)</w:t>
            </w:r>
          </w:p>
        </w:tc>
        <w:tc>
          <w:tcPr>
            <w:tcW w:w="880" w:type="dxa"/>
            <w:tcBorders>
              <w:top w:val="nil"/>
              <w:left w:val="nil"/>
              <w:bottom w:val="nil"/>
              <w:right w:val="single" w:sz="4" w:space="0" w:color="auto"/>
            </w:tcBorders>
            <w:shd w:val="clear" w:color="auto" w:fill="auto"/>
            <w:noWrap/>
            <w:vAlign w:val="bottom"/>
            <w:hideMark/>
          </w:tcPr>
          <w:p w14:paraId="07594CB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0.43</w:t>
            </w:r>
          </w:p>
        </w:tc>
      </w:tr>
      <w:tr w:rsidR="006A1EE2" w14:paraId="0E189520"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48265B75"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Hepatomegaly</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028F82A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60 (11%)</w:t>
            </w:r>
          </w:p>
        </w:tc>
        <w:tc>
          <w:tcPr>
            <w:tcW w:w="994" w:type="dxa"/>
            <w:tcBorders>
              <w:top w:val="nil"/>
              <w:left w:val="nil"/>
              <w:bottom w:val="nil"/>
              <w:right w:val="nil"/>
            </w:tcBorders>
            <w:shd w:val="clear" w:color="auto" w:fill="auto"/>
            <w:noWrap/>
            <w:vAlign w:val="bottom"/>
            <w:hideMark/>
          </w:tcPr>
          <w:p w14:paraId="569410C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184 (14%)</w:t>
            </w:r>
          </w:p>
        </w:tc>
        <w:tc>
          <w:tcPr>
            <w:tcW w:w="747" w:type="dxa"/>
            <w:tcBorders>
              <w:top w:val="nil"/>
              <w:left w:val="nil"/>
              <w:bottom w:val="nil"/>
              <w:right w:val="single" w:sz="4" w:space="0" w:color="auto"/>
            </w:tcBorders>
            <w:shd w:val="clear" w:color="auto" w:fill="auto"/>
            <w:noWrap/>
            <w:vAlign w:val="bottom"/>
            <w:hideMark/>
          </w:tcPr>
          <w:p w14:paraId="09540FB7"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0.07</w:t>
            </w:r>
          </w:p>
        </w:tc>
        <w:tc>
          <w:tcPr>
            <w:tcW w:w="1830" w:type="dxa"/>
            <w:gridSpan w:val="2"/>
            <w:tcBorders>
              <w:top w:val="nil"/>
              <w:left w:val="nil"/>
              <w:bottom w:val="nil"/>
              <w:right w:val="nil"/>
            </w:tcBorders>
            <w:shd w:val="clear" w:color="auto" w:fill="auto"/>
            <w:noWrap/>
            <w:vAlign w:val="bottom"/>
            <w:hideMark/>
          </w:tcPr>
          <w:p w14:paraId="78EBA82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39 (12%)</w:t>
            </w:r>
          </w:p>
        </w:tc>
        <w:tc>
          <w:tcPr>
            <w:tcW w:w="994" w:type="dxa"/>
            <w:tcBorders>
              <w:top w:val="nil"/>
              <w:left w:val="nil"/>
              <w:bottom w:val="nil"/>
              <w:right w:val="nil"/>
            </w:tcBorders>
            <w:shd w:val="clear" w:color="auto" w:fill="auto"/>
            <w:noWrap/>
            <w:vAlign w:val="bottom"/>
            <w:hideMark/>
          </w:tcPr>
          <w:p w14:paraId="039F0E1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205 (14%)</w:t>
            </w:r>
          </w:p>
        </w:tc>
        <w:tc>
          <w:tcPr>
            <w:tcW w:w="795" w:type="dxa"/>
            <w:tcBorders>
              <w:top w:val="nil"/>
              <w:left w:val="nil"/>
              <w:bottom w:val="nil"/>
              <w:right w:val="single" w:sz="4" w:space="0" w:color="auto"/>
            </w:tcBorders>
            <w:shd w:val="clear" w:color="auto" w:fill="auto"/>
            <w:noWrap/>
            <w:vAlign w:val="bottom"/>
            <w:hideMark/>
          </w:tcPr>
          <w:p w14:paraId="07EBDF60"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0.45</w:t>
            </w:r>
          </w:p>
        </w:tc>
        <w:tc>
          <w:tcPr>
            <w:tcW w:w="1812" w:type="dxa"/>
            <w:tcBorders>
              <w:top w:val="nil"/>
              <w:left w:val="nil"/>
              <w:bottom w:val="nil"/>
              <w:right w:val="nil"/>
            </w:tcBorders>
            <w:shd w:val="clear" w:color="auto" w:fill="auto"/>
            <w:noWrap/>
            <w:vAlign w:val="bottom"/>
            <w:hideMark/>
          </w:tcPr>
          <w:p w14:paraId="7EE50BA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39 (20%)</w:t>
            </w:r>
          </w:p>
        </w:tc>
        <w:tc>
          <w:tcPr>
            <w:tcW w:w="994" w:type="dxa"/>
            <w:tcBorders>
              <w:top w:val="nil"/>
              <w:left w:val="nil"/>
              <w:bottom w:val="nil"/>
              <w:right w:val="nil"/>
            </w:tcBorders>
            <w:shd w:val="clear" w:color="auto" w:fill="auto"/>
            <w:noWrap/>
            <w:vAlign w:val="bottom"/>
            <w:hideMark/>
          </w:tcPr>
          <w:p w14:paraId="33FC5B0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125 (10%)</w:t>
            </w:r>
          </w:p>
        </w:tc>
        <w:tc>
          <w:tcPr>
            <w:tcW w:w="880" w:type="dxa"/>
            <w:tcBorders>
              <w:top w:val="nil"/>
              <w:left w:val="nil"/>
              <w:bottom w:val="nil"/>
              <w:right w:val="single" w:sz="4" w:space="0" w:color="auto"/>
            </w:tcBorders>
            <w:shd w:val="clear" w:color="auto" w:fill="auto"/>
            <w:noWrap/>
            <w:vAlign w:val="bottom"/>
            <w:hideMark/>
          </w:tcPr>
          <w:p w14:paraId="733D349E"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0.00007</w:t>
            </w:r>
          </w:p>
        </w:tc>
      </w:tr>
      <w:tr w:rsidR="006A1EE2" w14:paraId="1055C9E4"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601DACB0"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Hypertension</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6D76C16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349 (66%)</w:t>
            </w:r>
          </w:p>
        </w:tc>
        <w:tc>
          <w:tcPr>
            <w:tcW w:w="994" w:type="dxa"/>
            <w:tcBorders>
              <w:top w:val="nil"/>
              <w:left w:val="nil"/>
              <w:bottom w:val="nil"/>
              <w:right w:val="nil"/>
            </w:tcBorders>
            <w:shd w:val="clear" w:color="auto" w:fill="auto"/>
            <w:noWrap/>
            <w:vAlign w:val="bottom"/>
            <w:hideMark/>
          </w:tcPr>
          <w:p w14:paraId="7FE5F0E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731 (57%)</w:t>
            </w:r>
          </w:p>
        </w:tc>
        <w:tc>
          <w:tcPr>
            <w:tcW w:w="747" w:type="dxa"/>
            <w:tcBorders>
              <w:top w:val="nil"/>
              <w:left w:val="nil"/>
              <w:bottom w:val="nil"/>
              <w:right w:val="single" w:sz="4" w:space="0" w:color="auto"/>
            </w:tcBorders>
            <w:shd w:val="clear" w:color="auto" w:fill="auto"/>
            <w:noWrap/>
            <w:vAlign w:val="bottom"/>
            <w:hideMark/>
          </w:tcPr>
          <w:p w14:paraId="33584E40"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0.0007</w:t>
            </w:r>
          </w:p>
        </w:tc>
        <w:tc>
          <w:tcPr>
            <w:tcW w:w="1830" w:type="dxa"/>
            <w:gridSpan w:val="2"/>
            <w:tcBorders>
              <w:top w:val="nil"/>
              <w:left w:val="nil"/>
              <w:bottom w:val="nil"/>
              <w:right w:val="nil"/>
            </w:tcBorders>
            <w:shd w:val="clear" w:color="auto" w:fill="auto"/>
            <w:noWrap/>
            <w:vAlign w:val="bottom"/>
            <w:hideMark/>
          </w:tcPr>
          <w:p w14:paraId="5DBEAFD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195 (61%)</w:t>
            </w:r>
          </w:p>
        </w:tc>
        <w:tc>
          <w:tcPr>
            <w:tcW w:w="994" w:type="dxa"/>
            <w:tcBorders>
              <w:top w:val="nil"/>
              <w:left w:val="nil"/>
              <w:bottom w:val="nil"/>
              <w:right w:val="nil"/>
            </w:tcBorders>
            <w:shd w:val="clear" w:color="auto" w:fill="auto"/>
            <w:noWrap/>
            <w:vAlign w:val="bottom"/>
            <w:hideMark/>
          </w:tcPr>
          <w:p w14:paraId="776D771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885 (60%)</w:t>
            </w:r>
          </w:p>
        </w:tc>
        <w:tc>
          <w:tcPr>
            <w:tcW w:w="795" w:type="dxa"/>
            <w:tcBorders>
              <w:top w:val="nil"/>
              <w:left w:val="nil"/>
              <w:bottom w:val="nil"/>
              <w:right w:val="single" w:sz="4" w:space="0" w:color="auto"/>
            </w:tcBorders>
            <w:shd w:val="clear" w:color="auto" w:fill="auto"/>
            <w:noWrap/>
            <w:vAlign w:val="bottom"/>
            <w:hideMark/>
          </w:tcPr>
          <w:p w14:paraId="3D7F9ED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0.58</w:t>
            </w:r>
          </w:p>
        </w:tc>
        <w:tc>
          <w:tcPr>
            <w:tcW w:w="1812" w:type="dxa"/>
            <w:tcBorders>
              <w:top w:val="nil"/>
              <w:left w:val="nil"/>
              <w:bottom w:val="nil"/>
              <w:right w:val="nil"/>
            </w:tcBorders>
            <w:shd w:val="clear" w:color="auto" w:fill="auto"/>
            <w:noWrap/>
            <w:vAlign w:val="bottom"/>
            <w:hideMark/>
          </w:tcPr>
          <w:p w14:paraId="63FCF84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107 (55%)</w:t>
            </w:r>
          </w:p>
        </w:tc>
        <w:tc>
          <w:tcPr>
            <w:tcW w:w="994" w:type="dxa"/>
            <w:tcBorders>
              <w:top w:val="nil"/>
              <w:left w:val="nil"/>
              <w:bottom w:val="nil"/>
              <w:right w:val="nil"/>
            </w:tcBorders>
            <w:shd w:val="clear" w:color="auto" w:fill="auto"/>
            <w:noWrap/>
            <w:vAlign w:val="bottom"/>
            <w:hideMark/>
          </w:tcPr>
          <w:p w14:paraId="7ACD2CF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750 (61%)</w:t>
            </w:r>
          </w:p>
        </w:tc>
        <w:tc>
          <w:tcPr>
            <w:tcW w:w="880" w:type="dxa"/>
            <w:tcBorders>
              <w:top w:val="nil"/>
              <w:left w:val="nil"/>
              <w:bottom w:val="nil"/>
              <w:right w:val="single" w:sz="4" w:space="0" w:color="auto"/>
            </w:tcBorders>
            <w:shd w:val="clear" w:color="auto" w:fill="auto"/>
            <w:noWrap/>
            <w:vAlign w:val="bottom"/>
            <w:hideMark/>
          </w:tcPr>
          <w:p w14:paraId="2C428E31"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w:t>
            </w:r>
          </w:p>
        </w:tc>
      </w:tr>
      <w:tr w:rsidR="006A1EE2" w14:paraId="6736A192"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462EEC5F"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Atrial</w:t>
            </w:r>
            <w:proofErr w:type="spell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fibrillation</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112EC95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209 (40%)</w:t>
            </w:r>
          </w:p>
        </w:tc>
        <w:tc>
          <w:tcPr>
            <w:tcW w:w="994" w:type="dxa"/>
            <w:tcBorders>
              <w:top w:val="nil"/>
              <w:left w:val="nil"/>
              <w:bottom w:val="nil"/>
              <w:right w:val="nil"/>
            </w:tcBorders>
            <w:shd w:val="clear" w:color="auto" w:fill="auto"/>
            <w:noWrap/>
            <w:vAlign w:val="bottom"/>
            <w:hideMark/>
          </w:tcPr>
          <w:p w14:paraId="4AEFA7E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564 (44%)</w:t>
            </w:r>
          </w:p>
        </w:tc>
        <w:tc>
          <w:tcPr>
            <w:tcW w:w="747" w:type="dxa"/>
            <w:tcBorders>
              <w:top w:val="nil"/>
              <w:left w:val="nil"/>
              <w:bottom w:val="nil"/>
              <w:right w:val="single" w:sz="4" w:space="0" w:color="auto"/>
            </w:tcBorders>
            <w:shd w:val="clear" w:color="auto" w:fill="auto"/>
            <w:noWrap/>
            <w:vAlign w:val="bottom"/>
            <w:hideMark/>
          </w:tcPr>
          <w:p w14:paraId="670884A8"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0.06</w:t>
            </w:r>
          </w:p>
        </w:tc>
        <w:tc>
          <w:tcPr>
            <w:tcW w:w="1830" w:type="dxa"/>
            <w:gridSpan w:val="2"/>
            <w:tcBorders>
              <w:top w:val="nil"/>
              <w:left w:val="nil"/>
              <w:bottom w:val="nil"/>
              <w:right w:val="nil"/>
            </w:tcBorders>
            <w:shd w:val="clear" w:color="auto" w:fill="auto"/>
            <w:noWrap/>
            <w:vAlign w:val="bottom"/>
            <w:hideMark/>
          </w:tcPr>
          <w:p w14:paraId="4CD60F0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163 (51%)</w:t>
            </w:r>
          </w:p>
        </w:tc>
        <w:tc>
          <w:tcPr>
            <w:tcW w:w="994" w:type="dxa"/>
            <w:tcBorders>
              <w:top w:val="nil"/>
              <w:left w:val="nil"/>
              <w:bottom w:val="nil"/>
              <w:right w:val="nil"/>
            </w:tcBorders>
            <w:shd w:val="clear" w:color="auto" w:fill="auto"/>
            <w:noWrap/>
            <w:vAlign w:val="bottom"/>
            <w:hideMark/>
          </w:tcPr>
          <w:p w14:paraId="4B0B4BE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610 (41%)</w:t>
            </w:r>
          </w:p>
        </w:tc>
        <w:tc>
          <w:tcPr>
            <w:tcW w:w="795" w:type="dxa"/>
            <w:tcBorders>
              <w:top w:val="nil"/>
              <w:left w:val="nil"/>
              <w:bottom w:val="nil"/>
              <w:right w:val="single" w:sz="4" w:space="0" w:color="auto"/>
            </w:tcBorders>
            <w:shd w:val="clear" w:color="auto" w:fill="auto"/>
            <w:noWrap/>
            <w:vAlign w:val="bottom"/>
            <w:hideMark/>
          </w:tcPr>
          <w:p w14:paraId="0B6B6D8E"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0.0009</w:t>
            </w:r>
          </w:p>
        </w:tc>
        <w:tc>
          <w:tcPr>
            <w:tcW w:w="1812" w:type="dxa"/>
            <w:tcBorders>
              <w:top w:val="nil"/>
              <w:left w:val="nil"/>
              <w:bottom w:val="nil"/>
              <w:right w:val="nil"/>
            </w:tcBorders>
            <w:shd w:val="clear" w:color="auto" w:fill="auto"/>
            <w:noWrap/>
            <w:vAlign w:val="bottom"/>
            <w:hideMark/>
          </w:tcPr>
          <w:p w14:paraId="3356A08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80 (41%)</w:t>
            </w:r>
          </w:p>
        </w:tc>
        <w:tc>
          <w:tcPr>
            <w:tcW w:w="994" w:type="dxa"/>
            <w:tcBorders>
              <w:top w:val="nil"/>
              <w:left w:val="nil"/>
              <w:bottom w:val="nil"/>
              <w:right w:val="nil"/>
            </w:tcBorders>
            <w:shd w:val="clear" w:color="auto" w:fill="auto"/>
            <w:noWrap/>
            <w:vAlign w:val="bottom"/>
            <w:hideMark/>
          </w:tcPr>
          <w:p w14:paraId="1D58260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518 (42%)</w:t>
            </w:r>
          </w:p>
        </w:tc>
        <w:tc>
          <w:tcPr>
            <w:tcW w:w="880" w:type="dxa"/>
            <w:tcBorders>
              <w:top w:val="nil"/>
              <w:left w:val="nil"/>
              <w:bottom w:val="nil"/>
              <w:right w:val="single" w:sz="4" w:space="0" w:color="auto"/>
            </w:tcBorders>
            <w:shd w:val="clear" w:color="auto" w:fill="auto"/>
            <w:noWrap/>
            <w:vAlign w:val="bottom"/>
            <w:hideMark/>
          </w:tcPr>
          <w:p w14:paraId="59B74749"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0.76</w:t>
            </w:r>
          </w:p>
        </w:tc>
      </w:tr>
      <w:tr w:rsidR="006A1EE2" w14:paraId="312CE43C"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35E14704"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Myocardial</w:t>
            </w:r>
            <w:proofErr w:type="spell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infarction</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1E6E2A4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188 (36%)</w:t>
            </w:r>
          </w:p>
        </w:tc>
        <w:tc>
          <w:tcPr>
            <w:tcW w:w="994" w:type="dxa"/>
            <w:tcBorders>
              <w:top w:val="nil"/>
              <w:left w:val="nil"/>
              <w:bottom w:val="nil"/>
              <w:right w:val="nil"/>
            </w:tcBorders>
            <w:shd w:val="clear" w:color="auto" w:fill="auto"/>
            <w:noWrap/>
            <w:vAlign w:val="bottom"/>
            <w:hideMark/>
          </w:tcPr>
          <w:p w14:paraId="0359177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491 (39%)</w:t>
            </w:r>
          </w:p>
        </w:tc>
        <w:tc>
          <w:tcPr>
            <w:tcW w:w="747" w:type="dxa"/>
            <w:tcBorders>
              <w:top w:val="nil"/>
              <w:left w:val="nil"/>
              <w:bottom w:val="nil"/>
              <w:right w:val="single" w:sz="4" w:space="0" w:color="auto"/>
            </w:tcBorders>
            <w:shd w:val="clear" w:color="auto" w:fill="auto"/>
            <w:noWrap/>
            <w:vAlign w:val="bottom"/>
            <w:hideMark/>
          </w:tcPr>
          <w:p w14:paraId="0BE563F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0.23</w:t>
            </w:r>
          </w:p>
        </w:tc>
        <w:tc>
          <w:tcPr>
            <w:tcW w:w="1830" w:type="dxa"/>
            <w:gridSpan w:val="2"/>
            <w:tcBorders>
              <w:top w:val="nil"/>
              <w:left w:val="nil"/>
              <w:bottom w:val="nil"/>
              <w:right w:val="nil"/>
            </w:tcBorders>
            <w:shd w:val="clear" w:color="auto" w:fill="auto"/>
            <w:noWrap/>
            <w:vAlign w:val="bottom"/>
            <w:hideMark/>
          </w:tcPr>
          <w:p w14:paraId="7A3864E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113 (36%)</w:t>
            </w:r>
          </w:p>
        </w:tc>
        <w:tc>
          <w:tcPr>
            <w:tcW w:w="994" w:type="dxa"/>
            <w:tcBorders>
              <w:top w:val="nil"/>
              <w:left w:val="nil"/>
              <w:bottom w:val="nil"/>
              <w:right w:val="nil"/>
            </w:tcBorders>
            <w:shd w:val="clear" w:color="auto" w:fill="auto"/>
            <w:noWrap/>
            <w:vAlign w:val="bottom"/>
            <w:hideMark/>
          </w:tcPr>
          <w:p w14:paraId="6084B76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566 (38%)</w:t>
            </w:r>
          </w:p>
        </w:tc>
        <w:tc>
          <w:tcPr>
            <w:tcW w:w="795" w:type="dxa"/>
            <w:tcBorders>
              <w:top w:val="nil"/>
              <w:left w:val="nil"/>
              <w:bottom w:val="nil"/>
              <w:right w:val="single" w:sz="4" w:space="0" w:color="auto"/>
            </w:tcBorders>
            <w:shd w:val="clear" w:color="auto" w:fill="auto"/>
            <w:noWrap/>
            <w:vAlign w:val="bottom"/>
            <w:hideMark/>
          </w:tcPr>
          <w:p w14:paraId="5E7CEC6B"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0.38</w:t>
            </w:r>
          </w:p>
        </w:tc>
        <w:tc>
          <w:tcPr>
            <w:tcW w:w="1812" w:type="dxa"/>
            <w:tcBorders>
              <w:top w:val="nil"/>
              <w:left w:val="nil"/>
              <w:bottom w:val="nil"/>
              <w:right w:val="nil"/>
            </w:tcBorders>
            <w:shd w:val="clear" w:color="auto" w:fill="auto"/>
            <w:noWrap/>
            <w:vAlign w:val="bottom"/>
            <w:hideMark/>
          </w:tcPr>
          <w:p w14:paraId="7986A45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61 (31%)</w:t>
            </w:r>
          </w:p>
        </w:tc>
        <w:tc>
          <w:tcPr>
            <w:tcW w:w="994" w:type="dxa"/>
            <w:tcBorders>
              <w:top w:val="nil"/>
              <w:left w:val="nil"/>
              <w:bottom w:val="nil"/>
              <w:right w:val="nil"/>
            </w:tcBorders>
            <w:shd w:val="clear" w:color="auto" w:fill="auto"/>
            <w:noWrap/>
            <w:vAlign w:val="bottom"/>
            <w:hideMark/>
          </w:tcPr>
          <w:p w14:paraId="3D5B141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441 (36%)</w:t>
            </w:r>
          </w:p>
        </w:tc>
        <w:tc>
          <w:tcPr>
            <w:tcW w:w="880" w:type="dxa"/>
            <w:tcBorders>
              <w:top w:val="nil"/>
              <w:left w:val="nil"/>
              <w:bottom w:val="nil"/>
              <w:right w:val="single" w:sz="4" w:space="0" w:color="auto"/>
            </w:tcBorders>
            <w:shd w:val="clear" w:color="auto" w:fill="auto"/>
            <w:noWrap/>
            <w:vAlign w:val="bottom"/>
            <w:hideMark/>
          </w:tcPr>
          <w:p w14:paraId="6A1E8DA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0.21</w:t>
            </w:r>
          </w:p>
        </w:tc>
      </w:tr>
      <w:tr w:rsidR="006A1EE2" w14:paraId="3F517090"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223C9DD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lastRenderedPageBreak/>
              <w:t>PCI, % (n)</w:t>
            </w:r>
          </w:p>
        </w:tc>
        <w:tc>
          <w:tcPr>
            <w:tcW w:w="2328" w:type="dxa"/>
            <w:tcBorders>
              <w:top w:val="nil"/>
              <w:left w:val="nil"/>
              <w:bottom w:val="nil"/>
              <w:right w:val="nil"/>
            </w:tcBorders>
            <w:shd w:val="clear" w:color="auto" w:fill="auto"/>
            <w:noWrap/>
            <w:vAlign w:val="bottom"/>
            <w:hideMark/>
          </w:tcPr>
          <w:p w14:paraId="0A8075B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106 (20%)</w:t>
            </w:r>
          </w:p>
        </w:tc>
        <w:tc>
          <w:tcPr>
            <w:tcW w:w="994" w:type="dxa"/>
            <w:tcBorders>
              <w:top w:val="nil"/>
              <w:left w:val="nil"/>
              <w:bottom w:val="nil"/>
              <w:right w:val="nil"/>
            </w:tcBorders>
            <w:shd w:val="clear" w:color="auto" w:fill="auto"/>
            <w:noWrap/>
            <w:vAlign w:val="bottom"/>
            <w:hideMark/>
          </w:tcPr>
          <w:p w14:paraId="7D2F8AF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285 (22%)</w:t>
            </w:r>
          </w:p>
        </w:tc>
        <w:tc>
          <w:tcPr>
            <w:tcW w:w="747" w:type="dxa"/>
            <w:tcBorders>
              <w:top w:val="nil"/>
              <w:left w:val="nil"/>
              <w:bottom w:val="nil"/>
              <w:right w:val="single" w:sz="4" w:space="0" w:color="auto"/>
            </w:tcBorders>
            <w:shd w:val="clear" w:color="auto" w:fill="auto"/>
            <w:noWrap/>
            <w:vAlign w:val="bottom"/>
            <w:hideMark/>
          </w:tcPr>
          <w:p w14:paraId="23F3487A"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0.27</w:t>
            </w:r>
          </w:p>
        </w:tc>
        <w:tc>
          <w:tcPr>
            <w:tcW w:w="1830" w:type="dxa"/>
            <w:gridSpan w:val="2"/>
            <w:tcBorders>
              <w:top w:val="nil"/>
              <w:left w:val="nil"/>
              <w:bottom w:val="nil"/>
              <w:right w:val="nil"/>
            </w:tcBorders>
            <w:shd w:val="clear" w:color="auto" w:fill="auto"/>
            <w:noWrap/>
            <w:vAlign w:val="bottom"/>
            <w:hideMark/>
          </w:tcPr>
          <w:p w14:paraId="473037E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72 (23%)</w:t>
            </w:r>
          </w:p>
        </w:tc>
        <w:tc>
          <w:tcPr>
            <w:tcW w:w="994" w:type="dxa"/>
            <w:tcBorders>
              <w:top w:val="nil"/>
              <w:left w:val="nil"/>
              <w:bottom w:val="nil"/>
              <w:right w:val="nil"/>
            </w:tcBorders>
            <w:shd w:val="clear" w:color="auto" w:fill="auto"/>
            <w:noWrap/>
            <w:vAlign w:val="bottom"/>
            <w:hideMark/>
          </w:tcPr>
          <w:p w14:paraId="1FDC782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319 (21%)</w:t>
            </w:r>
          </w:p>
        </w:tc>
        <w:tc>
          <w:tcPr>
            <w:tcW w:w="795" w:type="dxa"/>
            <w:tcBorders>
              <w:top w:val="nil"/>
              <w:left w:val="nil"/>
              <w:bottom w:val="nil"/>
              <w:right w:val="single" w:sz="4" w:space="0" w:color="auto"/>
            </w:tcBorders>
            <w:shd w:val="clear" w:color="auto" w:fill="auto"/>
            <w:noWrap/>
            <w:vAlign w:val="bottom"/>
            <w:hideMark/>
          </w:tcPr>
          <w:p w14:paraId="67F91EBE"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0.65</w:t>
            </w:r>
          </w:p>
        </w:tc>
        <w:tc>
          <w:tcPr>
            <w:tcW w:w="1812" w:type="dxa"/>
            <w:tcBorders>
              <w:top w:val="nil"/>
              <w:left w:val="nil"/>
              <w:bottom w:val="nil"/>
              <w:right w:val="nil"/>
            </w:tcBorders>
            <w:shd w:val="clear" w:color="auto" w:fill="auto"/>
            <w:noWrap/>
            <w:vAlign w:val="bottom"/>
            <w:hideMark/>
          </w:tcPr>
          <w:p w14:paraId="5B1D44E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39 (20%)</w:t>
            </w:r>
          </w:p>
        </w:tc>
        <w:tc>
          <w:tcPr>
            <w:tcW w:w="994" w:type="dxa"/>
            <w:tcBorders>
              <w:top w:val="nil"/>
              <w:left w:val="nil"/>
              <w:bottom w:val="nil"/>
              <w:right w:val="nil"/>
            </w:tcBorders>
            <w:shd w:val="clear" w:color="auto" w:fill="auto"/>
            <w:noWrap/>
            <w:vAlign w:val="bottom"/>
            <w:hideMark/>
          </w:tcPr>
          <w:p w14:paraId="0CEA132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260 (21%)</w:t>
            </w:r>
          </w:p>
        </w:tc>
        <w:tc>
          <w:tcPr>
            <w:tcW w:w="880" w:type="dxa"/>
            <w:tcBorders>
              <w:top w:val="nil"/>
              <w:left w:val="nil"/>
              <w:bottom w:val="nil"/>
              <w:right w:val="single" w:sz="4" w:space="0" w:color="auto"/>
            </w:tcBorders>
            <w:shd w:val="clear" w:color="auto" w:fill="auto"/>
            <w:noWrap/>
            <w:vAlign w:val="bottom"/>
            <w:hideMark/>
          </w:tcPr>
          <w:p w14:paraId="0AECF3CB"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0.71</w:t>
            </w:r>
          </w:p>
        </w:tc>
      </w:tr>
      <w:tr w:rsidR="006A1EE2" w14:paraId="09A2F439"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3258188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CABG, % (n)</w:t>
            </w:r>
          </w:p>
        </w:tc>
        <w:tc>
          <w:tcPr>
            <w:tcW w:w="2328" w:type="dxa"/>
            <w:tcBorders>
              <w:top w:val="nil"/>
              <w:left w:val="nil"/>
              <w:bottom w:val="nil"/>
              <w:right w:val="nil"/>
            </w:tcBorders>
            <w:shd w:val="clear" w:color="auto" w:fill="auto"/>
            <w:noWrap/>
            <w:vAlign w:val="bottom"/>
            <w:hideMark/>
          </w:tcPr>
          <w:p w14:paraId="78B1F98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70 (13%)</w:t>
            </w:r>
          </w:p>
        </w:tc>
        <w:tc>
          <w:tcPr>
            <w:tcW w:w="994" w:type="dxa"/>
            <w:tcBorders>
              <w:top w:val="nil"/>
              <w:left w:val="nil"/>
              <w:bottom w:val="nil"/>
              <w:right w:val="nil"/>
            </w:tcBorders>
            <w:shd w:val="clear" w:color="auto" w:fill="auto"/>
            <w:noWrap/>
            <w:vAlign w:val="bottom"/>
            <w:hideMark/>
          </w:tcPr>
          <w:p w14:paraId="5EBEFEB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220 (17%)</w:t>
            </w:r>
          </w:p>
        </w:tc>
        <w:tc>
          <w:tcPr>
            <w:tcW w:w="747" w:type="dxa"/>
            <w:tcBorders>
              <w:top w:val="nil"/>
              <w:left w:val="nil"/>
              <w:bottom w:val="nil"/>
              <w:right w:val="single" w:sz="4" w:space="0" w:color="auto"/>
            </w:tcBorders>
            <w:shd w:val="clear" w:color="auto" w:fill="auto"/>
            <w:noWrap/>
            <w:vAlign w:val="bottom"/>
            <w:hideMark/>
          </w:tcPr>
          <w:p w14:paraId="603DCB4D"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0.03</w:t>
            </w:r>
          </w:p>
        </w:tc>
        <w:tc>
          <w:tcPr>
            <w:tcW w:w="1830" w:type="dxa"/>
            <w:gridSpan w:val="2"/>
            <w:tcBorders>
              <w:top w:val="nil"/>
              <w:left w:val="nil"/>
              <w:bottom w:val="nil"/>
              <w:right w:val="nil"/>
            </w:tcBorders>
            <w:shd w:val="clear" w:color="auto" w:fill="auto"/>
            <w:noWrap/>
            <w:vAlign w:val="bottom"/>
            <w:hideMark/>
          </w:tcPr>
          <w:p w14:paraId="3DAD449B"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47 (15%)</w:t>
            </w:r>
          </w:p>
        </w:tc>
        <w:tc>
          <w:tcPr>
            <w:tcW w:w="994" w:type="dxa"/>
            <w:tcBorders>
              <w:top w:val="nil"/>
              <w:left w:val="nil"/>
              <w:bottom w:val="nil"/>
              <w:right w:val="nil"/>
            </w:tcBorders>
            <w:shd w:val="clear" w:color="auto" w:fill="auto"/>
            <w:noWrap/>
            <w:vAlign w:val="bottom"/>
            <w:hideMark/>
          </w:tcPr>
          <w:p w14:paraId="3B2DBCE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243 (16%)</w:t>
            </w:r>
          </w:p>
        </w:tc>
        <w:tc>
          <w:tcPr>
            <w:tcW w:w="795" w:type="dxa"/>
            <w:tcBorders>
              <w:top w:val="nil"/>
              <w:left w:val="nil"/>
              <w:bottom w:val="nil"/>
              <w:right w:val="single" w:sz="4" w:space="0" w:color="auto"/>
            </w:tcBorders>
            <w:shd w:val="clear" w:color="auto" w:fill="auto"/>
            <w:noWrap/>
            <w:vAlign w:val="bottom"/>
            <w:hideMark/>
          </w:tcPr>
          <w:p w14:paraId="64B4FEE0"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0.48</w:t>
            </w:r>
          </w:p>
        </w:tc>
        <w:tc>
          <w:tcPr>
            <w:tcW w:w="1812" w:type="dxa"/>
            <w:tcBorders>
              <w:top w:val="nil"/>
              <w:left w:val="nil"/>
              <w:bottom w:val="nil"/>
              <w:right w:val="nil"/>
            </w:tcBorders>
            <w:shd w:val="clear" w:color="auto" w:fill="auto"/>
            <w:noWrap/>
            <w:vAlign w:val="bottom"/>
            <w:hideMark/>
          </w:tcPr>
          <w:p w14:paraId="0EA2B51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23 (12%)</w:t>
            </w:r>
          </w:p>
        </w:tc>
        <w:tc>
          <w:tcPr>
            <w:tcW w:w="994" w:type="dxa"/>
            <w:tcBorders>
              <w:top w:val="nil"/>
              <w:left w:val="nil"/>
              <w:bottom w:val="nil"/>
              <w:right w:val="nil"/>
            </w:tcBorders>
            <w:shd w:val="clear" w:color="auto" w:fill="auto"/>
            <w:noWrap/>
            <w:vAlign w:val="bottom"/>
            <w:hideMark/>
          </w:tcPr>
          <w:p w14:paraId="130AD5E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183 (15%)</w:t>
            </w:r>
          </w:p>
        </w:tc>
        <w:tc>
          <w:tcPr>
            <w:tcW w:w="880" w:type="dxa"/>
            <w:tcBorders>
              <w:top w:val="nil"/>
              <w:left w:val="nil"/>
              <w:bottom w:val="nil"/>
              <w:right w:val="single" w:sz="4" w:space="0" w:color="auto"/>
            </w:tcBorders>
            <w:shd w:val="clear" w:color="auto" w:fill="auto"/>
            <w:noWrap/>
            <w:vAlign w:val="bottom"/>
            <w:hideMark/>
          </w:tcPr>
          <w:p w14:paraId="21BDCE60"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0.25</w:t>
            </w:r>
          </w:p>
        </w:tc>
      </w:tr>
      <w:tr w:rsidR="006A1EE2" w14:paraId="47883A4F"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4B7FDCC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None</w:t>
            </w:r>
          </w:p>
        </w:tc>
        <w:tc>
          <w:tcPr>
            <w:tcW w:w="2328" w:type="dxa"/>
            <w:tcBorders>
              <w:top w:val="nil"/>
              <w:left w:val="nil"/>
              <w:bottom w:val="nil"/>
              <w:right w:val="nil"/>
            </w:tcBorders>
            <w:shd w:val="clear" w:color="auto" w:fill="auto"/>
            <w:noWrap/>
            <w:vAlign w:val="bottom"/>
            <w:hideMark/>
          </w:tcPr>
          <w:p w14:paraId="0346001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427 (24%)</w:t>
            </w:r>
          </w:p>
        </w:tc>
        <w:tc>
          <w:tcPr>
            <w:tcW w:w="994" w:type="dxa"/>
            <w:tcBorders>
              <w:top w:val="nil"/>
              <w:left w:val="nil"/>
              <w:bottom w:val="nil"/>
              <w:right w:val="nil"/>
            </w:tcBorders>
            <w:shd w:val="clear" w:color="auto" w:fill="auto"/>
            <w:noWrap/>
            <w:vAlign w:val="bottom"/>
            <w:hideMark/>
          </w:tcPr>
          <w:p w14:paraId="2F7D0EA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932 (52%)</w:t>
            </w:r>
          </w:p>
        </w:tc>
        <w:tc>
          <w:tcPr>
            <w:tcW w:w="747" w:type="dxa"/>
            <w:tcBorders>
              <w:top w:val="nil"/>
              <w:left w:val="nil"/>
              <w:bottom w:val="nil"/>
              <w:right w:val="single" w:sz="4" w:space="0" w:color="auto"/>
            </w:tcBorders>
            <w:shd w:val="clear" w:color="auto" w:fill="auto"/>
            <w:noWrap/>
            <w:vAlign w:val="bottom"/>
            <w:hideMark/>
          </w:tcPr>
          <w:p w14:paraId="6BA7CFEB"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0.02</w:t>
            </w:r>
          </w:p>
        </w:tc>
        <w:tc>
          <w:tcPr>
            <w:tcW w:w="1830" w:type="dxa"/>
            <w:gridSpan w:val="2"/>
            <w:tcBorders>
              <w:top w:val="nil"/>
              <w:left w:val="nil"/>
              <w:bottom w:val="nil"/>
              <w:right w:val="nil"/>
            </w:tcBorders>
            <w:shd w:val="clear" w:color="auto" w:fill="auto"/>
            <w:noWrap/>
            <w:vAlign w:val="bottom"/>
            <w:hideMark/>
          </w:tcPr>
          <w:p w14:paraId="1FE0648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234 (13%)</w:t>
            </w:r>
          </w:p>
        </w:tc>
        <w:tc>
          <w:tcPr>
            <w:tcW w:w="994" w:type="dxa"/>
            <w:tcBorders>
              <w:top w:val="nil"/>
              <w:left w:val="nil"/>
              <w:bottom w:val="nil"/>
              <w:right w:val="nil"/>
            </w:tcBorders>
            <w:shd w:val="clear" w:color="auto" w:fill="auto"/>
            <w:noWrap/>
            <w:vAlign w:val="bottom"/>
            <w:hideMark/>
          </w:tcPr>
          <w:p w14:paraId="7E7C85B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1125 (62%)</w:t>
            </w:r>
          </w:p>
        </w:tc>
        <w:tc>
          <w:tcPr>
            <w:tcW w:w="795" w:type="dxa"/>
            <w:tcBorders>
              <w:top w:val="nil"/>
              <w:left w:val="nil"/>
              <w:bottom w:val="nil"/>
              <w:right w:val="single" w:sz="4" w:space="0" w:color="auto"/>
            </w:tcBorders>
            <w:shd w:val="clear" w:color="auto" w:fill="auto"/>
            <w:noWrap/>
            <w:vAlign w:val="bottom"/>
            <w:hideMark/>
          </w:tcPr>
          <w:p w14:paraId="0A21FFE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0.52</w:t>
            </w:r>
          </w:p>
        </w:tc>
        <w:tc>
          <w:tcPr>
            <w:tcW w:w="1812" w:type="dxa"/>
            <w:tcBorders>
              <w:top w:val="nil"/>
              <w:left w:val="nil"/>
              <w:bottom w:val="nil"/>
              <w:right w:val="nil"/>
            </w:tcBorders>
            <w:shd w:val="clear" w:color="auto" w:fill="auto"/>
            <w:noWrap/>
            <w:vAlign w:val="bottom"/>
            <w:hideMark/>
          </w:tcPr>
          <w:p w14:paraId="55629BF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136 (10%)</w:t>
            </w:r>
          </w:p>
        </w:tc>
        <w:tc>
          <w:tcPr>
            <w:tcW w:w="994" w:type="dxa"/>
            <w:tcBorders>
              <w:top w:val="nil"/>
              <w:left w:val="nil"/>
              <w:bottom w:val="nil"/>
              <w:right w:val="nil"/>
            </w:tcBorders>
            <w:shd w:val="clear" w:color="auto" w:fill="auto"/>
            <w:noWrap/>
            <w:vAlign w:val="bottom"/>
            <w:hideMark/>
          </w:tcPr>
          <w:p w14:paraId="4306B0F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969 (68%)</w:t>
            </w:r>
          </w:p>
        </w:tc>
        <w:tc>
          <w:tcPr>
            <w:tcW w:w="880" w:type="dxa"/>
            <w:tcBorders>
              <w:top w:val="nil"/>
              <w:left w:val="nil"/>
              <w:bottom w:val="nil"/>
              <w:right w:val="single" w:sz="4" w:space="0" w:color="auto"/>
            </w:tcBorders>
            <w:shd w:val="clear" w:color="auto" w:fill="auto"/>
            <w:noWrap/>
            <w:vAlign w:val="bottom"/>
            <w:hideMark/>
          </w:tcPr>
          <w:p w14:paraId="72BFEA30"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0.004</w:t>
            </w:r>
          </w:p>
        </w:tc>
      </w:tr>
      <w:tr w:rsidR="006A1EE2" w14:paraId="77D4BB4A"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5031C0B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 xml:space="preserve">Pacemaker </w:t>
            </w:r>
            <w:proofErr w:type="spellStart"/>
            <w:r>
              <w:rPr>
                <w:rFonts w:ascii="Calibri" w:eastAsia="Times New Roman" w:hAnsi="Calibri"/>
                <w:color w:val="000000"/>
                <w:sz w:val="16"/>
                <w:szCs w:val="16"/>
              </w:rPr>
              <w:t>only</w:t>
            </w:r>
            <w:proofErr w:type="spellEnd"/>
          </w:p>
        </w:tc>
        <w:tc>
          <w:tcPr>
            <w:tcW w:w="2328" w:type="dxa"/>
            <w:tcBorders>
              <w:top w:val="nil"/>
              <w:left w:val="nil"/>
              <w:bottom w:val="nil"/>
              <w:right w:val="nil"/>
            </w:tcBorders>
            <w:shd w:val="clear" w:color="auto" w:fill="auto"/>
            <w:noWrap/>
            <w:vAlign w:val="bottom"/>
            <w:hideMark/>
          </w:tcPr>
          <w:p w14:paraId="1FBBFCE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28 (2%)</w:t>
            </w:r>
          </w:p>
        </w:tc>
        <w:tc>
          <w:tcPr>
            <w:tcW w:w="994" w:type="dxa"/>
            <w:tcBorders>
              <w:top w:val="nil"/>
              <w:left w:val="nil"/>
              <w:bottom w:val="nil"/>
              <w:right w:val="nil"/>
            </w:tcBorders>
            <w:shd w:val="clear" w:color="auto" w:fill="auto"/>
            <w:noWrap/>
            <w:vAlign w:val="bottom"/>
            <w:hideMark/>
          </w:tcPr>
          <w:p w14:paraId="09E23FD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89 (5%)</w:t>
            </w:r>
          </w:p>
        </w:tc>
        <w:tc>
          <w:tcPr>
            <w:tcW w:w="747" w:type="dxa"/>
            <w:tcBorders>
              <w:top w:val="nil"/>
              <w:left w:val="nil"/>
              <w:bottom w:val="nil"/>
              <w:right w:val="single" w:sz="4" w:space="0" w:color="auto"/>
            </w:tcBorders>
            <w:shd w:val="clear" w:color="auto" w:fill="auto"/>
            <w:noWrap/>
            <w:vAlign w:val="bottom"/>
            <w:hideMark/>
          </w:tcPr>
          <w:p w14:paraId="47B8536E"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30" w:type="dxa"/>
            <w:gridSpan w:val="2"/>
            <w:tcBorders>
              <w:top w:val="nil"/>
              <w:left w:val="nil"/>
              <w:bottom w:val="nil"/>
              <w:right w:val="nil"/>
            </w:tcBorders>
            <w:shd w:val="clear" w:color="auto" w:fill="auto"/>
            <w:noWrap/>
            <w:vAlign w:val="bottom"/>
            <w:hideMark/>
          </w:tcPr>
          <w:p w14:paraId="0565768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16 (1%)</w:t>
            </w:r>
          </w:p>
        </w:tc>
        <w:tc>
          <w:tcPr>
            <w:tcW w:w="994" w:type="dxa"/>
            <w:tcBorders>
              <w:top w:val="nil"/>
              <w:left w:val="nil"/>
              <w:bottom w:val="nil"/>
              <w:right w:val="nil"/>
            </w:tcBorders>
            <w:shd w:val="clear" w:color="auto" w:fill="auto"/>
            <w:noWrap/>
            <w:vAlign w:val="bottom"/>
            <w:hideMark/>
          </w:tcPr>
          <w:p w14:paraId="2080210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101 (6%)</w:t>
            </w:r>
          </w:p>
        </w:tc>
        <w:tc>
          <w:tcPr>
            <w:tcW w:w="795" w:type="dxa"/>
            <w:tcBorders>
              <w:top w:val="nil"/>
              <w:left w:val="nil"/>
              <w:bottom w:val="nil"/>
              <w:right w:val="single" w:sz="4" w:space="0" w:color="auto"/>
            </w:tcBorders>
            <w:shd w:val="clear" w:color="auto" w:fill="auto"/>
            <w:noWrap/>
            <w:vAlign w:val="bottom"/>
            <w:hideMark/>
          </w:tcPr>
          <w:p w14:paraId="6E7F2403"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12" w:type="dxa"/>
            <w:tcBorders>
              <w:top w:val="nil"/>
              <w:left w:val="nil"/>
              <w:bottom w:val="nil"/>
              <w:right w:val="nil"/>
            </w:tcBorders>
            <w:shd w:val="clear" w:color="auto" w:fill="auto"/>
            <w:noWrap/>
            <w:vAlign w:val="bottom"/>
            <w:hideMark/>
          </w:tcPr>
          <w:p w14:paraId="1E95829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 (1%)</w:t>
            </w:r>
          </w:p>
        </w:tc>
        <w:tc>
          <w:tcPr>
            <w:tcW w:w="994" w:type="dxa"/>
            <w:tcBorders>
              <w:top w:val="nil"/>
              <w:left w:val="nil"/>
              <w:bottom w:val="nil"/>
              <w:right w:val="nil"/>
            </w:tcBorders>
            <w:shd w:val="clear" w:color="auto" w:fill="auto"/>
            <w:noWrap/>
            <w:vAlign w:val="bottom"/>
            <w:hideMark/>
          </w:tcPr>
          <w:p w14:paraId="68BF021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80 (6%)</w:t>
            </w:r>
          </w:p>
        </w:tc>
        <w:tc>
          <w:tcPr>
            <w:tcW w:w="880" w:type="dxa"/>
            <w:tcBorders>
              <w:top w:val="nil"/>
              <w:left w:val="nil"/>
              <w:bottom w:val="nil"/>
              <w:right w:val="single" w:sz="4" w:space="0" w:color="auto"/>
            </w:tcBorders>
            <w:shd w:val="clear" w:color="auto" w:fill="auto"/>
            <w:noWrap/>
            <w:vAlign w:val="bottom"/>
            <w:hideMark/>
          </w:tcPr>
          <w:p w14:paraId="02BF16A7"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r>
      <w:tr w:rsidR="006A1EE2" w14:paraId="72FC799A"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3721EFA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 xml:space="preserve">ICD </w:t>
            </w:r>
            <w:proofErr w:type="spellStart"/>
            <w:r>
              <w:rPr>
                <w:rFonts w:ascii="Calibri" w:eastAsia="Times New Roman" w:hAnsi="Calibri"/>
                <w:color w:val="000000"/>
                <w:sz w:val="16"/>
                <w:szCs w:val="16"/>
              </w:rPr>
              <w:t>only</w:t>
            </w:r>
            <w:proofErr w:type="spellEnd"/>
          </w:p>
        </w:tc>
        <w:tc>
          <w:tcPr>
            <w:tcW w:w="2328" w:type="dxa"/>
            <w:tcBorders>
              <w:top w:val="nil"/>
              <w:left w:val="nil"/>
              <w:bottom w:val="nil"/>
              <w:right w:val="nil"/>
            </w:tcBorders>
            <w:shd w:val="clear" w:color="auto" w:fill="auto"/>
            <w:noWrap/>
            <w:vAlign w:val="bottom"/>
            <w:hideMark/>
          </w:tcPr>
          <w:p w14:paraId="2BF4E96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31 (2%)</w:t>
            </w:r>
          </w:p>
        </w:tc>
        <w:tc>
          <w:tcPr>
            <w:tcW w:w="994" w:type="dxa"/>
            <w:tcBorders>
              <w:top w:val="nil"/>
              <w:left w:val="nil"/>
              <w:bottom w:val="nil"/>
              <w:right w:val="nil"/>
            </w:tcBorders>
            <w:shd w:val="clear" w:color="auto" w:fill="auto"/>
            <w:noWrap/>
            <w:vAlign w:val="bottom"/>
            <w:hideMark/>
          </w:tcPr>
          <w:p w14:paraId="6DAB3D0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121 (7%)</w:t>
            </w:r>
          </w:p>
        </w:tc>
        <w:tc>
          <w:tcPr>
            <w:tcW w:w="747" w:type="dxa"/>
            <w:tcBorders>
              <w:top w:val="nil"/>
              <w:left w:val="nil"/>
              <w:bottom w:val="nil"/>
              <w:right w:val="single" w:sz="4" w:space="0" w:color="auto"/>
            </w:tcBorders>
            <w:shd w:val="clear" w:color="auto" w:fill="auto"/>
            <w:noWrap/>
            <w:vAlign w:val="bottom"/>
            <w:hideMark/>
          </w:tcPr>
          <w:p w14:paraId="5D5043BA"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30" w:type="dxa"/>
            <w:gridSpan w:val="2"/>
            <w:tcBorders>
              <w:top w:val="nil"/>
              <w:left w:val="nil"/>
              <w:bottom w:val="nil"/>
              <w:right w:val="nil"/>
            </w:tcBorders>
            <w:shd w:val="clear" w:color="auto" w:fill="auto"/>
            <w:noWrap/>
            <w:vAlign w:val="bottom"/>
            <w:hideMark/>
          </w:tcPr>
          <w:p w14:paraId="6B4313DB"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30 (2%)</w:t>
            </w:r>
          </w:p>
        </w:tc>
        <w:tc>
          <w:tcPr>
            <w:tcW w:w="994" w:type="dxa"/>
            <w:tcBorders>
              <w:top w:val="nil"/>
              <w:left w:val="nil"/>
              <w:bottom w:val="nil"/>
              <w:right w:val="nil"/>
            </w:tcBorders>
            <w:shd w:val="clear" w:color="auto" w:fill="auto"/>
            <w:noWrap/>
            <w:vAlign w:val="bottom"/>
            <w:hideMark/>
          </w:tcPr>
          <w:p w14:paraId="075D97D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122 (7%)</w:t>
            </w:r>
          </w:p>
        </w:tc>
        <w:tc>
          <w:tcPr>
            <w:tcW w:w="795" w:type="dxa"/>
            <w:tcBorders>
              <w:top w:val="nil"/>
              <w:left w:val="nil"/>
              <w:bottom w:val="nil"/>
              <w:right w:val="single" w:sz="4" w:space="0" w:color="auto"/>
            </w:tcBorders>
            <w:shd w:val="clear" w:color="auto" w:fill="auto"/>
            <w:noWrap/>
            <w:vAlign w:val="bottom"/>
            <w:hideMark/>
          </w:tcPr>
          <w:p w14:paraId="2C97FB4A"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12" w:type="dxa"/>
            <w:tcBorders>
              <w:top w:val="nil"/>
              <w:left w:val="nil"/>
              <w:bottom w:val="nil"/>
              <w:right w:val="nil"/>
            </w:tcBorders>
            <w:shd w:val="clear" w:color="auto" w:fill="auto"/>
            <w:noWrap/>
            <w:vAlign w:val="bottom"/>
            <w:hideMark/>
          </w:tcPr>
          <w:p w14:paraId="5D8FFEF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25 (2%)</w:t>
            </w:r>
          </w:p>
        </w:tc>
        <w:tc>
          <w:tcPr>
            <w:tcW w:w="994" w:type="dxa"/>
            <w:tcBorders>
              <w:top w:val="nil"/>
              <w:left w:val="nil"/>
              <w:bottom w:val="nil"/>
              <w:right w:val="nil"/>
            </w:tcBorders>
            <w:shd w:val="clear" w:color="auto" w:fill="auto"/>
            <w:noWrap/>
            <w:vAlign w:val="bottom"/>
            <w:hideMark/>
          </w:tcPr>
          <w:p w14:paraId="7835A66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84 (6%)</w:t>
            </w:r>
          </w:p>
        </w:tc>
        <w:tc>
          <w:tcPr>
            <w:tcW w:w="880" w:type="dxa"/>
            <w:tcBorders>
              <w:top w:val="nil"/>
              <w:left w:val="nil"/>
              <w:bottom w:val="nil"/>
              <w:right w:val="single" w:sz="4" w:space="0" w:color="auto"/>
            </w:tcBorders>
            <w:shd w:val="clear" w:color="auto" w:fill="auto"/>
            <w:noWrap/>
            <w:vAlign w:val="bottom"/>
            <w:hideMark/>
          </w:tcPr>
          <w:p w14:paraId="3D3D47E9"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r>
      <w:tr w:rsidR="006A1EE2" w14:paraId="1ADFDC95"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5AD1FF7B"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 xml:space="preserve">CRT </w:t>
            </w:r>
            <w:proofErr w:type="spellStart"/>
            <w:r>
              <w:rPr>
                <w:rFonts w:ascii="Calibri" w:eastAsia="Times New Roman" w:hAnsi="Calibri"/>
                <w:color w:val="000000"/>
                <w:sz w:val="16"/>
                <w:szCs w:val="16"/>
              </w:rPr>
              <w:t>only</w:t>
            </w:r>
            <w:proofErr w:type="spellEnd"/>
          </w:p>
        </w:tc>
        <w:tc>
          <w:tcPr>
            <w:tcW w:w="2328" w:type="dxa"/>
            <w:tcBorders>
              <w:top w:val="nil"/>
              <w:left w:val="nil"/>
              <w:bottom w:val="nil"/>
              <w:right w:val="nil"/>
            </w:tcBorders>
            <w:shd w:val="clear" w:color="auto" w:fill="auto"/>
            <w:noWrap/>
            <w:vAlign w:val="bottom"/>
            <w:hideMark/>
          </w:tcPr>
          <w:p w14:paraId="4542F94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11 (1%)</w:t>
            </w:r>
          </w:p>
        </w:tc>
        <w:tc>
          <w:tcPr>
            <w:tcW w:w="994" w:type="dxa"/>
            <w:tcBorders>
              <w:top w:val="nil"/>
              <w:left w:val="nil"/>
              <w:bottom w:val="nil"/>
              <w:right w:val="nil"/>
            </w:tcBorders>
            <w:shd w:val="clear" w:color="auto" w:fill="auto"/>
            <w:noWrap/>
            <w:vAlign w:val="bottom"/>
            <w:hideMark/>
          </w:tcPr>
          <w:p w14:paraId="35632D8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24 (1%)</w:t>
            </w:r>
          </w:p>
        </w:tc>
        <w:tc>
          <w:tcPr>
            <w:tcW w:w="747" w:type="dxa"/>
            <w:tcBorders>
              <w:top w:val="nil"/>
              <w:left w:val="nil"/>
              <w:bottom w:val="nil"/>
              <w:right w:val="single" w:sz="4" w:space="0" w:color="auto"/>
            </w:tcBorders>
            <w:shd w:val="clear" w:color="auto" w:fill="auto"/>
            <w:noWrap/>
            <w:vAlign w:val="bottom"/>
            <w:hideMark/>
          </w:tcPr>
          <w:p w14:paraId="38D782F8"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30" w:type="dxa"/>
            <w:gridSpan w:val="2"/>
            <w:tcBorders>
              <w:top w:val="nil"/>
              <w:left w:val="nil"/>
              <w:bottom w:val="nil"/>
              <w:right w:val="nil"/>
            </w:tcBorders>
            <w:shd w:val="clear" w:color="auto" w:fill="auto"/>
            <w:noWrap/>
            <w:vAlign w:val="bottom"/>
            <w:hideMark/>
          </w:tcPr>
          <w:p w14:paraId="3EC82A8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 (0%)</w:t>
            </w:r>
          </w:p>
        </w:tc>
        <w:tc>
          <w:tcPr>
            <w:tcW w:w="994" w:type="dxa"/>
            <w:tcBorders>
              <w:top w:val="nil"/>
              <w:left w:val="nil"/>
              <w:bottom w:val="nil"/>
              <w:right w:val="nil"/>
            </w:tcBorders>
            <w:shd w:val="clear" w:color="auto" w:fill="auto"/>
            <w:noWrap/>
            <w:vAlign w:val="bottom"/>
            <w:hideMark/>
          </w:tcPr>
          <w:p w14:paraId="20144CF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28 (2%)</w:t>
            </w:r>
          </w:p>
        </w:tc>
        <w:tc>
          <w:tcPr>
            <w:tcW w:w="795" w:type="dxa"/>
            <w:tcBorders>
              <w:top w:val="nil"/>
              <w:left w:val="nil"/>
              <w:bottom w:val="nil"/>
              <w:right w:val="single" w:sz="4" w:space="0" w:color="auto"/>
            </w:tcBorders>
            <w:shd w:val="clear" w:color="auto" w:fill="auto"/>
            <w:noWrap/>
            <w:vAlign w:val="bottom"/>
            <w:hideMark/>
          </w:tcPr>
          <w:p w14:paraId="45DA7ED8"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12" w:type="dxa"/>
            <w:tcBorders>
              <w:top w:val="nil"/>
              <w:left w:val="nil"/>
              <w:bottom w:val="nil"/>
              <w:right w:val="nil"/>
            </w:tcBorders>
            <w:shd w:val="clear" w:color="auto" w:fill="auto"/>
            <w:noWrap/>
            <w:vAlign w:val="bottom"/>
            <w:hideMark/>
          </w:tcPr>
          <w:p w14:paraId="6A4104C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 (0%)</w:t>
            </w:r>
          </w:p>
        </w:tc>
        <w:tc>
          <w:tcPr>
            <w:tcW w:w="994" w:type="dxa"/>
            <w:tcBorders>
              <w:top w:val="nil"/>
              <w:left w:val="nil"/>
              <w:bottom w:val="nil"/>
              <w:right w:val="nil"/>
            </w:tcBorders>
            <w:shd w:val="clear" w:color="auto" w:fill="auto"/>
            <w:noWrap/>
            <w:vAlign w:val="bottom"/>
            <w:hideMark/>
          </w:tcPr>
          <w:p w14:paraId="5B60233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19 (1%)</w:t>
            </w:r>
          </w:p>
        </w:tc>
        <w:tc>
          <w:tcPr>
            <w:tcW w:w="880" w:type="dxa"/>
            <w:tcBorders>
              <w:top w:val="nil"/>
              <w:left w:val="nil"/>
              <w:bottom w:val="nil"/>
              <w:right w:val="single" w:sz="4" w:space="0" w:color="auto"/>
            </w:tcBorders>
            <w:shd w:val="clear" w:color="auto" w:fill="auto"/>
            <w:noWrap/>
            <w:vAlign w:val="bottom"/>
            <w:hideMark/>
          </w:tcPr>
          <w:p w14:paraId="12351E80"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r>
      <w:tr w:rsidR="006A1EE2" w14:paraId="6E4E1302"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191E0FE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 xml:space="preserve">ICD </w:t>
            </w:r>
            <w:proofErr w:type="spellStart"/>
            <w:r>
              <w:rPr>
                <w:rFonts w:ascii="Calibri" w:eastAsia="Times New Roman" w:hAnsi="Calibri"/>
                <w:color w:val="000000"/>
                <w:sz w:val="16"/>
                <w:szCs w:val="16"/>
              </w:rPr>
              <w:t>and</w:t>
            </w:r>
            <w:proofErr w:type="spellEnd"/>
            <w:r>
              <w:rPr>
                <w:rFonts w:ascii="Calibri" w:eastAsia="Times New Roman" w:hAnsi="Calibri"/>
                <w:color w:val="000000"/>
                <w:sz w:val="16"/>
                <w:szCs w:val="16"/>
              </w:rPr>
              <w:t xml:space="preserve"> CRT</w:t>
            </w:r>
          </w:p>
        </w:tc>
        <w:tc>
          <w:tcPr>
            <w:tcW w:w="2328" w:type="dxa"/>
            <w:tcBorders>
              <w:top w:val="nil"/>
              <w:left w:val="nil"/>
              <w:bottom w:val="nil"/>
              <w:right w:val="nil"/>
            </w:tcBorders>
            <w:shd w:val="clear" w:color="auto" w:fill="auto"/>
            <w:noWrap/>
            <w:vAlign w:val="bottom"/>
            <w:hideMark/>
          </w:tcPr>
          <w:p w14:paraId="3155E21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31 (2%)</w:t>
            </w:r>
          </w:p>
        </w:tc>
        <w:tc>
          <w:tcPr>
            <w:tcW w:w="994" w:type="dxa"/>
            <w:tcBorders>
              <w:top w:val="nil"/>
              <w:left w:val="nil"/>
              <w:bottom w:val="nil"/>
              <w:right w:val="nil"/>
            </w:tcBorders>
            <w:shd w:val="clear" w:color="auto" w:fill="auto"/>
            <w:noWrap/>
            <w:vAlign w:val="bottom"/>
            <w:hideMark/>
          </w:tcPr>
          <w:p w14:paraId="46CF9B3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102 (6%)</w:t>
            </w:r>
          </w:p>
        </w:tc>
        <w:tc>
          <w:tcPr>
            <w:tcW w:w="747" w:type="dxa"/>
            <w:tcBorders>
              <w:top w:val="nil"/>
              <w:left w:val="nil"/>
              <w:bottom w:val="nil"/>
              <w:right w:val="single" w:sz="4" w:space="0" w:color="auto"/>
            </w:tcBorders>
            <w:shd w:val="clear" w:color="auto" w:fill="auto"/>
            <w:noWrap/>
            <w:vAlign w:val="bottom"/>
            <w:hideMark/>
          </w:tcPr>
          <w:p w14:paraId="25838246"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30" w:type="dxa"/>
            <w:gridSpan w:val="2"/>
            <w:tcBorders>
              <w:top w:val="nil"/>
              <w:left w:val="nil"/>
              <w:bottom w:val="nil"/>
              <w:right w:val="nil"/>
            </w:tcBorders>
            <w:shd w:val="clear" w:color="auto" w:fill="auto"/>
            <w:noWrap/>
            <w:vAlign w:val="bottom"/>
            <w:hideMark/>
          </w:tcPr>
          <w:p w14:paraId="41298EB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30 (2%)</w:t>
            </w:r>
          </w:p>
        </w:tc>
        <w:tc>
          <w:tcPr>
            <w:tcW w:w="994" w:type="dxa"/>
            <w:tcBorders>
              <w:top w:val="nil"/>
              <w:left w:val="nil"/>
              <w:bottom w:val="nil"/>
              <w:right w:val="nil"/>
            </w:tcBorders>
            <w:shd w:val="clear" w:color="auto" w:fill="auto"/>
            <w:noWrap/>
            <w:vAlign w:val="bottom"/>
            <w:hideMark/>
          </w:tcPr>
          <w:p w14:paraId="72551A2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103 (6%)</w:t>
            </w:r>
          </w:p>
        </w:tc>
        <w:tc>
          <w:tcPr>
            <w:tcW w:w="795" w:type="dxa"/>
            <w:tcBorders>
              <w:top w:val="nil"/>
              <w:left w:val="nil"/>
              <w:bottom w:val="nil"/>
              <w:right w:val="single" w:sz="4" w:space="0" w:color="auto"/>
            </w:tcBorders>
            <w:shd w:val="clear" w:color="auto" w:fill="auto"/>
            <w:noWrap/>
            <w:vAlign w:val="bottom"/>
            <w:hideMark/>
          </w:tcPr>
          <w:p w14:paraId="45D87CC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12" w:type="dxa"/>
            <w:tcBorders>
              <w:top w:val="nil"/>
              <w:left w:val="nil"/>
              <w:bottom w:val="nil"/>
              <w:right w:val="nil"/>
            </w:tcBorders>
            <w:shd w:val="clear" w:color="auto" w:fill="auto"/>
            <w:noWrap/>
            <w:vAlign w:val="bottom"/>
            <w:hideMark/>
          </w:tcPr>
          <w:p w14:paraId="1D37532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20 (1%)</w:t>
            </w:r>
          </w:p>
        </w:tc>
        <w:tc>
          <w:tcPr>
            <w:tcW w:w="994" w:type="dxa"/>
            <w:tcBorders>
              <w:top w:val="nil"/>
              <w:left w:val="nil"/>
              <w:bottom w:val="nil"/>
              <w:right w:val="nil"/>
            </w:tcBorders>
            <w:shd w:val="clear" w:color="auto" w:fill="auto"/>
            <w:noWrap/>
            <w:vAlign w:val="bottom"/>
            <w:hideMark/>
          </w:tcPr>
          <w:p w14:paraId="6E7CF05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72 (5%)</w:t>
            </w:r>
          </w:p>
        </w:tc>
        <w:tc>
          <w:tcPr>
            <w:tcW w:w="880" w:type="dxa"/>
            <w:tcBorders>
              <w:top w:val="nil"/>
              <w:left w:val="nil"/>
              <w:bottom w:val="nil"/>
              <w:right w:val="single" w:sz="4" w:space="0" w:color="auto"/>
            </w:tcBorders>
            <w:shd w:val="clear" w:color="auto" w:fill="auto"/>
            <w:noWrap/>
            <w:vAlign w:val="bottom"/>
            <w:hideMark/>
          </w:tcPr>
          <w:p w14:paraId="4A1DA4F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r>
      <w:tr w:rsidR="006A1EE2" w14:paraId="2E7C5537"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443C22EC"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Other</w:t>
            </w:r>
            <w:proofErr w:type="spellEnd"/>
          </w:p>
        </w:tc>
        <w:tc>
          <w:tcPr>
            <w:tcW w:w="2328" w:type="dxa"/>
            <w:tcBorders>
              <w:top w:val="nil"/>
              <w:left w:val="nil"/>
              <w:bottom w:val="nil"/>
              <w:right w:val="nil"/>
            </w:tcBorders>
            <w:shd w:val="clear" w:color="auto" w:fill="auto"/>
            <w:noWrap/>
            <w:vAlign w:val="bottom"/>
            <w:hideMark/>
          </w:tcPr>
          <w:p w14:paraId="5214807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 (0%)</w:t>
            </w:r>
          </w:p>
        </w:tc>
        <w:tc>
          <w:tcPr>
            <w:tcW w:w="994" w:type="dxa"/>
            <w:tcBorders>
              <w:top w:val="nil"/>
              <w:left w:val="nil"/>
              <w:bottom w:val="nil"/>
              <w:right w:val="nil"/>
            </w:tcBorders>
            <w:shd w:val="clear" w:color="auto" w:fill="auto"/>
            <w:noWrap/>
            <w:vAlign w:val="bottom"/>
            <w:hideMark/>
          </w:tcPr>
          <w:p w14:paraId="7792238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 (0%)</w:t>
            </w:r>
          </w:p>
        </w:tc>
        <w:tc>
          <w:tcPr>
            <w:tcW w:w="747" w:type="dxa"/>
            <w:tcBorders>
              <w:top w:val="nil"/>
              <w:left w:val="nil"/>
              <w:bottom w:val="nil"/>
              <w:right w:val="single" w:sz="4" w:space="0" w:color="auto"/>
            </w:tcBorders>
            <w:shd w:val="clear" w:color="auto" w:fill="auto"/>
            <w:noWrap/>
            <w:vAlign w:val="bottom"/>
            <w:hideMark/>
          </w:tcPr>
          <w:p w14:paraId="3C6B1139"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30" w:type="dxa"/>
            <w:gridSpan w:val="2"/>
            <w:tcBorders>
              <w:top w:val="nil"/>
              <w:left w:val="nil"/>
              <w:bottom w:val="nil"/>
              <w:right w:val="nil"/>
            </w:tcBorders>
            <w:shd w:val="clear" w:color="auto" w:fill="auto"/>
            <w:noWrap/>
            <w:vAlign w:val="bottom"/>
            <w:hideMark/>
          </w:tcPr>
          <w:p w14:paraId="72807D5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 (0%)</w:t>
            </w:r>
          </w:p>
        </w:tc>
        <w:tc>
          <w:tcPr>
            <w:tcW w:w="994" w:type="dxa"/>
            <w:tcBorders>
              <w:top w:val="nil"/>
              <w:left w:val="nil"/>
              <w:bottom w:val="nil"/>
              <w:right w:val="nil"/>
            </w:tcBorders>
            <w:shd w:val="clear" w:color="auto" w:fill="auto"/>
            <w:noWrap/>
            <w:vAlign w:val="bottom"/>
            <w:hideMark/>
          </w:tcPr>
          <w:p w14:paraId="46545C7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 (0%)</w:t>
            </w:r>
          </w:p>
        </w:tc>
        <w:tc>
          <w:tcPr>
            <w:tcW w:w="795" w:type="dxa"/>
            <w:tcBorders>
              <w:top w:val="nil"/>
              <w:left w:val="nil"/>
              <w:bottom w:val="nil"/>
              <w:right w:val="single" w:sz="4" w:space="0" w:color="auto"/>
            </w:tcBorders>
            <w:shd w:val="clear" w:color="auto" w:fill="auto"/>
            <w:noWrap/>
            <w:vAlign w:val="bottom"/>
            <w:hideMark/>
          </w:tcPr>
          <w:p w14:paraId="2D6B8151"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c>
          <w:tcPr>
            <w:tcW w:w="1812" w:type="dxa"/>
            <w:tcBorders>
              <w:top w:val="nil"/>
              <w:left w:val="nil"/>
              <w:bottom w:val="nil"/>
              <w:right w:val="nil"/>
            </w:tcBorders>
            <w:shd w:val="clear" w:color="auto" w:fill="auto"/>
            <w:noWrap/>
            <w:vAlign w:val="bottom"/>
            <w:hideMark/>
          </w:tcPr>
          <w:p w14:paraId="104CDC9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 (0%)</w:t>
            </w:r>
          </w:p>
        </w:tc>
        <w:tc>
          <w:tcPr>
            <w:tcW w:w="994" w:type="dxa"/>
            <w:tcBorders>
              <w:top w:val="nil"/>
              <w:left w:val="nil"/>
              <w:bottom w:val="nil"/>
              <w:right w:val="nil"/>
            </w:tcBorders>
            <w:shd w:val="clear" w:color="auto" w:fill="auto"/>
            <w:noWrap/>
            <w:vAlign w:val="bottom"/>
            <w:hideMark/>
          </w:tcPr>
          <w:p w14:paraId="6FB7505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 (0%)</w:t>
            </w:r>
          </w:p>
        </w:tc>
        <w:tc>
          <w:tcPr>
            <w:tcW w:w="880" w:type="dxa"/>
            <w:tcBorders>
              <w:top w:val="nil"/>
              <w:left w:val="nil"/>
              <w:bottom w:val="nil"/>
              <w:right w:val="single" w:sz="4" w:space="0" w:color="auto"/>
            </w:tcBorders>
            <w:shd w:val="clear" w:color="auto" w:fill="auto"/>
            <w:noWrap/>
            <w:vAlign w:val="bottom"/>
            <w:hideMark/>
          </w:tcPr>
          <w:p w14:paraId="6692F2DF"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 </w:t>
            </w:r>
          </w:p>
        </w:tc>
      </w:tr>
      <w:tr w:rsidR="006A1EE2" w14:paraId="6F0DAF19"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72DDF0A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Diabetes mellitus, % (n)</w:t>
            </w:r>
          </w:p>
        </w:tc>
        <w:tc>
          <w:tcPr>
            <w:tcW w:w="2328" w:type="dxa"/>
            <w:tcBorders>
              <w:top w:val="nil"/>
              <w:left w:val="nil"/>
              <w:bottom w:val="nil"/>
              <w:right w:val="nil"/>
            </w:tcBorders>
            <w:shd w:val="clear" w:color="auto" w:fill="auto"/>
            <w:noWrap/>
            <w:vAlign w:val="bottom"/>
            <w:hideMark/>
          </w:tcPr>
          <w:p w14:paraId="4766100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182 (34%)</w:t>
            </w:r>
          </w:p>
        </w:tc>
        <w:tc>
          <w:tcPr>
            <w:tcW w:w="994" w:type="dxa"/>
            <w:tcBorders>
              <w:top w:val="nil"/>
              <w:left w:val="nil"/>
              <w:bottom w:val="nil"/>
              <w:right w:val="nil"/>
            </w:tcBorders>
            <w:shd w:val="clear" w:color="auto" w:fill="auto"/>
            <w:noWrap/>
            <w:vAlign w:val="bottom"/>
            <w:hideMark/>
          </w:tcPr>
          <w:p w14:paraId="3182DDC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389 (31%)</w:t>
            </w:r>
          </w:p>
        </w:tc>
        <w:tc>
          <w:tcPr>
            <w:tcW w:w="747" w:type="dxa"/>
            <w:tcBorders>
              <w:top w:val="nil"/>
              <w:left w:val="nil"/>
              <w:bottom w:val="nil"/>
              <w:right w:val="single" w:sz="4" w:space="0" w:color="auto"/>
            </w:tcBorders>
            <w:shd w:val="clear" w:color="auto" w:fill="auto"/>
            <w:noWrap/>
            <w:vAlign w:val="bottom"/>
            <w:hideMark/>
          </w:tcPr>
          <w:p w14:paraId="0481E17A"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0.11</w:t>
            </w:r>
          </w:p>
        </w:tc>
        <w:tc>
          <w:tcPr>
            <w:tcW w:w="1830" w:type="dxa"/>
            <w:gridSpan w:val="2"/>
            <w:tcBorders>
              <w:top w:val="nil"/>
              <w:left w:val="nil"/>
              <w:bottom w:val="nil"/>
              <w:right w:val="nil"/>
            </w:tcBorders>
            <w:shd w:val="clear" w:color="auto" w:fill="auto"/>
            <w:noWrap/>
            <w:vAlign w:val="bottom"/>
            <w:hideMark/>
          </w:tcPr>
          <w:p w14:paraId="05B3A6D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97 (31%)</w:t>
            </w:r>
          </w:p>
        </w:tc>
        <w:tc>
          <w:tcPr>
            <w:tcW w:w="994" w:type="dxa"/>
            <w:tcBorders>
              <w:top w:val="nil"/>
              <w:left w:val="nil"/>
              <w:bottom w:val="nil"/>
              <w:right w:val="nil"/>
            </w:tcBorders>
            <w:shd w:val="clear" w:color="auto" w:fill="auto"/>
            <w:noWrap/>
            <w:vAlign w:val="bottom"/>
            <w:hideMark/>
          </w:tcPr>
          <w:p w14:paraId="58135AD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474 (32%)</w:t>
            </w:r>
          </w:p>
        </w:tc>
        <w:tc>
          <w:tcPr>
            <w:tcW w:w="795" w:type="dxa"/>
            <w:tcBorders>
              <w:top w:val="nil"/>
              <w:left w:val="nil"/>
              <w:bottom w:val="nil"/>
              <w:right w:val="single" w:sz="4" w:space="0" w:color="auto"/>
            </w:tcBorders>
            <w:shd w:val="clear" w:color="auto" w:fill="auto"/>
            <w:noWrap/>
            <w:vAlign w:val="bottom"/>
            <w:hideMark/>
          </w:tcPr>
          <w:p w14:paraId="798FFB49"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0.62</w:t>
            </w:r>
          </w:p>
        </w:tc>
        <w:tc>
          <w:tcPr>
            <w:tcW w:w="1812" w:type="dxa"/>
            <w:tcBorders>
              <w:top w:val="nil"/>
              <w:left w:val="nil"/>
              <w:bottom w:val="nil"/>
              <w:right w:val="nil"/>
            </w:tcBorders>
            <w:shd w:val="clear" w:color="auto" w:fill="auto"/>
            <w:noWrap/>
            <w:vAlign w:val="bottom"/>
            <w:hideMark/>
          </w:tcPr>
          <w:p w14:paraId="23A806E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63 (32%)</w:t>
            </w:r>
          </w:p>
        </w:tc>
        <w:tc>
          <w:tcPr>
            <w:tcW w:w="994" w:type="dxa"/>
            <w:tcBorders>
              <w:top w:val="nil"/>
              <w:left w:val="nil"/>
              <w:bottom w:val="nil"/>
              <w:right w:val="nil"/>
            </w:tcBorders>
            <w:shd w:val="clear" w:color="auto" w:fill="auto"/>
            <w:noWrap/>
            <w:vAlign w:val="bottom"/>
            <w:hideMark/>
          </w:tcPr>
          <w:p w14:paraId="001E58B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351 (29%)</w:t>
            </w:r>
          </w:p>
        </w:tc>
        <w:tc>
          <w:tcPr>
            <w:tcW w:w="880" w:type="dxa"/>
            <w:tcBorders>
              <w:top w:val="nil"/>
              <w:left w:val="nil"/>
              <w:bottom w:val="nil"/>
              <w:right w:val="single" w:sz="4" w:space="0" w:color="auto"/>
            </w:tcBorders>
            <w:shd w:val="clear" w:color="auto" w:fill="auto"/>
            <w:noWrap/>
            <w:vAlign w:val="bottom"/>
            <w:hideMark/>
          </w:tcPr>
          <w:p w14:paraId="273D2052"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0.29</w:t>
            </w:r>
          </w:p>
        </w:tc>
      </w:tr>
      <w:tr w:rsidR="006A1EE2" w14:paraId="7B6F1AAA"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7B033AF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COPD, % (n)</w:t>
            </w:r>
          </w:p>
        </w:tc>
        <w:tc>
          <w:tcPr>
            <w:tcW w:w="2328" w:type="dxa"/>
            <w:tcBorders>
              <w:top w:val="nil"/>
              <w:left w:val="nil"/>
              <w:bottom w:val="nil"/>
              <w:right w:val="nil"/>
            </w:tcBorders>
            <w:shd w:val="clear" w:color="auto" w:fill="auto"/>
            <w:noWrap/>
            <w:vAlign w:val="bottom"/>
            <w:hideMark/>
          </w:tcPr>
          <w:p w14:paraId="45FA946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70 (13%)</w:t>
            </w:r>
          </w:p>
        </w:tc>
        <w:tc>
          <w:tcPr>
            <w:tcW w:w="994" w:type="dxa"/>
            <w:tcBorders>
              <w:top w:val="nil"/>
              <w:left w:val="nil"/>
              <w:bottom w:val="nil"/>
              <w:right w:val="nil"/>
            </w:tcBorders>
            <w:shd w:val="clear" w:color="auto" w:fill="auto"/>
            <w:noWrap/>
            <w:vAlign w:val="bottom"/>
            <w:hideMark/>
          </w:tcPr>
          <w:p w14:paraId="391C694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220 (17%)</w:t>
            </w:r>
          </w:p>
        </w:tc>
        <w:tc>
          <w:tcPr>
            <w:tcW w:w="747" w:type="dxa"/>
            <w:tcBorders>
              <w:top w:val="nil"/>
              <w:left w:val="nil"/>
              <w:bottom w:val="nil"/>
              <w:right w:val="single" w:sz="4" w:space="0" w:color="auto"/>
            </w:tcBorders>
            <w:shd w:val="clear" w:color="auto" w:fill="auto"/>
            <w:noWrap/>
            <w:vAlign w:val="bottom"/>
            <w:hideMark/>
          </w:tcPr>
          <w:p w14:paraId="11FF4FD7"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0.03</w:t>
            </w:r>
          </w:p>
        </w:tc>
        <w:tc>
          <w:tcPr>
            <w:tcW w:w="1830" w:type="dxa"/>
            <w:gridSpan w:val="2"/>
            <w:tcBorders>
              <w:top w:val="nil"/>
              <w:left w:val="nil"/>
              <w:bottom w:val="nil"/>
              <w:right w:val="nil"/>
            </w:tcBorders>
            <w:shd w:val="clear" w:color="auto" w:fill="auto"/>
            <w:noWrap/>
            <w:vAlign w:val="bottom"/>
            <w:hideMark/>
          </w:tcPr>
          <w:p w14:paraId="0AA6A16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42 (13%)</w:t>
            </w:r>
          </w:p>
        </w:tc>
        <w:tc>
          <w:tcPr>
            <w:tcW w:w="994" w:type="dxa"/>
            <w:tcBorders>
              <w:top w:val="nil"/>
              <w:left w:val="nil"/>
              <w:bottom w:val="nil"/>
              <w:right w:val="nil"/>
            </w:tcBorders>
            <w:shd w:val="clear" w:color="auto" w:fill="auto"/>
            <w:noWrap/>
            <w:vAlign w:val="bottom"/>
            <w:hideMark/>
          </w:tcPr>
          <w:p w14:paraId="358BC6E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248 (17%)</w:t>
            </w:r>
          </w:p>
        </w:tc>
        <w:tc>
          <w:tcPr>
            <w:tcW w:w="795" w:type="dxa"/>
            <w:tcBorders>
              <w:top w:val="nil"/>
              <w:left w:val="nil"/>
              <w:bottom w:val="nil"/>
              <w:right w:val="single" w:sz="4" w:space="0" w:color="auto"/>
            </w:tcBorders>
            <w:shd w:val="clear" w:color="auto" w:fill="auto"/>
            <w:noWrap/>
            <w:vAlign w:val="bottom"/>
            <w:hideMark/>
          </w:tcPr>
          <w:p w14:paraId="4E59C8B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0.12</w:t>
            </w:r>
          </w:p>
        </w:tc>
        <w:tc>
          <w:tcPr>
            <w:tcW w:w="1812" w:type="dxa"/>
            <w:tcBorders>
              <w:top w:val="nil"/>
              <w:left w:val="nil"/>
              <w:bottom w:val="nil"/>
              <w:right w:val="nil"/>
            </w:tcBorders>
            <w:shd w:val="clear" w:color="auto" w:fill="auto"/>
            <w:noWrap/>
            <w:vAlign w:val="bottom"/>
            <w:hideMark/>
          </w:tcPr>
          <w:p w14:paraId="6575A43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28 (14%)</w:t>
            </w:r>
          </w:p>
        </w:tc>
        <w:tc>
          <w:tcPr>
            <w:tcW w:w="994" w:type="dxa"/>
            <w:tcBorders>
              <w:top w:val="nil"/>
              <w:left w:val="nil"/>
              <w:bottom w:val="nil"/>
              <w:right w:val="nil"/>
            </w:tcBorders>
            <w:shd w:val="clear" w:color="auto" w:fill="auto"/>
            <w:noWrap/>
            <w:vAlign w:val="bottom"/>
            <w:hideMark/>
          </w:tcPr>
          <w:p w14:paraId="6D29B15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185 (15%)</w:t>
            </w:r>
          </w:p>
        </w:tc>
        <w:tc>
          <w:tcPr>
            <w:tcW w:w="880" w:type="dxa"/>
            <w:tcBorders>
              <w:top w:val="nil"/>
              <w:left w:val="nil"/>
              <w:bottom w:val="nil"/>
              <w:right w:val="single" w:sz="4" w:space="0" w:color="auto"/>
            </w:tcBorders>
            <w:shd w:val="clear" w:color="auto" w:fill="auto"/>
            <w:noWrap/>
            <w:vAlign w:val="bottom"/>
            <w:hideMark/>
          </w:tcPr>
          <w:p w14:paraId="73861F63"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0.8</w:t>
            </w:r>
          </w:p>
        </w:tc>
      </w:tr>
      <w:tr w:rsidR="006A1EE2" w14:paraId="74F1F4F9"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705ED5C7"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Stroke</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013C346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40 (8%)</w:t>
            </w:r>
          </w:p>
        </w:tc>
        <w:tc>
          <w:tcPr>
            <w:tcW w:w="994" w:type="dxa"/>
            <w:tcBorders>
              <w:top w:val="nil"/>
              <w:left w:val="nil"/>
              <w:bottom w:val="nil"/>
              <w:right w:val="nil"/>
            </w:tcBorders>
            <w:shd w:val="clear" w:color="auto" w:fill="auto"/>
            <w:noWrap/>
            <w:vAlign w:val="bottom"/>
            <w:hideMark/>
          </w:tcPr>
          <w:p w14:paraId="7DB2DF5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122 (10%)</w:t>
            </w:r>
          </w:p>
        </w:tc>
        <w:tc>
          <w:tcPr>
            <w:tcW w:w="747" w:type="dxa"/>
            <w:tcBorders>
              <w:top w:val="nil"/>
              <w:left w:val="nil"/>
              <w:bottom w:val="nil"/>
              <w:right w:val="single" w:sz="4" w:space="0" w:color="auto"/>
            </w:tcBorders>
            <w:shd w:val="clear" w:color="auto" w:fill="auto"/>
            <w:noWrap/>
            <w:vAlign w:val="bottom"/>
            <w:hideMark/>
          </w:tcPr>
          <w:p w14:paraId="522E9526"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0.17</w:t>
            </w:r>
          </w:p>
        </w:tc>
        <w:tc>
          <w:tcPr>
            <w:tcW w:w="1830" w:type="dxa"/>
            <w:gridSpan w:val="2"/>
            <w:tcBorders>
              <w:top w:val="nil"/>
              <w:left w:val="nil"/>
              <w:bottom w:val="nil"/>
              <w:right w:val="nil"/>
            </w:tcBorders>
            <w:shd w:val="clear" w:color="auto" w:fill="auto"/>
            <w:noWrap/>
            <w:vAlign w:val="bottom"/>
            <w:hideMark/>
          </w:tcPr>
          <w:p w14:paraId="601CACF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20 (6%)</w:t>
            </w:r>
          </w:p>
        </w:tc>
        <w:tc>
          <w:tcPr>
            <w:tcW w:w="994" w:type="dxa"/>
            <w:tcBorders>
              <w:top w:val="nil"/>
              <w:left w:val="nil"/>
              <w:bottom w:val="nil"/>
              <w:right w:val="nil"/>
            </w:tcBorders>
            <w:shd w:val="clear" w:color="auto" w:fill="auto"/>
            <w:noWrap/>
            <w:vAlign w:val="bottom"/>
            <w:hideMark/>
          </w:tcPr>
          <w:p w14:paraId="4723871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142 (10%)</w:t>
            </w:r>
          </w:p>
        </w:tc>
        <w:tc>
          <w:tcPr>
            <w:tcW w:w="795" w:type="dxa"/>
            <w:tcBorders>
              <w:top w:val="nil"/>
              <w:left w:val="nil"/>
              <w:bottom w:val="nil"/>
              <w:right w:val="single" w:sz="4" w:space="0" w:color="auto"/>
            </w:tcBorders>
            <w:shd w:val="clear" w:color="auto" w:fill="auto"/>
            <w:noWrap/>
            <w:vAlign w:val="bottom"/>
            <w:hideMark/>
          </w:tcPr>
          <w:p w14:paraId="390292FD"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0.06</w:t>
            </w:r>
          </w:p>
        </w:tc>
        <w:tc>
          <w:tcPr>
            <w:tcW w:w="1812" w:type="dxa"/>
            <w:tcBorders>
              <w:top w:val="nil"/>
              <w:left w:val="nil"/>
              <w:bottom w:val="nil"/>
              <w:right w:val="nil"/>
            </w:tcBorders>
            <w:shd w:val="clear" w:color="auto" w:fill="auto"/>
            <w:noWrap/>
            <w:vAlign w:val="bottom"/>
            <w:hideMark/>
          </w:tcPr>
          <w:p w14:paraId="32CDC3A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 (6%)</w:t>
            </w:r>
          </w:p>
        </w:tc>
        <w:tc>
          <w:tcPr>
            <w:tcW w:w="994" w:type="dxa"/>
            <w:tcBorders>
              <w:top w:val="nil"/>
              <w:left w:val="nil"/>
              <w:bottom w:val="nil"/>
              <w:right w:val="nil"/>
            </w:tcBorders>
            <w:shd w:val="clear" w:color="auto" w:fill="auto"/>
            <w:noWrap/>
            <w:vAlign w:val="bottom"/>
            <w:hideMark/>
          </w:tcPr>
          <w:p w14:paraId="1AD701E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112 (9%)</w:t>
            </w:r>
          </w:p>
        </w:tc>
        <w:tc>
          <w:tcPr>
            <w:tcW w:w="880" w:type="dxa"/>
            <w:tcBorders>
              <w:top w:val="nil"/>
              <w:left w:val="nil"/>
              <w:bottom w:val="nil"/>
              <w:right w:val="single" w:sz="4" w:space="0" w:color="auto"/>
            </w:tcBorders>
            <w:shd w:val="clear" w:color="auto" w:fill="auto"/>
            <w:noWrap/>
            <w:vAlign w:val="bottom"/>
            <w:hideMark/>
          </w:tcPr>
          <w:p w14:paraId="45700162"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0.17</w:t>
            </w:r>
          </w:p>
        </w:tc>
      </w:tr>
      <w:tr w:rsidR="006A1EE2" w14:paraId="0AAD71EA"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014FF5A3"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Peripheral</w:t>
            </w:r>
            <w:proofErr w:type="spell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artery</w:t>
            </w:r>
            <w:proofErr w:type="spell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disease</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738F276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46 (9%)</w:t>
            </w:r>
          </w:p>
        </w:tc>
        <w:tc>
          <w:tcPr>
            <w:tcW w:w="994" w:type="dxa"/>
            <w:tcBorders>
              <w:top w:val="nil"/>
              <w:left w:val="nil"/>
              <w:bottom w:val="nil"/>
              <w:right w:val="nil"/>
            </w:tcBorders>
            <w:shd w:val="clear" w:color="auto" w:fill="auto"/>
            <w:noWrap/>
            <w:vAlign w:val="bottom"/>
            <w:hideMark/>
          </w:tcPr>
          <w:p w14:paraId="55E6CB2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142 (11%)</w:t>
            </w:r>
          </w:p>
        </w:tc>
        <w:tc>
          <w:tcPr>
            <w:tcW w:w="747" w:type="dxa"/>
            <w:tcBorders>
              <w:top w:val="nil"/>
              <w:left w:val="nil"/>
              <w:bottom w:val="nil"/>
              <w:right w:val="single" w:sz="4" w:space="0" w:color="auto"/>
            </w:tcBorders>
            <w:shd w:val="clear" w:color="auto" w:fill="auto"/>
            <w:noWrap/>
            <w:vAlign w:val="bottom"/>
            <w:hideMark/>
          </w:tcPr>
          <w:p w14:paraId="120C291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0.12</w:t>
            </w:r>
          </w:p>
        </w:tc>
        <w:tc>
          <w:tcPr>
            <w:tcW w:w="1830" w:type="dxa"/>
            <w:gridSpan w:val="2"/>
            <w:tcBorders>
              <w:top w:val="nil"/>
              <w:left w:val="nil"/>
              <w:bottom w:val="nil"/>
              <w:right w:val="nil"/>
            </w:tcBorders>
            <w:shd w:val="clear" w:color="auto" w:fill="auto"/>
            <w:noWrap/>
            <w:vAlign w:val="bottom"/>
            <w:hideMark/>
          </w:tcPr>
          <w:p w14:paraId="7790A78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27 (8%)</w:t>
            </w:r>
          </w:p>
        </w:tc>
        <w:tc>
          <w:tcPr>
            <w:tcW w:w="994" w:type="dxa"/>
            <w:tcBorders>
              <w:top w:val="nil"/>
              <w:left w:val="nil"/>
              <w:bottom w:val="nil"/>
              <w:right w:val="nil"/>
            </w:tcBorders>
            <w:shd w:val="clear" w:color="auto" w:fill="auto"/>
            <w:noWrap/>
            <w:vAlign w:val="bottom"/>
            <w:hideMark/>
          </w:tcPr>
          <w:p w14:paraId="0378AA6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161 (11%)</w:t>
            </w:r>
          </w:p>
        </w:tc>
        <w:tc>
          <w:tcPr>
            <w:tcW w:w="795" w:type="dxa"/>
            <w:tcBorders>
              <w:top w:val="nil"/>
              <w:left w:val="nil"/>
              <w:bottom w:val="nil"/>
              <w:right w:val="single" w:sz="4" w:space="0" w:color="auto"/>
            </w:tcBorders>
            <w:shd w:val="clear" w:color="auto" w:fill="auto"/>
            <w:noWrap/>
            <w:vAlign w:val="bottom"/>
            <w:hideMark/>
          </w:tcPr>
          <w:p w14:paraId="472E3E0F"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0.21</w:t>
            </w:r>
          </w:p>
        </w:tc>
        <w:tc>
          <w:tcPr>
            <w:tcW w:w="1812" w:type="dxa"/>
            <w:tcBorders>
              <w:top w:val="nil"/>
              <w:left w:val="nil"/>
              <w:bottom w:val="nil"/>
              <w:right w:val="nil"/>
            </w:tcBorders>
            <w:shd w:val="clear" w:color="auto" w:fill="auto"/>
            <w:noWrap/>
            <w:vAlign w:val="bottom"/>
            <w:hideMark/>
          </w:tcPr>
          <w:p w14:paraId="540F9CF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16 (8%)</w:t>
            </w:r>
          </w:p>
        </w:tc>
        <w:tc>
          <w:tcPr>
            <w:tcW w:w="994" w:type="dxa"/>
            <w:tcBorders>
              <w:top w:val="nil"/>
              <w:left w:val="nil"/>
              <w:bottom w:val="nil"/>
              <w:right w:val="nil"/>
            </w:tcBorders>
            <w:shd w:val="clear" w:color="auto" w:fill="auto"/>
            <w:noWrap/>
            <w:vAlign w:val="bottom"/>
            <w:hideMark/>
          </w:tcPr>
          <w:p w14:paraId="76058F9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121 (10%)</w:t>
            </w:r>
          </w:p>
        </w:tc>
        <w:tc>
          <w:tcPr>
            <w:tcW w:w="880" w:type="dxa"/>
            <w:tcBorders>
              <w:top w:val="nil"/>
              <w:left w:val="nil"/>
              <w:bottom w:val="nil"/>
              <w:right w:val="single" w:sz="4" w:space="0" w:color="auto"/>
            </w:tcBorders>
            <w:shd w:val="clear" w:color="auto" w:fill="auto"/>
            <w:noWrap/>
            <w:vAlign w:val="bottom"/>
            <w:hideMark/>
          </w:tcPr>
          <w:p w14:paraId="4E616D5D"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0.47</w:t>
            </w:r>
          </w:p>
        </w:tc>
      </w:tr>
      <w:tr w:rsidR="006A1EE2" w14:paraId="6ED83017"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3AF7CB6A"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Aldosterone</w:t>
            </w:r>
            <w:proofErr w:type="spellEnd"/>
            <w:r>
              <w:rPr>
                <w:rFonts w:ascii="Calibri" w:eastAsia="Times New Roman" w:hAnsi="Calibri"/>
                <w:color w:val="000000"/>
                <w:sz w:val="16"/>
                <w:szCs w:val="16"/>
              </w:rPr>
              <w:t xml:space="preserve"> </w:t>
            </w:r>
            <w:proofErr w:type="spellStart"/>
            <w:r>
              <w:rPr>
                <w:rFonts w:ascii="Calibri" w:eastAsia="Times New Roman" w:hAnsi="Calibri"/>
                <w:color w:val="000000"/>
                <w:sz w:val="16"/>
                <w:szCs w:val="16"/>
              </w:rPr>
              <w:t>antagonists</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4F437E3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267 (50%)</w:t>
            </w:r>
          </w:p>
        </w:tc>
        <w:tc>
          <w:tcPr>
            <w:tcW w:w="994" w:type="dxa"/>
            <w:tcBorders>
              <w:top w:val="nil"/>
              <w:left w:val="nil"/>
              <w:bottom w:val="nil"/>
              <w:right w:val="nil"/>
            </w:tcBorders>
            <w:shd w:val="clear" w:color="auto" w:fill="auto"/>
            <w:noWrap/>
            <w:vAlign w:val="bottom"/>
            <w:hideMark/>
          </w:tcPr>
          <w:p w14:paraId="6B4D121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719 (56%)</w:t>
            </w:r>
          </w:p>
        </w:tc>
        <w:tc>
          <w:tcPr>
            <w:tcW w:w="747" w:type="dxa"/>
            <w:tcBorders>
              <w:top w:val="nil"/>
              <w:left w:val="nil"/>
              <w:bottom w:val="nil"/>
              <w:right w:val="single" w:sz="4" w:space="0" w:color="auto"/>
            </w:tcBorders>
            <w:shd w:val="clear" w:color="auto" w:fill="auto"/>
            <w:noWrap/>
            <w:vAlign w:val="bottom"/>
            <w:hideMark/>
          </w:tcPr>
          <w:p w14:paraId="06BBD29A"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0.02</w:t>
            </w:r>
          </w:p>
        </w:tc>
        <w:tc>
          <w:tcPr>
            <w:tcW w:w="1830" w:type="dxa"/>
            <w:gridSpan w:val="2"/>
            <w:tcBorders>
              <w:top w:val="nil"/>
              <w:left w:val="nil"/>
              <w:bottom w:val="nil"/>
              <w:right w:val="nil"/>
            </w:tcBorders>
            <w:shd w:val="clear" w:color="auto" w:fill="auto"/>
            <w:noWrap/>
            <w:vAlign w:val="bottom"/>
            <w:hideMark/>
          </w:tcPr>
          <w:p w14:paraId="6E8B141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150 (47%)</w:t>
            </w:r>
          </w:p>
        </w:tc>
        <w:tc>
          <w:tcPr>
            <w:tcW w:w="994" w:type="dxa"/>
            <w:tcBorders>
              <w:top w:val="nil"/>
              <w:left w:val="nil"/>
              <w:bottom w:val="nil"/>
              <w:right w:val="nil"/>
            </w:tcBorders>
            <w:shd w:val="clear" w:color="auto" w:fill="auto"/>
            <w:noWrap/>
            <w:vAlign w:val="bottom"/>
            <w:hideMark/>
          </w:tcPr>
          <w:p w14:paraId="688FA94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836 (56%)</w:t>
            </w:r>
          </w:p>
        </w:tc>
        <w:tc>
          <w:tcPr>
            <w:tcW w:w="795" w:type="dxa"/>
            <w:tcBorders>
              <w:top w:val="nil"/>
              <w:left w:val="nil"/>
              <w:bottom w:val="nil"/>
              <w:right w:val="single" w:sz="4" w:space="0" w:color="auto"/>
            </w:tcBorders>
            <w:shd w:val="clear" w:color="auto" w:fill="auto"/>
            <w:noWrap/>
            <w:vAlign w:val="bottom"/>
            <w:hideMark/>
          </w:tcPr>
          <w:p w14:paraId="6A5CDAE2"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0.003</w:t>
            </w:r>
          </w:p>
        </w:tc>
        <w:tc>
          <w:tcPr>
            <w:tcW w:w="1812" w:type="dxa"/>
            <w:tcBorders>
              <w:top w:val="nil"/>
              <w:left w:val="nil"/>
              <w:bottom w:val="nil"/>
              <w:right w:val="nil"/>
            </w:tcBorders>
            <w:shd w:val="clear" w:color="auto" w:fill="auto"/>
            <w:noWrap/>
            <w:vAlign w:val="bottom"/>
            <w:hideMark/>
          </w:tcPr>
          <w:p w14:paraId="0745F9C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156 (80%)</w:t>
            </w:r>
          </w:p>
        </w:tc>
        <w:tc>
          <w:tcPr>
            <w:tcW w:w="994" w:type="dxa"/>
            <w:tcBorders>
              <w:top w:val="nil"/>
              <w:left w:val="nil"/>
              <w:bottom w:val="nil"/>
              <w:right w:val="nil"/>
            </w:tcBorders>
            <w:shd w:val="clear" w:color="auto" w:fill="auto"/>
            <w:noWrap/>
            <w:vAlign w:val="bottom"/>
            <w:hideMark/>
          </w:tcPr>
          <w:p w14:paraId="228B18F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621 (51%)</w:t>
            </w:r>
          </w:p>
        </w:tc>
        <w:tc>
          <w:tcPr>
            <w:tcW w:w="880" w:type="dxa"/>
            <w:tcBorders>
              <w:top w:val="nil"/>
              <w:left w:val="nil"/>
              <w:bottom w:val="nil"/>
              <w:right w:val="single" w:sz="4" w:space="0" w:color="auto"/>
            </w:tcBorders>
            <w:shd w:val="clear" w:color="auto" w:fill="auto"/>
            <w:noWrap/>
            <w:vAlign w:val="bottom"/>
            <w:hideMark/>
          </w:tcPr>
          <w:p w14:paraId="4D486F07"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&lt;0.00001</w:t>
            </w:r>
          </w:p>
        </w:tc>
      </w:tr>
      <w:tr w:rsidR="006A1EE2" w14:paraId="644D5FEC"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76B9C64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 xml:space="preserve">Loop </w:t>
            </w:r>
            <w:proofErr w:type="spellStart"/>
            <w:r>
              <w:rPr>
                <w:rFonts w:ascii="Calibri" w:eastAsia="Times New Roman" w:hAnsi="Calibri"/>
                <w:color w:val="000000"/>
                <w:sz w:val="16"/>
                <w:szCs w:val="16"/>
              </w:rPr>
              <w:t>diuretics</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4FF9AA8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526 (99%)</w:t>
            </w:r>
          </w:p>
        </w:tc>
        <w:tc>
          <w:tcPr>
            <w:tcW w:w="994" w:type="dxa"/>
            <w:tcBorders>
              <w:top w:val="nil"/>
              <w:left w:val="nil"/>
              <w:bottom w:val="nil"/>
              <w:right w:val="nil"/>
            </w:tcBorders>
            <w:shd w:val="clear" w:color="auto" w:fill="auto"/>
            <w:noWrap/>
            <w:vAlign w:val="bottom"/>
            <w:hideMark/>
          </w:tcPr>
          <w:p w14:paraId="380FD13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1268 (100%)</w:t>
            </w:r>
          </w:p>
        </w:tc>
        <w:tc>
          <w:tcPr>
            <w:tcW w:w="747" w:type="dxa"/>
            <w:tcBorders>
              <w:top w:val="nil"/>
              <w:left w:val="nil"/>
              <w:bottom w:val="nil"/>
              <w:right w:val="single" w:sz="4" w:space="0" w:color="auto"/>
            </w:tcBorders>
            <w:shd w:val="clear" w:color="auto" w:fill="auto"/>
            <w:noWrap/>
            <w:vAlign w:val="bottom"/>
            <w:hideMark/>
          </w:tcPr>
          <w:p w14:paraId="51D8F79A"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0.61</w:t>
            </w:r>
          </w:p>
        </w:tc>
        <w:tc>
          <w:tcPr>
            <w:tcW w:w="1830" w:type="dxa"/>
            <w:gridSpan w:val="2"/>
            <w:tcBorders>
              <w:top w:val="nil"/>
              <w:left w:val="nil"/>
              <w:bottom w:val="nil"/>
              <w:right w:val="nil"/>
            </w:tcBorders>
            <w:shd w:val="clear" w:color="auto" w:fill="auto"/>
            <w:noWrap/>
            <w:vAlign w:val="bottom"/>
            <w:hideMark/>
          </w:tcPr>
          <w:p w14:paraId="0B9FAEA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317 (100%)</w:t>
            </w:r>
          </w:p>
        </w:tc>
        <w:tc>
          <w:tcPr>
            <w:tcW w:w="994" w:type="dxa"/>
            <w:tcBorders>
              <w:top w:val="nil"/>
              <w:left w:val="nil"/>
              <w:bottom w:val="nil"/>
              <w:right w:val="nil"/>
            </w:tcBorders>
            <w:shd w:val="clear" w:color="auto" w:fill="auto"/>
            <w:noWrap/>
            <w:vAlign w:val="bottom"/>
            <w:hideMark/>
          </w:tcPr>
          <w:p w14:paraId="07FB2E9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1477 (100%)</w:t>
            </w:r>
          </w:p>
        </w:tc>
        <w:tc>
          <w:tcPr>
            <w:tcW w:w="795" w:type="dxa"/>
            <w:tcBorders>
              <w:top w:val="nil"/>
              <w:left w:val="nil"/>
              <w:bottom w:val="nil"/>
              <w:right w:val="single" w:sz="4" w:space="0" w:color="auto"/>
            </w:tcBorders>
            <w:shd w:val="clear" w:color="auto" w:fill="auto"/>
            <w:noWrap/>
            <w:vAlign w:val="bottom"/>
            <w:hideMark/>
          </w:tcPr>
          <w:p w14:paraId="4A37BB29"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0.7</w:t>
            </w:r>
          </w:p>
        </w:tc>
        <w:tc>
          <w:tcPr>
            <w:tcW w:w="1812" w:type="dxa"/>
            <w:tcBorders>
              <w:top w:val="nil"/>
              <w:left w:val="nil"/>
              <w:bottom w:val="nil"/>
              <w:right w:val="nil"/>
            </w:tcBorders>
            <w:shd w:val="clear" w:color="auto" w:fill="auto"/>
            <w:noWrap/>
            <w:vAlign w:val="bottom"/>
            <w:hideMark/>
          </w:tcPr>
          <w:p w14:paraId="5713FF5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194 (99%)</w:t>
            </w:r>
          </w:p>
        </w:tc>
        <w:tc>
          <w:tcPr>
            <w:tcW w:w="994" w:type="dxa"/>
            <w:tcBorders>
              <w:top w:val="nil"/>
              <w:left w:val="nil"/>
              <w:bottom w:val="nil"/>
              <w:right w:val="nil"/>
            </w:tcBorders>
            <w:shd w:val="clear" w:color="auto" w:fill="auto"/>
            <w:noWrap/>
            <w:vAlign w:val="bottom"/>
            <w:hideMark/>
          </w:tcPr>
          <w:p w14:paraId="3537989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1221 (99%)</w:t>
            </w:r>
          </w:p>
        </w:tc>
        <w:tc>
          <w:tcPr>
            <w:tcW w:w="880" w:type="dxa"/>
            <w:tcBorders>
              <w:top w:val="nil"/>
              <w:left w:val="nil"/>
              <w:bottom w:val="nil"/>
              <w:right w:val="single" w:sz="4" w:space="0" w:color="auto"/>
            </w:tcBorders>
            <w:shd w:val="clear" w:color="auto" w:fill="auto"/>
            <w:noWrap/>
            <w:vAlign w:val="bottom"/>
            <w:hideMark/>
          </w:tcPr>
          <w:p w14:paraId="30E535CA"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0.92</w:t>
            </w:r>
          </w:p>
        </w:tc>
      </w:tr>
      <w:tr w:rsidR="006A1EE2" w14:paraId="10F62153"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0765BCE6" w14:textId="77777777" w:rsidR="00582028" w:rsidRDefault="00582028">
            <w:pPr>
              <w:rPr>
                <w:rFonts w:ascii="Calibri" w:eastAsia="Times New Roman" w:hAnsi="Calibri"/>
                <w:color w:val="000000"/>
                <w:sz w:val="16"/>
                <w:szCs w:val="16"/>
              </w:rPr>
            </w:pPr>
            <w:proofErr w:type="spellStart"/>
            <w:r>
              <w:rPr>
                <w:rFonts w:ascii="Calibri" w:eastAsia="Times New Roman" w:hAnsi="Calibri"/>
                <w:color w:val="000000"/>
                <w:sz w:val="16"/>
                <w:szCs w:val="16"/>
              </w:rPr>
              <w:t>Digoxin</w:t>
            </w:r>
            <w:proofErr w:type="spellEnd"/>
            <w:r>
              <w:rPr>
                <w:rFonts w:ascii="Calibri" w:eastAsia="Times New Roman" w:hAnsi="Calibri"/>
                <w:color w:val="000000"/>
                <w:sz w:val="16"/>
                <w:szCs w:val="16"/>
              </w:rPr>
              <w:t>, % (n)</w:t>
            </w:r>
          </w:p>
        </w:tc>
        <w:tc>
          <w:tcPr>
            <w:tcW w:w="2328" w:type="dxa"/>
            <w:tcBorders>
              <w:top w:val="nil"/>
              <w:left w:val="nil"/>
              <w:bottom w:val="nil"/>
              <w:right w:val="nil"/>
            </w:tcBorders>
            <w:shd w:val="clear" w:color="auto" w:fill="auto"/>
            <w:noWrap/>
            <w:vAlign w:val="bottom"/>
            <w:hideMark/>
          </w:tcPr>
          <w:p w14:paraId="650C871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82 (16%)</w:t>
            </w:r>
          </w:p>
        </w:tc>
        <w:tc>
          <w:tcPr>
            <w:tcW w:w="994" w:type="dxa"/>
            <w:tcBorders>
              <w:top w:val="nil"/>
              <w:left w:val="nil"/>
              <w:bottom w:val="nil"/>
              <w:right w:val="nil"/>
            </w:tcBorders>
            <w:shd w:val="clear" w:color="auto" w:fill="auto"/>
            <w:noWrap/>
            <w:vAlign w:val="bottom"/>
            <w:hideMark/>
          </w:tcPr>
          <w:p w14:paraId="2CA663E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242 (19%)</w:t>
            </w:r>
          </w:p>
        </w:tc>
        <w:tc>
          <w:tcPr>
            <w:tcW w:w="747" w:type="dxa"/>
            <w:tcBorders>
              <w:top w:val="nil"/>
              <w:left w:val="nil"/>
              <w:bottom w:val="nil"/>
              <w:right w:val="single" w:sz="4" w:space="0" w:color="auto"/>
            </w:tcBorders>
            <w:shd w:val="clear" w:color="auto" w:fill="auto"/>
            <w:noWrap/>
            <w:vAlign w:val="bottom"/>
            <w:hideMark/>
          </w:tcPr>
          <w:p w14:paraId="06536EC3"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0.08</w:t>
            </w:r>
          </w:p>
        </w:tc>
        <w:tc>
          <w:tcPr>
            <w:tcW w:w="1830" w:type="dxa"/>
            <w:gridSpan w:val="2"/>
            <w:tcBorders>
              <w:top w:val="nil"/>
              <w:left w:val="nil"/>
              <w:bottom w:val="nil"/>
              <w:right w:val="nil"/>
            </w:tcBorders>
            <w:shd w:val="clear" w:color="auto" w:fill="auto"/>
            <w:noWrap/>
            <w:vAlign w:val="bottom"/>
            <w:hideMark/>
          </w:tcPr>
          <w:p w14:paraId="49CCDA2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54 (17%)</w:t>
            </w:r>
          </w:p>
        </w:tc>
        <w:tc>
          <w:tcPr>
            <w:tcW w:w="994" w:type="dxa"/>
            <w:tcBorders>
              <w:top w:val="nil"/>
              <w:left w:val="nil"/>
              <w:bottom w:val="nil"/>
              <w:right w:val="nil"/>
            </w:tcBorders>
            <w:shd w:val="clear" w:color="auto" w:fill="auto"/>
            <w:noWrap/>
            <w:vAlign w:val="bottom"/>
            <w:hideMark/>
          </w:tcPr>
          <w:p w14:paraId="52D9BD3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270 (18%)</w:t>
            </w:r>
          </w:p>
        </w:tc>
        <w:tc>
          <w:tcPr>
            <w:tcW w:w="795" w:type="dxa"/>
            <w:tcBorders>
              <w:top w:val="nil"/>
              <w:left w:val="nil"/>
              <w:bottom w:val="nil"/>
              <w:right w:val="single" w:sz="4" w:space="0" w:color="auto"/>
            </w:tcBorders>
            <w:shd w:val="clear" w:color="auto" w:fill="auto"/>
            <w:noWrap/>
            <w:vAlign w:val="bottom"/>
            <w:hideMark/>
          </w:tcPr>
          <w:p w14:paraId="063BF56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0.61</w:t>
            </w:r>
          </w:p>
        </w:tc>
        <w:tc>
          <w:tcPr>
            <w:tcW w:w="1812" w:type="dxa"/>
            <w:tcBorders>
              <w:top w:val="nil"/>
              <w:left w:val="nil"/>
              <w:bottom w:val="nil"/>
              <w:right w:val="nil"/>
            </w:tcBorders>
            <w:shd w:val="clear" w:color="auto" w:fill="auto"/>
            <w:noWrap/>
            <w:vAlign w:val="bottom"/>
            <w:hideMark/>
          </w:tcPr>
          <w:p w14:paraId="4541C91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50 (26%)</w:t>
            </w:r>
          </w:p>
        </w:tc>
        <w:tc>
          <w:tcPr>
            <w:tcW w:w="994" w:type="dxa"/>
            <w:tcBorders>
              <w:top w:val="nil"/>
              <w:left w:val="nil"/>
              <w:bottom w:val="nil"/>
              <w:right w:val="nil"/>
            </w:tcBorders>
            <w:shd w:val="clear" w:color="auto" w:fill="auto"/>
            <w:noWrap/>
            <w:vAlign w:val="bottom"/>
            <w:hideMark/>
          </w:tcPr>
          <w:p w14:paraId="07CBF69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206 (17%)</w:t>
            </w:r>
          </w:p>
        </w:tc>
        <w:tc>
          <w:tcPr>
            <w:tcW w:w="880" w:type="dxa"/>
            <w:tcBorders>
              <w:top w:val="nil"/>
              <w:left w:val="nil"/>
              <w:bottom w:val="nil"/>
              <w:right w:val="single" w:sz="4" w:space="0" w:color="auto"/>
            </w:tcBorders>
            <w:shd w:val="clear" w:color="auto" w:fill="auto"/>
            <w:noWrap/>
            <w:vAlign w:val="bottom"/>
            <w:hideMark/>
          </w:tcPr>
          <w:p w14:paraId="36C07931"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0.003</w:t>
            </w:r>
          </w:p>
        </w:tc>
      </w:tr>
      <w:tr w:rsidR="006A1EE2" w14:paraId="3BA9C19F"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4D691C6E" w14:textId="77777777" w:rsidR="00582028" w:rsidRPr="004F4BB2" w:rsidRDefault="00582028">
            <w:pPr>
              <w:rPr>
                <w:rFonts w:ascii="Calibri" w:eastAsia="Times New Roman" w:hAnsi="Calibri"/>
                <w:color w:val="000000"/>
                <w:sz w:val="16"/>
                <w:szCs w:val="16"/>
                <w:lang w:val="en-US"/>
              </w:rPr>
            </w:pPr>
            <w:proofErr w:type="spellStart"/>
            <w:r w:rsidRPr="004F4BB2">
              <w:rPr>
                <w:rFonts w:ascii="Calibri" w:eastAsia="Times New Roman" w:hAnsi="Calibri"/>
                <w:color w:val="000000"/>
                <w:sz w:val="16"/>
                <w:szCs w:val="16"/>
                <w:lang w:val="en-US"/>
              </w:rPr>
              <w:t>Haemoglobin</w:t>
            </w:r>
            <w:proofErr w:type="spellEnd"/>
            <w:r w:rsidRPr="004F4BB2">
              <w:rPr>
                <w:rFonts w:ascii="Calibri" w:eastAsia="Times New Roman" w:hAnsi="Calibri"/>
                <w:color w:val="000000"/>
                <w:sz w:val="16"/>
                <w:szCs w:val="16"/>
                <w:lang w:val="en-US"/>
              </w:rPr>
              <w:t>, g/</w:t>
            </w:r>
            <w:proofErr w:type="spellStart"/>
            <w:r w:rsidRPr="004F4BB2">
              <w:rPr>
                <w:rFonts w:ascii="Calibri" w:eastAsia="Times New Roman" w:hAnsi="Calibri"/>
                <w:color w:val="000000"/>
                <w:sz w:val="16"/>
                <w:szCs w:val="16"/>
                <w:lang w:val="en-US"/>
              </w:rPr>
              <w:t>dL</w:t>
            </w:r>
            <w:proofErr w:type="spellEnd"/>
            <w:r w:rsidRPr="004F4BB2">
              <w:rPr>
                <w:rFonts w:ascii="Calibri" w:eastAsia="Times New Roman" w:hAnsi="Calibri"/>
                <w:color w:val="000000"/>
                <w:sz w:val="16"/>
                <w:szCs w:val="16"/>
                <w:lang w:val="en-US"/>
              </w:rPr>
              <w:t>: mean (SD)</w:t>
            </w:r>
          </w:p>
        </w:tc>
        <w:tc>
          <w:tcPr>
            <w:tcW w:w="2328" w:type="dxa"/>
            <w:tcBorders>
              <w:top w:val="nil"/>
              <w:left w:val="nil"/>
              <w:bottom w:val="nil"/>
              <w:right w:val="nil"/>
            </w:tcBorders>
            <w:shd w:val="clear" w:color="auto" w:fill="auto"/>
            <w:noWrap/>
            <w:vAlign w:val="bottom"/>
            <w:hideMark/>
          </w:tcPr>
          <w:p w14:paraId="54749967"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12.69 (1.73)</w:t>
            </w:r>
          </w:p>
        </w:tc>
        <w:tc>
          <w:tcPr>
            <w:tcW w:w="994" w:type="dxa"/>
            <w:tcBorders>
              <w:top w:val="nil"/>
              <w:left w:val="nil"/>
              <w:bottom w:val="nil"/>
              <w:right w:val="nil"/>
            </w:tcBorders>
            <w:shd w:val="clear" w:color="auto" w:fill="auto"/>
            <w:noWrap/>
            <w:vAlign w:val="bottom"/>
            <w:hideMark/>
          </w:tcPr>
          <w:p w14:paraId="182DDE6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 (2)</w:t>
            </w:r>
          </w:p>
        </w:tc>
        <w:tc>
          <w:tcPr>
            <w:tcW w:w="747" w:type="dxa"/>
            <w:tcBorders>
              <w:top w:val="nil"/>
              <w:left w:val="nil"/>
              <w:bottom w:val="nil"/>
              <w:right w:val="single" w:sz="4" w:space="0" w:color="auto"/>
            </w:tcBorders>
            <w:shd w:val="clear" w:color="auto" w:fill="auto"/>
            <w:noWrap/>
            <w:vAlign w:val="bottom"/>
            <w:hideMark/>
          </w:tcPr>
          <w:p w14:paraId="32BA1B6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&lt;0.00001</w:t>
            </w:r>
          </w:p>
        </w:tc>
        <w:tc>
          <w:tcPr>
            <w:tcW w:w="1830" w:type="dxa"/>
            <w:gridSpan w:val="2"/>
            <w:tcBorders>
              <w:top w:val="nil"/>
              <w:left w:val="nil"/>
              <w:bottom w:val="nil"/>
              <w:right w:val="nil"/>
            </w:tcBorders>
            <w:shd w:val="clear" w:color="auto" w:fill="auto"/>
            <w:noWrap/>
            <w:vAlign w:val="bottom"/>
            <w:hideMark/>
          </w:tcPr>
          <w:p w14:paraId="28B99C7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12.52 (1.81)</w:t>
            </w:r>
          </w:p>
        </w:tc>
        <w:tc>
          <w:tcPr>
            <w:tcW w:w="994" w:type="dxa"/>
            <w:tcBorders>
              <w:top w:val="nil"/>
              <w:left w:val="nil"/>
              <w:bottom w:val="nil"/>
              <w:right w:val="nil"/>
            </w:tcBorders>
            <w:shd w:val="clear" w:color="auto" w:fill="auto"/>
            <w:noWrap/>
            <w:vAlign w:val="bottom"/>
            <w:hideMark/>
          </w:tcPr>
          <w:p w14:paraId="73B4C34B"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 (2)</w:t>
            </w:r>
          </w:p>
        </w:tc>
        <w:tc>
          <w:tcPr>
            <w:tcW w:w="795" w:type="dxa"/>
            <w:tcBorders>
              <w:top w:val="nil"/>
              <w:left w:val="nil"/>
              <w:bottom w:val="nil"/>
              <w:right w:val="single" w:sz="4" w:space="0" w:color="auto"/>
            </w:tcBorders>
            <w:shd w:val="clear" w:color="auto" w:fill="auto"/>
            <w:noWrap/>
            <w:vAlign w:val="bottom"/>
            <w:hideMark/>
          </w:tcPr>
          <w:p w14:paraId="78B4FF51"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0.13</w:t>
            </w:r>
          </w:p>
        </w:tc>
        <w:tc>
          <w:tcPr>
            <w:tcW w:w="1812" w:type="dxa"/>
            <w:tcBorders>
              <w:top w:val="nil"/>
              <w:left w:val="nil"/>
              <w:bottom w:val="nil"/>
              <w:right w:val="nil"/>
            </w:tcBorders>
            <w:shd w:val="clear" w:color="auto" w:fill="auto"/>
            <w:noWrap/>
            <w:vAlign w:val="bottom"/>
            <w:hideMark/>
          </w:tcPr>
          <w:p w14:paraId="52B3B5F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12.71 (1.79)</w:t>
            </w:r>
          </w:p>
        </w:tc>
        <w:tc>
          <w:tcPr>
            <w:tcW w:w="994" w:type="dxa"/>
            <w:tcBorders>
              <w:top w:val="nil"/>
              <w:left w:val="nil"/>
              <w:bottom w:val="nil"/>
              <w:right w:val="nil"/>
            </w:tcBorders>
            <w:shd w:val="clear" w:color="auto" w:fill="auto"/>
            <w:noWrap/>
            <w:vAlign w:val="bottom"/>
            <w:hideMark/>
          </w:tcPr>
          <w:p w14:paraId="5359BCF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13 (2)</w:t>
            </w:r>
          </w:p>
        </w:tc>
        <w:tc>
          <w:tcPr>
            <w:tcW w:w="880" w:type="dxa"/>
            <w:tcBorders>
              <w:top w:val="nil"/>
              <w:left w:val="nil"/>
              <w:bottom w:val="nil"/>
              <w:right w:val="single" w:sz="4" w:space="0" w:color="auto"/>
            </w:tcBorders>
            <w:shd w:val="clear" w:color="auto" w:fill="auto"/>
            <w:noWrap/>
            <w:vAlign w:val="bottom"/>
            <w:hideMark/>
          </w:tcPr>
          <w:p w14:paraId="34B26A6E"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0.14</w:t>
            </w:r>
          </w:p>
        </w:tc>
      </w:tr>
      <w:tr w:rsidR="006A1EE2" w14:paraId="0F454B05"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7A75CB6C"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 xml:space="preserve">Creatinine, </w:t>
            </w:r>
            <w:proofErr w:type="spellStart"/>
            <w:r w:rsidRPr="004F4BB2">
              <w:rPr>
                <w:rFonts w:ascii="Calibri" w:eastAsia="Times New Roman" w:hAnsi="Calibri"/>
                <w:color w:val="000000"/>
                <w:sz w:val="16"/>
                <w:szCs w:val="16"/>
                <w:lang w:val="en-US"/>
              </w:rPr>
              <w:t>Œºmol</w:t>
            </w:r>
            <w:proofErr w:type="spellEnd"/>
            <w:r w:rsidRPr="004F4BB2">
              <w:rPr>
                <w:rFonts w:ascii="Calibri" w:eastAsia="Times New Roman" w:hAnsi="Calibri"/>
                <w:color w:val="000000"/>
                <w:sz w:val="16"/>
                <w:szCs w:val="16"/>
                <w:lang w:val="en-US"/>
              </w:rPr>
              <w:t>/L: median (IQR)</w:t>
            </w:r>
          </w:p>
        </w:tc>
        <w:tc>
          <w:tcPr>
            <w:tcW w:w="2328" w:type="dxa"/>
            <w:tcBorders>
              <w:top w:val="nil"/>
              <w:left w:val="nil"/>
              <w:bottom w:val="nil"/>
              <w:right w:val="nil"/>
            </w:tcBorders>
            <w:shd w:val="clear" w:color="auto" w:fill="auto"/>
            <w:noWrap/>
            <w:vAlign w:val="bottom"/>
            <w:hideMark/>
          </w:tcPr>
          <w:p w14:paraId="1409E63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481 (470-500)</w:t>
            </w:r>
          </w:p>
        </w:tc>
        <w:tc>
          <w:tcPr>
            <w:tcW w:w="994" w:type="dxa"/>
            <w:tcBorders>
              <w:top w:val="nil"/>
              <w:left w:val="nil"/>
              <w:bottom w:val="nil"/>
              <w:right w:val="nil"/>
            </w:tcBorders>
            <w:shd w:val="clear" w:color="auto" w:fill="auto"/>
            <w:noWrap/>
            <w:vAlign w:val="bottom"/>
            <w:hideMark/>
          </w:tcPr>
          <w:p w14:paraId="5AD0DEA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491 (470-515)</w:t>
            </w:r>
          </w:p>
        </w:tc>
        <w:tc>
          <w:tcPr>
            <w:tcW w:w="747" w:type="dxa"/>
            <w:tcBorders>
              <w:top w:val="nil"/>
              <w:left w:val="nil"/>
              <w:bottom w:val="nil"/>
              <w:right w:val="single" w:sz="4" w:space="0" w:color="auto"/>
            </w:tcBorders>
            <w:shd w:val="clear" w:color="auto" w:fill="auto"/>
            <w:noWrap/>
            <w:vAlign w:val="bottom"/>
            <w:hideMark/>
          </w:tcPr>
          <w:p w14:paraId="19FAD2B6"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&lt;0.00001</w:t>
            </w:r>
          </w:p>
        </w:tc>
        <w:tc>
          <w:tcPr>
            <w:tcW w:w="1830" w:type="dxa"/>
            <w:gridSpan w:val="2"/>
            <w:tcBorders>
              <w:top w:val="nil"/>
              <w:left w:val="nil"/>
              <w:bottom w:val="nil"/>
              <w:right w:val="nil"/>
            </w:tcBorders>
            <w:shd w:val="clear" w:color="auto" w:fill="auto"/>
            <w:noWrap/>
            <w:vAlign w:val="bottom"/>
            <w:hideMark/>
          </w:tcPr>
          <w:p w14:paraId="4672576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484 (467-506)</w:t>
            </w:r>
          </w:p>
        </w:tc>
        <w:tc>
          <w:tcPr>
            <w:tcW w:w="994" w:type="dxa"/>
            <w:tcBorders>
              <w:top w:val="nil"/>
              <w:left w:val="nil"/>
              <w:bottom w:val="nil"/>
              <w:right w:val="nil"/>
            </w:tcBorders>
            <w:shd w:val="clear" w:color="auto" w:fill="auto"/>
            <w:noWrap/>
            <w:vAlign w:val="bottom"/>
            <w:hideMark/>
          </w:tcPr>
          <w:p w14:paraId="2B8ECDC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487 (467-510)</w:t>
            </w:r>
          </w:p>
        </w:tc>
        <w:tc>
          <w:tcPr>
            <w:tcW w:w="795" w:type="dxa"/>
            <w:tcBorders>
              <w:top w:val="nil"/>
              <w:left w:val="nil"/>
              <w:bottom w:val="nil"/>
              <w:right w:val="single" w:sz="4" w:space="0" w:color="auto"/>
            </w:tcBorders>
            <w:shd w:val="clear" w:color="auto" w:fill="auto"/>
            <w:noWrap/>
            <w:vAlign w:val="bottom"/>
            <w:hideMark/>
          </w:tcPr>
          <w:p w14:paraId="20780A5B"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0.19</w:t>
            </w:r>
          </w:p>
        </w:tc>
        <w:tc>
          <w:tcPr>
            <w:tcW w:w="1812" w:type="dxa"/>
            <w:tcBorders>
              <w:top w:val="nil"/>
              <w:left w:val="nil"/>
              <w:bottom w:val="nil"/>
              <w:right w:val="nil"/>
            </w:tcBorders>
            <w:shd w:val="clear" w:color="auto" w:fill="auto"/>
            <w:noWrap/>
            <w:vAlign w:val="bottom"/>
            <w:hideMark/>
          </w:tcPr>
          <w:p w14:paraId="3832031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482 (463-497)</w:t>
            </w:r>
          </w:p>
        </w:tc>
        <w:tc>
          <w:tcPr>
            <w:tcW w:w="994" w:type="dxa"/>
            <w:tcBorders>
              <w:top w:val="nil"/>
              <w:left w:val="nil"/>
              <w:bottom w:val="nil"/>
              <w:right w:val="nil"/>
            </w:tcBorders>
            <w:shd w:val="clear" w:color="auto" w:fill="auto"/>
            <w:noWrap/>
            <w:vAlign w:val="bottom"/>
            <w:hideMark/>
          </w:tcPr>
          <w:p w14:paraId="71ADBF34"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484 (463-508)</w:t>
            </w:r>
          </w:p>
        </w:tc>
        <w:tc>
          <w:tcPr>
            <w:tcW w:w="880" w:type="dxa"/>
            <w:tcBorders>
              <w:top w:val="nil"/>
              <w:left w:val="nil"/>
              <w:bottom w:val="nil"/>
              <w:right w:val="single" w:sz="4" w:space="0" w:color="auto"/>
            </w:tcBorders>
            <w:shd w:val="clear" w:color="auto" w:fill="auto"/>
            <w:noWrap/>
            <w:vAlign w:val="bottom"/>
            <w:hideMark/>
          </w:tcPr>
          <w:p w14:paraId="318D2806"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0.09</w:t>
            </w:r>
          </w:p>
        </w:tc>
      </w:tr>
      <w:tr w:rsidR="006A1EE2" w14:paraId="79322877"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705BB45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 xml:space="preserve">BUN, </w:t>
            </w:r>
            <w:proofErr w:type="spellStart"/>
            <w:r>
              <w:rPr>
                <w:rFonts w:ascii="Calibri" w:eastAsia="Times New Roman" w:hAnsi="Calibri"/>
                <w:color w:val="000000"/>
                <w:sz w:val="16"/>
                <w:szCs w:val="16"/>
              </w:rPr>
              <w:t>mmol</w:t>
            </w:r>
            <w:proofErr w:type="spellEnd"/>
            <w:r>
              <w:rPr>
                <w:rFonts w:ascii="Calibri" w:eastAsia="Times New Roman" w:hAnsi="Calibri"/>
                <w:color w:val="000000"/>
                <w:sz w:val="16"/>
                <w:szCs w:val="16"/>
              </w:rPr>
              <w:t xml:space="preserve">/L: </w:t>
            </w:r>
            <w:proofErr w:type="spellStart"/>
            <w:r>
              <w:rPr>
                <w:rFonts w:ascii="Calibri" w:eastAsia="Times New Roman" w:hAnsi="Calibri"/>
                <w:color w:val="000000"/>
                <w:sz w:val="16"/>
                <w:szCs w:val="16"/>
              </w:rPr>
              <w:t>median</w:t>
            </w:r>
            <w:proofErr w:type="spellEnd"/>
            <w:r>
              <w:rPr>
                <w:rFonts w:ascii="Calibri" w:eastAsia="Times New Roman" w:hAnsi="Calibri"/>
                <w:color w:val="000000"/>
                <w:sz w:val="16"/>
                <w:szCs w:val="16"/>
              </w:rPr>
              <w:t xml:space="preserve"> (IQR)</w:t>
            </w:r>
          </w:p>
        </w:tc>
        <w:tc>
          <w:tcPr>
            <w:tcW w:w="2328" w:type="dxa"/>
            <w:tcBorders>
              <w:top w:val="nil"/>
              <w:left w:val="nil"/>
              <w:bottom w:val="nil"/>
              <w:right w:val="nil"/>
            </w:tcBorders>
            <w:shd w:val="clear" w:color="auto" w:fill="auto"/>
            <w:noWrap/>
            <w:vAlign w:val="bottom"/>
            <w:hideMark/>
          </w:tcPr>
          <w:p w14:paraId="0921556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25.5 (24.2-31.6)</w:t>
            </w:r>
          </w:p>
        </w:tc>
        <w:tc>
          <w:tcPr>
            <w:tcW w:w="994" w:type="dxa"/>
            <w:tcBorders>
              <w:top w:val="nil"/>
              <w:left w:val="nil"/>
              <w:bottom w:val="nil"/>
              <w:right w:val="nil"/>
            </w:tcBorders>
            <w:shd w:val="clear" w:color="auto" w:fill="auto"/>
            <w:noWrap/>
            <w:vAlign w:val="bottom"/>
            <w:hideMark/>
          </w:tcPr>
          <w:p w14:paraId="5ED713E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29 (24-35)</w:t>
            </w:r>
          </w:p>
        </w:tc>
        <w:tc>
          <w:tcPr>
            <w:tcW w:w="747" w:type="dxa"/>
            <w:tcBorders>
              <w:top w:val="nil"/>
              <w:left w:val="nil"/>
              <w:bottom w:val="nil"/>
              <w:right w:val="single" w:sz="4" w:space="0" w:color="auto"/>
            </w:tcBorders>
            <w:shd w:val="clear" w:color="auto" w:fill="auto"/>
            <w:noWrap/>
            <w:vAlign w:val="bottom"/>
            <w:hideMark/>
          </w:tcPr>
          <w:p w14:paraId="7C22A468"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&lt;0.00001</w:t>
            </w:r>
          </w:p>
        </w:tc>
        <w:tc>
          <w:tcPr>
            <w:tcW w:w="1830" w:type="dxa"/>
            <w:gridSpan w:val="2"/>
            <w:tcBorders>
              <w:top w:val="nil"/>
              <w:left w:val="nil"/>
              <w:bottom w:val="nil"/>
              <w:right w:val="nil"/>
            </w:tcBorders>
            <w:shd w:val="clear" w:color="auto" w:fill="auto"/>
            <w:noWrap/>
            <w:vAlign w:val="bottom"/>
            <w:hideMark/>
          </w:tcPr>
          <w:p w14:paraId="580A2BC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26.7 (23.5-32.4)</w:t>
            </w:r>
          </w:p>
        </w:tc>
        <w:tc>
          <w:tcPr>
            <w:tcW w:w="994" w:type="dxa"/>
            <w:tcBorders>
              <w:top w:val="nil"/>
              <w:left w:val="nil"/>
              <w:bottom w:val="nil"/>
              <w:right w:val="nil"/>
            </w:tcBorders>
            <w:shd w:val="clear" w:color="auto" w:fill="auto"/>
            <w:noWrap/>
            <w:vAlign w:val="bottom"/>
            <w:hideMark/>
          </w:tcPr>
          <w:p w14:paraId="193E773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28 (23-34)</w:t>
            </w:r>
          </w:p>
        </w:tc>
        <w:tc>
          <w:tcPr>
            <w:tcW w:w="795" w:type="dxa"/>
            <w:tcBorders>
              <w:top w:val="nil"/>
              <w:left w:val="nil"/>
              <w:bottom w:val="nil"/>
              <w:right w:val="single" w:sz="4" w:space="0" w:color="auto"/>
            </w:tcBorders>
            <w:shd w:val="clear" w:color="auto" w:fill="auto"/>
            <w:noWrap/>
            <w:vAlign w:val="bottom"/>
            <w:hideMark/>
          </w:tcPr>
          <w:p w14:paraId="0C6F5CFC"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0.005</w:t>
            </w:r>
          </w:p>
        </w:tc>
        <w:tc>
          <w:tcPr>
            <w:tcW w:w="1812" w:type="dxa"/>
            <w:tcBorders>
              <w:top w:val="nil"/>
              <w:left w:val="nil"/>
              <w:bottom w:val="nil"/>
              <w:right w:val="nil"/>
            </w:tcBorders>
            <w:shd w:val="clear" w:color="auto" w:fill="auto"/>
            <w:noWrap/>
            <w:vAlign w:val="bottom"/>
            <w:hideMark/>
          </w:tcPr>
          <w:p w14:paraId="274EDC4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28 (22.7-32.5)</w:t>
            </w:r>
          </w:p>
        </w:tc>
        <w:tc>
          <w:tcPr>
            <w:tcW w:w="994" w:type="dxa"/>
            <w:tcBorders>
              <w:top w:val="nil"/>
              <w:left w:val="nil"/>
              <w:bottom w:val="nil"/>
              <w:right w:val="nil"/>
            </w:tcBorders>
            <w:shd w:val="clear" w:color="auto" w:fill="auto"/>
            <w:noWrap/>
            <w:vAlign w:val="bottom"/>
            <w:hideMark/>
          </w:tcPr>
          <w:p w14:paraId="17657A7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27 (23-33)</w:t>
            </w:r>
          </w:p>
        </w:tc>
        <w:tc>
          <w:tcPr>
            <w:tcW w:w="880" w:type="dxa"/>
            <w:tcBorders>
              <w:top w:val="nil"/>
              <w:left w:val="nil"/>
              <w:bottom w:val="nil"/>
              <w:right w:val="single" w:sz="4" w:space="0" w:color="auto"/>
            </w:tcBorders>
            <w:shd w:val="clear" w:color="auto" w:fill="auto"/>
            <w:noWrap/>
            <w:vAlign w:val="bottom"/>
            <w:hideMark/>
          </w:tcPr>
          <w:p w14:paraId="2B19006D"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0.69</w:t>
            </w:r>
          </w:p>
        </w:tc>
      </w:tr>
      <w:tr w:rsidR="006A1EE2" w14:paraId="2333909F"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14475964"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GFR MDRD formula, mL/min.1.73m2: mean (SD)</w:t>
            </w:r>
          </w:p>
        </w:tc>
        <w:tc>
          <w:tcPr>
            <w:tcW w:w="2328" w:type="dxa"/>
            <w:tcBorders>
              <w:top w:val="nil"/>
              <w:left w:val="nil"/>
              <w:bottom w:val="nil"/>
              <w:right w:val="nil"/>
            </w:tcBorders>
            <w:shd w:val="clear" w:color="auto" w:fill="auto"/>
            <w:noWrap/>
            <w:vAlign w:val="bottom"/>
            <w:hideMark/>
          </w:tcPr>
          <w:p w14:paraId="103D040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71 (22)</w:t>
            </w:r>
          </w:p>
        </w:tc>
        <w:tc>
          <w:tcPr>
            <w:tcW w:w="994" w:type="dxa"/>
            <w:tcBorders>
              <w:top w:val="nil"/>
              <w:left w:val="nil"/>
              <w:bottom w:val="nil"/>
              <w:right w:val="nil"/>
            </w:tcBorders>
            <w:shd w:val="clear" w:color="auto" w:fill="auto"/>
            <w:noWrap/>
            <w:vAlign w:val="bottom"/>
            <w:hideMark/>
          </w:tcPr>
          <w:p w14:paraId="0FD165C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64 (24)</w:t>
            </w:r>
          </w:p>
        </w:tc>
        <w:tc>
          <w:tcPr>
            <w:tcW w:w="747" w:type="dxa"/>
            <w:tcBorders>
              <w:top w:val="nil"/>
              <w:left w:val="nil"/>
              <w:bottom w:val="nil"/>
              <w:right w:val="single" w:sz="4" w:space="0" w:color="auto"/>
            </w:tcBorders>
            <w:shd w:val="clear" w:color="auto" w:fill="auto"/>
            <w:noWrap/>
            <w:vAlign w:val="bottom"/>
            <w:hideMark/>
          </w:tcPr>
          <w:p w14:paraId="6F3B45B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&lt;0.00001</w:t>
            </w:r>
          </w:p>
        </w:tc>
        <w:tc>
          <w:tcPr>
            <w:tcW w:w="1830" w:type="dxa"/>
            <w:gridSpan w:val="2"/>
            <w:tcBorders>
              <w:top w:val="nil"/>
              <w:left w:val="nil"/>
              <w:bottom w:val="nil"/>
              <w:right w:val="nil"/>
            </w:tcBorders>
            <w:shd w:val="clear" w:color="auto" w:fill="auto"/>
            <w:noWrap/>
            <w:vAlign w:val="bottom"/>
            <w:hideMark/>
          </w:tcPr>
          <w:p w14:paraId="4FEE219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68 (24)</w:t>
            </w:r>
          </w:p>
        </w:tc>
        <w:tc>
          <w:tcPr>
            <w:tcW w:w="994" w:type="dxa"/>
            <w:tcBorders>
              <w:top w:val="nil"/>
              <w:left w:val="nil"/>
              <w:bottom w:val="nil"/>
              <w:right w:val="nil"/>
            </w:tcBorders>
            <w:shd w:val="clear" w:color="auto" w:fill="auto"/>
            <w:noWrap/>
            <w:vAlign w:val="bottom"/>
            <w:hideMark/>
          </w:tcPr>
          <w:p w14:paraId="7D8BB35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65 (23)</w:t>
            </w:r>
          </w:p>
        </w:tc>
        <w:tc>
          <w:tcPr>
            <w:tcW w:w="795" w:type="dxa"/>
            <w:tcBorders>
              <w:top w:val="nil"/>
              <w:left w:val="nil"/>
              <w:bottom w:val="nil"/>
              <w:right w:val="single" w:sz="4" w:space="0" w:color="auto"/>
            </w:tcBorders>
            <w:shd w:val="clear" w:color="auto" w:fill="auto"/>
            <w:noWrap/>
            <w:vAlign w:val="bottom"/>
            <w:hideMark/>
          </w:tcPr>
          <w:p w14:paraId="736BD26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0.09</w:t>
            </w:r>
          </w:p>
        </w:tc>
        <w:tc>
          <w:tcPr>
            <w:tcW w:w="1812" w:type="dxa"/>
            <w:tcBorders>
              <w:top w:val="nil"/>
              <w:left w:val="nil"/>
              <w:bottom w:val="nil"/>
              <w:right w:val="nil"/>
            </w:tcBorders>
            <w:shd w:val="clear" w:color="auto" w:fill="auto"/>
            <w:noWrap/>
            <w:vAlign w:val="bottom"/>
            <w:hideMark/>
          </w:tcPr>
          <w:p w14:paraId="0A7332C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73 (20)</w:t>
            </w:r>
          </w:p>
        </w:tc>
        <w:tc>
          <w:tcPr>
            <w:tcW w:w="994" w:type="dxa"/>
            <w:tcBorders>
              <w:top w:val="nil"/>
              <w:left w:val="nil"/>
              <w:bottom w:val="nil"/>
              <w:right w:val="nil"/>
            </w:tcBorders>
            <w:shd w:val="clear" w:color="auto" w:fill="auto"/>
            <w:noWrap/>
            <w:vAlign w:val="bottom"/>
            <w:hideMark/>
          </w:tcPr>
          <w:p w14:paraId="006EC34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67 (23)</w:t>
            </w:r>
          </w:p>
        </w:tc>
        <w:tc>
          <w:tcPr>
            <w:tcW w:w="880" w:type="dxa"/>
            <w:tcBorders>
              <w:top w:val="nil"/>
              <w:left w:val="nil"/>
              <w:bottom w:val="nil"/>
              <w:right w:val="single" w:sz="4" w:space="0" w:color="auto"/>
            </w:tcBorders>
            <w:shd w:val="clear" w:color="auto" w:fill="auto"/>
            <w:noWrap/>
            <w:vAlign w:val="bottom"/>
            <w:hideMark/>
          </w:tcPr>
          <w:p w14:paraId="3447026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0.001</w:t>
            </w:r>
          </w:p>
        </w:tc>
      </w:tr>
      <w:tr w:rsidR="006A1EE2" w14:paraId="7C9090BA"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0C3FDE06"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 xml:space="preserve">Sodium, </w:t>
            </w:r>
            <w:proofErr w:type="spellStart"/>
            <w:r w:rsidRPr="004F4BB2">
              <w:rPr>
                <w:rFonts w:ascii="Calibri" w:eastAsia="Times New Roman" w:hAnsi="Calibri"/>
                <w:color w:val="000000"/>
                <w:sz w:val="16"/>
                <w:szCs w:val="16"/>
                <w:lang w:val="en-US"/>
              </w:rPr>
              <w:t>mmol</w:t>
            </w:r>
            <w:proofErr w:type="spellEnd"/>
            <w:r w:rsidRPr="004F4BB2">
              <w:rPr>
                <w:rFonts w:ascii="Calibri" w:eastAsia="Times New Roman" w:hAnsi="Calibri"/>
                <w:color w:val="000000"/>
                <w:sz w:val="16"/>
                <w:szCs w:val="16"/>
                <w:lang w:val="en-US"/>
              </w:rPr>
              <w:t>/L: mean (SD)</w:t>
            </w:r>
          </w:p>
        </w:tc>
        <w:tc>
          <w:tcPr>
            <w:tcW w:w="2328" w:type="dxa"/>
            <w:tcBorders>
              <w:top w:val="nil"/>
              <w:left w:val="nil"/>
              <w:bottom w:val="nil"/>
              <w:right w:val="nil"/>
            </w:tcBorders>
            <w:shd w:val="clear" w:color="auto" w:fill="auto"/>
            <w:noWrap/>
            <w:vAlign w:val="bottom"/>
            <w:hideMark/>
          </w:tcPr>
          <w:p w14:paraId="0935352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138.85 (3.55)</w:t>
            </w:r>
          </w:p>
        </w:tc>
        <w:tc>
          <w:tcPr>
            <w:tcW w:w="994" w:type="dxa"/>
            <w:tcBorders>
              <w:top w:val="nil"/>
              <w:left w:val="nil"/>
              <w:bottom w:val="nil"/>
              <w:right w:val="nil"/>
            </w:tcBorders>
            <w:shd w:val="clear" w:color="auto" w:fill="auto"/>
            <w:noWrap/>
            <w:vAlign w:val="bottom"/>
            <w:hideMark/>
          </w:tcPr>
          <w:p w14:paraId="594403DF"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138.06 (3.81)</w:t>
            </w:r>
          </w:p>
        </w:tc>
        <w:tc>
          <w:tcPr>
            <w:tcW w:w="747" w:type="dxa"/>
            <w:tcBorders>
              <w:top w:val="nil"/>
              <w:left w:val="nil"/>
              <w:bottom w:val="nil"/>
              <w:right w:val="single" w:sz="4" w:space="0" w:color="auto"/>
            </w:tcBorders>
            <w:shd w:val="clear" w:color="auto" w:fill="auto"/>
            <w:noWrap/>
            <w:vAlign w:val="bottom"/>
            <w:hideMark/>
          </w:tcPr>
          <w:p w14:paraId="21557225"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0.00004</w:t>
            </w:r>
          </w:p>
        </w:tc>
        <w:tc>
          <w:tcPr>
            <w:tcW w:w="1830" w:type="dxa"/>
            <w:gridSpan w:val="2"/>
            <w:tcBorders>
              <w:top w:val="nil"/>
              <w:left w:val="nil"/>
              <w:bottom w:val="nil"/>
              <w:right w:val="nil"/>
            </w:tcBorders>
            <w:shd w:val="clear" w:color="auto" w:fill="auto"/>
            <w:noWrap/>
            <w:vAlign w:val="bottom"/>
            <w:hideMark/>
          </w:tcPr>
          <w:p w14:paraId="6608B56E"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138.62 (3.46)</w:t>
            </w:r>
          </w:p>
        </w:tc>
        <w:tc>
          <w:tcPr>
            <w:tcW w:w="994" w:type="dxa"/>
            <w:tcBorders>
              <w:top w:val="nil"/>
              <w:left w:val="nil"/>
              <w:bottom w:val="nil"/>
              <w:right w:val="nil"/>
            </w:tcBorders>
            <w:shd w:val="clear" w:color="auto" w:fill="auto"/>
            <w:noWrap/>
            <w:vAlign w:val="bottom"/>
            <w:hideMark/>
          </w:tcPr>
          <w:p w14:paraId="77251B71"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138.22 (3.81)</w:t>
            </w:r>
          </w:p>
        </w:tc>
        <w:tc>
          <w:tcPr>
            <w:tcW w:w="795" w:type="dxa"/>
            <w:tcBorders>
              <w:top w:val="nil"/>
              <w:left w:val="nil"/>
              <w:bottom w:val="nil"/>
              <w:right w:val="single" w:sz="4" w:space="0" w:color="auto"/>
            </w:tcBorders>
            <w:shd w:val="clear" w:color="auto" w:fill="auto"/>
            <w:noWrap/>
            <w:vAlign w:val="bottom"/>
            <w:hideMark/>
          </w:tcPr>
          <w:p w14:paraId="659AC020"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0.07</w:t>
            </w:r>
          </w:p>
        </w:tc>
        <w:tc>
          <w:tcPr>
            <w:tcW w:w="1812" w:type="dxa"/>
            <w:tcBorders>
              <w:top w:val="nil"/>
              <w:left w:val="nil"/>
              <w:bottom w:val="nil"/>
              <w:right w:val="nil"/>
            </w:tcBorders>
            <w:shd w:val="clear" w:color="auto" w:fill="auto"/>
            <w:noWrap/>
            <w:vAlign w:val="bottom"/>
            <w:hideMark/>
          </w:tcPr>
          <w:p w14:paraId="7CC9720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138.56 (3.84)</w:t>
            </w:r>
          </w:p>
        </w:tc>
        <w:tc>
          <w:tcPr>
            <w:tcW w:w="994" w:type="dxa"/>
            <w:tcBorders>
              <w:top w:val="nil"/>
              <w:left w:val="nil"/>
              <w:bottom w:val="nil"/>
              <w:right w:val="nil"/>
            </w:tcBorders>
            <w:shd w:val="clear" w:color="auto" w:fill="auto"/>
            <w:noWrap/>
            <w:vAlign w:val="bottom"/>
            <w:hideMark/>
          </w:tcPr>
          <w:p w14:paraId="5729422D"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138.53 (3.6)</w:t>
            </w:r>
          </w:p>
        </w:tc>
        <w:tc>
          <w:tcPr>
            <w:tcW w:w="880" w:type="dxa"/>
            <w:tcBorders>
              <w:top w:val="nil"/>
              <w:left w:val="nil"/>
              <w:bottom w:val="nil"/>
              <w:right w:val="single" w:sz="4" w:space="0" w:color="auto"/>
            </w:tcBorders>
            <w:shd w:val="clear" w:color="auto" w:fill="auto"/>
            <w:noWrap/>
            <w:vAlign w:val="bottom"/>
            <w:hideMark/>
          </w:tcPr>
          <w:p w14:paraId="64DC9016"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0.91</w:t>
            </w:r>
          </w:p>
        </w:tc>
      </w:tr>
      <w:tr w:rsidR="006A1EE2" w14:paraId="52D932B6" w14:textId="77777777" w:rsidTr="006A1EE2">
        <w:trPr>
          <w:trHeight w:val="220"/>
        </w:trPr>
        <w:tc>
          <w:tcPr>
            <w:tcW w:w="3369" w:type="dxa"/>
            <w:tcBorders>
              <w:top w:val="nil"/>
              <w:left w:val="nil"/>
              <w:bottom w:val="nil"/>
              <w:right w:val="single" w:sz="4" w:space="0" w:color="auto"/>
            </w:tcBorders>
            <w:shd w:val="clear" w:color="auto" w:fill="auto"/>
            <w:noWrap/>
            <w:vAlign w:val="bottom"/>
            <w:hideMark/>
          </w:tcPr>
          <w:p w14:paraId="510D2F9F"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 xml:space="preserve">Potassium, </w:t>
            </w:r>
            <w:proofErr w:type="spellStart"/>
            <w:r w:rsidRPr="004F4BB2">
              <w:rPr>
                <w:rFonts w:ascii="Calibri" w:eastAsia="Times New Roman" w:hAnsi="Calibri"/>
                <w:color w:val="000000"/>
                <w:sz w:val="16"/>
                <w:szCs w:val="16"/>
                <w:lang w:val="en-US"/>
              </w:rPr>
              <w:t>mmol</w:t>
            </w:r>
            <w:proofErr w:type="spellEnd"/>
            <w:r w:rsidRPr="004F4BB2">
              <w:rPr>
                <w:rFonts w:ascii="Calibri" w:eastAsia="Times New Roman" w:hAnsi="Calibri"/>
                <w:color w:val="000000"/>
                <w:sz w:val="16"/>
                <w:szCs w:val="16"/>
                <w:lang w:val="en-US"/>
              </w:rPr>
              <w:t>/L: mean (SD)</w:t>
            </w:r>
          </w:p>
        </w:tc>
        <w:tc>
          <w:tcPr>
            <w:tcW w:w="2328" w:type="dxa"/>
            <w:tcBorders>
              <w:top w:val="nil"/>
              <w:left w:val="nil"/>
              <w:bottom w:val="nil"/>
              <w:right w:val="nil"/>
            </w:tcBorders>
            <w:shd w:val="clear" w:color="auto" w:fill="auto"/>
            <w:noWrap/>
            <w:vAlign w:val="bottom"/>
            <w:hideMark/>
          </w:tcPr>
          <w:p w14:paraId="01E8D0F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3.24 (0.53)</w:t>
            </w:r>
          </w:p>
        </w:tc>
        <w:tc>
          <w:tcPr>
            <w:tcW w:w="994" w:type="dxa"/>
            <w:tcBorders>
              <w:top w:val="nil"/>
              <w:left w:val="nil"/>
              <w:bottom w:val="nil"/>
              <w:right w:val="nil"/>
            </w:tcBorders>
            <w:shd w:val="clear" w:color="auto" w:fill="auto"/>
            <w:noWrap/>
            <w:vAlign w:val="bottom"/>
            <w:hideMark/>
          </w:tcPr>
          <w:p w14:paraId="5BA4496C"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3.29 (0.56)</w:t>
            </w:r>
          </w:p>
        </w:tc>
        <w:tc>
          <w:tcPr>
            <w:tcW w:w="747" w:type="dxa"/>
            <w:tcBorders>
              <w:top w:val="nil"/>
              <w:left w:val="nil"/>
              <w:bottom w:val="nil"/>
              <w:right w:val="single" w:sz="4" w:space="0" w:color="auto"/>
            </w:tcBorders>
            <w:shd w:val="clear" w:color="auto" w:fill="auto"/>
            <w:noWrap/>
            <w:vAlign w:val="bottom"/>
            <w:hideMark/>
          </w:tcPr>
          <w:p w14:paraId="48A1A3F4"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0.07</w:t>
            </w:r>
          </w:p>
        </w:tc>
        <w:tc>
          <w:tcPr>
            <w:tcW w:w="1830" w:type="dxa"/>
            <w:gridSpan w:val="2"/>
            <w:tcBorders>
              <w:top w:val="nil"/>
              <w:left w:val="nil"/>
              <w:bottom w:val="nil"/>
              <w:right w:val="nil"/>
            </w:tcBorders>
            <w:shd w:val="clear" w:color="auto" w:fill="auto"/>
            <w:noWrap/>
            <w:vAlign w:val="bottom"/>
            <w:hideMark/>
          </w:tcPr>
          <w:p w14:paraId="7C1BB1D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3.24 (0.51)</w:t>
            </w:r>
          </w:p>
        </w:tc>
        <w:tc>
          <w:tcPr>
            <w:tcW w:w="994" w:type="dxa"/>
            <w:tcBorders>
              <w:top w:val="nil"/>
              <w:left w:val="nil"/>
              <w:bottom w:val="nil"/>
              <w:right w:val="nil"/>
            </w:tcBorders>
            <w:shd w:val="clear" w:color="auto" w:fill="auto"/>
            <w:noWrap/>
            <w:vAlign w:val="bottom"/>
            <w:hideMark/>
          </w:tcPr>
          <w:p w14:paraId="4D81612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3.28 (0.56)</w:t>
            </w:r>
          </w:p>
        </w:tc>
        <w:tc>
          <w:tcPr>
            <w:tcW w:w="795" w:type="dxa"/>
            <w:tcBorders>
              <w:top w:val="nil"/>
              <w:left w:val="nil"/>
              <w:bottom w:val="nil"/>
              <w:right w:val="single" w:sz="4" w:space="0" w:color="auto"/>
            </w:tcBorders>
            <w:shd w:val="clear" w:color="auto" w:fill="auto"/>
            <w:noWrap/>
            <w:vAlign w:val="bottom"/>
            <w:hideMark/>
          </w:tcPr>
          <w:p w14:paraId="7779519C"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0.2</w:t>
            </w:r>
          </w:p>
        </w:tc>
        <w:tc>
          <w:tcPr>
            <w:tcW w:w="1812" w:type="dxa"/>
            <w:tcBorders>
              <w:top w:val="nil"/>
              <w:left w:val="nil"/>
              <w:bottom w:val="nil"/>
              <w:right w:val="nil"/>
            </w:tcBorders>
            <w:shd w:val="clear" w:color="auto" w:fill="auto"/>
            <w:noWrap/>
            <w:vAlign w:val="bottom"/>
            <w:hideMark/>
          </w:tcPr>
          <w:p w14:paraId="043CC736"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3.19 (0.5)</w:t>
            </w:r>
          </w:p>
        </w:tc>
        <w:tc>
          <w:tcPr>
            <w:tcW w:w="994" w:type="dxa"/>
            <w:tcBorders>
              <w:top w:val="nil"/>
              <w:left w:val="nil"/>
              <w:bottom w:val="nil"/>
              <w:right w:val="nil"/>
            </w:tcBorders>
            <w:shd w:val="clear" w:color="auto" w:fill="auto"/>
            <w:noWrap/>
            <w:vAlign w:val="bottom"/>
            <w:hideMark/>
          </w:tcPr>
          <w:p w14:paraId="2AB307B5"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3.28 (0.56)</w:t>
            </w:r>
          </w:p>
        </w:tc>
        <w:tc>
          <w:tcPr>
            <w:tcW w:w="880" w:type="dxa"/>
            <w:tcBorders>
              <w:top w:val="nil"/>
              <w:left w:val="nil"/>
              <w:bottom w:val="nil"/>
              <w:right w:val="single" w:sz="4" w:space="0" w:color="auto"/>
            </w:tcBorders>
            <w:shd w:val="clear" w:color="auto" w:fill="auto"/>
            <w:noWrap/>
            <w:vAlign w:val="bottom"/>
            <w:hideMark/>
          </w:tcPr>
          <w:p w14:paraId="313B8139"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0.01</w:t>
            </w:r>
          </w:p>
        </w:tc>
      </w:tr>
      <w:tr w:rsidR="006A1EE2" w14:paraId="24FC7191" w14:textId="77777777" w:rsidTr="006A1EE2">
        <w:trPr>
          <w:trHeight w:val="220"/>
        </w:trPr>
        <w:tc>
          <w:tcPr>
            <w:tcW w:w="3369" w:type="dxa"/>
            <w:tcBorders>
              <w:top w:val="nil"/>
              <w:left w:val="nil"/>
              <w:bottom w:val="single" w:sz="4" w:space="0" w:color="auto"/>
              <w:right w:val="single" w:sz="4" w:space="0" w:color="auto"/>
            </w:tcBorders>
            <w:shd w:val="clear" w:color="auto" w:fill="auto"/>
            <w:noWrap/>
            <w:vAlign w:val="bottom"/>
            <w:hideMark/>
          </w:tcPr>
          <w:p w14:paraId="717B4323" w14:textId="77777777" w:rsidR="00582028" w:rsidRPr="004F4BB2" w:rsidRDefault="00582028">
            <w:pPr>
              <w:rPr>
                <w:rFonts w:ascii="Calibri" w:eastAsia="Times New Roman" w:hAnsi="Calibri"/>
                <w:color w:val="000000"/>
                <w:sz w:val="16"/>
                <w:szCs w:val="16"/>
                <w:lang w:val="en-US"/>
              </w:rPr>
            </w:pPr>
            <w:r w:rsidRPr="004F4BB2">
              <w:rPr>
                <w:rFonts w:ascii="Calibri" w:eastAsia="Times New Roman" w:hAnsi="Calibri"/>
                <w:color w:val="000000"/>
                <w:sz w:val="16"/>
                <w:szCs w:val="16"/>
                <w:lang w:val="en-US"/>
              </w:rPr>
              <w:t xml:space="preserve">BNP, </w:t>
            </w:r>
            <w:proofErr w:type="spellStart"/>
            <w:r w:rsidRPr="004F4BB2">
              <w:rPr>
                <w:rFonts w:ascii="Calibri" w:eastAsia="Times New Roman" w:hAnsi="Calibri"/>
                <w:color w:val="000000"/>
                <w:sz w:val="16"/>
                <w:szCs w:val="16"/>
                <w:lang w:val="en-US"/>
              </w:rPr>
              <w:t>pg</w:t>
            </w:r>
            <w:proofErr w:type="spellEnd"/>
            <w:r w:rsidRPr="004F4BB2">
              <w:rPr>
                <w:rFonts w:ascii="Calibri" w:eastAsia="Times New Roman" w:hAnsi="Calibri"/>
                <w:color w:val="000000"/>
                <w:sz w:val="16"/>
                <w:szCs w:val="16"/>
                <w:lang w:val="en-US"/>
              </w:rPr>
              <w:t>/mL: median (IQR)</w:t>
            </w:r>
          </w:p>
        </w:tc>
        <w:tc>
          <w:tcPr>
            <w:tcW w:w="2328" w:type="dxa"/>
            <w:tcBorders>
              <w:top w:val="nil"/>
              <w:left w:val="nil"/>
              <w:bottom w:val="single" w:sz="4" w:space="0" w:color="auto"/>
              <w:right w:val="nil"/>
            </w:tcBorders>
            <w:shd w:val="clear" w:color="auto" w:fill="auto"/>
            <w:noWrap/>
            <w:vAlign w:val="bottom"/>
            <w:hideMark/>
          </w:tcPr>
          <w:p w14:paraId="20CB7972"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3931 (3624-4227)</w:t>
            </w:r>
          </w:p>
        </w:tc>
        <w:tc>
          <w:tcPr>
            <w:tcW w:w="994" w:type="dxa"/>
            <w:tcBorders>
              <w:top w:val="nil"/>
              <w:left w:val="nil"/>
              <w:bottom w:val="single" w:sz="4" w:space="0" w:color="auto"/>
              <w:right w:val="nil"/>
            </w:tcBorders>
            <w:shd w:val="clear" w:color="auto" w:fill="auto"/>
            <w:noWrap/>
            <w:vAlign w:val="bottom"/>
            <w:hideMark/>
          </w:tcPr>
          <w:p w14:paraId="38FEDB43"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4010 (3624-4438)</w:t>
            </w:r>
          </w:p>
        </w:tc>
        <w:tc>
          <w:tcPr>
            <w:tcW w:w="747" w:type="dxa"/>
            <w:tcBorders>
              <w:top w:val="nil"/>
              <w:left w:val="nil"/>
              <w:bottom w:val="single" w:sz="4" w:space="0" w:color="auto"/>
              <w:right w:val="single" w:sz="4" w:space="0" w:color="auto"/>
            </w:tcBorders>
            <w:shd w:val="clear" w:color="auto" w:fill="auto"/>
            <w:noWrap/>
            <w:vAlign w:val="bottom"/>
            <w:hideMark/>
          </w:tcPr>
          <w:p w14:paraId="242E72CE"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0.04</w:t>
            </w:r>
          </w:p>
        </w:tc>
        <w:tc>
          <w:tcPr>
            <w:tcW w:w="1830" w:type="dxa"/>
            <w:gridSpan w:val="2"/>
            <w:tcBorders>
              <w:top w:val="nil"/>
              <w:left w:val="nil"/>
              <w:bottom w:val="single" w:sz="4" w:space="0" w:color="auto"/>
              <w:right w:val="nil"/>
            </w:tcBorders>
            <w:shd w:val="clear" w:color="auto" w:fill="auto"/>
            <w:noWrap/>
            <w:vAlign w:val="bottom"/>
            <w:hideMark/>
          </w:tcPr>
          <w:p w14:paraId="24F71E08"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3966 (3496-4482)</w:t>
            </w:r>
          </w:p>
        </w:tc>
        <w:tc>
          <w:tcPr>
            <w:tcW w:w="994" w:type="dxa"/>
            <w:tcBorders>
              <w:top w:val="nil"/>
              <w:left w:val="nil"/>
              <w:bottom w:val="single" w:sz="4" w:space="0" w:color="auto"/>
              <w:right w:val="nil"/>
            </w:tcBorders>
            <w:shd w:val="clear" w:color="auto" w:fill="auto"/>
            <w:noWrap/>
            <w:vAlign w:val="bottom"/>
            <w:hideMark/>
          </w:tcPr>
          <w:p w14:paraId="3747E08A"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3984 (3496-4343)</w:t>
            </w:r>
          </w:p>
        </w:tc>
        <w:tc>
          <w:tcPr>
            <w:tcW w:w="795" w:type="dxa"/>
            <w:tcBorders>
              <w:top w:val="nil"/>
              <w:left w:val="nil"/>
              <w:bottom w:val="single" w:sz="4" w:space="0" w:color="auto"/>
              <w:right w:val="single" w:sz="4" w:space="0" w:color="auto"/>
            </w:tcBorders>
            <w:shd w:val="clear" w:color="auto" w:fill="auto"/>
            <w:noWrap/>
            <w:vAlign w:val="bottom"/>
            <w:hideMark/>
          </w:tcPr>
          <w:p w14:paraId="5B7DDA7C"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0.92</w:t>
            </w:r>
          </w:p>
        </w:tc>
        <w:tc>
          <w:tcPr>
            <w:tcW w:w="1812" w:type="dxa"/>
            <w:tcBorders>
              <w:top w:val="nil"/>
              <w:left w:val="nil"/>
              <w:bottom w:val="single" w:sz="4" w:space="0" w:color="auto"/>
              <w:right w:val="nil"/>
            </w:tcBorders>
            <w:shd w:val="clear" w:color="auto" w:fill="auto"/>
            <w:noWrap/>
            <w:vAlign w:val="bottom"/>
            <w:hideMark/>
          </w:tcPr>
          <w:p w14:paraId="0633A469"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3991 (3418-4172)</w:t>
            </w:r>
          </w:p>
        </w:tc>
        <w:tc>
          <w:tcPr>
            <w:tcW w:w="994" w:type="dxa"/>
            <w:tcBorders>
              <w:top w:val="nil"/>
              <w:left w:val="nil"/>
              <w:bottom w:val="single" w:sz="4" w:space="0" w:color="auto"/>
              <w:right w:val="nil"/>
            </w:tcBorders>
            <w:shd w:val="clear" w:color="auto" w:fill="auto"/>
            <w:noWrap/>
            <w:vAlign w:val="bottom"/>
            <w:hideMark/>
          </w:tcPr>
          <w:p w14:paraId="06371010" w14:textId="77777777" w:rsidR="00582028" w:rsidRDefault="00582028">
            <w:pPr>
              <w:rPr>
                <w:rFonts w:ascii="Calibri" w:eastAsia="Times New Roman" w:hAnsi="Calibri"/>
                <w:color w:val="000000"/>
                <w:sz w:val="16"/>
                <w:szCs w:val="16"/>
              </w:rPr>
            </w:pPr>
            <w:r>
              <w:rPr>
                <w:rFonts w:ascii="Calibri" w:eastAsia="Times New Roman" w:hAnsi="Calibri"/>
                <w:color w:val="000000"/>
                <w:sz w:val="16"/>
                <w:szCs w:val="16"/>
              </w:rPr>
              <w:t>3937 (3418-4319)</w:t>
            </w:r>
          </w:p>
        </w:tc>
        <w:tc>
          <w:tcPr>
            <w:tcW w:w="880" w:type="dxa"/>
            <w:tcBorders>
              <w:top w:val="nil"/>
              <w:left w:val="nil"/>
              <w:bottom w:val="single" w:sz="4" w:space="0" w:color="auto"/>
              <w:right w:val="single" w:sz="4" w:space="0" w:color="auto"/>
            </w:tcBorders>
            <w:shd w:val="clear" w:color="auto" w:fill="auto"/>
            <w:noWrap/>
            <w:vAlign w:val="bottom"/>
            <w:hideMark/>
          </w:tcPr>
          <w:p w14:paraId="096FE6F8" w14:textId="77777777" w:rsidR="00582028" w:rsidRDefault="00582028">
            <w:pPr>
              <w:jc w:val="right"/>
              <w:rPr>
                <w:rFonts w:ascii="Calibri" w:eastAsia="Times New Roman" w:hAnsi="Calibri"/>
                <w:color w:val="000000"/>
                <w:sz w:val="16"/>
                <w:szCs w:val="16"/>
              </w:rPr>
            </w:pPr>
            <w:r>
              <w:rPr>
                <w:rFonts w:ascii="Calibri" w:eastAsia="Times New Roman" w:hAnsi="Calibri"/>
                <w:color w:val="000000"/>
                <w:sz w:val="16"/>
                <w:szCs w:val="16"/>
              </w:rPr>
              <w:t>0.84</w:t>
            </w:r>
          </w:p>
        </w:tc>
      </w:tr>
    </w:tbl>
    <w:p w14:paraId="28324364" w14:textId="5622279A" w:rsidR="00025C98" w:rsidRPr="005069E5" w:rsidRDefault="007D5311" w:rsidP="00F93538">
      <w:pPr>
        <w:rPr>
          <w:rFonts w:eastAsia="Times New Roman"/>
          <w:color w:val="000000" w:themeColor="text1"/>
          <w:sz w:val="16"/>
          <w:szCs w:val="16"/>
          <w:lang w:val="en-US"/>
        </w:rPr>
      </w:pPr>
      <w:r w:rsidRPr="00F60220">
        <w:rPr>
          <w:color w:val="000000" w:themeColor="text1"/>
          <w:sz w:val="16"/>
          <w:szCs w:val="16"/>
          <w:lang w:val="en-US"/>
        </w:rPr>
        <w:t xml:space="preserve"> </w:t>
      </w:r>
      <w:r w:rsidR="00F3257E" w:rsidRPr="00F60220">
        <w:rPr>
          <w:color w:val="000000" w:themeColor="text1"/>
          <w:sz w:val="16"/>
          <w:szCs w:val="16"/>
          <w:lang w:val="en-US"/>
        </w:rPr>
        <w:t xml:space="preserve">BNP: brain natriuretic peptide; </w:t>
      </w:r>
      <w:r w:rsidR="00D321B9" w:rsidRPr="00F60220">
        <w:rPr>
          <w:rFonts w:eastAsia="Times New Roman"/>
          <w:color w:val="000000" w:themeColor="text1"/>
          <w:sz w:val="16"/>
          <w:szCs w:val="16"/>
          <w:lang w:val="en-US"/>
        </w:rPr>
        <w:t xml:space="preserve">BUN: blood urea nitrogen; </w:t>
      </w:r>
      <w:r w:rsidR="00F93538" w:rsidRPr="00F60220">
        <w:rPr>
          <w:rFonts w:eastAsia="Times New Roman"/>
          <w:color w:val="000000" w:themeColor="text1"/>
          <w:sz w:val="16"/>
          <w:szCs w:val="16"/>
          <w:lang w:val="en-US"/>
        </w:rPr>
        <w:t>C</w:t>
      </w:r>
      <w:r w:rsidR="00F93538" w:rsidRPr="005417D7">
        <w:rPr>
          <w:rFonts w:eastAsia="Times New Roman"/>
          <w:color w:val="000000" w:themeColor="text1"/>
          <w:sz w:val="16"/>
          <w:szCs w:val="16"/>
          <w:lang w:val="en-US"/>
        </w:rPr>
        <w:t>RT</w:t>
      </w:r>
      <w:r w:rsidR="00F93538" w:rsidRPr="00CE3A2C">
        <w:rPr>
          <w:rFonts w:eastAsia="Times New Roman"/>
          <w:color w:val="000000" w:themeColor="text1"/>
          <w:sz w:val="16"/>
          <w:szCs w:val="16"/>
          <w:lang w:val="en-US"/>
        </w:rPr>
        <w:t xml:space="preserve">: </w:t>
      </w:r>
      <w:r w:rsidR="00F93538" w:rsidRPr="00866CB9">
        <w:rPr>
          <w:rStyle w:val="Nadruk"/>
          <w:rFonts w:eastAsia="Times New Roman"/>
          <w:bCs/>
          <w:i w:val="0"/>
          <w:iCs w:val="0"/>
          <w:color w:val="000000" w:themeColor="text1"/>
          <w:sz w:val="16"/>
          <w:szCs w:val="16"/>
          <w:lang w:val="en-US"/>
        </w:rPr>
        <w:t xml:space="preserve">cardiac resynchronization </w:t>
      </w:r>
      <w:proofErr w:type="gramStart"/>
      <w:r w:rsidR="00F93538" w:rsidRPr="00866CB9">
        <w:rPr>
          <w:rStyle w:val="Nadruk"/>
          <w:rFonts w:eastAsia="Times New Roman"/>
          <w:bCs/>
          <w:i w:val="0"/>
          <w:iCs w:val="0"/>
          <w:color w:val="000000" w:themeColor="text1"/>
          <w:sz w:val="16"/>
          <w:szCs w:val="16"/>
          <w:lang w:val="en-US"/>
        </w:rPr>
        <w:t>therapy</w:t>
      </w:r>
      <w:r w:rsidR="00F93538" w:rsidRPr="00866CB9">
        <w:rPr>
          <w:rFonts w:eastAsia="Times New Roman"/>
          <w:color w:val="000000" w:themeColor="text1"/>
          <w:sz w:val="16"/>
          <w:szCs w:val="16"/>
          <w:lang w:val="en-US"/>
        </w:rPr>
        <w:t xml:space="preserve"> ;</w:t>
      </w:r>
      <w:proofErr w:type="gramEnd"/>
      <w:r w:rsidR="00F93538" w:rsidRPr="00866CB9">
        <w:rPr>
          <w:rFonts w:eastAsia="Times New Roman"/>
          <w:color w:val="000000" w:themeColor="text1"/>
          <w:sz w:val="16"/>
          <w:szCs w:val="16"/>
          <w:lang w:val="en-US"/>
        </w:rPr>
        <w:t xml:space="preserve"> </w:t>
      </w:r>
      <w:r w:rsidR="00F3257E" w:rsidRPr="00866CB9">
        <w:rPr>
          <w:rFonts w:eastAsia="Times New Roman"/>
          <w:color w:val="000000" w:themeColor="text1"/>
          <w:sz w:val="16"/>
          <w:szCs w:val="16"/>
          <w:lang w:val="en-US"/>
        </w:rPr>
        <w:t>GFR: glomerular filtration rate</w:t>
      </w:r>
      <w:r w:rsidR="00F3257E" w:rsidRPr="006F5DEC">
        <w:rPr>
          <w:color w:val="000000" w:themeColor="text1"/>
          <w:sz w:val="16"/>
          <w:szCs w:val="16"/>
          <w:lang w:val="en-US"/>
        </w:rPr>
        <w:t>;</w:t>
      </w:r>
      <w:r w:rsidR="00F93538" w:rsidRPr="006F5DEC">
        <w:rPr>
          <w:rFonts w:eastAsia="Times New Roman"/>
          <w:color w:val="000000" w:themeColor="text1"/>
          <w:sz w:val="16"/>
          <w:szCs w:val="16"/>
          <w:lang w:val="en-US"/>
        </w:rPr>
        <w:t xml:space="preserve"> ICD:</w:t>
      </w:r>
      <w:r w:rsidR="00F93538" w:rsidRPr="00607D43">
        <w:rPr>
          <w:rFonts w:eastAsia="Times New Roman"/>
          <w:color w:val="000000" w:themeColor="text1"/>
          <w:sz w:val="16"/>
          <w:szCs w:val="16"/>
          <w:shd w:val="clear" w:color="auto" w:fill="FFFFFF"/>
          <w:lang w:val="en-US"/>
        </w:rPr>
        <w:t xml:space="preserve"> implantable cardioverter-</w:t>
      </w:r>
      <w:r w:rsidR="00F93538" w:rsidRPr="00607D43">
        <w:rPr>
          <w:rFonts w:eastAsia="Times New Roman"/>
          <w:bCs/>
          <w:color w:val="000000" w:themeColor="text1"/>
          <w:sz w:val="16"/>
          <w:szCs w:val="16"/>
          <w:lang w:val="en-US"/>
        </w:rPr>
        <w:t>defibrillator</w:t>
      </w:r>
      <w:r w:rsidR="00F3257E" w:rsidRPr="00607D43">
        <w:rPr>
          <w:color w:val="000000" w:themeColor="text1"/>
          <w:sz w:val="16"/>
          <w:szCs w:val="16"/>
          <w:lang w:val="en-US"/>
        </w:rPr>
        <w:t xml:space="preserve"> IQR: interquartile range; </w:t>
      </w:r>
      <w:r w:rsidR="00F3257E" w:rsidRPr="00406193">
        <w:rPr>
          <w:rFonts w:eastAsia="Times New Roman"/>
          <w:color w:val="000000" w:themeColor="text1"/>
          <w:sz w:val="16"/>
          <w:szCs w:val="16"/>
          <w:lang w:val="en-US"/>
        </w:rPr>
        <w:t xml:space="preserve">LVEF: left ventricular ejection fraction; </w:t>
      </w:r>
      <w:r w:rsidR="00D321B9" w:rsidRPr="00B64C2A">
        <w:rPr>
          <w:rFonts w:eastAsia="Times New Roman"/>
          <w:color w:val="000000" w:themeColor="text1"/>
          <w:sz w:val="16"/>
          <w:szCs w:val="16"/>
          <w:lang w:val="en-US"/>
        </w:rPr>
        <w:t xml:space="preserve">NYHA: New York Heart Association; </w:t>
      </w:r>
      <w:r w:rsidR="00F3257E" w:rsidRPr="005069E5">
        <w:rPr>
          <w:rFonts w:eastAsia="Times New Roman"/>
          <w:color w:val="000000" w:themeColor="text1"/>
          <w:sz w:val="16"/>
          <w:szCs w:val="16"/>
          <w:lang w:val="en-US"/>
        </w:rPr>
        <w:t>N-terminal prohormone of BNP; SD: standard deviation</w:t>
      </w:r>
    </w:p>
    <w:p w14:paraId="7619F101" w14:textId="77777777" w:rsidR="003D03F6" w:rsidRDefault="003D03F6" w:rsidP="00C01D00">
      <w:pPr>
        <w:spacing w:after="160" w:line="480" w:lineRule="auto"/>
        <w:rPr>
          <w:b/>
          <w:color w:val="000000" w:themeColor="text1"/>
          <w:lang w:val="en-US"/>
        </w:rPr>
        <w:sectPr w:rsidR="003D03F6" w:rsidSect="003D03F6">
          <w:pgSz w:w="15840" w:h="12240" w:orient="landscape"/>
          <w:pgMar w:top="1440" w:right="1440" w:bottom="1440" w:left="1440" w:header="720" w:footer="720" w:gutter="0"/>
          <w:cols w:space="720"/>
          <w:docGrid w:linePitch="360"/>
        </w:sectPr>
      </w:pPr>
    </w:p>
    <w:p w14:paraId="2596F397" w14:textId="63AE5D05" w:rsidR="00025C98" w:rsidRPr="004F4BB2" w:rsidRDefault="00025C98" w:rsidP="00C01D00">
      <w:pPr>
        <w:spacing w:line="480" w:lineRule="auto"/>
        <w:rPr>
          <w:b/>
          <w:color w:val="000000" w:themeColor="text1"/>
          <w:lang w:val="en-GB"/>
        </w:rPr>
      </w:pPr>
      <w:r w:rsidRPr="004F4BB2">
        <w:rPr>
          <w:b/>
          <w:color w:val="000000" w:themeColor="text1"/>
          <w:lang w:val="en-GB"/>
        </w:rPr>
        <w:lastRenderedPageBreak/>
        <w:t xml:space="preserve">Table </w:t>
      </w:r>
      <w:r w:rsidR="0007397F" w:rsidRPr="004F4BB2">
        <w:rPr>
          <w:b/>
          <w:color w:val="000000" w:themeColor="text1"/>
          <w:lang w:val="en-GB"/>
        </w:rPr>
        <w:t>2</w:t>
      </w:r>
      <w:r w:rsidRPr="004F4BB2">
        <w:rPr>
          <w:color w:val="000000" w:themeColor="text1"/>
          <w:lang w:val="en-GB"/>
        </w:rPr>
        <w:t xml:space="preserve">: Estimation of mortality and/or heart failure hospitalizations at 24 months three </w:t>
      </w:r>
      <w:r w:rsidR="005D55AE" w:rsidRPr="004F4BB2">
        <w:rPr>
          <w:color w:val="000000" w:themeColor="text1"/>
          <w:lang w:val="en-GB"/>
        </w:rPr>
        <w:t>scenarios</w:t>
      </w:r>
      <w:r w:rsidRPr="004F4BB2">
        <w:rPr>
          <w:color w:val="000000" w:themeColor="text1"/>
          <w:lang w:val="en-GB"/>
        </w:rPr>
        <w:t>: Scenario A) if all patients are successfully up-titrated</w:t>
      </w:r>
      <w:r w:rsidR="00887CFC" w:rsidRPr="004F4BB2">
        <w:rPr>
          <w:color w:val="000000" w:themeColor="text1"/>
          <w:lang w:val="en-GB"/>
        </w:rPr>
        <w:t xml:space="preserve"> to more than 50% of recommended dose</w:t>
      </w:r>
      <w:r w:rsidRPr="004F4BB2">
        <w:rPr>
          <w:color w:val="000000" w:themeColor="text1"/>
          <w:lang w:val="en-GB"/>
        </w:rPr>
        <w:t>; scenario B) if up-titration was based on the biomarker treatment-selection model; scenario C) if no patient was successfully up-titrated for ACE-inhibitors/ARB’s.</w:t>
      </w:r>
      <w:r w:rsidR="000277EA" w:rsidRPr="004F4BB2">
        <w:rPr>
          <w:color w:val="000000" w:themeColor="text1"/>
          <w:sz w:val="16"/>
          <w:szCs w:val="16"/>
          <w:lang w:val="en-GB"/>
        </w:rPr>
        <w:t xml:space="preserve"> </w:t>
      </w:r>
    </w:p>
    <w:p w14:paraId="2B0BABAB" w14:textId="0249D648" w:rsidR="00025C98" w:rsidRPr="004F4BB2" w:rsidRDefault="00025C98" w:rsidP="00C01D00">
      <w:pPr>
        <w:spacing w:line="480" w:lineRule="auto"/>
        <w:rPr>
          <w:color w:val="000000" w:themeColor="text1"/>
          <w:lang w:val="en-GB"/>
        </w:rPr>
      </w:pPr>
    </w:p>
    <w:tbl>
      <w:tblPr>
        <w:tblStyle w:val="Tabelraster"/>
        <w:tblW w:w="9155" w:type="dxa"/>
        <w:tblLook w:val="04A0" w:firstRow="1" w:lastRow="0" w:firstColumn="1" w:lastColumn="0" w:noHBand="0" w:noVBand="1"/>
      </w:tblPr>
      <w:tblGrid>
        <w:gridCol w:w="4503"/>
        <w:gridCol w:w="1602"/>
        <w:gridCol w:w="1374"/>
        <w:gridCol w:w="1676"/>
      </w:tblGrid>
      <w:tr w:rsidR="00866CB9" w:rsidRPr="005069E5" w14:paraId="7B4E9230" w14:textId="77777777" w:rsidTr="00F31B0F">
        <w:tc>
          <w:tcPr>
            <w:tcW w:w="4503" w:type="dxa"/>
          </w:tcPr>
          <w:p w14:paraId="79C5815B" w14:textId="3397A6E7" w:rsidR="00025C98" w:rsidRPr="004F4BB2" w:rsidRDefault="00F31B0F" w:rsidP="00C01D00">
            <w:pPr>
              <w:spacing w:line="480" w:lineRule="auto"/>
              <w:rPr>
                <w:color w:val="000000" w:themeColor="text1"/>
                <w:sz w:val="16"/>
                <w:szCs w:val="16"/>
                <w:lang w:val="en-GB"/>
              </w:rPr>
            </w:pPr>
            <w:r w:rsidRPr="004F4BB2">
              <w:rPr>
                <w:b/>
                <w:color w:val="000000" w:themeColor="text1"/>
                <w:sz w:val="16"/>
                <w:szCs w:val="16"/>
                <w:lang w:val="en-GB"/>
              </w:rPr>
              <w:t>ACE-inhibitor/ARB</w:t>
            </w:r>
          </w:p>
        </w:tc>
        <w:tc>
          <w:tcPr>
            <w:tcW w:w="1602" w:type="dxa"/>
          </w:tcPr>
          <w:p w14:paraId="29006FC7" w14:textId="77777777" w:rsidR="00025C98" w:rsidRPr="004F4BB2" w:rsidRDefault="00025C98" w:rsidP="00C01D00">
            <w:pPr>
              <w:spacing w:line="480" w:lineRule="auto"/>
              <w:rPr>
                <w:b/>
                <w:color w:val="000000" w:themeColor="text1"/>
                <w:sz w:val="16"/>
                <w:szCs w:val="16"/>
                <w:lang w:val="en-GB"/>
              </w:rPr>
            </w:pPr>
            <w:r w:rsidRPr="004F4BB2">
              <w:rPr>
                <w:b/>
                <w:color w:val="000000" w:themeColor="text1"/>
                <w:sz w:val="16"/>
                <w:szCs w:val="16"/>
                <w:lang w:val="en-GB"/>
              </w:rPr>
              <w:t>Scenario A</w:t>
            </w:r>
          </w:p>
        </w:tc>
        <w:tc>
          <w:tcPr>
            <w:tcW w:w="1374" w:type="dxa"/>
          </w:tcPr>
          <w:p w14:paraId="10CCF88B" w14:textId="4C4496DD" w:rsidR="00025C98" w:rsidRPr="004F4BB2" w:rsidRDefault="00025C98" w:rsidP="00C01D00">
            <w:pPr>
              <w:spacing w:line="480" w:lineRule="auto"/>
              <w:rPr>
                <w:b/>
                <w:color w:val="000000" w:themeColor="text1"/>
                <w:sz w:val="16"/>
                <w:szCs w:val="16"/>
                <w:lang w:val="en-GB"/>
              </w:rPr>
            </w:pPr>
            <w:r w:rsidRPr="004F4BB2">
              <w:rPr>
                <w:b/>
                <w:color w:val="000000" w:themeColor="text1"/>
                <w:sz w:val="16"/>
                <w:szCs w:val="16"/>
                <w:lang w:val="en-GB"/>
              </w:rPr>
              <w:t>Scenario B</w:t>
            </w:r>
            <w:r w:rsidR="00AE2E09" w:rsidRPr="004F4BB2">
              <w:rPr>
                <w:b/>
                <w:color w:val="000000" w:themeColor="text1"/>
                <w:sz w:val="16"/>
                <w:szCs w:val="16"/>
                <w:lang w:val="en-GB"/>
              </w:rPr>
              <w:t xml:space="preserve"> </w:t>
            </w:r>
          </w:p>
        </w:tc>
        <w:tc>
          <w:tcPr>
            <w:tcW w:w="1676" w:type="dxa"/>
          </w:tcPr>
          <w:p w14:paraId="22679868" w14:textId="77777777" w:rsidR="00025C98" w:rsidRPr="004F4BB2" w:rsidRDefault="00025C98" w:rsidP="00C01D00">
            <w:pPr>
              <w:spacing w:line="480" w:lineRule="auto"/>
              <w:rPr>
                <w:b/>
                <w:color w:val="000000" w:themeColor="text1"/>
                <w:sz w:val="16"/>
                <w:szCs w:val="16"/>
                <w:lang w:val="en-GB"/>
              </w:rPr>
            </w:pPr>
            <w:r w:rsidRPr="004F4BB2">
              <w:rPr>
                <w:b/>
                <w:color w:val="000000" w:themeColor="text1"/>
                <w:sz w:val="16"/>
                <w:szCs w:val="16"/>
                <w:lang w:val="en-GB"/>
              </w:rPr>
              <w:t>Scenario C</w:t>
            </w:r>
          </w:p>
        </w:tc>
      </w:tr>
      <w:tr w:rsidR="00866CB9" w:rsidRPr="005069E5" w14:paraId="7D0C884B" w14:textId="77777777" w:rsidTr="00F31B0F">
        <w:tc>
          <w:tcPr>
            <w:tcW w:w="4503" w:type="dxa"/>
          </w:tcPr>
          <w:p w14:paraId="671EEA99" w14:textId="0430EA4D" w:rsidR="00123B69" w:rsidRPr="004F4BB2" w:rsidRDefault="00123B69" w:rsidP="00C01D00">
            <w:pPr>
              <w:spacing w:line="480" w:lineRule="auto"/>
              <w:rPr>
                <w:color w:val="000000" w:themeColor="text1"/>
                <w:sz w:val="16"/>
                <w:szCs w:val="16"/>
                <w:lang w:val="en-GB"/>
              </w:rPr>
            </w:pPr>
            <w:r w:rsidRPr="004F4BB2">
              <w:rPr>
                <w:color w:val="000000" w:themeColor="text1"/>
                <w:sz w:val="16"/>
                <w:szCs w:val="16"/>
                <w:lang w:val="en-GB"/>
              </w:rPr>
              <w:t xml:space="preserve">Estimated event rate at 24 months </w:t>
            </w:r>
          </w:p>
        </w:tc>
        <w:tc>
          <w:tcPr>
            <w:tcW w:w="1602" w:type="dxa"/>
          </w:tcPr>
          <w:p w14:paraId="281ACE71" w14:textId="511AA2A6" w:rsidR="00123B69" w:rsidRPr="004F4BB2" w:rsidRDefault="00836CFB" w:rsidP="00836CFB">
            <w:pPr>
              <w:spacing w:line="480" w:lineRule="auto"/>
              <w:rPr>
                <w:color w:val="000000" w:themeColor="text1"/>
                <w:sz w:val="16"/>
                <w:szCs w:val="16"/>
                <w:lang w:val="en-GB"/>
              </w:rPr>
            </w:pPr>
            <w:r w:rsidRPr="004F4BB2">
              <w:rPr>
                <w:color w:val="000000" w:themeColor="text1"/>
                <w:sz w:val="16"/>
                <w:szCs w:val="16"/>
                <w:lang w:val="en-GB"/>
              </w:rPr>
              <w:t>16</w:t>
            </w:r>
            <w:r w:rsidR="00123B69" w:rsidRPr="004F4BB2">
              <w:rPr>
                <w:color w:val="000000" w:themeColor="text1"/>
                <w:sz w:val="16"/>
                <w:szCs w:val="16"/>
                <w:lang w:val="en-GB"/>
              </w:rPr>
              <w:t>%</w:t>
            </w:r>
          </w:p>
        </w:tc>
        <w:tc>
          <w:tcPr>
            <w:tcW w:w="1374" w:type="dxa"/>
          </w:tcPr>
          <w:p w14:paraId="276E9D3E" w14:textId="6BEB0637" w:rsidR="00123B69" w:rsidRPr="004F4BB2" w:rsidRDefault="00836CFB" w:rsidP="00C01D00">
            <w:pPr>
              <w:spacing w:line="480" w:lineRule="auto"/>
              <w:rPr>
                <w:color w:val="000000" w:themeColor="text1"/>
                <w:sz w:val="16"/>
                <w:szCs w:val="16"/>
                <w:lang w:val="en-GB"/>
              </w:rPr>
            </w:pPr>
            <w:r w:rsidRPr="004F4BB2">
              <w:rPr>
                <w:color w:val="000000" w:themeColor="text1"/>
                <w:sz w:val="16"/>
                <w:szCs w:val="16"/>
                <w:lang w:val="en-GB"/>
              </w:rPr>
              <w:t>16</w:t>
            </w:r>
            <w:r w:rsidR="00123B69" w:rsidRPr="004F4BB2">
              <w:rPr>
                <w:color w:val="000000" w:themeColor="text1"/>
                <w:sz w:val="16"/>
                <w:szCs w:val="16"/>
                <w:lang w:val="en-GB"/>
              </w:rPr>
              <w:t>%</w:t>
            </w:r>
          </w:p>
        </w:tc>
        <w:tc>
          <w:tcPr>
            <w:tcW w:w="1676" w:type="dxa"/>
          </w:tcPr>
          <w:p w14:paraId="59932558" w14:textId="325A667D" w:rsidR="00123B69" w:rsidRPr="004F4BB2" w:rsidRDefault="00836CFB" w:rsidP="00C01D00">
            <w:pPr>
              <w:spacing w:line="480" w:lineRule="auto"/>
              <w:rPr>
                <w:color w:val="000000" w:themeColor="text1"/>
                <w:sz w:val="16"/>
                <w:szCs w:val="16"/>
                <w:lang w:val="en-GB"/>
              </w:rPr>
            </w:pPr>
            <w:r w:rsidRPr="004F4BB2">
              <w:rPr>
                <w:color w:val="000000" w:themeColor="text1"/>
                <w:sz w:val="16"/>
                <w:szCs w:val="16"/>
                <w:lang w:val="en-GB"/>
              </w:rPr>
              <w:t>26</w:t>
            </w:r>
            <w:r w:rsidR="00123B69" w:rsidRPr="004F4BB2">
              <w:rPr>
                <w:color w:val="000000" w:themeColor="text1"/>
                <w:sz w:val="16"/>
                <w:szCs w:val="16"/>
                <w:lang w:val="en-GB"/>
              </w:rPr>
              <w:t>%</w:t>
            </w:r>
          </w:p>
        </w:tc>
      </w:tr>
      <w:tr w:rsidR="00866CB9" w:rsidRPr="005069E5" w14:paraId="425115F3" w14:textId="77777777" w:rsidTr="00F31B0F">
        <w:tc>
          <w:tcPr>
            <w:tcW w:w="4503" w:type="dxa"/>
          </w:tcPr>
          <w:p w14:paraId="64D59197" w14:textId="0A9C7F83" w:rsidR="00123B69" w:rsidRPr="004F4BB2" w:rsidRDefault="00123B69" w:rsidP="00C01D00">
            <w:pPr>
              <w:spacing w:line="480" w:lineRule="auto"/>
              <w:rPr>
                <w:color w:val="000000" w:themeColor="text1"/>
                <w:sz w:val="16"/>
                <w:szCs w:val="16"/>
                <w:lang w:val="en-GB"/>
              </w:rPr>
            </w:pPr>
            <w:r w:rsidRPr="004F4BB2">
              <w:rPr>
                <w:color w:val="000000" w:themeColor="text1"/>
                <w:sz w:val="16"/>
                <w:szCs w:val="16"/>
                <w:lang w:val="en-GB"/>
              </w:rPr>
              <w:t>Estimated number of events (95% CI)</w:t>
            </w:r>
          </w:p>
        </w:tc>
        <w:tc>
          <w:tcPr>
            <w:tcW w:w="1602" w:type="dxa"/>
          </w:tcPr>
          <w:p w14:paraId="703F40DE" w14:textId="2E99EA3B" w:rsidR="00123B69" w:rsidRPr="004F4BB2" w:rsidRDefault="00287CB2" w:rsidP="00C01D00">
            <w:pPr>
              <w:tabs>
                <w:tab w:val="left" w:pos="1103"/>
              </w:tabs>
              <w:spacing w:line="480" w:lineRule="auto"/>
              <w:rPr>
                <w:color w:val="000000" w:themeColor="text1"/>
                <w:sz w:val="16"/>
                <w:szCs w:val="16"/>
                <w:lang w:val="en-GB"/>
              </w:rPr>
            </w:pPr>
            <w:r w:rsidRPr="004F4BB2">
              <w:rPr>
                <w:color w:val="000000" w:themeColor="text1"/>
                <w:sz w:val="16"/>
                <w:szCs w:val="16"/>
                <w:lang w:val="en-GB"/>
              </w:rPr>
              <w:t>297 (260-335)</w:t>
            </w:r>
          </w:p>
        </w:tc>
        <w:tc>
          <w:tcPr>
            <w:tcW w:w="1374" w:type="dxa"/>
          </w:tcPr>
          <w:p w14:paraId="45A87DE2" w14:textId="48D1AB00" w:rsidR="00123B69" w:rsidRPr="004F4BB2" w:rsidRDefault="00B71183" w:rsidP="00C01D00">
            <w:pPr>
              <w:spacing w:line="480" w:lineRule="auto"/>
              <w:rPr>
                <w:color w:val="000000" w:themeColor="text1"/>
                <w:sz w:val="16"/>
                <w:szCs w:val="16"/>
                <w:lang w:val="en-GB"/>
              </w:rPr>
            </w:pPr>
            <w:r w:rsidRPr="004F4BB2">
              <w:rPr>
                <w:color w:val="000000" w:themeColor="text1"/>
                <w:sz w:val="16"/>
                <w:szCs w:val="16"/>
                <w:lang w:val="en-GB"/>
              </w:rPr>
              <w:t>296 (260-333)</w:t>
            </w:r>
          </w:p>
        </w:tc>
        <w:tc>
          <w:tcPr>
            <w:tcW w:w="1676" w:type="dxa"/>
          </w:tcPr>
          <w:p w14:paraId="6BF21D0B" w14:textId="1C361104" w:rsidR="00123B69" w:rsidRPr="004F4BB2" w:rsidRDefault="00B71183" w:rsidP="00C01D00">
            <w:pPr>
              <w:spacing w:line="480" w:lineRule="auto"/>
              <w:rPr>
                <w:color w:val="000000" w:themeColor="text1"/>
                <w:sz w:val="16"/>
                <w:szCs w:val="16"/>
                <w:lang w:val="en-GB"/>
              </w:rPr>
            </w:pPr>
            <w:r w:rsidRPr="004F4BB2">
              <w:rPr>
                <w:color w:val="000000" w:themeColor="text1"/>
                <w:sz w:val="16"/>
                <w:szCs w:val="16"/>
                <w:lang w:val="en-GB"/>
              </w:rPr>
              <w:t>474 (438-511)</w:t>
            </w:r>
          </w:p>
        </w:tc>
      </w:tr>
      <w:tr w:rsidR="00866CB9" w:rsidRPr="005069E5" w14:paraId="277BB67D" w14:textId="77777777" w:rsidTr="00F31B0F">
        <w:tc>
          <w:tcPr>
            <w:tcW w:w="4503" w:type="dxa"/>
          </w:tcPr>
          <w:p w14:paraId="3BC3D4EF" w14:textId="3CFB71FC" w:rsidR="00123B69" w:rsidRPr="004F4BB2" w:rsidRDefault="00123B69" w:rsidP="00C01D00">
            <w:pPr>
              <w:spacing w:line="480" w:lineRule="auto"/>
              <w:rPr>
                <w:color w:val="000000" w:themeColor="text1"/>
                <w:sz w:val="16"/>
                <w:szCs w:val="16"/>
                <w:lang w:val="en-GB"/>
              </w:rPr>
            </w:pPr>
            <w:r w:rsidRPr="004F4BB2">
              <w:rPr>
                <w:color w:val="000000" w:themeColor="text1"/>
                <w:sz w:val="16"/>
                <w:szCs w:val="16"/>
                <w:lang w:val="en-GB"/>
              </w:rPr>
              <w:t>Estimated event reduction compared to scenario C (95% CI)</w:t>
            </w:r>
          </w:p>
        </w:tc>
        <w:tc>
          <w:tcPr>
            <w:tcW w:w="1602" w:type="dxa"/>
          </w:tcPr>
          <w:p w14:paraId="62CC9D81" w14:textId="27E5212A" w:rsidR="00123B69" w:rsidRPr="004F4BB2" w:rsidRDefault="00B71183" w:rsidP="00C01D00">
            <w:pPr>
              <w:tabs>
                <w:tab w:val="left" w:pos="1103"/>
              </w:tabs>
              <w:spacing w:line="480" w:lineRule="auto"/>
              <w:rPr>
                <w:color w:val="000000" w:themeColor="text1"/>
                <w:sz w:val="16"/>
                <w:szCs w:val="16"/>
                <w:lang w:val="en-GB"/>
              </w:rPr>
            </w:pPr>
            <w:r w:rsidRPr="004F4BB2">
              <w:rPr>
                <w:color w:val="000000" w:themeColor="text1"/>
                <w:sz w:val="16"/>
                <w:szCs w:val="16"/>
                <w:lang w:val="en-GB"/>
              </w:rPr>
              <w:t>177 (128-227)</w:t>
            </w:r>
          </w:p>
        </w:tc>
        <w:tc>
          <w:tcPr>
            <w:tcW w:w="1374" w:type="dxa"/>
          </w:tcPr>
          <w:p w14:paraId="5EC33F0B" w14:textId="61BB9AFE" w:rsidR="00123B69" w:rsidRPr="004F4BB2" w:rsidRDefault="00B71183" w:rsidP="00C01D00">
            <w:pPr>
              <w:spacing w:line="480" w:lineRule="auto"/>
              <w:rPr>
                <w:color w:val="000000" w:themeColor="text1"/>
                <w:sz w:val="16"/>
                <w:szCs w:val="16"/>
                <w:lang w:val="en-GB"/>
              </w:rPr>
            </w:pPr>
            <w:r w:rsidRPr="004F4BB2">
              <w:rPr>
                <w:color w:val="000000" w:themeColor="text1"/>
                <w:sz w:val="16"/>
                <w:szCs w:val="16"/>
                <w:lang w:val="en-GB"/>
              </w:rPr>
              <w:t>178 (130-226)</w:t>
            </w:r>
          </w:p>
        </w:tc>
        <w:tc>
          <w:tcPr>
            <w:tcW w:w="1676" w:type="dxa"/>
          </w:tcPr>
          <w:p w14:paraId="03567964" w14:textId="17465E26" w:rsidR="00123B69" w:rsidRPr="004F4BB2" w:rsidRDefault="00123B69" w:rsidP="00C01D00">
            <w:pPr>
              <w:spacing w:line="480" w:lineRule="auto"/>
              <w:rPr>
                <w:color w:val="000000" w:themeColor="text1"/>
                <w:sz w:val="16"/>
                <w:szCs w:val="16"/>
                <w:lang w:val="en-GB"/>
              </w:rPr>
            </w:pPr>
            <w:r w:rsidRPr="004F4BB2">
              <w:rPr>
                <w:color w:val="000000" w:themeColor="text1"/>
                <w:sz w:val="16"/>
                <w:szCs w:val="16"/>
                <w:lang w:val="en-GB"/>
              </w:rPr>
              <w:t>-</w:t>
            </w:r>
          </w:p>
        </w:tc>
      </w:tr>
      <w:tr w:rsidR="00866CB9" w:rsidRPr="005069E5" w14:paraId="209E98F8" w14:textId="77777777" w:rsidTr="00F31B0F">
        <w:tc>
          <w:tcPr>
            <w:tcW w:w="4503" w:type="dxa"/>
          </w:tcPr>
          <w:p w14:paraId="4856495D" w14:textId="1357A53B" w:rsidR="009711B3" w:rsidRPr="004F4BB2" w:rsidRDefault="0072426A" w:rsidP="00C01D00">
            <w:pPr>
              <w:spacing w:line="480" w:lineRule="auto"/>
              <w:rPr>
                <w:color w:val="000000" w:themeColor="text1"/>
                <w:sz w:val="16"/>
                <w:szCs w:val="16"/>
                <w:lang w:val="en-GB"/>
              </w:rPr>
            </w:pPr>
            <w:r w:rsidRPr="004F4BB2">
              <w:rPr>
                <w:color w:val="000000" w:themeColor="text1"/>
                <w:sz w:val="16"/>
                <w:szCs w:val="16"/>
                <w:lang w:val="en-GB"/>
              </w:rPr>
              <w:t>Estimated event reduction compared to scenario C (95% CI) per 100 treated patients</w:t>
            </w:r>
          </w:p>
        </w:tc>
        <w:tc>
          <w:tcPr>
            <w:tcW w:w="1602" w:type="dxa"/>
          </w:tcPr>
          <w:p w14:paraId="31494A48" w14:textId="4102EA59" w:rsidR="009711B3" w:rsidRPr="004F4BB2" w:rsidRDefault="00B71183" w:rsidP="00C01D00">
            <w:pPr>
              <w:tabs>
                <w:tab w:val="left" w:pos="1103"/>
              </w:tabs>
              <w:spacing w:line="480" w:lineRule="auto"/>
              <w:rPr>
                <w:color w:val="000000" w:themeColor="text1"/>
                <w:sz w:val="16"/>
                <w:szCs w:val="16"/>
                <w:lang w:val="en-GB"/>
              </w:rPr>
            </w:pPr>
            <w:r w:rsidRPr="004F4BB2">
              <w:rPr>
                <w:color w:val="000000" w:themeColor="text1"/>
                <w:sz w:val="16"/>
                <w:szCs w:val="16"/>
                <w:lang w:val="en-GB"/>
              </w:rPr>
              <w:t>9.8 (7.1-12.6)</w:t>
            </w:r>
          </w:p>
        </w:tc>
        <w:tc>
          <w:tcPr>
            <w:tcW w:w="1374" w:type="dxa"/>
          </w:tcPr>
          <w:p w14:paraId="63B3694C" w14:textId="75360000" w:rsidR="009711B3" w:rsidRPr="004F4BB2" w:rsidRDefault="00B71183" w:rsidP="00C01D00">
            <w:pPr>
              <w:spacing w:line="480" w:lineRule="auto"/>
              <w:rPr>
                <w:color w:val="000000" w:themeColor="text1"/>
                <w:sz w:val="16"/>
                <w:szCs w:val="16"/>
                <w:lang w:val="en-GB"/>
              </w:rPr>
            </w:pPr>
            <w:r w:rsidRPr="004F4BB2">
              <w:rPr>
                <w:color w:val="000000" w:themeColor="text1"/>
                <w:sz w:val="16"/>
                <w:szCs w:val="16"/>
                <w:lang w:val="en-GB"/>
              </w:rPr>
              <w:t>9.9 (7.2-12.6)</w:t>
            </w:r>
          </w:p>
        </w:tc>
        <w:tc>
          <w:tcPr>
            <w:tcW w:w="1676" w:type="dxa"/>
          </w:tcPr>
          <w:p w14:paraId="74DB6AD6" w14:textId="77777777" w:rsidR="009711B3" w:rsidRPr="004F4BB2" w:rsidRDefault="009711B3" w:rsidP="00C01D00">
            <w:pPr>
              <w:spacing w:line="480" w:lineRule="auto"/>
              <w:rPr>
                <w:color w:val="000000" w:themeColor="text1"/>
                <w:sz w:val="16"/>
                <w:szCs w:val="16"/>
                <w:lang w:val="en-GB"/>
              </w:rPr>
            </w:pPr>
          </w:p>
        </w:tc>
      </w:tr>
      <w:tr w:rsidR="00866CB9" w:rsidRPr="005069E5" w14:paraId="421E9B34" w14:textId="77777777" w:rsidTr="001D5B5F">
        <w:tc>
          <w:tcPr>
            <w:tcW w:w="9155" w:type="dxa"/>
            <w:gridSpan w:val="4"/>
          </w:tcPr>
          <w:p w14:paraId="1C5348DA" w14:textId="77777777" w:rsidR="00F31B0F" w:rsidRPr="004F4BB2" w:rsidRDefault="00F31B0F" w:rsidP="001D5B5F">
            <w:pPr>
              <w:spacing w:line="480" w:lineRule="auto"/>
              <w:rPr>
                <w:color w:val="000000" w:themeColor="text1"/>
                <w:sz w:val="16"/>
                <w:szCs w:val="16"/>
                <w:lang w:val="en-GB"/>
              </w:rPr>
            </w:pPr>
          </w:p>
        </w:tc>
      </w:tr>
      <w:tr w:rsidR="00866CB9" w:rsidRPr="005069E5" w14:paraId="0BC0CA9D" w14:textId="77777777" w:rsidTr="004F4BB2">
        <w:trPr>
          <w:trHeight w:val="394"/>
        </w:trPr>
        <w:tc>
          <w:tcPr>
            <w:tcW w:w="4503" w:type="dxa"/>
          </w:tcPr>
          <w:p w14:paraId="43D7E804" w14:textId="44B56929" w:rsidR="00F31B0F" w:rsidRPr="004F4BB2" w:rsidRDefault="00F31B0F" w:rsidP="001D5B5F">
            <w:pPr>
              <w:spacing w:line="480" w:lineRule="auto"/>
              <w:rPr>
                <w:color w:val="000000" w:themeColor="text1"/>
                <w:sz w:val="16"/>
                <w:szCs w:val="16"/>
                <w:lang w:val="en-GB"/>
              </w:rPr>
            </w:pPr>
            <w:r w:rsidRPr="004F4BB2">
              <w:rPr>
                <w:b/>
                <w:color w:val="000000" w:themeColor="text1"/>
                <w:sz w:val="16"/>
                <w:szCs w:val="16"/>
                <w:lang w:val="en-GB"/>
              </w:rPr>
              <w:t>Beta-blocker</w:t>
            </w:r>
          </w:p>
        </w:tc>
        <w:tc>
          <w:tcPr>
            <w:tcW w:w="1602" w:type="dxa"/>
          </w:tcPr>
          <w:p w14:paraId="4CECAEEE" w14:textId="77777777" w:rsidR="00F31B0F" w:rsidRPr="004F4BB2" w:rsidRDefault="00F31B0F" w:rsidP="001D5B5F">
            <w:pPr>
              <w:spacing w:line="480" w:lineRule="auto"/>
              <w:rPr>
                <w:b/>
                <w:color w:val="000000" w:themeColor="text1"/>
                <w:sz w:val="16"/>
                <w:szCs w:val="16"/>
                <w:lang w:val="en-GB"/>
              </w:rPr>
            </w:pPr>
            <w:r w:rsidRPr="004F4BB2">
              <w:rPr>
                <w:b/>
                <w:color w:val="000000" w:themeColor="text1"/>
                <w:sz w:val="16"/>
                <w:szCs w:val="16"/>
                <w:lang w:val="en-GB"/>
              </w:rPr>
              <w:t>Scenario A</w:t>
            </w:r>
          </w:p>
        </w:tc>
        <w:tc>
          <w:tcPr>
            <w:tcW w:w="1374" w:type="dxa"/>
          </w:tcPr>
          <w:p w14:paraId="2EFFB342" w14:textId="77777777" w:rsidR="00F31B0F" w:rsidRPr="004F4BB2" w:rsidRDefault="00F31B0F" w:rsidP="001D5B5F">
            <w:pPr>
              <w:spacing w:line="480" w:lineRule="auto"/>
              <w:rPr>
                <w:b/>
                <w:color w:val="000000" w:themeColor="text1"/>
                <w:sz w:val="16"/>
                <w:szCs w:val="16"/>
                <w:lang w:val="en-GB"/>
              </w:rPr>
            </w:pPr>
            <w:r w:rsidRPr="004F4BB2">
              <w:rPr>
                <w:b/>
                <w:color w:val="000000" w:themeColor="text1"/>
                <w:sz w:val="16"/>
                <w:szCs w:val="16"/>
                <w:lang w:val="en-GB"/>
              </w:rPr>
              <w:t xml:space="preserve">Scenario B </w:t>
            </w:r>
          </w:p>
        </w:tc>
        <w:tc>
          <w:tcPr>
            <w:tcW w:w="1676" w:type="dxa"/>
          </w:tcPr>
          <w:p w14:paraId="228CB9CE" w14:textId="77777777" w:rsidR="00F31B0F" w:rsidRPr="004F4BB2" w:rsidRDefault="00F31B0F" w:rsidP="001D5B5F">
            <w:pPr>
              <w:spacing w:line="480" w:lineRule="auto"/>
              <w:rPr>
                <w:b/>
                <w:color w:val="000000" w:themeColor="text1"/>
                <w:sz w:val="16"/>
                <w:szCs w:val="16"/>
                <w:lang w:val="en-GB"/>
              </w:rPr>
            </w:pPr>
            <w:r w:rsidRPr="004F4BB2">
              <w:rPr>
                <w:b/>
                <w:color w:val="000000" w:themeColor="text1"/>
                <w:sz w:val="16"/>
                <w:szCs w:val="16"/>
                <w:lang w:val="en-GB"/>
              </w:rPr>
              <w:t>Scenario C</w:t>
            </w:r>
          </w:p>
        </w:tc>
      </w:tr>
      <w:tr w:rsidR="00866CB9" w:rsidRPr="005069E5" w14:paraId="44E80CEF" w14:textId="77777777" w:rsidTr="00F31B0F">
        <w:tc>
          <w:tcPr>
            <w:tcW w:w="4503" w:type="dxa"/>
          </w:tcPr>
          <w:p w14:paraId="15D875C8" w14:textId="77777777" w:rsidR="00EE4E85" w:rsidRPr="004F4BB2" w:rsidRDefault="00EE4E85" w:rsidP="00C01D00">
            <w:pPr>
              <w:spacing w:line="480" w:lineRule="auto"/>
              <w:rPr>
                <w:color w:val="000000" w:themeColor="text1"/>
                <w:sz w:val="16"/>
                <w:szCs w:val="16"/>
                <w:lang w:val="en-GB"/>
              </w:rPr>
            </w:pPr>
            <w:r w:rsidRPr="004F4BB2">
              <w:rPr>
                <w:color w:val="000000" w:themeColor="text1"/>
                <w:sz w:val="16"/>
                <w:szCs w:val="16"/>
                <w:lang w:val="en-GB"/>
              </w:rPr>
              <w:t>Estimated event rate at 24 months</w:t>
            </w:r>
          </w:p>
        </w:tc>
        <w:tc>
          <w:tcPr>
            <w:tcW w:w="1602" w:type="dxa"/>
          </w:tcPr>
          <w:p w14:paraId="2C2B44A9" w14:textId="309E63FA" w:rsidR="00EE4E85" w:rsidRPr="004F4BB2" w:rsidRDefault="00FB3187" w:rsidP="000C626F">
            <w:pPr>
              <w:spacing w:line="480" w:lineRule="auto"/>
              <w:rPr>
                <w:color w:val="000000" w:themeColor="text1"/>
                <w:sz w:val="16"/>
                <w:szCs w:val="16"/>
                <w:lang w:val="en-GB"/>
              </w:rPr>
            </w:pPr>
            <w:r w:rsidRPr="004F4BB2">
              <w:rPr>
                <w:color w:val="000000" w:themeColor="text1"/>
                <w:sz w:val="16"/>
                <w:szCs w:val="16"/>
                <w:lang w:val="en-GB"/>
              </w:rPr>
              <w:t>23</w:t>
            </w:r>
            <w:r w:rsidR="00EE4E85" w:rsidRPr="004F4BB2">
              <w:rPr>
                <w:color w:val="000000" w:themeColor="text1"/>
                <w:sz w:val="16"/>
                <w:szCs w:val="16"/>
                <w:lang w:val="en-GB"/>
              </w:rPr>
              <w:t>%</w:t>
            </w:r>
          </w:p>
        </w:tc>
        <w:tc>
          <w:tcPr>
            <w:tcW w:w="1374" w:type="dxa"/>
          </w:tcPr>
          <w:p w14:paraId="12F5DA6B" w14:textId="6137883D" w:rsidR="00EE4E85" w:rsidRPr="004F4BB2" w:rsidRDefault="00FB3187" w:rsidP="00DB274A">
            <w:pPr>
              <w:spacing w:line="480" w:lineRule="auto"/>
              <w:rPr>
                <w:color w:val="000000" w:themeColor="text1"/>
                <w:sz w:val="16"/>
                <w:szCs w:val="16"/>
                <w:lang w:val="en-GB"/>
              </w:rPr>
            </w:pPr>
            <w:r w:rsidRPr="004F4BB2">
              <w:rPr>
                <w:color w:val="000000" w:themeColor="text1"/>
                <w:sz w:val="16"/>
                <w:szCs w:val="16"/>
                <w:lang w:val="en-GB"/>
              </w:rPr>
              <w:t>19</w:t>
            </w:r>
            <w:r w:rsidR="00EE4E85" w:rsidRPr="004F4BB2">
              <w:rPr>
                <w:color w:val="000000" w:themeColor="text1"/>
                <w:sz w:val="16"/>
                <w:szCs w:val="16"/>
                <w:lang w:val="en-GB"/>
              </w:rPr>
              <w:t>%</w:t>
            </w:r>
          </w:p>
        </w:tc>
        <w:tc>
          <w:tcPr>
            <w:tcW w:w="1676" w:type="dxa"/>
          </w:tcPr>
          <w:p w14:paraId="7CC8F83C" w14:textId="2A72786F" w:rsidR="00EE4E85" w:rsidRPr="004F4BB2" w:rsidRDefault="00FB3187" w:rsidP="00BE03D6">
            <w:pPr>
              <w:spacing w:line="480" w:lineRule="auto"/>
              <w:rPr>
                <w:color w:val="000000" w:themeColor="text1"/>
                <w:sz w:val="16"/>
                <w:szCs w:val="16"/>
                <w:lang w:val="en-GB"/>
              </w:rPr>
            </w:pPr>
            <w:r w:rsidRPr="004F4BB2">
              <w:rPr>
                <w:color w:val="000000" w:themeColor="text1"/>
                <w:sz w:val="16"/>
                <w:szCs w:val="16"/>
                <w:lang w:val="en-GB"/>
              </w:rPr>
              <w:t>24</w:t>
            </w:r>
            <w:r w:rsidR="00EE4E85" w:rsidRPr="004F4BB2">
              <w:rPr>
                <w:color w:val="000000" w:themeColor="text1"/>
                <w:sz w:val="16"/>
                <w:szCs w:val="16"/>
                <w:lang w:val="en-GB"/>
              </w:rPr>
              <w:t>%</w:t>
            </w:r>
          </w:p>
        </w:tc>
      </w:tr>
      <w:tr w:rsidR="00866CB9" w:rsidRPr="005069E5" w14:paraId="614C6210" w14:textId="77777777" w:rsidTr="00F31B0F">
        <w:tc>
          <w:tcPr>
            <w:tcW w:w="4503" w:type="dxa"/>
          </w:tcPr>
          <w:p w14:paraId="1544FF79" w14:textId="61935B68" w:rsidR="00EE4E85" w:rsidRPr="004F4BB2" w:rsidRDefault="00EE4E85" w:rsidP="00C01D00">
            <w:pPr>
              <w:spacing w:line="480" w:lineRule="auto"/>
              <w:rPr>
                <w:color w:val="000000" w:themeColor="text1"/>
                <w:sz w:val="16"/>
                <w:szCs w:val="16"/>
                <w:lang w:val="en-GB"/>
              </w:rPr>
            </w:pPr>
            <w:r w:rsidRPr="004F4BB2">
              <w:rPr>
                <w:color w:val="000000" w:themeColor="text1"/>
                <w:sz w:val="16"/>
                <w:szCs w:val="16"/>
                <w:lang w:val="en-GB"/>
              </w:rPr>
              <w:t>Estimated number of events (95% CI)</w:t>
            </w:r>
          </w:p>
        </w:tc>
        <w:tc>
          <w:tcPr>
            <w:tcW w:w="1602" w:type="dxa"/>
          </w:tcPr>
          <w:p w14:paraId="130985D9" w14:textId="07CFA43F" w:rsidR="00EE4E85" w:rsidRPr="004F4BB2" w:rsidRDefault="00B61999" w:rsidP="00551FB8">
            <w:pPr>
              <w:tabs>
                <w:tab w:val="left" w:pos="1103"/>
              </w:tabs>
              <w:spacing w:line="480" w:lineRule="auto"/>
              <w:rPr>
                <w:color w:val="000000" w:themeColor="text1"/>
                <w:sz w:val="16"/>
                <w:szCs w:val="16"/>
                <w:lang w:val="en-GB"/>
              </w:rPr>
            </w:pPr>
            <w:r w:rsidRPr="004F4BB2">
              <w:rPr>
                <w:color w:val="000000" w:themeColor="text1"/>
                <w:sz w:val="16"/>
                <w:szCs w:val="16"/>
                <w:lang w:val="en-GB"/>
              </w:rPr>
              <w:t>404 (332-477)</w:t>
            </w:r>
          </w:p>
        </w:tc>
        <w:tc>
          <w:tcPr>
            <w:tcW w:w="1374" w:type="dxa"/>
          </w:tcPr>
          <w:p w14:paraId="6F6094D8" w14:textId="0482FFDD" w:rsidR="00EE4E85" w:rsidRPr="004F4BB2" w:rsidRDefault="00B61999" w:rsidP="00C01D00">
            <w:pPr>
              <w:spacing w:line="480" w:lineRule="auto"/>
              <w:rPr>
                <w:color w:val="000000" w:themeColor="text1"/>
                <w:sz w:val="16"/>
                <w:szCs w:val="16"/>
                <w:lang w:val="en-GB"/>
              </w:rPr>
            </w:pPr>
            <w:r w:rsidRPr="004F4BB2">
              <w:rPr>
                <w:color w:val="000000" w:themeColor="text1"/>
                <w:sz w:val="16"/>
                <w:szCs w:val="16"/>
                <w:lang w:val="en-GB"/>
              </w:rPr>
              <w:t>345 (300-389)</w:t>
            </w:r>
          </w:p>
        </w:tc>
        <w:tc>
          <w:tcPr>
            <w:tcW w:w="1676" w:type="dxa"/>
          </w:tcPr>
          <w:p w14:paraId="673B1974" w14:textId="6D528978" w:rsidR="00EE4E85" w:rsidRPr="004F4BB2" w:rsidRDefault="00B61999" w:rsidP="00551FB8">
            <w:pPr>
              <w:spacing w:line="480" w:lineRule="auto"/>
              <w:rPr>
                <w:color w:val="000000" w:themeColor="text1"/>
                <w:sz w:val="16"/>
                <w:szCs w:val="16"/>
                <w:lang w:val="en-GB"/>
              </w:rPr>
            </w:pPr>
            <w:r w:rsidRPr="004F4BB2">
              <w:rPr>
                <w:color w:val="000000" w:themeColor="text1"/>
                <w:sz w:val="16"/>
                <w:szCs w:val="16"/>
                <w:lang w:val="en-GB"/>
              </w:rPr>
              <w:t>428 (391-466)</w:t>
            </w:r>
          </w:p>
        </w:tc>
      </w:tr>
      <w:tr w:rsidR="00866CB9" w:rsidRPr="005069E5" w14:paraId="3D28D80B" w14:textId="77777777" w:rsidTr="00BE03D6">
        <w:tc>
          <w:tcPr>
            <w:tcW w:w="4503" w:type="dxa"/>
          </w:tcPr>
          <w:p w14:paraId="4A5AE15E" w14:textId="7C526336" w:rsidR="00EE4E85" w:rsidRPr="004F4BB2" w:rsidRDefault="00EE4E85" w:rsidP="00C01D00">
            <w:pPr>
              <w:spacing w:line="480" w:lineRule="auto"/>
              <w:rPr>
                <w:color w:val="000000" w:themeColor="text1"/>
                <w:sz w:val="16"/>
                <w:szCs w:val="16"/>
                <w:lang w:val="en-GB"/>
              </w:rPr>
            </w:pPr>
            <w:r w:rsidRPr="004F4BB2">
              <w:rPr>
                <w:color w:val="000000" w:themeColor="text1"/>
                <w:sz w:val="16"/>
                <w:szCs w:val="16"/>
                <w:lang w:val="en-GB"/>
              </w:rPr>
              <w:t>Estimated event reduction compared to scenario C (95% CI)</w:t>
            </w:r>
          </w:p>
        </w:tc>
        <w:tc>
          <w:tcPr>
            <w:tcW w:w="1602" w:type="dxa"/>
          </w:tcPr>
          <w:p w14:paraId="1B84C006" w14:textId="1270ADFE" w:rsidR="00EE4E85" w:rsidRPr="004F4BB2" w:rsidRDefault="00B61999" w:rsidP="00C01D00">
            <w:pPr>
              <w:tabs>
                <w:tab w:val="left" w:pos="1103"/>
              </w:tabs>
              <w:spacing w:line="480" w:lineRule="auto"/>
              <w:rPr>
                <w:color w:val="000000" w:themeColor="text1"/>
                <w:sz w:val="16"/>
                <w:szCs w:val="16"/>
                <w:lang w:val="en-GB"/>
              </w:rPr>
            </w:pPr>
            <w:r w:rsidRPr="004F4BB2">
              <w:rPr>
                <w:color w:val="000000" w:themeColor="text1"/>
                <w:sz w:val="16"/>
                <w:szCs w:val="16"/>
                <w:lang w:val="en-GB"/>
              </w:rPr>
              <w:t>24 (-54-102.55)</w:t>
            </w:r>
          </w:p>
        </w:tc>
        <w:tc>
          <w:tcPr>
            <w:tcW w:w="1374" w:type="dxa"/>
          </w:tcPr>
          <w:p w14:paraId="4EC756BC" w14:textId="43DCB67D" w:rsidR="00EE4E85" w:rsidRPr="004F4BB2" w:rsidRDefault="00B61999" w:rsidP="00C01D00">
            <w:pPr>
              <w:spacing w:line="480" w:lineRule="auto"/>
              <w:rPr>
                <w:color w:val="000000" w:themeColor="text1"/>
                <w:sz w:val="16"/>
                <w:szCs w:val="16"/>
                <w:lang w:val="en-GB"/>
              </w:rPr>
            </w:pPr>
            <w:r w:rsidRPr="004F4BB2">
              <w:rPr>
                <w:color w:val="000000" w:themeColor="text1"/>
                <w:sz w:val="16"/>
                <w:szCs w:val="16"/>
                <w:lang w:val="en-GB"/>
              </w:rPr>
              <w:t>84 (40-128)</w:t>
            </w:r>
          </w:p>
        </w:tc>
        <w:tc>
          <w:tcPr>
            <w:tcW w:w="1676" w:type="dxa"/>
          </w:tcPr>
          <w:p w14:paraId="505738BF" w14:textId="75C67834" w:rsidR="00EE4E85" w:rsidRPr="004F4BB2" w:rsidRDefault="00EE4E85" w:rsidP="00C01D00">
            <w:pPr>
              <w:spacing w:line="480" w:lineRule="auto"/>
              <w:rPr>
                <w:color w:val="000000" w:themeColor="text1"/>
                <w:sz w:val="16"/>
                <w:szCs w:val="16"/>
                <w:lang w:val="en-GB"/>
              </w:rPr>
            </w:pPr>
            <w:r w:rsidRPr="004F4BB2">
              <w:rPr>
                <w:color w:val="000000" w:themeColor="text1"/>
                <w:sz w:val="16"/>
                <w:szCs w:val="16"/>
                <w:lang w:val="en-GB"/>
              </w:rPr>
              <w:t>-</w:t>
            </w:r>
          </w:p>
        </w:tc>
      </w:tr>
      <w:tr w:rsidR="00866CB9" w:rsidRPr="005069E5" w14:paraId="2EA8D0F9" w14:textId="77777777" w:rsidTr="00F31B0F">
        <w:tc>
          <w:tcPr>
            <w:tcW w:w="4503" w:type="dxa"/>
          </w:tcPr>
          <w:p w14:paraId="76ADECA6" w14:textId="33F36CB3" w:rsidR="00F24E67" w:rsidRPr="004F4BB2" w:rsidRDefault="00D817EE" w:rsidP="00C01D00">
            <w:pPr>
              <w:spacing w:line="480" w:lineRule="auto"/>
              <w:rPr>
                <w:color w:val="000000" w:themeColor="text1"/>
                <w:sz w:val="16"/>
                <w:szCs w:val="16"/>
                <w:lang w:val="en-GB"/>
              </w:rPr>
            </w:pPr>
            <w:r w:rsidRPr="004F4BB2">
              <w:rPr>
                <w:color w:val="000000" w:themeColor="text1"/>
                <w:sz w:val="16"/>
                <w:szCs w:val="16"/>
                <w:lang w:val="en-GB"/>
              </w:rPr>
              <w:t>Estimated event reduction compared to scenario C (95% CI) per 100 treated patients</w:t>
            </w:r>
          </w:p>
        </w:tc>
        <w:tc>
          <w:tcPr>
            <w:tcW w:w="1602" w:type="dxa"/>
          </w:tcPr>
          <w:p w14:paraId="095C9578" w14:textId="0551BCB2" w:rsidR="00F24E67" w:rsidRPr="004F4BB2" w:rsidRDefault="00B61999" w:rsidP="00C01D00">
            <w:pPr>
              <w:tabs>
                <w:tab w:val="left" w:pos="1103"/>
              </w:tabs>
              <w:spacing w:line="480" w:lineRule="auto"/>
              <w:rPr>
                <w:color w:val="000000" w:themeColor="text1"/>
                <w:sz w:val="16"/>
                <w:szCs w:val="16"/>
                <w:lang w:val="en-GB"/>
              </w:rPr>
            </w:pPr>
            <w:r w:rsidRPr="004F4BB2">
              <w:rPr>
                <w:color w:val="000000" w:themeColor="text1"/>
                <w:sz w:val="16"/>
                <w:szCs w:val="16"/>
                <w:lang w:val="en-GB"/>
              </w:rPr>
              <w:t>1.3 (-3-5.7)</w:t>
            </w:r>
          </w:p>
        </w:tc>
        <w:tc>
          <w:tcPr>
            <w:tcW w:w="1374" w:type="dxa"/>
          </w:tcPr>
          <w:p w14:paraId="3FDEC521" w14:textId="2BC09FA1" w:rsidR="00F24E67" w:rsidRPr="004F4BB2" w:rsidRDefault="00B61999" w:rsidP="00C01D00">
            <w:pPr>
              <w:spacing w:line="480" w:lineRule="auto"/>
              <w:rPr>
                <w:color w:val="000000" w:themeColor="text1"/>
                <w:sz w:val="16"/>
                <w:szCs w:val="16"/>
                <w:lang w:val="en-GB"/>
              </w:rPr>
            </w:pPr>
            <w:r w:rsidRPr="004F4BB2">
              <w:rPr>
                <w:color w:val="000000" w:themeColor="text1"/>
                <w:sz w:val="16"/>
                <w:szCs w:val="16"/>
                <w:lang w:val="en-GB"/>
              </w:rPr>
              <w:t>4.7 (2.2-7.1)</w:t>
            </w:r>
          </w:p>
        </w:tc>
        <w:tc>
          <w:tcPr>
            <w:tcW w:w="1676" w:type="dxa"/>
          </w:tcPr>
          <w:p w14:paraId="603D6717" w14:textId="77777777" w:rsidR="00F24E67" w:rsidRPr="004F4BB2" w:rsidRDefault="00F24E67" w:rsidP="00C01D00">
            <w:pPr>
              <w:spacing w:line="480" w:lineRule="auto"/>
              <w:rPr>
                <w:color w:val="000000" w:themeColor="text1"/>
                <w:sz w:val="16"/>
                <w:szCs w:val="16"/>
                <w:lang w:val="en-GB"/>
              </w:rPr>
            </w:pPr>
          </w:p>
        </w:tc>
      </w:tr>
      <w:tr w:rsidR="00866CB9" w:rsidRPr="005069E5" w14:paraId="7A7F9251" w14:textId="77777777" w:rsidTr="003D6D04">
        <w:tc>
          <w:tcPr>
            <w:tcW w:w="9155" w:type="dxa"/>
            <w:gridSpan w:val="4"/>
          </w:tcPr>
          <w:p w14:paraId="6DEEBAC2" w14:textId="77777777" w:rsidR="00866CB9" w:rsidRPr="005069E5" w:rsidRDefault="00866CB9" w:rsidP="00C01D00">
            <w:pPr>
              <w:spacing w:line="480" w:lineRule="auto"/>
              <w:rPr>
                <w:color w:val="000000" w:themeColor="text1"/>
                <w:sz w:val="16"/>
                <w:szCs w:val="16"/>
                <w:lang w:val="en-GB"/>
              </w:rPr>
            </w:pPr>
          </w:p>
        </w:tc>
      </w:tr>
      <w:tr w:rsidR="00866CB9" w:rsidRPr="005069E5" w14:paraId="576E5B91" w14:textId="77777777" w:rsidTr="00F31B0F">
        <w:tc>
          <w:tcPr>
            <w:tcW w:w="4503" w:type="dxa"/>
          </w:tcPr>
          <w:p w14:paraId="6570E8B1" w14:textId="0F5A42ED" w:rsidR="00866CB9" w:rsidRPr="00866CB9" w:rsidRDefault="00866CB9" w:rsidP="00C01D00">
            <w:pPr>
              <w:spacing w:line="480" w:lineRule="auto"/>
              <w:rPr>
                <w:color w:val="000000" w:themeColor="text1"/>
                <w:sz w:val="16"/>
                <w:szCs w:val="16"/>
                <w:lang w:val="en-GB"/>
              </w:rPr>
            </w:pPr>
            <w:r>
              <w:rPr>
                <w:b/>
                <w:color w:val="000000" w:themeColor="text1"/>
                <w:sz w:val="16"/>
                <w:szCs w:val="16"/>
                <w:lang w:val="en-GB"/>
              </w:rPr>
              <w:t>MRA</w:t>
            </w:r>
          </w:p>
        </w:tc>
        <w:tc>
          <w:tcPr>
            <w:tcW w:w="1602" w:type="dxa"/>
          </w:tcPr>
          <w:p w14:paraId="379BC85C" w14:textId="516AB7F0" w:rsidR="00866CB9" w:rsidRPr="00866CB9" w:rsidRDefault="00866CB9" w:rsidP="00C01D00">
            <w:pPr>
              <w:tabs>
                <w:tab w:val="left" w:pos="1103"/>
              </w:tabs>
              <w:spacing w:line="480" w:lineRule="auto"/>
              <w:rPr>
                <w:color w:val="000000" w:themeColor="text1"/>
                <w:sz w:val="16"/>
                <w:szCs w:val="16"/>
                <w:lang w:val="en-GB"/>
              </w:rPr>
            </w:pPr>
            <w:r w:rsidRPr="00147D69">
              <w:rPr>
                <w:b/>
                <w:color w:val="000000" w:themeColor="text1"/>
                <w:sz w:val="16"/>
                <w:szCs w:val="16"/>
                <w:lang w:val="en-GB"/>
              </w:rPr>
              <w:t>Scenario A</w:t>
            </w:r>
          </w:p>
        </w:tc>
        <w:tc>
          <w:tcPr>
            <w:tcW w:w="1374" w:type="dxa"/>
          </w:tcPr>
          <w:p w14:paraId="6E624723" w14:textId="061F4836" w:rsidR="00866CB9" w:rsidRPr="00866CB9" w:rsidRDefault="00866CB9" w:rsidP="00C01D00">
            <w:pPr>
              <w:spacing w:line="480" w:lineRule="auto"/>
              <w:rPr>
                <w:color w:val="000000" w:themeColor="text1"/>
                <w:sz w:val="16"/>
                <w:szCs w:val="16"/>
                <w:lang w:val="en-GB"/>
              </w:rPr>
            </w:pPr>
            <w:r w:rsidRPr="00147D69">
              <w:rPr>
                <w:b/>
                <w:color w:val="000000" w:themeColor="text1"/>
                <w:sz w:val="16"/>
                <w:szCs w:val="16"/>
                <w:lang w:val="en-GB"/>
              </w:rPr>
              <w:t xml:space="preserve">Scenario B </w:t>
            </w:r>
          </w:p>
        </w:tc>
        <w:tc>
          <w:tcPr>
            <w:tcW w:w="1676" w:type="dxa"/>
          </w:tcPr>
          <w:p w14:paraId="4B500220" w14:textId="7921E0CF" w:rsidR="00866CB9" w:rsidRPr="00866CB9" w:rsidRDefault="00866CB9" w:rsidP="00C01D00">
            <w:pPr>
              <w:spacing w:line="480" w:lineRule="auto"/>
              <w:rPr>
                <w:color w:val="000000" w:themeColor="text1"/>
                <w:sz w:val="16"/>
                <w:szCs w:val="16"/>
                <w:lang w:val="en-GB"/>
              </w:rPr>
            </w:pPr>
            <w:r w:rsidRPr="00147D69">
              <w:rPr>
                <w:b/>
                <w:color w:val="000000" w:themeColor="text1"/>
                <w:sz w:val="16"/>
                <w:szCs w:val="16"/>
                <w:lang w:val="en-GB"/>
              </w:rPr>
              <w:t>Scenario C</w:t>
            </w:r>
          </w:p>
        </w:tc>
      </w:tr>
      <w:tr w:rsidR="00866CB9" w:rsidRPr="005069E5" w14:paraId="5169110F" w14:textId="77777777" w:rsidTr="00F31B0F">
        <w:tc>
          <w:tcPr>
            <w:tcW w:w="4503" w:type="dxa"/>
          </w:tcPr>
          <w:p w14:paraId="41C2230A" w14:textId="23BA50F3" w:rsidR="00866CB9" w:rsidRPr="00866CB9" w:rsidRDefault="00866CB9" w:rsidP="00C01D00">
            <w:pPr>
              <w:spacing w:line="480" w:lineRule="auto"/>
              <w:rPr>
                <w:color w:val="000000" w:themeColor="text1"/>
                <w:sz w:val="16"/>
                <w:szCs w:val="16"/>
                <w:lang w:val="en-GB"/>
              </w:rPr>
            </w:pPr>
            <w:r w:rsidRPr="00147D69">
              <w:rPr>
                <w:color w:val="000000" w:themeColor="text1"/>
                <w:sz w:val="16"/>
                <w:szCs w:val="16"/>
                <w:lang w:val="en-GB"/>
              </w:rPr>
              <w:t>Estimated event rate at 24 months</w:t>
            </w:r>
          </w:p>
        </w:tc>
        <w:tc>
          <w:tcPr>
            <w:tcW w:w="1602" w:type="dxa"/>
          </w:tcPr>
          <w:p w14:paraId="4FC702D6" w14:textId="70A20D00" w:rsidR="00866CB9" w:rsidRPr="00866CB9" w:rsidRDefault="00406193" w:rsidP="00C01D00">
            <w:pPr>
              <w:tabs>
                <w:tab w:val="left" w:pos="1103"/>
              </w:tabs>
              <w:spacing w:line="480" w:lineRule="auto"/>
              <w:rPr>
                <w:color w:val="000000" w:themeColor="text1"/>
                <w:sz w:val="16"/>
                <w:szCs w:val="16"/>
                <w:lang w:val="en-GB"/>
              </w:rPr>
            </w:pPr>
            <w:r>
              <w:rPr>
                <w:color w:val="000000" w:themeColor="text1"/>
                <w:sz w:val="16"/>
                <w:szCs w:val="16"/>
                <w:lang w:val="en-GB"/>
              </w:rPr>
              <w:t>12</w:t>
            </w:r>
            <w:r w:rsidR="00866CB9" w:rsidRPr="00147D69">
              <w:rPr>
                <w:color w:val="000000" w:themeColor="text1"/>
                <w:sz w:val="16"/>
                <w:szCs w:val="16"/>
                <w:lang w:val="en-GB"/>
              </w:rPr>
              <w:t>%</w:t>
            </w:r>
          </w:p>
        </w:tc>
        <w:tc>
          <w:tcPr>
            <w:tcW w:w="1374" w:type="dxa"/>
          </w:tcPr>
          <w:p w14:paraId="20C49B2B" w14:textId="7503B841" w:rsidR="00866CB9" w:rsidRPr="00866CB9" w:rsidRDefault="00406193" w:rsidP="00C01D00">
            <w:pPr>
              <w:spacing w:line="480" w:lineRule="auto"/>
              <w:rPr>
                <w:color w:val="000000" w:themeColor="text1"/>
                <w:sz w:val="16"/>
                <w:szCs w:val="16"/>
                <w:lang w:val="en-GB"/>
              </w:rPr>
            </w:pPr>
            <w:r>
              <w:rPr>
                <w:color w:val="000000" w:themeColor="text1"/>
                <w:sz w:val="16"/>
                <w:szCs w:val="16"/>
                <w:lang w:val="en-GB"/>
              </w:rPr>
              <w:t>11</w:t>
            </w:r>
            <w:r w:rsidR="00866CB9" w:rsidRPr="00147D69">
              <w:rPr>
                <w:color w:val="000000" w:themeColor="text1"/>
                <w:sz w:val="16"/>
                <w:szCs w:val="16"/>
                <w:lang w:val="en-GB"/>
              </w:rPr>
              <w:t>%</w:t>
            </w:r>
          </w:p>
        </w:tc>
        <w:tc>
          <w:tcPr>
            <w:tcW w:w="1676" w:type="dxa"/>
          </w:tcPr>
          <w:p w14:paraId="318188C7" w14:textId="17A7E62C" w:rsidR="00866CB9" w:rsidRPr="00866CB9" w:rsidRDefault="00406193" w:rsidP="00C01D00">
            <w:pPr>
              <w:spacing w:line="480" w:lineRule="auto"/>
              <w:rPr>
                <w:color w:val="000000" w:themeColor="text1"/>
                <w:sz w:val="16"/>
                <w:szCs w:val="16"/>
                <w:lang w:val="en-GB"/>
              </w:rPr>
            </w:pPr>
            <w:r>
              <w:rPr>
                <w:color w:val="000000" w:themeColor="text1"/>
                <w:sz w:val="16"/>
                <w:szCs w:val="16"/>
                <w:lang w:val="en-GB"/>
              </w:rPr>
              <w:t>24</w:t>
            </w:r>
            <w:r w:rsidR="00866CB9" w:rsidRPr="00147D69">
              <w:rPr>
                <w:color w:val="000000" w:themeColor="text1"/>
                <w:sz w:val="16"/>
                <w:szCs w:val="16"/>
                <w:lang w:val="en-GB"/>
              </w:rPr>
              <w:t>%</w:t>
            </w:r>
          </w:p>
        </w:tc>
      </w:tr>
      <w:tr w:rsidR="00866CB9" w:rsidRPr="005069E5" w14:paraId="1F27D952" w14:textId="77777777" w:rsidTr="00F31B0F">
        <w:tc>
          <w:tcPr>
            <w:tcW w:w="4503" w:type="dxa"/>
          </w:tcPr>
          <w:p w14:paraId="46C05353" w14:textId="47C07D75" w:rsidR="00866CB9" w:rsidRPr="00866CB9" w:rsidRDefault="00866CB9" w:rsidP="00C01D00">
            <w:pPr>
              <w:spacing w:line="480" w:lineRule="auto"/>
              <w:rPr>
                <w:color w:val="000000" w:themeColor="text1"/>
                <w:sz w:val="16"/>
                <w:szCs w:val="16"/>
                <w:lang w:val="en-GB"/>
              </w:rPr>
            </w:pPr>
            <w:r w:rsidRPr="00147D69">
              <w:rPr>
                <w:color w:val="000000" w:themeColor="text1"/>
                <w:sz w:val="16"/>
                <w:szCs w:val="16"/>
                <w:lang w:val="en-GB"/>
              </w:rPr>
              <w:t>Estimated number of events (95% CI)</w:t>
            </w:r>
          </w:p>
        </w:tc>
        <w:tc>
          <w:tcPr>
            <w:tcW w:w="1602" w:type="dxa"/>
          </w:tcPr>
          <w:p w14:paraId="5B49800D" w14:textId="0BEB024E" w:rsidR="00866CB9" w:rsidRPr="00866CB9" w:rsidRDefault="00406193" w:rsidP="00C01D00">
            <w:pPr>
              <w:tabs>
                <w:tab w:val="left" w:pos="1103"/>
              </w:tabs>
              <w:spacing w:line="480" w:lineRule="auto"/>
              <w:rPr>
                <w:color w:val="000000" w:themeColor="text1"/>
                <w:sz w:val="16"/>
                <w:szCs w:val="16"/>
                <w:lang w:val="en-GB"/>
              </w:rPr>
            </w:pPr>
            <w:r w:rsidRPr="003D6D04">
              <w:rPr>
                <w:color w:val="000000" w:themeColor="text1"/>
                <w:sz w:val="16"/>
                <w:szCs w:val="16"/>
                <w:lang w:val="en-GB"/>
              </w:rPr>
              <w:t>215 (150-280)</w:t>
            </w:r>
          </w:p>
        </w:tc>
        <w:tc>
          <w:tcPr>
            <w:tcW w:w="1374" w:type="dxa"/>
          </w:tcPr>
          <w:p w14:paraId="2DC257F4" w14:textId="36E73ABF" w:rsidR="00866CB9" w:rsidRPr="00866CB9" w:rsidRDefault="00406193" w:rsidP="00C01D00">
            <w:pPr>
              <w:spacing w:line="480" w:lineRule="auto"/>
              <w:rPr>
                <w:color w:val="000000" w:themeColor="text1"/>
                <w:sz w:val="16"/>
                <w:szCs w:val="16"/>
                <w:lang w:val="en-GB"/>
              </w:rPr>
            </w:pPr>
            <w:r w:rsidRPr="00406193">
              <w:rPr>
                <w:color w:val="000000" w:themeColor="text1"/>
                <w:sz w:val="16"/>
                <w:szCs w:val="16"/>
                <w:lang w:val="en-GB"/>
              </w:rPr>
              <w:t>201 (147-255)</w:t>
            </w:r>
          </w:p>
        </w:tc>
        <w:tc>
          <w:tcPr>
            <w:tcW w:w="1676" w:type="dxa"/>
          </w:tcPr>
          <w:p w14:paraId="13B4EE54" w14:textId="1C9C92B9" w:rsidR="00866CB9" w:rsidRPr="00866CB9" w:rsidRDefault="00406193" w:rsidP="00C01D00">
            <w:pPr>
              <w:spacing w:line="480" w:lineRule="auto"/>
              <w:rPr>
                <w:color w:val="000000" w:themeColor="text1"/>
                <w:sz w:val="16"/>
                <w:szCs w:val="16"/>
                <w:lang w:val="en-GB"/>
              </w:rPr>
            </w:pPr>
            <w:r w:rsidRPr="00406193">
              <w:rPr>
                <w:color w:val="000000" w:themeColor="text1"/>
                <w:sz w:val="16"/>
                <w:szCs w:val="16"/>
                <w:lang w:val="en-GB"/>
              </w:rPr>
              <w:t>437 (405-469)</w:t>
            </w:r>
          </w:p>
        </w:tc>
      </w:tr>
      <w:tr w:rsidR="00866CB9" w:rsidRPr="005069E5" w14:paraId="7471EDAD" w14:textId="77777777" w:rsidTr="00F31B0F">
        <w:tc>
          <w:tcPr>
            <w:tcW w:w="4503" w:type="dxa"/>
          </w:tcPr>
          <w:p w14:paraId="50012556" w14:textId="00B0BD3F" w:rsidR="00866CB9" w:rsidRPr="00866CB9" w:rsidRDefault="00866CB9" w:rsidP="00C01D00">
            <w:pPr>
              <w:spacing w:line="480" w:lineRule="auto"/>
              <w:rPr>
                <w:color w:val="000000" w:themeColor="text1"/>
                <w:sz w:val="16"/>
                <w:szCs w:val="16"/>
                <w:lang w:val="en-GB"/>
              </w:rPr>
            </w:pPr>
            <w:r w:rsidRPr="00147D69">
              <w:rPr>
                <w:color w:val="000000" w:themeColor="text1"/>
                <w:sz w:val="16"/>
                <w:szCs w:val="16"/>
                <w:lang w:val="en-GB"/>
              </w:rPr>
              <w:t>Estimated event reduction compared to scenario C (95% CI)</w:t>
            </w:r>
          </w:p>
        </w:tc>
        <w:tc>
          <w:tcPr>
            <w:tcW w:w="1602" w:type="dxa"/>
          </w:tcPr>
          <w:p w14:paraId="57023559" w14:textId="58255B07" w:rsidR="00866CB9" w:rsidRPr="00866CB9" w:rsidRDefault="00406193" w:rsidP="00C01D00">
            <w:pPr>
              <w:tabs>
                <w:tab w:val="left" w:pos="1103"/>
              </w:tabs>
              <w:spacing w:line="480" w:lineRule="auto"/>
              <w:rPr>
                <w:color w:val="000000" w:themeColor="text1"/>
                <w:sz w:val="16"/>
                <w:szCs w:val="16"/>
                <w:lang w:val="en-GB"/>
              </w:rPr>
            </w:pPr>
            <w:r w:rsidRPr="00406193">
              <w:rPr>
                <w:color w:val="000000" w:themeColor="text1"/>
                <w:sz w:val="16"/>
                <w:szCs w:val="16"/>
                <w:lang w:val="en-GB"/>
              </w:rPr>
              <w:t>222 (147-298)</w:t>
            </w:r>
          </w:p>
        </w:tc>
        <w:tc>
          <w:tcPr>
            <w:tcW w:w="1374" w:type="dxa"/>
          </w:tcPr>
          <w:p w14:paraId="0AC580C2" w14:textId="08F38935" w:rsidR="00866CB9" w:rsidRPr="00866CB9" w:rsidRDefault="00406193" w:rsidP="00C01D00">
            <w:pPr>
              <w:spacing w:line="480" w:lineRule="auto"/>
              <w:rPr>
                <w:color w:val="000000" w:themeColor="text1"/>
                <w:sz w:val="16"/>
                <w:szCs w:val="16"/>
                <w:lang w:val="en-GB"/>
              </w:rPr>
            </w:pPr>
            <w:r w:rsidRPr="00406193">
              <w:rPr>
                <w:color w:val="000000" w:themeColor="text1"/>
                <w:sz w:val="16"/>
                <w:szCs w:val="16"/>
                <w:lang w:val="en-GB"/>
              </w:rPr>
              <w:t>236 (170-303)</w:t>
            </w:r>
          </w:p>
        </w:tc>
        <w:tc>
          <w:tcPr>
            <w:tcW w:w="1676" w:type="dxa"/>
          </w:tcPr>
          <w:p w14:paraId="55E95BC1" w14:textId="2A587623" w:rsidR="00866CB9" w:rsidRPr="00866CB9" w:rsidRDefault="00866CB9" w:rsidP="00C01D00">
            <w:pPr>
              <w:spacing w:line="480" w:lineRule="auto"/>
              <w:rPr>
                <w:color w:val="000000" w:themeColor="text1"/>
                <w:sz w:val="16"/>
                <w:szCs w:val="16"/>
                <w:lang w:val="en-GB"/>
              </w:rPr>
            </w:pPr>
            <w:r w:rsidRPr="00147D69">
              <w:rPr>
                <w:color w:val="000000" w:themeColor="text1"/>
                <w:sz w:val="16"/>
                <w:szCs w:val="16"/>
                <w:lang w:val="en-GB"/>
              </w:rPr>
              <w:t>-</w:t>
            </w:r>
          </w:p>
        </w:tc>
      </w:tr>
      <w:tr w:rsidR="00866CB9" w:rsidRPr="005069E5" w14:paraId="48CB8A05" w14:textId="77777777" w:rsidTr="00F31B0F">
        <w:tc>
          <w:tcPr>
            <w:tcW w:w="4503" w:type="dxa"/>
          </w:tcPr>
          <w:p w14:paraId="51B7FBA2" w14:textId="1EB8F86E" w:rsidR="00866CB9" w:rsidRPr="00866CB9" w:rsidRDefault="00866CB9" w:rsidP="00C01D00">
            <w:pPr>
              <w:spacing w:line="480" w:lineRule="auto"/>
              <w:rPr>
                <w:color w:val="000000" w:themeColor="text1"/>
                <w:sz w:val="16"/>
                <w:szCs w:val="16"/>
                <w:lang w:val="en-GB"/>
              </w:rPr>
            </w:pPr>
            <w:r w:rsidRPr="00147D69">
              <w:rPr>
                <w:color w:val="000000" w:themeColor="text1"/>
                <w:sz w:val="16"/>
                <w:szCs w:val="16"/>
                <w:lang w:val="en-GB"/>
              </w:rPr>
              <w:t>Estimated event reduction compared to scenario C (95% CI) per 100 treated patients</w:t>
            </w:r>
          </w:p>
        </w:tc>
        <w:tc>
          <w:tcPr>
            <w:tcW w:w="1602" w:type="dxa"/>
          </w:tcPr>
          <w:p w14:paraId="1A3D6460" w14:textId="7E87B54B" w:rsidR="00866CB9" w:rsidRPr="00866CB9" w:rsidRDefault="00406193" w:rsidP="00C01D00">
            <w:pPr>
              <w:tabs>
                <w:tab w:val="left" w:pos="1103"/>
              </w:tabs>
              <w:spacing w:line="480" w:lineRule="auto"/>
              <w:rPr>
                <w:color w:val="000000" w:themeColor="text1"/>
                <w:sz w:val="16"/>
                <w:szCs w:val="16"/>
                <w:lang w:val="en-GB"/>
              </w:rPr>
            </w:pPr>
            <w:r w:rsidRPr="00406193">
              <w:rPr>
                <w:color w:val="000000" w:themeColor="text1"/>
                <w:sz w:val="16"/>
                <w:szCs w:val="16"/>
                <w:lang w:val="en-GB"/>
              </w:rPr>
              <w:t>12.3 (8.1-16.5)</w:t>
            </w:r>
          </w:p>
        </w:tc>
        <w:tc>
          <w:tcPr>
            <w:tcW w:w="1374" w:type="dxa"/>
          </w:tcPr>
          <w:p w14:paraId="40406747" w14:textId="546A399B" w:rsidR="00866CB9" w:rsidRPr="00866CB9" w:rsidRDefault="00406193" w:rsidP="00C01D00">
            <w:pPr>
              <w:spacing w:line="480" w:lineRule="auto"/>
              <w:rPr>
                <w:color w:val="000000" w:themeColor="text1"/>
                <w:sz w:val="16"/>
                <w:szCs w:val="16"/>
                <w:lang w:val="en-GB"/>
              </w:rPr>
            </w:pPr>
            <w:r w:rsidRPr="00406193">
              <w:rPr>
                <w:color w:val="000000" w:themeColor="text1"/>
                <w:sz w:val="16"/>
                <w:szCs w:val="16"/>
                <w:lang w:val="en-GB"/>
              </w:rPr>
              <w:t>13.1 (9.4-16.8)</w:t>
            </w:r>
          </w:p>
        </w:tc>
        <w:tc>
          <w:tcPr>
            <w:tcW w:w="1676" w:type="dxa"/>
          </w:tcPr>
          <w:p w14:paraId="01C6F5AC" w14:textId="34726CDF" w:rsidR="00866CB9" w:rsidRPr="00866CB9" w:rsidRDefault="00866CB9" w:rsidP="00C01D00">
            <w:pPr>
              <w:spacing w:line="480" w:lineRule="auto"/>
              <w:rPr>
                <w:color w:val="000000" w:themeColor="text1"/>
                <w:sz w:val="16"/>
                <w:szCs w:val="16"/>
                <w:lang w:val="en-GB"/>
              </w:rPr>
            </w:pPr>
          </w:p>
        </w:tc>
      </w:tr>
    </w:tbl>
    <w:p w14:paraId="5AC8FB3A" w14:textId="77777777" w:rsidR="00596FAA" w:rsidRPr="004F4BB2" w:rsidRDefault="00596FAA" w:rsidP="00C01D00">
      <w:pPr>
        <w:spacing w:line="480" w:lineRule="auto"/>
        <w:rPr>
          <w:color w:val="000000" w:themeColor="text1"/>
          <w:sz w:val="16"/>
          <w:szCs w:val="16"/>
          <w:lang w:val="en-GB"/>
        </w:rPr>
      </w:pPr>
      <w:r w:rsidRPr="004F4BB2">
        <w:rPr>
          <w:color w:val="000000" w:themeColor="text1"/>
          <w:sz w:val="16"/>
          <w:szCs w:val="16"/>
          <w:lang w:val="en-GB"/>
        </w:rPr>
        <w:t>Scenario A) if all patients are successfully up-titrated; scenario B) if up-titration was based on the biomarker treatment-selection model; scenario C) if no patient was successfully up-titrated; CI: confidence interval</w:t>
      </w:r>
    </w:p>
    <w:p w14:paraId="2FF909BC" w14:textId="77777777" w:rsidR="00607D43" w:rsidRDefault="00607D43">
      <w:pPr>
        <w:spacing w:after="160" w:line="259" w:lineRule="auto"/>
        <w:rPr>
          <w:color w:val="000000" w:themeColor="text1"/>
          <w:lang w:val="en-US"/>
        </w:rPr>
        <w:sectPr w:rsidR="00607D43" w:rsidSect="003D03F6">
          <w:pgSz w:w="12240" w:h="15840"/>
          <w:pgMar w:top="1440" w:right="1440" w:bottom="1440" w:left="1440" w:header="720" w:footer="720" w:gutter="0"/>
          <w:cols w:space="720"/>
          <w:docGrid w:linePitch="360"/>
        </w:sectPr>
      </w:pPr>
    </w:p>
    <w:p w14:paraId="0C409F18" w14:textId="221F3567" w:rsidR="00DE35A0" w:rsidRPr="004F4BB2" w:rsidRDefault="00DE35A0" w:rsidP="00DE35A0">
      <w:pPr>
        <w:spacing w:line="480" w:lineRule="auto"/>
        <w:rPr>
          <w:b/>
          <w:color w:val="000000" w:themeColor="text1"/>
          <w:lang w:val="en-GB"/>
        </w:rPr>
      </w:pPr>
      <w:r w:rsidRPr="004F4BB2">
        <w:rPr>
          <w:b/>
          <w:color w:val="000000" w:themeColor="text1"/>
          <w:lang w:val="en-GB"/>
        </w:rPr>
        <w:lastRenderedPageBreak/>
        <w:t>Table 3</w:t>
      </w:r>
      <w:r w:rsidRPr="004F4BB2">
        <w:rPr>
          <w:color w:val="000000" w:themeColor="text1"/>
          <w:lang w:val="en-GB"/>
        </w:rPr>
        <w:t xml:space="preserve">: Characteristics of patients who </w:t>
      </w:r>
      <w:r w:rsidR="00DE6849" w:rsidRPr="004F4BB2">
        <w:rPr>
          <w:color w:val="000000" w:themeColor="text1"/>
          <w:lang w:val="en-GB"/>
        </w:rPr>
        <w:t xml:space="preserve">did </w:t>
      </w:r>
      <w:r w:rsidRPr="004F4BB2">
        <w:rPr>
          <w:color w:val="000000" w:themeColor="text1"/>
          <w:lang w:val="en-GB"/>
        </w:rPr>
        <w:t xml:space="preserve">benefit from </w:t>
      </w:r>
      <w:r w:rsidR="00DB0895" w:rsidRPr="004F4BB2">
        <w:rPr>
          <w:color w:val="000000" w:themeColor="text1"/>
          <w:lang w:val="en-GB"/>
        </w:rPr>
        <w:t>ACE-inhibitor/ARB</w:t>
      </w:r>
      <w:r w:rsidR="00607D43">
        <w:rPr>
          <w:color w:val="000000" w:themeColor="text1"/>
          <w:lang w:val="en-GB"/>
        </w:rPr>
        <w:t>,</w:t>
      </w:r>
      <w:r w:rsidR="00DB0895" w:rsidRPr="004F4BB2">
        <w:rPr>
          <w:color w:val="000000" w:themeColor="text1"/>
          <w:lang w:val="en-GB"/>
        </w:rPr>
        <w:t xml:space="preserve"> </w:t>
      </w:r>
      <w:r w:rsidR="00A94F3F" w:rsidRPr="004F4BB2">
        <w:rPr>
          <w:color w:val="000000" w:themeColor="text1"/>
          <w:lang w:val="en-GB"/>
        </w:rPr>
        <w:t xml:space="preserve">beta-blocker </w:t>
      </w:r>
      <w:r w:rsidR="00607D43">
        <w:rPr>
          <w:color w:val="000000" w:themeColor="text1"/>
          <w:lang w:val="en-GB"/>
        </w:rPr>
        <w:t xml:space="preserve">or MRA </w:t>
      </w:r>
      <w:r w:rsidRPr="004F4BB2">
        <w:rPr>
          <w:color w:val="000000" w:themeColor="text1"/>
          <w:lang w:val="en-GB"/>
        </w:rPr>
        <w:t>up-titration</w:t>
      </w:r>
      <w:r w:rsidR="00A94F3F" w:rsidRPr="004F4BB2">
        <w:rPr>
          <w:color w:val="000000" w:themeColor="text1"/>
          <w:lang w:val="en-GB"/>
        </w:rPr>
        <w:t xml:space="preserve"> and those who d</w:t>
      </w:r>
      <w:r w:rsidR="00A430E6" w:rsidRPr="004F4BB2">
        <w:rPr>
          <w:color w:val="000000" w:themeColor="text1"/>
          <w:lang w:val="en-GB"/>
        </w:rPr>
        <w:t>id</w:t>
      </w:r>
      <w:r w:rsidR="00A94F3F" w:rsidRPr="004F4BB2">
        <w:rPr>
          <w:color w:val="000000" w:themeColor="text1"/>
          <w:lang w:val="en-GB"/>
        </w:rPr>
        <w:t xml:space="preserve"> not</w:t>
      </w:r>
      <w:r w:rsidRPr="004F4BB2">
        <w:rPr>
          <w:color w:val="000000" w:themeColor="text1"/>
          <w:lang w:val="en-GB"/>
        </w:rPr>
        <w:t>.</w:t>
      </w:r>
    </w:p>
    <w:tbl>
      <w:tblPr>
        <w:tblW w:w="14601" w:type="dxa"/>
        <w:tblInd w:w="-497" w:type="dxa"/>
        <w:tblLayout w:type="fixed"/>
        <w:tblCellMar>
          <w:left w:w="70" w:type="dxa"/>
          <w:right w:w="70" w:type="dxa"/>
        </w:tblCellMar>
        <w:tblLook w:val="04A0" w:firstRow="1" w:lastRow="0" w:firstColumn="1" w:lastColumn="0" w:noHBand="0" w:noVBand="1"/>
      </w:tblPr>
      <w:tblGrid>
        <w:gridCol w:w="3544"/>
        <w:gridCol w:w="1701"/>
        <w:gridCol w:w="992"/>
        <w:gridCol w:w="708"/>
        <w:gridCol w:w="7"/>
        <w:gridCol w:w="1311"/>
        <w:gridCol w:w="1099"/>
        <w:gridCol w:w="986"/>
        <w:gridCol w:w="1498"/>
        <w:gridCol w:w="1241"/>
        <w:gridCol w:w="1514"/>
      </w:tblGrid>
      <w:tr w:rsidR="00635710" w:rsidRPr="00914044" w14:paraId="1D6D49EC"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5C6F79A1" w14:textId="53078173" w:rsidR="00607D43" w:rsidRPr="004F4BB2" w:rsidRDefault="00607D43">
            <w:pPr>
              <w:rPr>
                <w:rFonts w:ascii="Calibri" w:eastAsia="Times New Roman" w:hAnsi="Calibri"/>
                <w:color w:val="000000"/>
                <w:sz w:val="16"/>
                <w:szCs w:val="16"/>
                <w:lang w:val="en-US"/>
              </w:rPr>
            </w:pPr>
            <w:bookmarkStart w:id="2" w:name="RANGE!A1:D40"/>
            <w:bookmarkEnd w:id="2"/>
          </w:p>
        </w:tc>
        <w:tc>
          <w:tcPr>
            <w:tcW w:w="3401" w:type="dxa"/>
            <w:gridSpan w:val="3"/>
            <w:tcBorders>
              <w:top w:val="nil"/>
              <w:left w:val="nil"/>
              <w:bottom w:val="nil"/>
              <w:right w:val="single" w:sz="4" w:space="0" w:color="000000"/>
            </w:tcBorders>
            <w:shd w:val="clear" w:color="auto" w:fill="auto"/>
            <w:noWrap/>
            <w:vAlign w:val="bottom"/>
            <w:hideMark/>
          </w:tcPr>
          <w:p w14:paraId="3B9A01AF" w14:textId="77777777" w:rsidR="00607D43" w:rsidRPr="002B472F" w:rsidRDefault="00607D43">
            <w:pPr>
              <w:jc w:val="center"/>
              <w:rPr>
                <w:rFonts w:ascii="Calibri" w:eastAsia="Times New Roman" w:hAnsi="Calibri"/>
                <w:color w:val="000000"/>
                <w:sz w:val="16"/>
                <w:szCs w:val="16"/>
              </w:rPr>
            </w:pPr>
            <w:r w:rsidRPr="002B472F">
              <w:rPr>
                <w:rFonts w:ascii="Calibri" w:eastAsia="Times New Roman" w:hAnsi="Calibri"/>
                <w:color w:val="000000"/>
                <w:sz w:val="16"/>
                <w:szCs w:val="16"/>
              </w:rPr>
              <w:t>ACE-inhibitor/ARB</w:t>
            </w:r>
          </w:p>
        </w:tc>
        <w:tc>
          <w:tcPr>
            <w:tcW w:w="3403" w:type="dxa"/>
            <w:gridSpan w:val="4"/>
            <w:tcBorders>
              <w:top w:val="nil"/>
              <w:left w:val="nil"/>
              <w:bottom w:val="nil"/>
              <w:right w:val="single" w:sz="4" w:space="0" w:color="000000"/>
            </w:tcBorders>
            <w:shd w:val="clear" w:color="auto" w:fill="auto"/>
            <w:noWrap/>
            <w:vAlign w:val="bottom"/>
            <w:hideMark/>
          </w:tcPr>
          <w:p w14:paraId="1E3F7B81" w14:textId="77777777" w:rsidR="00607D43" w:rsidRPr="002B472F" w:rsidRDefault="00607D43">
            <w:pPr>
              <w:jc w:val="center"/>
              <w:rPr>
                <w:rFonts w:ascii="Calibri" w:eastAsia="Times New Roman" w:hAnsi="Calibri"/>
                <w:color w:val="000000"/>
                <w:sz w:val="16"/>
                <w:szCs w:val="16"/>
              </w:rPr>
            </w:pPr>
            <w:proofErr w:type="spellStart"/>
            <w:proofErr w:type="gramStart"/>
            <w:r w:rsidRPr="002B472F">
              <w:rPr>
                <w:rFonts w:ascii="Calibri" w:eastAsia="Times New Roman" w:hAnsi="Calibri"/>
                <w:color w:val="000000"/>
                <w:sz w:val="16"/>
                <w:szCs w:val="16"/>
              </w:rPr>
              <w:t>beta</w:t>
            </w:r>
            <w:proofErr w:type="gramEnd"/>
            <w:r w:rsidRPr="002B472F">
              <w:rPr>
                <w:rFonts w:ascii="Calibri" w:eastAsia="Times New Roman" w:hAnsi="Calibri"/>
                <w:color w:val="000000"/>
                <w:sz w:val="16"/>
                <w:szCs w:val="16"/>
              </w:rPr>
              <w:t>-blocker</w:t>
            </w:r>
            <w:proofErr w:type="spellEnd"/>
          </w:p>
        </w:tc>
        <w:tc>
          <w:tcPr>
            <w:tcW w:w="4253" w:type="dxa"/>
            <w:gridSpan w:val="3"/>
            <w:tcBorders>
              <w:top w:val="nil"/>
              <w:left w:val="nil"/>
              <w:bottom w:val="nil"/>
              <w:right w:val="single" w:sz="4" w:space="0" w:color="000000"/>
            </w:tcBorders>
            <w:shd w:val="clear" w:color="auto" w:fill="auto"/>
            <w:noWrap/>
            <w:vAlign w:val="bottom"/>
            <w:hideMark/>
          </w:tcPr>
          <w:p w14:paraId="0471D10B" w14:textId="77777777" w:rsidR="00607D43" w:rsidRPr="00914044" w:rsidRDefault="00607D43">
            <w:pPr>
              <w:jc w:val="center"/>
              <w:rPr>
                <w:rFonts w:ascii="Calibri" w:eastAsia="Times New Roman" w:hAnsi="Calibri"/>
                <w:color w:val="000000"/>
                <w:sz w:val="16"/>
                <w:szCs w:val="16"/>
              </w:rPr>
            </w:pPr>
            <w:r w:rsidRPr="00914044">
              <w:rPr>
                <w:rFonts w:ascii="Calibri" w:eastAsia="Times New Roman" w:hAnsi="Calibri"/>
                <w:color w:val="000000"/>
                <w:sz w:val="16"/>
                <w:szCs w:val="16"/>
              </w:rPr>
              <w:t>MRA</w:t>
            </w:r>
          </w:p>
        </w:tc>
      </w:tr>
      <w:tr w:rsidR="00635710" w:rsidRPr="00914044" w14:paraId="77F8B201" w14:textId="77777777" w:rsidTr="00914044">
        <w:trPr>
          <w:trHeight w:val="220"/>
        </w:trPr>
        <w:tc>
          <w:tcPr>
            <w:tcW w:w="3544" w:type="dxa"/>
            <w:tcBorders>
              <w:top w:val="nil"/>
              <w:left w:val="nil"/>
              <w:bottom w:val="single" w:sz="4" w:space="0" w:color="auto"/>
              <w:right w:val="single" w:sz="4" w:space="0" w:color="auto"/>
            </w:tcBorders>
            <w:shd w:val="clear" w:color="auto" w:fill="auto"/>
            <w:noWrap/>
            <w:vAlign w:val="bottom"/>
            <w:hideMark/>
          </w:tcPr>
          <w:p w14:paraId="04B99BAF" w14:textId="64CE2252" w:rsidR="00607D43" w:rsidRPr="00914044" w:rsidRDefault="00607D43">
            <w:pPr>
              <w:rPr>
                <w:rFonts w:ascii="Calibri" w:eastAsia="Times New Roman" w:hAnsi="Calibri"/>
                <w:color w:val="000000"/>
                <w:sz w:val="16"/>
                <w:szCs w:val="16"/>
              </w:rPr>
            </w:pPr>
          </w:p>
        </w:tc>
        <w:tc>
          <w:tcPr>
            <w:tcW w:w="1701" w:type="dxa"/>
            <w:tcBorders>
              <w:top w:val="nil"/>
              <w:left w:val="nil"/>
              <w:bottom w:val="single" w:sz="4" w:space="0" w:color="auto"/>
              <w:right w:val="nil"/>
            </w:tcBorders>
            <w:shd w:val="clear" w:color="auto" w:fill="auto"/>
            <w:noWrap/>
            <w:vAlign w:val="bottom"/>
            <w:hideMark/>
          </w:tcPr>
          <w:p w14:paraId="5F963DD9" w14:textId="6019FFB5" w:rsidR="00607D43" w:rsidRPr="00914044" w:rsidRDefault="00607D43">
            <w:pPr>
              <w:rPr>
                <w:rFonts w:ascii="Calibri" w:eastAsia="Times New Roman" w:hAnsi="Calibri"/>
                <w:color w:val="000000"/>
                <w:sz w:val="16"/>
                <w:szCs w:val="16"/>
              </w:rPr>
            </w:pPr>
            <w:proofErr w:type="gramStart"/>
            <w:r w:rsidRPr="00914044">
              <w:rPr>
                <w:rFonts w:ascii="Calibri" w:eastAsia="Times New Roman" w:hAnsi="Calibri"/>
                <w:color w:val="000000"/>
                <w:sz w:val="16"/>
                <w:szCs w:val="16"/>
              </w:rPr>
              <w:t>benefit</w:t>
            </w:r>
            <w:proofErr w:type="gramEnd"/>
            <w:r w:rsidRPr="00914044">
              <w:rPr>
                <w:rFonts w:ascii="Calibri" w:eastAsia="Times New Roman" w:hAnsi="Calibri"/>
                <w:color w:val="000000"/>
                <w:sz w:val="16"/>
                <w:szCs w:val="16"/>
              </w:rPr>
              <w:t xml:space="preserve"> up</w:t>
            </w:r>
            <w:r w:rsidR="00892FC2" w:rsidRPr="00914044">
              <w:rPr>
                <w:rFonts w:ascii="Calibri" w:eastAsia="Times New Roman" w:hAnsi="Calibri"/>
                <w:color w:val="000000"/>
                <w:sz w:val="16"/>
                <w:szCs w:val="16"/>
              </w:rPr>
              <w:t>-</w:t>
            </w:r>
            <w:proofErr w:type="spellStart"/>
            <w:r w:rsidRPr="00914044">
              <w:rPr>
                <w:rFonts w:ascii="Calibri" w:eastAsia="Times New Roman" w:hAnsi="Calibri"/>
                <w:color w:val="000000"/>
                <w:sz w:val="16"/>
                <w:szCs w:val="16"/>
              </w:rPr>
              <w:t>titration</w:t>
            </w:r>
            <w:proofErr w:type="spellEnd"/>
          </w:p>
        </w:tc>
        <w:tc>
          <w:tcPr>
            <w:tcW w:w="992" w:type="dxa"/>
            <w:tcBorders>
              <w:top w:val="nil"/>
              <w:left w:val="nil"/>
              <w:bottom w:val="single" w:sz="4" w:space="0" w:color="auto"/>
              <w:right w:val="nil"/>
            </w:tcBorders>
            <w:shd w:val="clear" w:color="auto" w:fill="auto"/>
            <w:noWrap/>
            <w:vAlign w:val="bottom"/>
            <w:hideMark/>
          </w:tcPr>
          <w:p w14:paraId="21CF8D4B" w14:textId="6073A50F" w:rsidR="00607D43" w:rsidRPr="00914044" w:rsidRDefault="00607D43">
            <w:pPr>
              <w:rPr>
                <w:rFonts w:ascii="Calibri" w:eastAsia="Times New Roman" w:hAnsi="Calibri"/>
                <w:color w:val="000000"/>
                <w:sz w:val="16"/>
                <w:szCs w:val="16"/>
              </w:rPr>
            </w:pPr>
            <w:proofErr w:type="gramStart"/>
            <w:r w:rsidRPr="00914044">
              <w:rPr>
                <w:rFonts w:ascii="Calibri" w:eastAsia="Times New Roman" w:hAnsi="Calibri"/>
                <w:color w:val="000000"/>
                <w:sz w:val="16"/>
                <w:szCs w:val="16"/>
              </w:rPr>
              <w:t>NOT benefit</w:t>
            </w:r>
            <w:proofErr w:type="gramEnd"/>
            <w:r w:rsidRPr="00914044">
              <w:rPr>
                <w:rFonts w:ascii="Calibri" w:eastAsia="Times New Roman" w:hAnsi="Calibri"/>
                <w:color w:val="000000"/>
                <w:sz w:val="16"/>
                <w:szCs w:val="16"/>
              </w:rPr>
              <w:t xml:space="preserve"> up</w:t>
            </w:r>
            <w:r w:rsidR="00892FC2" w:rsidRPr="00914044">
              <w:rPr>
                <w:rFonts w:ascii="Calibri" w:eastAsia="Times New Roman" w:hAnsi="Calibri"/>
                <w:color w:val="000000"/>
                <w:sz w:val="16"/>
                <w:szCs w:val="16"/>
              </w:rPr>
              <w:t>-</w:t>
            </w:r>
            <w:proofErr w:type="spellStart"/>
            <w:r w:rsidRPr="00914044">
              <w:rPr>
                <w:rFonts w:ascii="Calibri" w:eastAsia="Times New Roman" w:hAnsi="Calibri"/>
                <w:color w:val="000000"/>
                <w:sz w:val="16"/>
                <w:szCs w:val="16"/>
              </w:rPr>
              <w:t>titration</w:t>
            </w:r>
            <w:proofErr w:type="spellEnd"/>
          </w:p>
        </w:tc>
        <w:tc>
          <w:tcPr>
            <w:tcW w:w="715" w:type="dxa"/>
            <w:gridSpan w:val="2"/>
            <w:tcBorders>
              <w:top w:val="nil"/>
              <w:left w:val="nil"/>
              <w:bottom w:val="single" w:sz="4" w:space="0" w:color="auto"/>
              <w:right w:val="single" w:sz="4" w:space="0" w:color="auto"/>
            </w:tcBorders>
            <w:shd w:val="clear" w:color="auto" w:fill="auto"/>
            <w:noWrap/>
            <w:vAlign w:val="bottom"/>
            <w:hideMark/>
          </w:tcPr>
          <w:p w14:paraId="326C397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P-</w:t>
            </w:r>
            <w:proofErr w:type="spellStart"/>
            <w:r w:rsidRPr="00914044">
              <w:rPr>
                <w:rFonts w:ascii="Calibri" w:eastAsia="Times New Roman" w:hAnsi="Calibri"/>
                <w:color w:val="000000"/>
                <w:sz w:val="16"/>
                <w:szCs w:val="16"/>
              </w:rPr>
              <w:t>value</w:t>
            </w:r>
            <w:proofErr w:type="spellEnd"/>
          </w:p>
        </w:tc>
        <w:tc>
          <w:tcPr>
            <w:tcW w:w="1311" w:type="dxa"/>
            <w:tcBorders>
              <w:top w:val="nil"/>
              <w:left w:val="nil"/>
              <w:bottom w:val="single" w:sz="4" w:space="0" w:color="auto"/>
              <w:right w:val="nil"/>
            </w:tcBorders>
            <w:shd w:val="clear" w:color="auto" w:fill="auto"/>
            <w:noWrap/>
            <w:vAlign w:val="bottom"/>
            <w:hideMark/>
          </w:tcPr>
          <w:p w14:paraId="7CE514B8" w14:textId="6EB75F7C" w:rsidR="00607D43" w:rsidRPr="00914044" w:rsidRDefault="00607D43">
            <w:pPr>
              <w:rPr>
                <w:rFonts w:ascii="Calibri" w:eastAsia="Times New Roman" w:hAnsi="Calibri"/>
                <w:color w:val="000000"/>
                <w:sz w:val="16"/>
                <w:szCs w:val="16"/>
              </w:rPr>
            </w:pPr>
            <w:proofErr w:type="gramStart"/>
            <w:r w:rsidRPr="00914044">
              <w:rPr>
                <w:rFonts w:ascii="Calibri" w:eastAsia="Times New Roman" w:hAnsi="Calibri"/>
                <w:color w:val="000000"/>
                <w:sz w:val="16"/>
                <w:szCs w:val="16"/>
              </w:rPr>
              <w:t>benefit</w:t>
            </w:r>
            <w:proofErr w:type="gramEnd"/>
            <w:r w:rsidRPr="00914044">
              <w:rPr>
                <w:rFonts w:ascii="Calibri" w:eastAsia="Times New Roman" w:hAnsi="Calibri"/>
                <w:color w:val="000000"/>
                <w:sz w:val="16"/>
                <w:szCs w:val="16"/>
              </w:rPr>
              <w:t xml:space="preserve"> up</w:t>
            </w:r>
            <w:r w:rsidR="00892FC2" w:rsidRPr="00914044">
              <w:rPr>
                <w:rFonts w:ascii="Calibri" w:eastAsia="Times New Roman" w:hAnsi="Calibri"/>
                <w:color w:val="000000"/>
                <w:sz w:val="16"/>
                <w:szCs w:val="16"/>
              </w:rPr>
              <w:t>-</w:t>
            </w:r>
            <w:proofErr w:type="spellStart"/>
            <w:r w:rsidRPr="00914044">
              <w:rPr>
                <w:rFonts w:ascii="Calibri" w:eastAsia="Times New Roman" w:hAnsi="Calibri"/>
                <w:color w:val="000000"/>
                <w:sz w:val="16"/>
                <w:szCs w:val="16"/>
              </w:rPr>
              <w:t>titration</w:t>
            </w:r>
            <w:proofErr w:type="spellEnd"/>
          </w:p>
        </w:tc>
        <w:tc>
          <w:tcPr>
            <w:tcW w:w="1099" w:type="dxa"/>
            <w:tcBorders>
              <w:top w:val="nil"/>
              <w:left w:val="nil"/>
              <w:bottom w:val="single" w:sz="4" w:space="0" w:color="auto"/>
              <w:right w:val="nil"/>
            </w:tcBorders>
            <w:shd w:val="clear" w:color="auto" w:fill="auto"/>
            <w:noWrap/>
            <w:vAlign w:val="bottom"/>
            <w:hideMark/>
          </w:tcPr>
          <w:p w14:paraId="7B58C12A" w14:textId="4F901647" w:rsidR="00607D43" w:rsidRPr="00914044" w:rsidRDefault="00607D43">
            <w:pPr>
              <w:rPr>
                <w:rFonts w:ascii="Calibri" w:eastAsia="Times New Roman" w:hAnsi="Calibri"/>
                <w:color w:val="000000"/>
                <w:sz w:val="16"/>
                <w:szCs w:val="16"/>
              </w:rPr>
            </w:pPr>
            <w:proofErr w:type="gramStart"/>
            <w:r w:rsidRPr="00914044">
              <w:rPr>
                <w:rFonts w:ascii="Calibri" w:eastAsia="Times New Roman" w:hAnsi="Calibri"/>
                <w:color w:val="000000"/>
                <w:sz w:val="16"/>
                <w:szCs w:val="16"/>
              </w:rPr>
              <w:t>NOT benefit</w:t>
            </w:r>
            <w:proofErr w:type="gramEnd"/>
            <w:r w:rsidRPr="00914044">
              <w:rPr>
                <w:rFonts w:ascii="Calibri" w:eastAsia="Times New Roman" w:hAnsi="Calibri"/>
                <w:color w:val="000000"/>
                <w:sz w:val="16"/>
                <w:szCs w:val="16"/>
              </w:rPr>
              <w:t xml:space="preserve"> up</w:t>
            </w:r>
            <w:r w:rsidR="00892FC2" w:rsidRPr="00914044">
              <w:rPr>
                <w:rFonts w:ascii="Calibri" w:eastAsia="Times New Roman" w:hAnsi="Calibri"/>
                <w:color w:val="000000"/>
                <w:sz w:val="16"/>
                <w:szCs w:val="16"/>
              </w:rPr>
              <w:t>-</w:t>
            </w:r>
            <w:proofErr w:type="spellStart"/>
            <w:r w:rsidRPr="00914044">
              <w:rPr>
                <w:rFonts w:ascii="Calibri" w:eastAsia="Times New Roman" w:hAnsi="Calibri"/>
                <w:color w:val="000000"/>
                <w:sz w:val="16"/>
                <w:szCs w:val="16"/>
              </w:rPr>
              <w:t>titration</w:t>
            </w:r>
            <w:proofErr w:type="spellEnd"/>
          </w:p>
        </w:tc>
        <w:tc>
          <w:tcPr>
            <w:tcW w:w="986" w:type="dxa"/>
            <w:tcBorders>
              <w:top w:val="nil"/>
              <w:left w:val="nil"/>
              <w:bottom w:val="single" w:sz="4" w:space="0" w:color="auto"/>
              <w:right w:val="single" w:sz="4" w:space="0" w:color="auto"/>
            </w:tcBorders>
            <w:shd w:val="clear" w:color="auto" w:fill="auto"/>
            <w:noWrap/>
            <w:vAlign w:val="bottom"/>
            <w:hideMark/>
          </w:tcPr>
          <w:p w14:paraId="16F75ED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P-</w:t>
            </w:r>
            <w:proofErr w:type="spellStart"/>
            <w:r w:rsidRPr="00914044">
              <w:rPr>
                <w:rFonts w:ascii="Calibri" w:eastAsia="Times New Roman" w:hAnsi="Calibri"/>
                <w:color w:val="000000"/>
                <w:sz w:val="16"/>
                <w:szCs w:val="16"/>
              </w:rPr>
              <w:t>value</w:t>
            </w:r>
            <w:proofErr w:type="spellEnd"/>
          </w:p>
        </w:tc>
        <w:tc>
          <w:tcPr>
            <w:tcW w:w="1498" w:type="dxa"/>
            <w:tcBorders>
              <w:top w:val="nil"/>
              <w:left w:val="nil"/>
              <w:bottom w:val="single" w:sz="4" w:space="0" w:color="auto"/>
              <w:right w:val="nil"/>
            </w:tcBorders>
            <w:shd w:val="clear" w:color="auto" w:fill="auto"/>
            <w:noWrap/>
            <w:vAlign w:val="bottom"/>
            <w:hideMark/>
          </w:tcPr>
          <w:p w14:paraId="2AFF592B" w14:textId="65B375DC" w:rsidR="00607D43" w:rsidRPr="00914044" w:rsidRDefault="00607D43">
            <w:pPr>
              <w:rPr>
                <w:rFonts w:ascii="Calibri" w:eastAsia="Times New Roman" w:hAnsi="Calibri"/>
                <w:color w:val="000000"/>
                <w:sz w:val="16"/>
                <w:szCs w:val="16"/>
              </w:rPr>
            </w:pPr>
            <w:proofErr w:type="gramStart"/>
            <w:r w:rsidRPr="00914044">
              <w:rPr>
                <w:rFonts w:ascii="Calibri" w:eastAsia="Times New Roman" w:hAnsi="Calibri"/>
                <w:color w:val="000000"/>
                <w:sz w:val="16"/>
                <w:szCs w:val="16"/>
              </w:rPr>
              <w:t>benefit</w:t>
            </w:r>
            <w:proofErr w:type="gramEnd"/>
            <w:r w:rsidRPr="00914044">
              <w:rPr>
                <w:rFonts w:ascii="Calibri" w:eastAsia="Times New Roman" w:hAnsi="Calibri"/>
                <w:color w:val="000000"/>
                <w:sz w:val="16"/>
                <w:szCs w:val="16"/>
              </w:rPr>
              <w:t xml:space="preserve"> up</w:t>
            </w:r>
            <w:r w:rsidR="00892FC2" w:rsidRPr="00914044">
              <w:rPr>
                <w:rFonts w:ascii="Calibri" w:eastAsia="Times New Roman" w:hAnsi="Calibri"/>
                <w:color w:val="000000"/>
                <w:sz w:val="16"/>
                <w:szCs w:val="16"/>
              </w:rPr>
              <w:t>-</w:t>
            </w:r>
            <w:proofErr w:type="spellStart"/>
            <w:r w:rsidRPr="00914044">
              <w:rPr>
                <w:rFonts w:ascii="Calibri" w:eastAsia="Times New Roman" w:hAnsi="Calibri"/>
                <w:color w:val="000000"/>
                <w:sz w:val="16"/>
                <w:szCs w:val="16"/>
              </w:rPr>
              <w:t>titration</w:t>
            </w:r>
            <w:proofErr w:type="spellEnd"/>
          </w:p>
        </w:tc>
        <w:tc>
          <w:tcPr>
            <w:tcW w:w="1241" w:type="dxa"/>
            <w:tcBorders>
              <w:top w:val="nil"/>
              <w:left w:val="nil"/>
              <w:bottom w:val="single" w:sz="4" w:space="0" w:color="auto"/>
              <w:right w:val="nil"/>
            </w:tcBorders>
            <w:shd w:val="clear" w:color="auto" w:fill="auto"/>
            <w:noWrap/>
            <w:vAlign w:val="bottom"/>
            <w:hideMark/>
          </w:tcPr>
          <w:p w14:paraId="210C9D64" w14:textId="30BD717C" w:rsidR="00607D43" w:rsidRPr="00914044" w:rsidRDefault="00607D43">
            <w:pPr>
              <w:rPr>
                <w:rFonts w:ascii="Calibri" w:eastAsia="Times New Roman" w:hAnsi="Calibri"/>
                <w:color w:val="000000"/>
                <w:sz w:val="16"/>
                <w:szCs w:val="16"/>
              </w:rPr>
            </w:pPr>
            <w:proofErr w:type="gramStart"/>
            <w:r w:rsidRPr="00914044">
              <w:rPr>
                <w:rFonts w:ascii="Calibri" w:eastAsia="Times New Roman" w:hAnsi="Calibri"/>
                <w:color w:val="000000"/>
                <w:sz w:val="16"/>
                <w:szCs w:val="16"/>
              </w:rPr>
              <w:t>NOT benefit</w:t>
            </w:r>
            <w:proofErr w:type="gramEnd"/>
            <w:r w:rsidRPr="00914044">
              <w:rPr>
                <w:rFonts w:ascii="Calibri" w:eastAsia="Times New Roman" w:hAnsi="Calibri"/>
                <w:color w:val="000000"/>
                <w:sz w:val="16"/>
                <w:szCs w:val="16"/>
              </w:rPr>
              <w:t xml:space="preserve"> up</w:t>
            </w:r>
            <w:r w:rsidR="00892FC2" w:rsidRPr="00914044">
              <w:rPr>
                <w:rFonts w:ascii="Calibri" w:eastAsia="Times New Roman" w:hAnsi="Calibri"/>
                <w:color w:val="000000"/>
                <w:sz w:val="16"/>
                <w:szCs w:val="16"/>
              </w:rPr>
              <w:t>-</w:t>
            </w:r>
            <w:proofErr w:type="spellStart"/>
            <w:r w:rsidRPr="00914044">
              <w:rPr>
                <w:rFonts w:ascii="Calibri" w:eastAsia="Times New Roman" w:hAnsi="Calibri"/>
                <w:color w:val="000000"/>
                <w:sz w:val="16"/>
                <w:szCs w:val="16"/>
              </w:rPr>
              <w:t>titration</w:t>
            </w:r>
            <w:proofErr w:type="spellEnd"/>
          </w:p>
        </w:tc>
        <w:tc>
          <w:tcPr>
            <w:tcW w:w="1514" w:type="dxa"/>
            <w:tcBorders>
              <w:top w:val="nil"/>
              <w:left w:val="nil"/>
              <w:bottom w:val="single" w:sz="4" w:space="0" w:color="auto"/>
              <w:right w:val="single" w:sz="4" w:space="0" w:color="auto"/>
            </w:tcBorders>
            <w:shd w:val="clear" w:color="auto" w:fill="auto"/>
            <w:noWrap/>
            <w:vAlign w:val="bottom"/>
            <w:hideMark/>
          </w:tcPr>
          <w:p w14:paraId="7BFEC5D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P-</w:t>
            </w:r>
            <w:proofErr w:type="spellStart"/>
            <w:r w:rsidRPr="00914044">
              <w:rPr>
                <w:rFonts w:ascii="Calibri" w:eastAsia="Times New Roman" w:hAnsi="Calibri"/>
                <w:color w:val="000000"/>
                <w:sz w:val="16"/>
                <w:szCs w:val="16"/>
              </w:rPr>
              <w:t>value</w:t>
            </w:r>
            <w:proofErr w:type="spellEnd"/>
          </w:p>
        </w:tc>
      </w:tr>
      <w:tr w:rsidR="00635710" w:rsidRPr="00914044" w14:paraId="1C89757F"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1AD1B598"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Number</w:t>
            </w:r>
            <w:proofErr w:type="spellEnd"/>
            <w:r w:rsidRPr="00914044">
              <w:rPr>
                <w:rFonts w:ascii="Calibri" w:eastAsia="Times New Roman" w:hAnsi="Calibri"/>
                <w:color w:val="000000"/>
                <w:sz w:val="16"/>
                <w:szCs w:val="16"/>
              </w:rPr>
              <w:t xml:space="preserve"> of </w:t>
            </w:r>
            <w:proofErr w:type="spellStart"/>
            <w:r w:rsidRPr="00914044">
              <w:rPr>
                <w:rFonts w:ascii="Calibri" w:eastAsia="Times New Roman" w:hAnsi="Calibri"/>
                <w:color w:val="000000"/>
                <w:sz w:val="16"/>
                <w:szCs w:val="16"/>
              </w:rPr>
              <w:t>patients</w:t>
            </w:r>
            <w:proofErr w:type="spellEnd"/>
            <w:r w:rsidRPr="00914044">
              <w:rPr>
                <w:rFonts w:ascii="Calibri" w:eastAsia="Times New Roman" w:hAnsi="Calibri"/>
                <w:color w:val="000000"/>
                <w:sz w:val="16"/>
                <w:szCs w:val="16"/>
              </w:rPr>
              <w:t>: n (%)</w:t>
            </w:r>
          </w:p>
        </w:tc>
        <w:tc>
          <w:tcPr>
            <w:tcW w:w="1701" w:type="dxa"/>
            <w:tcBorders>
              <w:top w:val="nil"/>
              <w:left w:val="nil"/>
              <w:bottom w:val="nil"/>
              <w:right w:val="nil"/>
            </w:tcBorders>
            <w:shd w:val="clear" w:color="auto" w:fill="auto"/>
            <w:noWrap/>
            <w:vAlign w:val="bottom"/>
            <w:hideMark/>
          </w:tcPr>
          <w:p w14:paraId="7A304AF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1760</w:t>
            </w:r>
          </w:p>
        </w:tc>
        <w:tc>
          <w:tcPr>
            <w:tcW w:w="992" w:type="dxa"/>
            <w:tcBorders>
              <w:top w:val="nil"/>
              <w:left w:val="nil"/>
              <w:bottom w:val="nil"/>
              <w:right w:val="nil"/>
            </w:tcBorders>
            <w:shd w:val="clear" w:color="auto" w:fill="auto"/>
            <w:noWrap/>
            <w:vAlign w:val="bottom"/>
            <w:hideMark/>
          </w:tcPr>
          <w:p w14:paraId="29B952F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42</w:t>
            </w:r>
          </w:p>
        </w:tc>
        <w:tc>
          <w:tcPr>
            <w:tcW w:w="715" w:type="dxa"/>
            <w:gridSpan w:val="2"/>
            <w:tcBorders>
              <w:top w:val="nil"/>
              <w:left w:val="nil"/>
              <w:bottom w:val="nil"/>
              <w:right w:val="single" w:sz="4" w:space="0" w:color="auto"/>
            </w:tcBorders>
            <w:shd w:val="clear" w:color="auto" w:fill="auto"/>
            <w:noWrap/>
            <w:vAlign w:val="bottom"/>
            <w:hideMark/>
          </w:tcPr>
          <w:p w14:paraId="45B0377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311" w:type="dxa"/>
            <w:tcBorders>
              <w:top w:val="nil"/>
              <w:left w:val="nil"/>
              <w:bottom w:val="nil"/>
              <w:right w:val="nil"/>
            </w:tcBorders>
            <w:shd w:val="clear" w:color="auto" w:fill="auto"/>
            <w:noWrap/>
            <w:vAlign w:val="bottom"/>
            <w:hideMark/>
          </w:tcPr>
          <w:p w14:paraId="144D1F2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1210</w:t>
            </w:r>
          </w:p>
        </w:tc>
        <w:tc>
          <w:tcPr>
            <w:tcW w:w="1099" w:type="dxa"/>
            <w:tcBorders>
              <w:top w:val="nil"/>
              <w:left w:val="nil"/>
              <w:bottom w:val="nil"/>
              <w:right w:val="nil"/>
            </w:tcBorders>
            <w:shd w:val="clear" w:color="auto" w:fill="auto"/>
            <w:noWrap/>
            <w:vAlign w:val="bottom"/>
            <w:hideMark/>
          </w:tcPr>
          <w:p w14:paraId="6DB21C1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592</w:t>
            </w:r>
          </w:p>
        </w:tc>
        <w:tc>
          <w:tcPr>
            <w:tcW w:w="986" w:type="dxa"/>
            <w:tcBorders>
              <w:top w:val="nil"/>
              <w:left w:val="nil"/>
              <w:bottom w:val="nil"/>
              <w:right w:val="single" w:sz="4" w:space="0" w:color="auto"/>
            </w:tcBorders>
            <w:shd w:val="clear" w:color="auto" w:fill="auto"/>
            <w:noWrap/>
            <w:vAlign w:val="bottom"/>
            <w:hideMark/>
          </w:tcPr>
          <w:p w14:paraId="64EBE21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498" w:type="dxa"/>
            <w:tcBorders>
              <w:top w:val="nil"/>
              <w:left w:val="nil"/>
              <w:bottom w:val="nil"/>
              <w:right w:val="nil"/>
            </w:tcBorders>
            <w:shd w:val="clear" w:color="auto" w:fill="auto"/>
            <w:noWrap/>
            <w:vAlign w:val="bottom"/>
            <w:hideMark/>
          </w:tcPr>
          <w:p w14:paraId="484E4AE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1573</w:t>
            </w:r>
          </w:p>
        </w:tc>
        <w:tc>
          <w:tcPr>
            <w:tcW w:w="1241" w:type="dxa"/>
            <w:tcBorders>
              <w:top w:val="nil"/>
              <w:left w:val="nil"/>
              <w:bottom w:val="nil"/>
              <w:right w:val="nil"/>
            </w:tcBorders>
            <w:shd w:val="clear" w:color="auto" w:fill="auto"/>
            <w:noWrap/>
            <w:vAlign w:val="bottom"/>
            <w:hideMark/>
          </w:tcPr>
          <w:p w14:paraId="7E9B532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229</w:t>
            </w:r>
          </w:p>
        </w:tc>
        <w:tc>
          <w:tcPr>
            <w:tcW w:w="1514" w:type="dxa"/>
            <w:tcBorders>
              <w:top w:val="nil"/>
              <w:left w:val="nil"/>
              <w:bottom w:val="nil"/>
              <w:right w:val="single" w:sz="4" w:space="0" w:color="auto"/>
            </w:tcBorders>
            <w:shd w:val="clear" w:color="auto" w:fill="auto"/>
            <w:noWrap/>
            <w:vAlign w:val="bottom"/>
            <w:hideMark/>
          </w:tcPr>
          <w:p w14:paraId="27D11E70"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 </w:t>
            </w:r>
          </w:p>
        </w:tc>
      </w:tr>
      <w:tr w:rsidR="00635710" w:rsidRPr="00914044" w14:paraId="279E8937"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606D5590"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 of recommended ACE-</w:t>
            </w:r>
            <w:proofErr w:type="spellStart"/>
            <w:r w:rsidRPr="00914044">
              <w:rPr>
                <w:rFonts w:ascii="Calibri" w:eastAsia="Times New Roman" w:hAnsi="Calibri"/>
                <w:color w:val="000000"/>
                <w:sz w:val="16"/>
                <w:szCs w:val="16"/>
                <w:lang w:val="en-US"/>
              </w:rPr>
              <w:t>inhibotor</w:t>
            </w:r>
            <w:proofErr w:type="spellEnd"/>
            <w:r w:rsidRPr="00914044">
              <w:rPr>
                <w:rFonts w:ascii="Calibri" w:eastAsia="Times New Roman" w:hAnsi="Calibri"/>
                <w:color w:val="000000"/>
                <w:sz w:val="16"/>
                <w:szCs w:val="16"/>
                <w:lang w:val="en-US"/>
              </w:rPr>
              <w:t>/ARB dose: mean (SD)</w:t>
            </w:r>
          </w:p>
        </w:tc>
        <w:tc>
          <w:tcPr>
            <w:tcW w:w="1701" w:type="dxa"/>
            <w:tcBorders>
              <w:top w:val="nil"/>
              <w:left w:val="nil"/>
              <w:bottom w:val="nil"/>
              <w:right w:val="nil"/>
            </w:tcBorders>
            <w:shd w:val="clear" w:color="auto" w:fill="auto"/>
            <w:noWrap/>
            <w:vAlign w:val="bottom"/>
            <w:hideMark/>
          </w:tcPr>
          <w:p w14:paraId="5D7859A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50 (39)</w:t>
            </w:r>
          </w:p>
        </w:tc>
        <w:tc>
          <w:tcPr>
            <w:tcW w:w="992" w:type="dxa"/>
            <w:tcBorders>
              <w:top w:val="nil"/>
              <w:left w:val="nil"/>
              <w:bottom w:val="nil"/>
              <w:right w:val="nil"/>
            </w:tcBorders>
            <w:shd w:val="clear" w:color="auto" w:fill="auto"/>
            <w:noWrap/>
            <w:vAlign w:val="bottom"/>
            <w:hideMark/>
          </w:tcPr>
          <w:p w14:paraId="6D13CAB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57 (41)</w:t>
            </w:r>
          </w:p>
        </w:tc>
        <w:tc>
          <w:tcPr>
            <w:tcW w:w="715" w:type="dxa"/>
            <w:gridSpan w:val="2"/>
            <w:tcBorders>
              <w:top w:val="nil"/>
              <w:left w:val="nil"/>
              <w:bottom w:val="nil"/>
              <w:right w:val="single" w:sz="4" w:space="0" w:color="auto"/>
            </w:tcBorders>
            <w:shd w:val="clear" w:color="auto" w:fill="auto"/>
            <w:noWrap/>
            <w:vAlign w:val="bottom"/>
            <w:hideMark/>
          </w:tcPr>
          <w:p w14:paraId="2B55663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311" w:type="dxa"/>
            <w:tcBorders>
              <w:top w:val="nil"/>
              <w:left w:val="nil"/>
              <w:bottom w:val="nil"/>
              <w:right w:val="nil"/>
            </w:tcBorders>
            <w:shd w:val="clear" w:color="auto" w:fill="auto"/>
            <w:noWrap/>
            <w:vAlign w:val="bottom"/>
            <w:hideMark/>
          </w:tcPr>
          <w:p w14:paraId="063E1BD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51 (38)</w:t>
            </w:r>
          </w:p>
        </w:tc>
        <w:tc>
          <w:tcPr>
            <w:tcW w:w="1099" w:type="dxa"/>
            <w:tcBorders>
              <w:top w:val="nil"/>
              <w:left w:val="nil"/>
              <w:bottom w:val="nil"/>
              <w:right w:val="nil"/>
            </w:tcBorders>
            <w:shd w:val="clear" w:color="auto" w:fill="auto"/>
            <w:noWrap/>
            <w:vAlign w:val="bottom"/>
            <w:hideMark/>
          </w:tcPr>
          <w:p w14:paraId="17BE461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47 (40)</w:t>
            </w:r>
          </w:p>
        </w:tc>
        <w:tc>
          <w:tcPr>
            <w:tcW w:w="986" w:type="dxa"/>
            <w:tcBorders>
              <w:top w:val="nil"/>
              <w:left w:val="nil"/>
              <w:bottom w:val="nil"/>
              <w:right w:val="single" w:sz="4" w:space="0" w:color="auto"/>
            </w:tcBorders>
            <w:shd w:val="clear" w:color="auto" w:fill="auto"/>
            <w:noWrap/>
            <w:vAlign w:val="bottom"/>
            <w:hideMark/>
          </w:tcPr>
          <w:p w14:paraId="7992E0E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498" w:type="dxa"/>
            <w:tcBorders>
              <w:top w:val="nil"/>
              <w:left w:val="nil"/>
              <w:bottom w:val="nil"/>
              <w:right w:val="nil"/>
            </w:tcBorders>
            <w:shd w:val="clear" w:color="auto" w:fill="auto"/>
            <w:noWrap/>
            <w:vAlign w:val="bottom"/>
            <w:hideMark/>
          </w:tcPr>
          <w:p w14:paraId="12CAD8E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49 (39)</w:t>
            </w:r>
          </w:p>
        </w:tc>
        <w:tc>
          <w:tcPr>
            <w:tcW w:w="1241" w:type="dxa"/>
            <w:tcBorders>
              <w:top w:val="nil"/>
              <w:left w:val="nil"/>
              <w:bottom w:val="nil"/>
              <w:right w:val="nil"/>
            </w:tcBorders>
            <w:shd w:val="clear" w:color="auto" w:fill="auto"/>
            <w:noWrap/>
            <w:vAlign w:val="bottom"/>
            <w:hideMark/>
          </w:tcPr>
          <w:p w14:paraId="0AEF1D5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59 (39)</w:t>
            </w:r>
          </w:p>
        </w:tc>
        <w:tc>
          <w:tcPr>
            <w:tcW w:w="1514" w:type="dxa"/>
            <w:tcBorders>
              <w:top w:val="nil"/>
              <w:left w:val="nil"/>
              <w:bottom w:val="nil"/>
              <w:right w:val="single" w:sz="4" w:space="0" w:color="auto"/>
            </w:tcBorders>
            <w:shd w:val="clear" w:color="auto" w:fill="auto"/>
            <w:noWrap/>
            <w:vAlign w:val="bottom"/>
            <w:hideMark/>
          </w:tcPr>
          <w:p w14:paraId="1246224C"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 </w:t>
            </w:r>
          </w:p>
        </w:tc>
      </w:tr>
      <w:tr w:rsidR="00635710" w:rsidRPr="00914044" w14:paraId="60F876B4"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0802C106"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 of recommended beta-blocker dose: mean (SD)</w:t>
            </w:r>
          </w:p>
        </w:tc>
        <w:tc>
          <w:tcPr>
            <w:tcW w:w="1701" w:type="dxa"/>
            <w:tcBorders>
              <w:top w:val="nil"/>
              <w:left w:val="nil"/>
              <w:bottom w:val="nil"/>
              <w:right w:val="nil"/>
            </w:tcBorders>
            <w:shd w:val="clear" w:color="auto" w:fill="auto"/>
            <w:noWrap/>
            <w:vAlign w:val="bottom"/>
            <w:hideMark/>
          </w:tcPr>
          <w:p w14:paraId="6CB3C5F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37 (31)</w:t>
            </w:r>
          </w:p>
        </w:tc>
        <w:tc>
          <w:tcPr>
            <w:tcW w:w="992" w:type="dxa"/>
            <w:tcBorders>
              <w:top w:val="nil"/>
              <w:left w:val="nil"/>
              <w:bottom w:val="nil"/>
              <w:right w:val="nil"/>
            </w:tcBorders>
            <w:shd w:val="clear" w:color="auto" w:fill="auto"/>
            <w:noWrap/>
            <w:vAlign w:val="bottom"/>
            <w:hideMark/>
          </w:tcPr>
          <w:p w14:paraId="47BD825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41 (32)</w:t>
            </w:r>
          </w:p>
        </w:tc>
        <w:tc>
          <w:tcPr>
            <w:tcW w:w="715" w:type="dxa"/>
            <w:gridSpan w:val="2"/>
            <w:tcBorders>
              <w:top w:val="nil"/>
              <w:left w:val="nil"/>
              <w:bottom w:val="nil"/>
              <w:right w:val="single" w:sz="4" w:space="0" w:color="auto"/>
            </w:tcBorders>
            <w:shd w:val="clear" w:color="auto" w:fill="auto"/>
            <w:noWrap/>
            <w:vAlign w:val="bottom"/>
            <w:hideMark/>
          </w:tcPr>
          <w:p w14:paraId="4C3D60A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311" w:type="dxa"/>
            <w:tcBorders>
              <w:top w:val="nil"/>
              <w:left w:val="nil"/>
              <w:bottom w:val="nil"/>
              <w:right w:val="nil"/>
            </w:tcBorders>
            <w:shd w:val="clear" w:color="auto" w:fill="auto"/>
            <w:noWrap/>
            <w:vAlign w:val="bottom"/>
            <w:hideMark/>
          </w:tcPr>
          <w:p w14:paraId="69B0B5F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37 (31)</w:t>
            </w:r>
          </w:p>
        </w:tc>
        <w:tc>
          <w:tcPr>
            <w:tcW w:w="1099" w:type="dxa"/>
            <w:tcBorders>
              <w:top w:val="nil"/>
              <w:left w:val="nil"/>
              <w:bottom w:val="nil"/>
              <w:right w:val="nil"/>
            </w:tcBorders>
            <w:shd w:val="clear" w:color="auto" w:fill="auto"/>
            <w:noWrap/>
            <w:vAlign w:val="bottom"/>
            <w:hideMark/>
          </w:tcPr>
          <w:p w14:paraId="3B4278E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36 (32)</w:t>
            </w:r>
          </w:p>
        </w:tc>
        <w:tc>
          <w:tcPr>
            <w:tcW w:w="986" w:type="dxa"/>
            <w:tcBorders>
              <w:top w:val="nil"/>
              <w:left w:val="nil"/>
              <w:bottom w:val="nil"/>
              <w:right w:val="single" w:sz="4" w:space="0" w:color="auto"/>
            </w:tcBorders>
            <w:shd w:val="clear" w:color="auto" w:fill="auto"/>
            <w:noWrap/>
            <w:vAlign w:val="bottom"/>
            <w:hideMark/>
          </w:tcPr>
          <w:p w14:paraId="00255FD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498" w:type="dxa"/>
            <w:tcBorders>
              <w:top w:val="nil"/>
              <w:left w:val="nil"/>
              <w:bottom w:val="nil"/>
              <w:right w:val="nil"/>
            </w:tcBorders>
            <w:shd w:val="clear" w:color="auto" w:fill="auto"/>
            <w:noWrap/>
            <w:vAlign w:val="bottom"/>
            <w:hideMark/>
          </w:tcPr>
          <w:p w14:paraId="34DB2CE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37 (32)</w:t>
            </w:r>
          </w:p>
        </w:tc>
        <w:tc>
          <w:tcPr>
            <w:tcW w:w="1241" w:type="dxa"/>
            <w:tcBorders>
              <w:top w:val="nil"/>
              <w:left w:val="nil"/>
              <w:bottom w:val="nil"/>
              <w:right w:val="nil"/>
            </w:tcBorders>
            <w:shd w:val="clear" w:color="auto" w:fill="auto"/>
            <w:noWrap/>
            <w:vAlign w:val="bottom"/>
            <w:hideMark/>
          </w:tcPr>
          <w:p w14:paraId="5756535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37 (28)</w:t>
            </w:r>
          </w:p>
        </w:tc>
        <w:tc>
          <w:tcPr>
            <w:tcW w:w="1514" w:type="dxa"/>
            <w:tcBorders>
              <w:top w:val="nil"/>
              <w:left w:val="nil"/>
              <w:bottom w:val="nil"/>
              <w:right w:val="single" w:sz="4" w:space="0" w:color="auto"/>
            </w:tcBorders>
            <w:shd w:val="clear" w:color="auto" w:fill="auto"/>
            <w:noWrap/>
            <w:vAlign w:val="bottom"/>
            <w:hideMark/>
          </w:tcPr>
          <w:p w14:paraId="25C71189"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 </w:t>
            </w:r>
          </w:p>
        </w:tc>
      </w:tr>
      <w:tr w:rsidR="003D03F6" w:rsidRPr="00914044" w14:paraId="2968EEC6"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36EED19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Age (</w:t>
            </w:r>
            <w:proofErr w:type="spellStart"/>
            <w:r w:rsidRPr="00914044">
              <w:rPr>
                <w:rFonts w:ascii="Calibri" w:eastAsia="Times New Roman" w:hAnsi="Calibri"/>
                <w:color w:val="000000"/>
                <w:sz w:val="16"/>
                <w:szCs w:val="16"/>
              </w:rPr>
              <w:t>years</w:t>
            </w:r>
            <w:proofErr w:type="spellEnd"/>
            <w:r w:rsidRPr="00914044">
              <w:rPr>
                <w:rFonts w:ascii="Calibri" w:eastAsia="Times New Roman" w:hAnsi="Calibri"/>
                <w:color w:val="000000"/>
                <w:sz w:val="16"/>
                <w:szCs w:val="16"/>
              </w:rPr>
              <w:t xml:space="preserve">): </w:t>
            </w:r>
            <w:proofErr w:type="spellStart"/>
            <w:r w:rsidRPr="00914044">
              <w:rPr>
                <w:rFonts w:ascii="Calibri" w:eastAsia="Times New Roman" w:hAnsi="Calibri"/>
                <w:color w:val="000000"/>
                <w:sz w:val="16"/>
                <w:szCs w:val="16"/>
              </w:rPr>
              <w:t>mean</w:t>
            </w:r>
            <w:proofErr w:type="spellEnd"/>
            <w:r w:rsidRPr="00914044">
              <w:rPr>
                <w:rFonts w:ascii="Calibri" w:eastAsia="Times New Roman" w:hAnsi="Calibri"/>
                <w:color w:val="000000"/>
                <w:sz w:val="16"/>
                <w:szCs w:val="16"/>
              </w:rPr>
              <w:t xml:space="preserve"> (SD)</w:t>
            </w:r>
          </w:p>
        </w:tc>
        <w:tc>
          <w:tcPr>
            <w:tcW w:w="1701" w:type="dxa"/>
            <w:tcBorders>
              <w:top w:val="nil"/>
              <w:left w:val="nil"/>
              <w:bottom w:val="nil"/>
              <w:right w:val="nil"/>
            </w:tcBorders>
            <w:shd w:val="clear" w:color="auto" w:fill="auto"/>
            <w:noWrap/>
            <w:vAlign w:val="bottom"/>
            <w:hideMark/>
          </w:tcPr>
          <w:p w14:paraId="02EBBE3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67.72 (12)</w:t>
            </w:r>
          </w:p>
        </w:tc>
        <w:tc>
          <w:tcPr>
            <w:tcW w:w="992" w:type="dxa"/>
            <w:tcBorders>
              <w:top w:val="nil"/>
              <w:left w:val="nil"/>
              <w:bottom w:val="nil"/>
              <w:right w:val="nil"/>
            </w:tcBorders>
            <w:shd w:val="clear" w:color="auto" w:fill="auto"/>
            <w:noWrap/>
            <w:vAlign w:val="bottom"/>
            <w:hideMark/>
          </w:tcPr>
          <w:p w14:paraId="28EDF3F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63.37 (14)</w:t>
            </w:r>
          </w:p>
        </w:tc>
        <w:tc>
          <w:tcPr>
            <w:tcW w:w="715" w:type="dxa"/>
            <w:gridSpan w:val="2"/>
            <w:tcBorders>
              <w:top w:val="nil"/>
              <w:left w:val="nil"/>
              <w:bottom w:val="nil"/>
              <w:right w:val="single" w:sz="4" w:space="0" w:color="auto"/>
            </w:tcBorders>
            <w:shd w:val="clear" w:color="auto" w:fill="auto"/>
            <w:noWrap/>
            <w:vAlign w:val="bottom"/>
            <w:hideMark/>
          </w:tcPr>
          <w:p w14:paraId="4BB52159"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0.05</w:t>
            </w:r>
          </w:p>
        </w:tc>
        <w:tc>
          <w:tcPr>
            <w:tcW w:w="1311" w:type="dxa"/>
            <w:tcBorders>
              <w:top w:val="nil"/>
              <w:left w:val="nil"/>
              <w:bottom w:val="nil"/>
              <w:right w:val="nil"/>
            </w:tcBorders>
            <w:shd w:val="clear" w:color="auto" w:fill="auto"/>
            <w:noWrap/>
            <w:vAlign w:val="bottom"/>
            <w:hideMark/>
          </w:tcPr>
          <w:p w14:paraId="7ECD434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65.93 (12.13)</w:t>
            </w:r>
          </w:p>
        </w:tc>
        <w:tc>
          <w:tcPr>
            <w:tcW w:w="1099" w:type="dxa"/>
            <w:tcBorders>
              <w:top w:val="nil"/>
              <w:left w:val="nil"/>
              <w:bottom w:val="nil"/>
              <w:right w:val="nil"/>
            </w:tcBorders>
            <w:shd w:val="clear" w:color="auto" w:fill="auto"/>
            <w:noWrap/>
            <w:vAlign w:val="bottom"/>
            <w:hideMark/>
          </w:tcPr>
          <w:p w14:paraId="239ABC8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71.08 (11.18)</w:t>
            </w:r>
          </w:p>
        </w:tc>
        <w:tc>
          <w:tcPr>
            <w:tcW w:w="986" w:type="dxa"/>
            <w:tcBorders>
              <w:top w:val="nil"/>
              <w:left w:val="nil"/>
              <w:bottom w:val="nil"/>
              <w:right w:val="single" w:sz="4" w:space="0" w:color="auto"/>
            </w:tcBorders>
            <w:shd w:val="clear" w:color="auto" w:fill="auto"/>
            <w:noWrap/>
            <w:vAlign w:val="bottom"/>
            <w:hideMark/>
          </w:tcPr>
          <w:p w14:paraId="023E863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&lt;0.00001</w:t>
            </w:r>
          </w:p>
        </w:tc>
        <w:tc>
          <w:tcPr>
            <w:tcW w:w="1498" w:type="dxa"/>
            <w:tcBorders>
              <w:top w:val="nil"/>
              <w:left w:val="nil"/>
              <w:bottom w:val="nil"/>
              <w:right w:val="nil"/>
            </w:tcBorders>
            <w:shd w:val="clear" w:color="auto" w:fill="auto"/>
            <w:noWrap/>
            <w:vAlign w:val="bottom"/>
            <w:hideMark/>
          </w:tcPr>
          <w:p w14:paraId="33B0C92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68.04 (12.04)</w:t>
            </w:r>
          </w:p>
        </w:tc>
        <w:tc>
          <w:tcPr>
            <w:tcW w:w="1241" w:type="dxa"/>
            <w:tcBorders>
              <w:top w:val="nil"/>
              <w:left w:val="nil"/>
              <w:bottom w:val="nil"/>
              <w:right w:val="nil"/>
            </w:tcBorders>
            <w:shd w:val="clear" w:color="auto" w:fill="auto"/>
            <w:noWrap/>
            <w:vAlign w:val="bottom"/>
            <w:hideMark/>
          </w:tcPr>
          <w:p w14:paraId="20217B5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64.77 (11.88)</w:t>
            </w:r>
          </w:p>
        </w:tc>
        <w:tc>
          <w:tcPr>
            <w:tcW w:w="1514" w:type="dxa"/>
            <w:tcBorders>
              <w:top w:val="nil"/>
              <w:left w:val="nil"/>
              <w:bottom w:val="nil"/>
              <w:right w:val="single" w:sz="4" w:space="0" w:color="auto"/>
            </w:tcBorders>
            <w:shd w:val="clear" w:color="auto" w:fill="auto"/>
            <w:noWrap/>
            <w:vAlign w:val="bottom"/>
            <w:hideMark/>
          </w:tcPr>
          <w:p w14:paraId="3F869758"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0.0001</w:t>
            </w:r>
          </w:p>
        </w:tc>
      </w:tr>
      <w:tr w:rsidR="00635710" w:rsidRPr="00914044" w14:paraId="5663EBBD"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399CF9A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Male gender: n (%)</w:t>
            </w:r>
          </w:p>
        </w:tc>
        <w:tc>
          <w:tcPr>
            <w:tcW w:w="1701" w:type="dxa"/>
            <w:tcBorders>
              <w:top w:val="nil"/>
              <w:left w:val="nil"/>
              <w:bottom w:val="nil"/>
              <w:right w:val="nil"/>
            </w:tcBorders>
            <w:shd w:val="clear" w:color="auto" w:fill="auto"/>
            <w:noWrap/>
            <w:vAlign w:val="bottom"/>
            <w:hideMark/>
          </w:tcPr>
          <w:p w14:paraId="562309D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1331 (76%)</w:t>
            </w:r>
          </w:p>
        </w:tc>
        <w:tc>
          <w:tcPr>
            <w:tcW w:w="992" w:type="dxa"/>
            <w:tcBorders>
              <w:top w:val="nil"/>
              <w:left w:val="nil"/>
              <w:bottom w:val="nil"/>
              <w:right w:val="nil"/>
            </w:tcBorders>
            <w:shd w:val="clear" w:color="auto" w:fill="auto"/>
            <w:noWrap/>
            <w:vAlign w:val="bottom"/>
            <w:hideMark/>
          </w:tcPr>
          <w:p w14:paraId="193E169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31 (74%)</w:t>
            </w:r>
          </w:p>
        </w:tc>
        <w:tc>
          <w:tcPr>
            <w:tcW w:w="715" w:type="dxa"/>
            <w:gridSpan w:val="2"/>
            <w:tcBorders>
              <w:top w:val="nil"/>
              <w:left w:val="nil"/>
              <w:bottom w:val="nil"/>
              <w:right w:val="single" w:sz="4" w:space="0" w:color="auto"/>
            </w:tcBorders>
            <w:shd w:val="clear" w:color="auto" w:fill="auto"/>
            <w:noWrap/>
            <w:vAlign w:val="bottom"/>
            <w:hideMark/>
          </w:tcPr>
          <w:p w14:paraId="7DF648C4"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0.79</w:t>
            </w:r>
          </w:p>
        </w:tc>
        <w:tc>
          <w:tcPr>
            <w:tcW w:w="1311" w:type="dxa"/>
            <w:tcBorders>
              <w:top w:val="nil"/>
              <w:left w:val="nil"/>
              <w:bottom w:val="nil"/>
              <w:right w:val="nil"/>
            </w:tcBorders>
            <w:shd w:val="clear" w:color="auto" w:fill="auto"/>
            <w:noWrap/>
            <w:vAlign w:val="bottom"/>
            <w:hideMark/>
          </w:tcPr>
          <w:p w14:paraId="6C528F3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922 (76%)</w:t>
            </w:r>
          </w:p>
        </w:tc>
        <w:tc>
          <w:tcPr>
            <w:tcW w:w="1099" w:type="dxa"/>
            <w:tcBorders>
              <w:top w:val="nil"/>
              <w:left w:val="nil"/>
              <w:bottom w:val="nil"/>
              <w:right w:val="nil"/>
            </w:tcBorders>
            <w:shd w:val="clear" w:color="auto" w:fill="auto"/>
            <w:noWrap/>
            <w:vAlign w:val="bottom"/>
            <w:hideMark/>
          </w:tcPr>
          <w:p w14:paraId="364C651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440 (74%)</w:t>
            </w:r>
          </w:p>
        </w:tc>
        <w:tc>
          <w:tcPr>
            <w:tcW w:w="986" w:type="dxa"/>
            <w:tcBorders>
              <w:top w:val="nil"/>
              <w:left w:val="nil"/>
              <w:bottom w:val="nil"/>
              <w:right w:val="single" w:sz="4" w:space="0" w:color="auto"/>
            </w:tcBorders>
            <w:shd w:val="clear" w:color="auto" w:fill="auto"/>
            <w:noWrap/>
            <w:vAlign w:val="bottom"/>
            <w:hideMark/>
          </w:tcPr>
          <w:p w14:paraId="2BCE8A1B"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0.38</w:t>
            </w:r>
          </w:p>
        </w:tc>
        <w:tc>
          <w:tcPr>
            <w:tcW w:w="1498" w:type="dxa"/>
            <w:tcBorders>
              <w:top w:val="nil"/>
              <w:left w:val="nil"/>
              <w:bottom w:val="nil"/>
              <w:right w:val="nil"/>
            </w:tcBorders>
            <w:shd w:val="clear" w:color="auto" w:fill="auto"/>
            <w:noWrap/>
            <w:vAlign w:val="bottom"/>
            <w:hideMark/>
          </w:tcPr>
          <w:p w14:paraId="2D94FF7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1219 (77%)</w:t>
            </w:r>
          </w:p>
        </w:tc>
        <w:tc>
          <w:tcPr>
            <w:tcW w:w="1241" w:type="dxa"/>
            <w:tcBorders>
              <w:top w:val="nil"/>
              <w:left w:val="nil"/>
              <w:bottom w:val="nil"/>
              <w:right w:val="nil"/>
            </w:tcBorders>
            <w:shd w:val="clear" w:color="auto" w:fill="auto"/>
            <w:noWrap/>
            <w:vAlign w:val="bottom"/>
            <w:hideMark/>
          </w:tcPr>
          <w:p w14:paraId="4819EB1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143 (62%)</w:t>
            </w:r>
          </w:p>
        </w:tc>
        <w:tc>
          <w:tcPr>
            <w:tcW w:w="1514" w:type="dxa"/>
            <w:tcBorders>
              <w:top w:val="nil"/>
              <w:left w:val="nil"/>
              <w:bottom w:val="nil"/>
              <w:right w:val="single" w:sz="4" w:space="0" w:color="auto"/>
            </w:tcBorders>
            <w:shd w:val="clear" w:color="auto" w:fill="auto"/>
            <w:noWrap/>
            <w:vAlign w:val="bottom"/>
            <w:hideMark/>
          </w:tcPr>
          <w:p w14:paraId="255C0621"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&lt;0.00001</w:t>
            </w:r>
          </w:p>
        </w:tc>
      </w:tr>
      <w:tr w:rsidR="00635710" w:rsidRPr="00914044" w14:paraId="228CB359"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5257A400"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Caucasian</w:t>
            </w:r>
            <w:proofErr w:type="spellEnd"/>
            <w:r w:rsidRPr="00914044">
              <w:rPr>
                <w:rFonts w:ascii="Calibri" w:eastAsia="Times New Roman" w:hAnsi="Calibri"/>
                <w:color w:val="000000"/>
                <w:sz w:val="16"/>
                <w:szCs w:val="16"/>
              </w:rPr>
              <w:t xml:space="preserve"> </w:t>
            </w:r>
            <w:proofErr w:type="spellStart"/>
            <w:r w:rsidRPr="00914044">
              <w:rPr>
                <w:rFonts w:ascii="Calibri" w:eastAsia="Times New Roman" w:hAnsi="Calibri"/>
                <w:color w:val="000000"/>
                <w:sz w:val="16"/>
                <w:szCs w:val="16"/>
              </w:rPr>
              <w:t>ethnicity</w:t>
            </w:r>
            <w:proofErr w:type="spellEnd"/>
            <w:r w:rsidRPr="00914044">
              <w:rPr>
                <w:rFonts w:ascii="Calibri" w:eastAsia="Times New Roman" w:hAnsi="Calibri"/>
                <w:color w:val="000000"/>
                <w:sz w:val="16"/>
                <w:szCs w:val="16"/>
              </w:rPr>
              <w:t>: n (%)</w:t>
            </w:r>
          </w:p>
        </w:tc>
        <w:tc>
          <w:tcPr>
            <w:tcW w:w="1701" w:type="dxa"/>
            <w:tcBorders>
              <w:top w:val="nil"/>
              <w:left w:val="nil"/>
              <w:bottom w:val="nil"/>
              <w:right w:val="nil"/>
            </w:tcBorders>
            <w:shd w:val="clear" w:color="auto" w:fill="auto"/>
            <w:noWrap/>
            <w:vAlign w:val="bottom"/>
            <w:hideMark/>
          </w:tcPr>
          <w:p w14:paraId="073B74E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1742 (99%)</w:t>
            </w:r>
          </w:p>
        </w:tc>
        <w:tc>
          <w:tcPr>
            <w:tcW w:w="992" w:type="dxa"/>
            <w:tcBorders>
              <w:top w:val="nil"/>
              <w:left w:val="nil"/>
              <w:bottom w:val="nil"/>
              <w:right w:val="nil"/>
            </w:tcBorders>
            <w:shd w:val="clear" w:color="auto" w:fill="auto"/>
            <w:noWrap/>
            <w:vAlign w:val="bottom"/>
            <w:hideMark/>
          </w:tcPr>
          <w:p w14:paraId="0EFFD6A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40 (95%)</w:t>
            </w:r>
          </w:p>
        </w:tc>
        <w:tc>
          <w:tcPr>
            <w:tcW w:w="715" w:type="dxa"/>
            <w:gridSpan w:val="2"/>
            <w:tcBorders>
              <w:top w:val="nil"/>
              <w:left w:val="nil"/>
              <w:bottom w:val="nil"/>
              <w:right w:val="single" w:sz="4" w:space="0" w:color="auto"/>
            </w:tcBorders>
            <w:shd w:val="clear" w:color="auto" w:fill="auto"/>
            <w:noWrap/>
            <w:vAlign w:val="bottom"/>
            <w:hideMark/>
          </w:tcPr>
          <w:p w14:paraId="07D96769"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0.08</w:t>
            </w:r>
          </w:p>
        </w:tc>
        <w:tc>
          <w:tcPr>
            <w:tcW w:w="1311" w:type="dxa"/>
            <w:tcBorders>
              <w:top w:val="nil"/>
              <w:left w:val="nil"/>
              <w:bottom w:val="nil"/>
              <w:right w:val="nil"/>
            </w:tcBorders>
            <w:shd w:val="clear" w:color="auto" w:fill="auto"/>
            <w:noWrap/>
            <w:vAlign w:val="bottom"/>
            <w:hideMark/>
          </w:tcPr>
          <w:p w14:paraId="3A60CBD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1194 (99%)</w:t>
            </w:r>
          </w:p>
        </w:tc>
        <w:tc>
          <w:tcPr>
            <w:tcW w:w="1099" w:type="dxa"/>
            <w:tcBorders>
              <w:top w:val="nil"/>
              <w:left w:val="nil"/>
              <w:bottom w:val="nil"/>
              <w:right w:val="nil"/>
            </w:tcBorders>
            <w:shd w:val="clear" w:color="auto" w:fill="auto"/>
            <w:noWrap/>
            <w:vAlign w:val="bottom"/>
            <w:hideMark/>
          </w:tcPr>
          <w:p w14:paraId="2E7990E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588 (99%)</w:t>
            </w:r>
          </w:p>
        </w:tc>
        <w:tc>
          <w:tcPr>
            <w:tcW w:w="986" w:type="dxa"/>
            <w:tcBorders>
              <w:top w:val="nil"/>
              <w:left w:val="nil"/>
              <w:bottom w:val="nil"/>
              <w:right w:val="single" w:sz="4" w:space="0" w:color="auto"/>
            </w:tcBorders>
            <w:shd w:val="clear" w:color="auto" w:fill="auto"/>
            <w:noWrap/>
            <w:vAlign w:val="bottom"/>
            <w:hideMark/>
          </w:tcPr>
          <w:p w14:paraId="08B91A42"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0.54</w:t>
            </w:r>
          </w:p>
        </w:tc>
        <w:tc>
          <w:tcPr>
            <w:tcW w:w="1498" w:type="dxa"/>
            <w:tcBorders>
              <w:top w:val="nil"/>
              <w:left w:val="nil"/>
              <w:bottom w:val="nil"/>
              <w:right w:val="nil"/>
            </w:tcBorders>
            <w:shd w:val="clear" w:color="auto" w:fill="auto"/>
            <w:noWrap/>
            <w:vAlign w:val="bottom"/>
            <w:hideMark/>
          </w:tcPr>
          <w:p w14:paraId="403100C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1555 (99%)</w:t>
            </w:r>
          </w:p>
        </w:tc>
        <w:tc>
          <w:tcPr>
            <w:tcW w:w="1241" w:type="dxa"/>
            <w:tcBorders>
              <w:top w:val="nil"/>
              <w:left w:val="nil"/>
              <w:bottom w:val="nil"/>
              <w:right w:val="nil"/>
            </w:tcBorders>
            <w:shd w:val="clear" w:color="auto" w:fill="auto"/>
            <w:noWrap/>
            <w:vAlign w:val="bottom"/>
            <w:hideMark/>
          </w:tcPr>
          <w:p w14:paraId="32F707D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227 (99%)</w:t>
            </w:r>
          </w:p>
        </w:tc>
        <w:tc>
          <w:tcPr>
            <w:tcW w:w="1514" w:type="dxa"/>
            <w:tcBorders>
              <w:top w:val="nil"/>
              <w:left w:val="nil"/>
              <w:bottom w:val="nil"/>
              <w:right w:val="single" w:sz="4" w:space="0" w:color="auto"/>
            </w:tcBorders>
            <w:shd w:val="clear" w:color="auto" w:fill="auto"/>
            <w:noWrap/>
            <w:vAlign w:val="bottom"/>
            <w:hideMark/>
          </w:tcPr>
          <w:p w14:paraId="49F3A1A2"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0.42</w:t>
            </w:r>
          </w:p>
        </w:tc>
      </w:tr>
      <w:tr w:rsidR="00635710" w:rsidRPr="00914044" w14:paraId="358DE4A9"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0AC91B9A"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BMI (kg/m2): mean (SD)</w:t>
            </w:r>
          </w:p>
        </w:tc>
        <w:tc>
          <w:tcPr>
            <w:tcW w:w="1701" w:type="dxa"/>
            <w:tcBorders>
              <w:top w:val="nil"/>
              <w:left w:val="nil"/>
              <w:bottom w:val="nil"/>
              <w:right w:val="nil"/>
            </w:tcBorders>
            <w:shd w:val="clear" w:color="auto" w:fill="auto"/>
            <w:noWrap/>
            <w:vAlign w:val="bottom"/>
            <w:hideMark/>
          </w:tcPr>
          <w:p w14:paraId="6034943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27.89 (5.55)</w:t>
            </w:r>
          </w:p>
        </w:tc>
        <w:tc>
          <w:tcPr>
            <w:tcW w:w="992" w:type="dxa"/>
            <w:tcBorders>
              <w:top w:val="nil"/>
              <w:left w:val="nil"/>
              <w:bottom w:val="nil"/>
              <w:right w:val="nil"/>
            </w:tcBorders>
            <w:shd w:val="clear" w:color="auto" w:fill="auto"/>
            <w:noWrap/>
            <w:vAlign w:val="bottom"/>
            <w:hideMark/>
          </w:tcPr>
          <w:p w14:paraId="5C2822A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28.82 (4.22)</w:t>
            </w:r>
          </w:p>
        </w:tc>
        <w:tc>
          <w:tcPr>
            <w:tcW w:w="715" w:type="dxa"/>
            <w:gridSpan w:val="2"/>
            <w:tcBorders>
              <w:top w:val="nil"/>
              <w:left w:val="nil"/>
              <w:bottom w:val="nil"/>
              <w:right w:val="single" w:sz="4" w:space="0" w:color="auto"/>
            </w:tcBorders>
            <w:shd w:val="clear" w:color="auto" w:fill="auto"/>
            <w:noWrap/>
            <w:vAlign w:val="bottom"/>
            <w:hideMark/>
          </w:tcPr>
          <w:p w14:paraId="0AC664D8"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0.18</w:t>
            </w:r>
          </w:p>
        </w:tc>
        <w:tc>
          <w:tcPr>
            <w:tcW w:w="1311" w:type="dxa"/>
            <w:tcBorders>
              <w:top w:val="nil"/>
              <w:left w:val="nil"/>
              <w:bottom w:val="nil"/>
              <w:right w:val="nil"/>
            </w:tcBorders>
            <w:shd w:val="clear" w:color="auto" w:fill="auto"/>
            <w:noWrap/>
            <w:vAlign w:val="bottom"/>
            <w:hideMark/>
          </w:tcPr>
          <w:p w14:paraId="781775D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28.37 (5.72)</w:t>
            </w:r>
          </w:p>
        </w:tc>
        <w:tc>
          <w:tcPr>
            <w:tcW w:w="1099" w:type="dxa"/>
            <w:tcBorders>
              <w:top w:val="nil"/>
              <w:left w:val="nil"/>
              <w:bottom w:val="nil"/>
              <w:right w:val="nil"/>
            </w:tcBorders>
            <w:shd w:val="clear" w:color="auto" w:fill="auto"/>
            <w:noWrap/>
            <w:vAlign w:val="bottom"/>
            <w:hideMark/>
          </w:tcPr>
          <w:p w14:paraId="37102B2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26.99 (4.98)</w:t>
            </w:r>
          </w:p>
        </w:tc>
        <w:tc>
          <w:tcPr>
            <w:tcW w:w="986" w:type="dxa"/>
            <w:tcBorders>
              <w:top w:val="nil"/>
              <w:left w:val="nil"/>
              <w:bottom w:val="nil"/>
              <w:right w:val="single" w:sz="4" w:space="0" w:color="auto"/>
            </w:tcBorders>
            <w:shd w:val="clear" w:color="auto" w:fill="auto"/>
            <w:noWrap/>
            <w:vAlign w:val="bottom"/>
            <w:hideMark/>
          </w:tcPr>
          <w:p w14:paraId="0254F2D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&lt;0.00001</w:t>
            </w:r>
          </w:p>
        </w:tc>
        <w:tc>
          <w:tcPr>
            <w:tcW w:w="1498" w:type="dxa"/>
            <w:tcBorders>
              <w:top w:val="nil"/>
              <w:left w:val="nil"/>
              <w:bottom w:val="nil"/>
              <w:right w:val="nil"/>
            </w:tcBorders>
            <w:shd w:val="clear" w:color="auto" w:fill="auto"/>
            <w:noWrap/>
            <w:vAlign w:val="bottom"/>
            <w:hideMark/>
          </w:tcPr>
          <w:p w14:paraId="0FF5740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27.86 (5.55)</w:t>
            </w:r>
          </w:p>
        </w:tc>
        <w:tc>
          <w:tcPr>
            <w:tcW w:w="1241" w:type="dxa"/>
            <w:tcBorders>
              <w:top w:val="nil"/>
              <w:left w:val="nil"/>
              <w:bottom w:val="nil"/>
              <w:right w:val="nil"/>
            </w:tcBorders>
            <w:shd w:val="clear" w:color="auto" w:fill="auto"/>
            <w:noWrap/>
            <w:vAlign w:val="bottom"/>
            <w:hideMark/>
          </w:tcPr>
          <w:p w14:paraId="5672154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28.27 (5.39)</w:t>
            </w:r>
          </w:p>
        </w:tc>
        <w:tc>
          <w:tcPr>
            <w:tcW w:w="1514" w:type="dxa"/>
            <w:tcBorders>
              <w:top w:val="nil"/>
              <w:left w:val="nil"/>
              <w:bottom w:val="nil"/>
              <w:right w:val="single" w:sz="4" w:space="0" w:color="auto"/>
            </w:tcBorders>
            <w:shd w:val="clear" w:color="auto" w:fill="auto"/>
            <w:noWrap/>
            <w:vAlign w:val="bottom"/>
            <w:hideMark/>
          </w:tcPr>
          <w:p w14:paraId="71A72D9D"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0.3</w:t>
            </w:r>
          </w:p>
        </w:tc>
      </w:tr>
      <w:tr w:rsidR="00635710" w:rsidRPr="00914044" w14:paraId="547E230C"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1F89EE5B"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Systolic blood pressure: mean (SD)</w:t>
            </w:r>
          </w:p>
        </w:tc>
        <w:tc>
          <w:tcPr>
            <w:tcW w:w="1701" w:type="dxa"/>
            <w:tcBorders>
              <w:top w:val="nil"/>
              <w:left w:val="nil"/>
              <w:bottom w:val="nil"/>
              <w:right w:val="nil"/>
            </w:tcBorders>
            <w:shd w:val="clear" w:color="auto" w:fill="auto"/>
            <w:noWrap/>
            <w:vAlign w:val="bottom"/>
            <w:hideMark/>
          </w:tcPr>
          <w:p w14:paraId="0989CD1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123.67 (21.46)</w:t>
            </w:r>
          </w:p>
        </w:tc>
        <w:tc>
          <w:tcPr>
            <w:tcW w:w="992" w:type="dxa"/>
            <w:tcBorders>
              <w:top w:val="nil"/>
              <w:left w:val="nil"/>
              <w:bottom w:val="nil"/>
              <w:right w:val="nil"/>
            </w:tcBorders>
            <w:shd w:val="clear" w:color="auto" w:fill="auto"/>
            <w:noWrap/>
            <w:vAlign w:val="bottom"/>
            <w:hideMark/>
          </w:tcPr>
          <w:p w14:paraId="068C948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129.81 (19.94)</w:t>
            </w:r>
          </w:p>
        </w:tc>
        <w:tc>
          <w:tcPr>
            <w:tcW w:w="715" w:type="dxa"/>
            <w:gridSpan w:val="2"/>
            <w:tcBorders>
              <w:top w:val="nil"/>
              <w:left w:val="nil"/>
              <w:bottom w:val="nil"/>
              <w:right w:val="single" w:sz="4" w:space="0" w:color="auto"/>
            </w:tcBorders>
            <w:shd w:val="clear" w:color="auto" w:fill="auto"/>
            <w:noWrap/>
            <w:vAlign w:val="bottom"/>
            <w:hideMark/>
          </w:tcPr>
          <w:p w14:paraId="5A2B2EAC"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0.06</w:t>
            </w:r>
          </w:p>
        </w:tc>
        <w:tc>
          <w:tcPr>
            <w:tcW w:w="1311" w:type="dxa"/>
            <w:tcBorders>
              <w:top w:val="nil"/>
              <w:left w:val="nil"/>
              <w:bottom w:val="nil"/>
              <w:right w:val="nil"/>
            </w:tcBorders>
            <w:shd w:val="clear" w:color="auto" w:fill="auto"/>
            <w:noWrap/>
            <w:vAlign w:val="bottom"/>
            <w:hideMark/>
          </w:tcPr>
          <w:p w14:paraId="45AA73B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124.26 (21.77)</w:t>
            </w:r>
          </w:p>
        </w:tc>
        <w:tc>
          <w:tcPr>
            <w:tcW w:w="1099" w:type="dxa"/>
            <w:tcBorders>
              <w:top w:val="nil"/>
              <w:left w:val="nil"/>
              <w:bottom w:val="nil"/>
              <w:right w:val="nil"/>
            </w:tcBorders>
            <w:shd w:val="clear" w:color="auto" w:fill="auto"/>
            <w:noWrap/>
            <w:vAlign w:val="bottom"/>
            <w:hideMark/>
          </w:tcPr>
          <w:p w14:paraId="37254D2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122.9 (20.73)</w:t>
            </w:r>
          </w:p>
        </w:tc>
        <w:tc>
          <w:tcPr>
            <w:tcW w:w="986" w:type="dxa"/>
            <w:tcBorders>
              <w:top w:val="nil"/>
              <w:left w:val="nil"/>
              <w:bottom w:val="nil"/>
              <w:right w:val="single" w:sz="4" w:space="0" w:color="auto"/>
            </w:tcBorders>
            <w:shd w:val="clear" w:color="auto" w:fill="auto"/>
            <w:noWrap/>
            <w:vAlign w:val="bottom"/>
            <w:hideMark/>
          </w:tcPr>
          <w:p w14:paraId="2D0CC02F"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0.2</w:t>
            </w:r>
          </w:p>
        </w:tc>
        <w:tc>
          <w:tcPr>
            <w:tcW w:w="1498" w:type="dxa"/>
            <w:tcBorders>
              <w:top w:val="nil"/>
              <w:left w:val="nil"/>
              <w:bottom w:val="nil"/>
              <w:right w:val="nil"/>
            </w:tcBorders>
            <w:shd w:val="clear" w:color="auto" w:fill="auto"/>
            <w:noWrap/>
            <w:vAlign w:val="bottom"/>
            <w:hideMark/>
          </w:tcPr>
          <w:p w14:paraId="5D3592B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123.26 (21.44)</w:t>
            </w:r>
          </w:p>
        </w:tc>
        <w:tc>
          <w:tcPr>
            <w:tcW w:w="1241" w:type="dxa"/>
            <w:tcBorders>
              <w:top w:val="nil"/>
              <w:left w:val="nil"/>
              <w:bottom w:val="nil"/>
              <w:right w:val="nil"/>
            </w:tcBorders>
            <w:shd w:val="clear" w:color="auto" w:fill="auto"/>
            <w:noWrap/>
            <w:vAlign w:val="bottom"/>
            <w:hideMark/>
          </w:tcPr>
          <w:p w14:paraId="6B49F61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127.61 (21.09)</w:t>
            </w:r>
          </w:p>
        </w:tc>
        <w:tc>
          <w:tcPr>
            <w:tcW w:w="1514" w:type="dxa"/>
            <w:tcBorders>
              <w:top w:val="nil"/>
              <w:left w:val="nil"/>
              <w:bottom w:val="nil"/>
              <w:right w:val="single" w:sz="4" w:space="0" w:color="auto"/>
            </w:tcBorders>
            <w:shd w:val="clear" w:color="auto" w:fill="auto"/>
            <w:noWrap/>
            <w:vAlign w:val="bottom"/>
            <w:hideMark/>
          </w:tcPr>
          <w:p w14:paraId="0F73472C"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0.004</w:t>
            </w:r>
          </w:p>
        </w:tc>
      </w:tr>
      <w:tr w:rsidR="00635710" w:rsidRPr="00914044" w14:paraId="4A0BA913"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061368D1"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Diastolic blood pressure (mmHg): mean (SD)</w:t>
            </w:r>
          </w:p>
        </w:tc>
        <w:tc>
          <w:tcPr>
            <w:tcW w:w="1701" w:type="dxa"/>
            <w:tcBorders>
              <w:top w:val="nil"/>
              <w:left w:val="nil"/>
              <w:bottom w:val="nil"/>
              <w:right w:val="nil"/>
            </w:tcBorders>
            <w:shd w:val="clear" w:color="auto" w:fill="auto"/>
            <w:noWrap/>
            <w:vAlign w:val="bottom"/>
            <w:hideMark/>
          </w:tcPr>
          <w:p w14:paraId="31A8CB2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75.18 (13.15)</w:t>
            </w:r>
          </w:p>
        </w:tc>
        <w:tc>
          <w:tcPr>
            <w:tcW w:w="992" w:type="dxa"/>
            <w:tcBorders>
              <w:top w:val="nil"/>
              <w:left w:val="nil"/>
              <w:bottom w:val="nil"/>
              <w:right w:val="nil"/>
            </w:tcBorders>
            <w:shd w:val="clear" w:color="auto" w:fill="auto"/>
            <w:noWrap/>
            <w:vAlign w:val="bottom"/>
            <w:hideMark/>
          </w:tcPr>
          <w:p w14:paraId="33867DF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78.07 (13.62)</w:t>
            </w:r>
          </w:p>
        </w:tc>
        <w:tc>
          <w:tcPr>
            <w:tcW w:w="715" w:type="dxa"/>
            <w:gridSpan w:val="2"/>
            <w:tcBorders>
              <w:top w:val="nil"/>
              <w:left w:val="nil"/>
              <w:bottom w:val="nil"/>
              <w:right w:val="single" w:sz="4" w:space="0" w:color="auto"/>
            </w:tcBorders>
            <w:shd w:val="clear" w:color="auto" w:fill="auto"/>
            <w:noWrap/>
            <w:vAlign w:val="bottom"/>
            <w:hideMark/>
          </w:tcPr>
          <w:p w14:paraId="499B7506"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0.18</w:t>
            </w:r>
          </w:p>
        </w:tc>
        <w:tc>
          <w:tcPr>
            <w:tcW w:w="1311" w:type="dxa"/>
            <w:tcBorders>
              <w:top w:val="nil"/>
              <w:left w:val="nil"/>
              <w:bottom w:val="nil"/>
              <w:right w:val="nil"/>
            </w:tcBorders>
            <w:shd w:val="clear" w:color="auto" w:fill="auto"/>
            <w:noWrap/>
            <w:vAlign w:val="bottom"/>
            <w:hideMark/>
          </w:tcPr>
          <w:p w14:paraId="6BE5508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76.23 (13.53)</w:t>
            </w:r>
          </w:p>
        </w:tc>
        <w:tc>
          <w:tcPr>
            <w:tcW w:w="1099" w:type="dxa"/>
            <w:tcBorders>
              <w:top w:val="nil"/>
              <w:left w:val="nil"/>
              <w:bottom w:val="nil"/>
              <w:right w:val="nil"/>
            </w:tcBorders>
            <w:shd w:val="clear" w:color="auto" w:fill="auto"/>
            <w:noWrap/>
            <w:vAlign w:val="bottom"/>
            <w:hideMark/>
          </w:tcPr>
          <w:p w14:paraId="574F33B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73.23 (12.13)</w:t>
            </w:r>
          </w:p>
        </w:tc>
        <w:tc>
          <w:tcPr>
            <w:tcW w:w="986" w:type="dxa"/>
            <w:tcBorders>
              <w:top w:val="nil"/>
              <w:left w:val="nil"/>
              <w:bottom w:val="nil"/>
              <w:right w:val="single" w:sz="4" w:space="0" w:color="auto"/>
            </w:tcBorders>
            <w:shd w:val="clear" w:color="auto" w:fill="auto"/>
            <w:noWrap/>
            <w:vAlign w:val="bottom"/>
            <w:hideMark/>
          </w:tcPr>
          <w:p w14:paraId="147FEA3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&lt;0.00001</w:t>
            </w:r>
          </w:p>
        </w:tc>
        <w:tc>
          <w:tcPr>
            <w:tcW w:w="1498" w:type="dxa"/>
            <w:tcBorders>
              <w:top w:val="nil"/>
              <w:left w:val="nil"/>
              <w:bottom w:val="nil"/>
              <w:right w:val="nil"/>
            </w:tcBorders>
            <w:shd w:val="clear" w:color="auto" w:fill="auto"/>
            <w:noWrap/>
            <w:vAlign w:val="bottom"/>
            <w:hideMark/>
          </w:tcPr>
          <w:p w14:paraId="0A4A228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74.87 (13.11)</w:t>
            </w:r>
          </w:p>
        </w:tc>
        <w:tc>
          <w:tcPr>
            <w:tcW w:w="1241" w:type="dxa"/>
            <w:tcBorders>
              <w:top w:val="nil"/>
              <w:left w:val="nil"/>
              <w:bottom w:val="nil"/>
              <w:right w:val="nil"/>
            </w:tcBorders>
            <w:shd w:val="clear" w:color="auto" w:fill="auto"/>
            <w:noWrap/>
            <w:vAlign w:val="bottom"/>
            <w:hideMark/>
          </w:tcPr>
          <w:p w14:paraId="591BF60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77.8 (13.26)</w:t>
            </w:r>
          </w:p>
        </w:tc>
        <w:tc>
          <w:tcPr>
            <w:tcW w:w="1514" w:type="dxa"/>
            <w:tcBorders>
              <w:top w:val="nil"/>
              <w:left w:val="nil"/>
              <w:bottom w:val="nil"/>
              <w:right w:val="single" w:sz="4" w:space="0" w:color="auto"/>
            </w:tcBorders>
            <w:shd w:val="clear" w:color="auto" w:fill="auto"/>
            <w:noWrap/>
            <w:vAlign w:val="bottom"/>
            <w:hideMark/>
          </w:tcPr>
          <w:p w14:paraId="20BB3C79"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0.002</w:t>
            </w:r>
          </w:p>
        </w:tc>
      </w:tr>
      <w:tr w:rsidR="003D03F6" w:rsidRPr="00914044" w14:paraId="4A981BE9"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3C6223CE"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Heart rate (bpm): mean (SD)</w:t>
            </w:r>
          </w:p>
        </w:tc>
        <w:tc>
          <w:tcPr>
            <w:tcW w:w="1701" w:type="dxa"/>
            <w:tcBorders>
              <w:top w:val="nil"/>
              <w:left w:val="nil"/>
              <w:bottom w:val="nil"/>
              <w:right w:val="nil"/>
            </w:tcBorders>
            <w:shd w:val="clear" w:color="auto" w:fill="auto"/>
            <w:noWrap/>
            <w:vAlign w:val="bottom"/>
            <w:hideMark/>
          </w:tcPr>
          <w:p w14:paraId="1C0470E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80.05 (19.63)</w:t>
            </w:r>
          </w:p>
        </w:tc>
        <w:tc>
          <w:tcPr>
            <w:tcW w:w="992" w:type="dxa"/>
            <w:tcBorders>
              <w:top w:val="nil"/>
              <w:left w:val="nil"/>
              <w:bottom w:val="nil"/>
              <w:right w:val="nil"/>
            </w:tcBorders>
            <w:shd w:val="clear" w:color="auto" w:fill="auto"/>
            <w:noWrap/>
            <w:vAlign w:val="bottom"/>
            <w:hideMark/>
          </w:tcPr>
          <w:p w14:paraId="716B0F7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75.24 (13.49)</w:t>
            </w:r>
          </w:p>
        </w:tc>
        <w:tc>
          <w:tcPr>
            <w:tcW w:w="715" w:type="dxa"/>
            <w:gridSpan w:val="2"/>
            <w:tcBorders>
              <w:top w:val="nil"/>
              <w:left w:val="nil"/>
              <w:bottom w:val="nil"/>
              <w:right w:val="single" w:sz="4" w:space="0" w:color="auto"/>
            </w:tcBorders>
            <w:shd w:val="clear" w:color="auto" w:fill="auto"/>
            <w:noWrap/>
            <w:vAlign w:val="bottom"/>
            <w:hideMark/>
          </w:tcPr>
          <w:p w14:paraId="333C92F5"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0.03</w:t>
            </w:r>
          </w:p>
        </w:tc>
        <w:tc>
          <w:tcPr>
            <w:tcW w:w="1311" w:type="dxa"/>
            <w:tcBorders>
              <w:top w:val="nil"/>
              <w:left w:val="nil"/>
              <w:bottom w:val="nil"/>
              <w:right w:val="nil"/>
            </w:tcBorders>
            <w:shd w:val="clear" w:color="auto" w:fill="auto"/>
            <w:noWrap/>
            <w:vAlign w:val="bottom"/>
            <w:hideMark/>
          </w:tcPr>
          <w:p w14:paraId="35DE954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80.91 (19.36)</w:t>
            </w:r>
          </w:p>
        </w:tc>
        <w:tc>
          <w:tcPr>
            <w:tcW w:w="1099" w:type="dxa"/>
            <w:tcBorders>
              <w:top w:val="nil"/>
              <w:left w:val="nil"/>
              <w:bottom w:val="nil"/>
              <w:right w:val="nil"/>
            </w:tcBorders>
            <w:shd w:val="clear" w:color="auto" w:fill="auto"/>
            <w:noWrap/>
            <w:vAlign w:val="bottom"/>
            <w:hideMark/>
          </w:tcPr>
          <w:p w14:paraId="37126BB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77.97 (19.72)</w:t>
            </w:r>
          </w:p>
        </w:tc>
        <w:tc>
          <w:tcPr>
            <w:tcW w:w="986" w:type="dxa"/>
            <w:tcBorders>
              <w:top w:val="nil"/>
              <w:left w:val="nil"/>
              <w:bottom w:val="nil"/>
              <w:right w:val="single" w:sz="4" w:space="0" w:color="auto"/>
            </w:tcBorders>
            <w:shd w:val="clear" w:color="auto" w:fill="auto"/>
            <w:noWrap/>
            <w:vAlign w:val="bottom"/>
            <w:hideMark/>
          </w:tcPr>
          <w:p w14:paraId="58BAFC8F"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0.003</w:t>
            </w:r>
          </w:p>
        </w:tc>
        <w:tc>
          <w:tcPr>
            <w:tcW w:w="1498" w:type="dxa"/>
            <w:tcBorders>
              <w:top w:val="nil"/>
              <w:left w:val="nil"/>
              <w:bottom w:val="nil"/>
              <w:right w:val="nil"/>
            </w:tcBorders>
            <w:shd w:val="clear" w:color="auto" w:fill="auto"/>
            <w:noWrap/>
            <w:vAlign w:val="bottom"/>
            <w:hideMark/>
          </w:tcPr>
          <w:p w14:paraId="1877D2D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80.62 (19.68)</w:t>
            </w:r>
          </w:p>
        </w:tc>
        <w:tc>
          <w:tcPr>
            <w:tcW w:w="1241" w:type="dxa"/>
            <w:tcBorders>
              <w:top w:val="nil"/>
              <w:left w:val="nil"/>
              <w:bottom w:val="nil"/>
              <w:right w:val="nil"/>
            </w:tcBorders>
            <w:shd w:val="clear" w:color="auto" w:fill="auto"/>
            <w:noWrap/>
            <w:vAlign w:val="bottom"/>
            <w:hideMark/>
          </w:tcPr>
          <w:p w14:paraId="47DF5FB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75.29 (17.72)</w:t>
            </w:r>
          </w:p>
        </w:tc>
        <w:tc>
          <w:tcPr>
            <w:tcW w:w="1514" w:type="dxa"/>
            <w:tcBorders>
              <w:top w:val="nil"/>
              <w:left w:val="nil"/>
              <w:bottom w:val="nil"/>
              <w:right w:val="single" w:sz="4" w:space="0" w:color="auto"/>
            </w:tcBorders>
            <w:shd w:val="clear" w:color="auto" w:fill="auto"/>
            <w:noWrap/>
            <w:vAlign w:val="bottom"/>
            <w:hideMark/>
          </w:tcPr>
          <w:p w14:paraId="5F6897E5"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0.00004</w:t>
            </w:r>
          </w:p>
        </w:tc>
      </w:tr>
      <w:tr w:rsidR="003D03F6" w:rsidRPr="00914044" w14:paraId="5DD54AE4"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48738CD1"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Smoking (current/ever/never): n</w:t>
            </w:r>
          </w:p>
        </w:tc>
        <w:tc>
          <w:tcPr>
            <w:tcW w:w="1701" w:type="dxa"/>
            <w:tcBorders>
              <w:top w:val="nil"/>
              <w:left w:val="nil"/>
              <w:bottom w:val="nil"/>
              <w:right w:val="nil"/>
            </w:tcBorders>
            <w:shd w:val="clear" w:color="auto" w:fill="auto"/>
            <w:noWrap/>
            <w:vAlign w:val="bottom"/>
            <w:hideMark/>
          </w:tcPr>
          <w:p w14:paraId="13EDF93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626/866/268</w:t>
            </w:r>
          </w:p>
        </w:tc>
        <w:tc>
          <w:tcPr>
            <w:tcW w:w="992" w:type="dxa"/>
            <w:tcBorders>
              <w:top w:val="nil"/>
              <w:left w:val="nil"/>
              <w:bottom w:val="nil"/>
              <w:right w:val="nil"/>
            </w:tcBorders>
            <w:shd w:val="clear" w:color="auto" w:fill="auto"/>
            <w:noWrap/>
            <w:vAlign w:val="bottom"/>
            <w:hideMark/>
          </w:tcPr>
          <w:p w14:paraId="2B7F14F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21/20/1</w:t>
            </w:r>
          </w:p>
        </w:tc>
        <w:tc>
          <w:tcPr>
            <w:tcW w:w="715" w:type="dxa"/>
            <w:gridSpan w:val="2"/>
            <w:tcBorders>
              <w:top w:val="nil"/>
              <w:left w:val="nil"/>
              <w:bottom w:val="nil"/>
              <w:right w:val="single" w:sz="4" w:space="0" w:color="auto"/>
            </w:tcBorders>
            <w:shd w:val="clear" w:color="auto" w:fill="auto"/>
            <w:noWrap/>
            <w:vAlign w:val="bottom"/>
            <w:hideMark/>
          </w:tcPr>
          <w:p w14:paraId="45541AFA"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0.03</w:t>
            </w:r>
          </w:p>
        </w:tc>
        <w:tc>
          <w:tcPr>
            <w:tcW w:w="1311" w:type="dxa"/>
            <w:tcBorders>
              <w:top w:val="nil"/>
              <w:left w:val="nil"/>
              <w:bottom w:val="nil"/>
              <w:right w:val="nil"/>
            </w:tcBorders>
            <w:shd w:val="clear" w:color="auto" w:fill="auto"/>
            <w:noWrap/>
            <w:vAlign w:val="bottom"/>
            <w:hideMark/>
          </w:tcPr>
          <w:p w14:paraId="469BBB1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417/584/209</w:t>
            </w:r>
          </w:p>
        </w:tc>
        <w:tc>
          <w:tcPr>
            <w:tcW w:w="1099" w:type="dxa"/>
            <w:tcBorders>
              <w:top w:val="nil"/>
              <w:left w:val="nil"/>
              <w:bottom w:val="nil"/>
              <w:right w:val="nil"/>
            </w:tcBorders>
            <w:shd w:val="clear" w:color="auto" w:fill="auto"/>
            <w:noWrap/>
            <w:vAlign w:val="bottom"/>
            <w:hideMark/>
          </w:tcPr>
          <w:p w14:paraId="5F654C2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230/302/60</w:t>
            </w:r>
          </w:p>
        </w:tc>
        <w:tc>
          <w:tcPr>
            <w:tcW w:w="986" w:type="dxa"/>
            <w:tcBorders>
              <w:top w:val="nil"/>
              <w:left w:val="nil"/>
              <w:bottom w:val="nil"/>
              <w:right w:val="single" w:sz="4" w:space="0" w:color="auto"/>
            </w:tcBorders>
            <w:shd w:val="clear" w:color="auto" w:fill="auto"/>
            <w:noWrap/>
            <w:vAlign w:val="bottom"/>
            <w:hideMark/>
          </w:tcPr>
          <w:p w14:paraId="4C26619C"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0.0003</w:t>
            </w:r>
          </w:p>
        </w:tc>
        <w:tc>
          <w:tcPr>
            <w:tcW w:w="1498" w:type="dxa"/>
            <w:tcBorders>
              <w:top w:val="nil"/>
              <w:left w:val="nil"/>
              <w:bottom w:val="nil"/>
              <w:right w:val="nil"/>
            </w:tcBorders>
            <w:shd w:val="clear" w:color="auto" w:fill="auto"/>
            <w:noWrap/>
            <w:vAlign w:val="bottom"/>
            <w:hideMark/>
          </w:tcPr>
          <w:p w14:paraId="777B6C6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560/779/234</w:t>
            </w:r>
          </w:p>
        </w:tc>
        <w:tc>
          <w:tcPr>
            <w:tcW w:w="1241" w:type="dxa"/>
            <w:tcBorders>
              <w:top w:val="nil"/>
              <w:left w:val="nil"/>
              <w:bottom w:val="nil"/>
              <w:right w:val="nil"/>
            </w:tcBorders>
            <w:shd w:val="clear" w:color="auto" w:fill="auto"/>
            <w:noWrap/>
            <w:vAlign w:val="bottom"/>
            <w:hideMark/>
          </w:tcPr>
          <w:p w14:paraId="54FB416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87/107/35</w:t>
            </w:r>
          </w:p>
        </w:tc>
        <w:tc>
          <w:tcPr>
            <w:tcW w:w="1514" w:type="dxa"/>
            <w:tcBorders>
              <w:top w:val="nil"/>
              <w:left w:val="nil"/>
              <w:bottom w:val="nil"/>
              <w:right w:val="single" w:sz="4" w:space="0" w:color="auto"/>
            </w:tcBorders>
            <w:shd w:val="clear" w:color="auto" w:fill="auto"/>
            <w:noWrap/>
            <w:vAlign w:val="bottom"/>
            <w:hideMark/>
          </w:tcPr>
          <w:p w14:paraId="4608E210"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0.72</w:t>
            </w:r>
          </w:p>
        </w:tc>
      </w:tr>
      <w:tr w:rsidR="00635710" w:rsidRPr="00914044" w14:paraId="78FAE9FB"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5AA6E6D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xml:space="preserve">Alcohol </w:t>
            </w:r>
            <w:proofErr w:type="spellStart"/>
            <w:r w:rsidRPr="00914044">
              <w:rPr>
                <w:rFonts w:ascii="Calibri" w:eastAsia="Times New Roman" w:hAnsi="Calibri"/>
                <w:color w:val="000000"/>
                <w:sz w:val="16"/>
                <w:szCs w:val="16"/>
              </w:rPr>
              <w:t>use</w:t>
            </w:r>
            <w:proofErr w:type="spellEnd"/>
            <w:r w:rsidRPr="00914044">
              <w:rPr>
                <w:rFonts w:ascii="Calibri" w:eastAsia="Times New Roman" w:hAnsi="Calibri"/>
                <w:color w:val="000000"/>
                <w:sz w:val="16"/>
                <w:szCs w:val="16"/>
              </w:rPr>
              <w:t>: n (%)</w:t>
            </w:r>
          </w:p>
        </w:tc>
        <w:tc>
          <w:tcPr>
            <w:tcW w:w="1701" w:type="dxa"/>
            <w:tcBorders>
              <w:top w:val="nil"/>
              <w:left w:val="nil"/>
              <w:bottom w:val="nil"/>
              <w:right w:val="nil"/>
            </w:tcBorders>
            <w:shd w:val="clear" w:color="auto" w:fill="auto"/>
            <w:noWrap/>
            <w:vAlign w:val="bottom"/>
            <w:hideMark/>
          </w:tcPr>
          <w:p w14:paraId="4FF1BF8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1246 (71%)</w:t>
            </w:r>
          </w:p>
        </w:tc>
        <w:tc>
          <w:tcPr>
            <w:tcW w:w="992" w:type="dxa"/>
            <w:tcBorders>
              <w:top w:val="nil"/>
              <w:left w:val="nil"/>
              <w:bottom w:val="nil"/>
              <w:right w:val="nil"/>
            </w:tcBorders>
            <w:shd w:val="clear" w:color="auto" w:fill="auto"/>
            <w:noWrap/>
            <w:vAlign w:val="bottom"/>
            <w:hideMark/>
          </w:tcPr>
          <w:p w14:paraId="084DBBE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31 (74%)</w:t>
            </w:r>
          </w:p>
        </w:tc>
        <w:tc>
          <w:tcPr>
            <w:tcW w:w="715" w:type="dxa"/>
            <w:gridSpan w:val="2"/>
            <w:tcBorders>
              <w:top w:val="nil"/>
              <w:left w:val="nil"/>
              <w:bottom w:val="nil"/>
              <w:right w:val="single" w:sz="4" w:space="0" w:color="auto"/>
            </w:tcBorders>
            <w:shd w:val="clear" w:color="auto" w:fill="auto"/>
            <w:noWrap/>
            <w:vAlign w:val="bottom"/>
            <w:hideMark/>
          </w:tcPr>
          <w:p w14:paraId="292EF559"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0.68</w:t>
            </w:r>
          </w:p>
        </w:tc>
        <w:tc>
          <w:tcPr>
            <w:tcW w:w="1311" w:type="dxa"/>
            <w:tcBorders>
              <w:top w:val="nil"/>
              <w:left w:val="nil"/>
              <w:bottom w:val="nil"/>
              <w:right w:val="nil"/>
            </w:tcBorders>
            <w:shd w:val="clear" w:color="auto" w:fill="auto"/>
            <w:noWrap/>
            <w:vAlign w:val="bottom"/>
            <w:hideMark/>
          </w:tcPr>
          <w:p w14:paraId="09871C0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857 (71%)</w:t>
            </w:r>
          </w:p>
        </w:tc>
        <w:tc>
          <w:tcPr>
            <w:tcW w:w="1099" w:type="dxa"/>
            <w:tcBorders>
              <w:top w:val="nil"/>
              <w:left w:val="nil"/>
              <w:bottom w:val="nil"/>
              <w:right w:val="nil"/>
            </w:tcBorders>
            <w:shd w:val="clear" w:color="auto" w:fill="auto"/>
            <w:noWrap/>
            <w:vAlign w:val="bottom"/>
            <w:hideMark/>
          </w:tcPr>
          <w:p w14:paraId="1F4B9B2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420 (71%)</w:t>
            </w:r>
          </w:p>
        </w:tc>
        <w:tc>
          <w:tcPr>
            <w:tcW w:w="986" w:type="dxa"/>
            <w:tcBorders>
              <w:top w:val="nil"/>
              <w:left w:val="nil"/>
              <w:bottom w:val="nil"/>
              <w:right w:val="single" w:sz="4" w:space="0" w:color="auto"/>
            </w:tcBorders>
            <w:shd w:val="clear" w:color="auto" w:fill="auto"/>
            <w:noWrap/>
            <w:vAlign w:val="bottom"/>
            <w:hideMark/>
          </w:tcPr>
          <w:p w14:paraId="328AFF41"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0.94</w:t>
            </w:r>
          </w:p>
        </w:tc>
        <w:tc>
          <w:tcPr>
            <w:tcW w:w="1498" w:type="dxa"/>
            <w:tcBorders>
              <w:top w:val="nil"/>
              <w:left w:val="nil"/>
              <w:bottom w:val="nil"/>
              <w:right w:val="nil"/>
            </w:tcBorders>
            <w:shd w:val="clear" w:color="auto" w:fill="auto"/>
            <w:noWrap/>
            <w:vAlign w:val="bottom"/>
            <w:hideMark/>
          </w:tcPr>
          <w:p w14:paraId="196F384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1094 (70%)</w:t>
            </w:r>
          </w:p>
        </w:tc>
        <w:tc>
          <w:tcPr>
            <w:tcW w:w="1241" w:type="dxa"/>
            <w:tcBorders>
              <w:top w:val="nil"/>
              <w:left w:val="nil"/>
              <w:bottom w:val="nil"/>
              <w:right w:val="nil"/>
            </w:tcBorders>
            <w:shd w:val="clear" w:color="auto" w:fill="auto"/>
            <w:noWrap/>
            <w:vAlign w:val="bottom"/>
            <w:hideMark/>
          </w:tcPr>
          <w:p w14:paraId="5ACEE99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183 (80%)</w:t>
            </w:r>
          </w:p>
        </w:tc>
        <w:tc>
          <w:tcPr>
            <w:tcW w:w="1514" w:type="dxa"/>
            <w:tcBorders>
              <w:top w:val="nil"/>
              <w:left w:val="nil"/>
              <w:bottom w:val="nil"/>
              <w:right w:val="single" w:sz="4" w:space="0" w:color="auto"/>
            </w:tcBorders>
            <w:shd w:val="clear" w:color="auto" w:fill="auto"/>
            <w:noWrap/>
            <w:vAlign w:val="bottom"/>
            <w:hideMark/>
          </w:tcPr>
          <w:p w14:paraId="4EE3171F"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0.0009</w:t>
            </w:r>
          </w:p>
        </w:tc>
      </w:tr>
      <w:tr w:rsidR="00635710" w:rsidRPr="00914044" w14:paraId="1D929753"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4CEF4DB3"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Ischemic</w:t>
            </w:r>
            <w:proofErr w:type="spellEnd"/>
            <w:r w:rsidRPr="00914044">
              <w:rPr>
                <w:rFonts w:ascii="Calibri" w:eastAsia="Times New Roman" w:hAnsi="Calibri"/>
                <w:color w:val="000000"/>
                <w:sz w:val="16"/>
                <w:szCs w:val="16"/>
              </w:rPr>
              <w:t xml:space="preserve"> HF </w:t>
            </w:r>
            <w:proofErr w:type="spellStart"/>
            <w:r w:rsidRPr="00914044">
              <w:rPr>
                <w:rFonts w:ascii="Calibri" w:eastAsia="Times New Roman" w:hAnsi="Calibri"/>
                <w:color w:val="000000"/>
                <w:sz w:val="16"/>
                <w:szCs w:val="16"/>
              </w:rPr>
              <w:t>etiology</w:t>
            </w:r>
            <w:proofErr w:type="spellEnd"/>
            <w:r w:rsidRPr="00914044">
              <w:rPr>
                <w:rFonts w:ascii="Calibri" w:eastAsia="Times New Roman" w:hAnsi="Calibri"/>
                <w:color w:val="000000"/>
                <w:sz w:val="16"/>
                <w:szCs w:val="16"/>
              </w:rPr>
              <w:t>: n (%)</w:t>
            </w:r>
          </w:p>
        </w:tc>
        <w:tc>
          <w:tcPr>
            <w:tcW w:w="1701" w:type="dxa"/>
            <w:tcBorders>
              <w:top w:val="nil"/>
              <w:left w:val="nil"/>
              <w:bottom w:val="nil"/>
              <w:right w:val="nil"/>
            </w:tcBorders>
            <w:shd w:val="clear" w:color="auto" w:fill="auto"/>
            <w:noWrap/>
            <w:vAlign w:val="bottom"/>
            <w:hideMark/>
          </w:tcPr>
          <w:p w14:paraId="1384AE4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801 (46%)</w:t>
            </w:r>
          </w:p>
        </w:tc>
        <w:tc>
          <w:tcPr>
            <w:tcW w:w="992" w:type="dxa"/>
            <w:tcBorders>
              <w:top w:val="nil"/>
              <w:left w:val="nil"/>
              <w:bottom w:val="nil"/>
              <w:right w:val="nil"/>
            </w:tcBorders>
            <w:shd w:val="clear" w:color="auto" w:fill="auto"/>
            <w:noWrap/>
            <w:vAlign w:val="bottom"/>
            <w:hideMark/>
          </w:tcPr>
          <w:p w14:paraId="641DF8D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23 (55%)</w:t>
            </w:r>
          </w:p>
        </w:tc>
        <w:tc>
          <w:tcPr>
            <w:tcW w:w="715" w:type="dxa"/>
            <w:gridSpan w:val="2"/>
            <w:tcBorders>
              <w:top w:val="nil"/>
              <w:left w:val="nil"/>
              <w:bottom w:val="nil"/>
              <w:right w:val="single" w:sz="4" w:space="0" w:color="auto"/>
            </w:tcBorders>
            <w:shd w:val="clear" w:color="auto" w:fill="auto"/>
            <w:noWrap/>
            <w:vAlign w:val="bottom"/>
            <w:hideMark/>
          </w:tcPr>
          <w:p w14:paraId="6CE001EE"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0.23</w:t>
            </w:r>
          </w:p>
        </w:tc>
        <w:tc>
          <w:tcPr>
            <w:tcW w:w="1311" w:type="dxa"/>
            <w:tcBorders>
              <w:top w:val="nil"/>
              <w:left w:val="nil"/>
              <w:bottom w:val="nil"/>
              <w:right w:val="nil"/>
            </w:tcBorders>
            <w:shd w:val="clear" w:color="auto" w:fill="auto"/>
            <w:noWrap/>
            <w:vAlign w:val="bottom"/>
            <w:hideMark/>
          </w:tcPr>
          <w:p w14:paraId="68B6FFA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582 (48%)</w:t>
            </w:r>
          </w:p>
        </w:tc>
        <w:tc>
          <w:tcPr>
            <w:tcW w:w="1099" w:type="dxa"/>
            <w:tcBorders>
              <w:top w:val="nil"/>
              <w:left w:val="nil"/>
              <w:bottom w:val="nil"/>
              <w:right w:val="nil"/>
            </w:tcBorders>
            <w:shd w:val="clear" w:color="auto" w:fill="auto"/>
            <w:noWrap/>
            <w:vAlign w:val="bottom"/>
            <w:hideMark/>
          </w:tcPr>
          <w:p w14:paraId="4F7A444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242 (41%)</w:t>
            </w:r>
          </w:p>
        </w:tc>
        <w:tc>
          <w:tcPr>
            <w:tcW w:w="986" w:type="dxa"/>
            <w:tcBorders>
              <w:top w:val="nil"/>
              <w:left w:val="nil"/>
              <w:bottom w:val="nil"/>
              <w:right w:val="single" w:sz="4" w:space="0" w:color="auto"/>
            </w:tcBorders>
            <w:shd w:val="clear" w:color="auto" w:fill="auto"/>
            <w:noWrap/>
            <w:vAlign w:val="bottom"/>
            <w:hideMark/>
          </w:tcPr>
          <w:p w14:paraId="2099D10D"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0.004</w:t>
            </w:r>
          </w:p>
        </w:tc>
        <w:tc>
          <w:tcPr>
            <w:tcW w:w="1498" w:type="dxa"/>
            <w:tcBorders>
              <w:top w:val="nil"/>
              <w:left w:val="nil"/>
              <w:bottom w:val="nil"/>
              <w:right w:val="nil"/>
            </w:tcBorders>
            <w:shd w:val="clear" w:color="auto" w:fill="auto"/>
            <w:noWrap/>
            <w:vAlign w:val="bottom"/>
            <w:hideMark/>
          </w:tcPr>
          <w:p w14:paraId="47F5AC3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715 (45%)</w:t>
            </w:r>
          </w:p>
        </w:tc>
        <w:tc>
          <w:tcPr>
            <w:tcW w:w="1241" w:type="dxa"/>
            <w:tcBorders>
              <w:top w:val="nil"/>
              <w:left w:val="nil"/>
              <w:bottom w:val="nil"/>
              <w:right w:val="nil"/>
            </w:tcBorders>
            <w:shd w:val="clear" w:color="auto" w:fill="auto"/>
            <w:noWrap/>
            <w:vAlign w:val="bottom"/>
            <w:hideMark/>
          </w:tcPr>
          <w:p w14:paraId="36DCF20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109 (48%)</w:t>
            </w:r>
          </w:p>
        </w:tc>
        <w:tc>
          <w:tcPr>
            <w:tcW w:w="1514" w:type="dxa"/>
            <w:tcBorders>
              <w:top w:val="nil"/>
              <w:left w:val="nil"/>
              <w:bottom w:val="nil"/>
              <w:right w:val="single" w:sz="4" w:space="0" w:color="auto"/>
            </w:tcBorders>
            <w:shd w:val="clear" w:color="auto" w:fill="auto"/>
            <w:noWrap/>
            <w:vAlign w:val="bottom"/>
            <w:hideMark/>
          </w:tcPr>
          <w:p w14:paraId="553CEE66"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0.54</w:t>
            </w:r>
          </w:p>
        </w:tc>
      </w:tr>
      <w:tr w:rsidR="00635710" w:rsidRPr="00914044" w14:paraId="65F8804C"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1BC3FD95"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HF duration (years): median (IQR)</w:t>
            </w:r>
          </w:p>
        </w:tc>
        <w:tc>
          <w:tcPr>
            <w:tcW w:w="1701" w:type="dxa"/>
            <w:tcBorders>
              <w:top w:val="nil"/>
              <w:left w:val="nil"/>
              <w:bottom w:val="nil"/>
              <w:right w:val="nil"/>
            </w:tcBorders>
            <w:shd w:val="clear" w:color="auto" w:fill="auto"/>
            <w:noWrap/>
            <w:vAlign w:val="bottom"/>
            <w:hideMark/>
          </w:tcPr>
          <w:p w14:paraId="48E3F9F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8.02 (3.55-13.4)</w:t>
            </w:r>
          </w:p>
        </w:tc>
        <w:tc>
          <w:tcPr>
            <w:tcW w:w="992" w:type="dxa"/>
            <w:tcBorders>
              <w:top w:val="nil"/>
              <w:left w:val="nil"/>
              <w:bottom w:val="nil"/>
              <w:right w:val="nil"/>
            </w:tcBorders>
            <w:shd w:val="clear" w:color="auto" w:fill="auto"/>
            <w:noWrap/>
            <w:vAlign w:val="bottom"/>
            <w:hideMark/>
          </w:tcPr>
          <w:p w14:paraId="6CF98BD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3.54 (1.6-6.59)</w:t>
            </w:r>
          </w:p>
        </w:tc>
        <w:tc>
          <w:tcPr>
            <w:tcW w:w="715" w:type="dxa"/>
            <w:gridSpan w:val="2"/>
            <w:tcBorders>
              <w:top w:val="nil"/>
              <w:left w:val="nil"/>
              <w:bottom w:val="nil"/>
              <w:right w:val="single" w:sz="4" w:space="0" w:color="auto"/>
            </w:tcBorders>
            <w:shd w:val="clear" w:color="auto" w:fill="auto"/>
            <w:noWrap/>
            <w:vAlign w:val="bottom"/>
            <w:hideMark/>
          </w:tcPr>
          <w:p w14:paraId="3C7599E8"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0.2</w:t>
            </w:r>
          </w:p>
        </w:tc>
        <w:tc>
          <w:tcPr>
            <w:tcW w:w="1311" w:type="dxa"/>
            <w:tcBorders>
              <w:top w:val="nil"/>
              <w:left w:val="nil"/>
              <w:bottom w:val="nil"/>
              <w:right w:val="nil"/>
            </w:tcBorders>
            <w:shd w:val="clear" w:color="auto" w:fill="auto"/>
            <w:noWrap/>
            <w:vAlign w:val="bottom"/>
            <w:hideMark/>
          </w:tcPr>
          <w:p w14:paraId="069E302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8.34 (3.78-13.54)</w:t>
            </w:r>
          </w:p>
        </w:tc>
        <w:tc>
          <w:tcPr>
            <w:tcW w:w="1099" w:type="dxa"/>
            <w:tcBorders>
              <w:top w:val="nil"/>
              <w:left w:val="nil"/>
              <w:bottom w:val="nil"/>
              <w:right w:val="nil"/>
            </w:tcBorders>
            <w:shd w:val="clear" w:color="auto" w:fill="auto"/>
            <w:noWrap/>
            <w:vAlign w:val="bottom"/>
            <w:hideMark/>
          </w:tcPr>
          <w:p w14:paraId="7DA9031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6.38 (2.61-12.46)</w:t>
            </w:r>
          </w:p>
        </w:tc>
        <w:tc>
          <w:tcPr>
            <w:tcW w:w="986" w:type="dxa"/>
            <w:tcBorders>
              <w:top w:val="nil"/>
              <w:left w:val="nil"/>
              <w:bottom w:val="nil"/>
              <w:right w:val="single" w:sz="4" w:space="0" w:color="auto"/>
            </w:tcBorders>
            <w:shd w:val="clear" w:color="auto" w:fill="auto"/>
            <w:noWrap/>
            <w:vAlign w:val="bottom"/>
            <w:hideMark/>
          </w:tcPr>
          <w:p w14:paraId="57E90796"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0.31</w:t>
            </w:r>
          </w:p>
        </w:tc>
        <w:tc>
          <w:tcPr>
            <w:tcW w:w="1498" w:type="dxa"/>
            <w:tcBorders>
              <w:top w:val="nil"/>
              <w:left w:val="nil"/>
              <w:bottom w:val="nil"/>
              <w:right w:val="nil"/>
            </w:tcBorders>
            <w:shd w:val="clear" w:color="auto" w:fill="auto"/>
            <w:noWrap/>
            <w:vAlign w:val="bottom"/>
            <w:hideMark/>
          </w:tcPr>
          <w:p w14:paraId="21D4EB2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8.3 (3.27-13.74)</w:t>
            </w:r>
          </w:p>
        </w:tc>
        <w:tc>
          <w:tcPr>
            <w:tcW w:w="1241" w:type="dxa"/>
            <w:tcBorders>
              <w:top w:val="nil"/>
              <w:left w:val="nil"/>
              <w:bottom w:val="nil"/>
              <w:right w:val="nil"/>
            </w:tcBorders>
            <w:shd w:val="clear" w:color="auto" w:fill="auto"/>
            <w:noWrap/>
            <w:vAlign w:val="bottom"/>
            <w:hideMark/>
          </w:tcPr>
          <w:p w14:paraId="004EBD1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5.8 (5.03-8.84)</w:t>
            </w:r>
          </w:p>
        </w:tc>
        <w:tc>
          <w:tcPr>
            <w:tcW w:w="1514" w:type="dxa"/>
            <w:tcBorders>
              <w:top w:val="nil"/>
              <w:left w:val="nil"/>
              <w:bottom w:val="nil"/>
              <w:right w:val="single" w:sz="4" w:space="0" w:color="auto"/>
            </w:tcBorders>
            <w:shd w:val="clear" w:color="auto" w:fill="auto"/>
            <w:noWrap/>
            <w:vAlign w:val="bottom"/>
            <w:hideMark/>
          </w:tcPr>
          <w:p w14:paraId="67BA0256"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0.28</w:t>
            </w:r>
          </w:p>
        </w:tc>
      </w:tr>
      <w:tr w:rsidR="00635710" w:rsidRPr="00914044" w14:paraId="555ADB97"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095ED0C9"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NYHA class III/IV: n (%)</w:t>
            </w:r>
          </w:p>
        </w:tc>
        <w:tc>
          <w:tcPr>
            <w:tcW w:w="1701" w:type="dxa"/>
            <w:tcBorders>
              <w:top w:val="nil"/>
              <w:left w:val="nil"/>
              <w:bottom w:val="nil"/>
              <w:right w:val="nil"/>
            </w:tcBorders>
            <w:shd w:val="clear" w:color="auto" w:fill="auto"/>
            <w:noWrap/>
            <w:vAlign w:val="bottom"/>
            <w:hideMark/>
          </w:tcPr>
          <w:p w14:paraId="157C551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731 (42%)</w:t>
            </w:r>
          </w:p>
        </w:tc>
        <w:tc>
          <w:tcPr>
            <w:tcW w:w="992" w:type="dxa"/>
            <w:tcBorders>
              <w:top w:val="nil"/>
              <w:left w:val="nil"/>
              <w:bottom w:val="nil"/>
              <w:right w:val="nil"/>
            </w:tcBorders>
            <w:shd w:val="clear" w:color="auto" w:fill="auto"/>
            <w:noWrap/>
            <w:vAlign w:val="bottom"/>
            <w:hideMark/>
          </w:tcPr>
          <w:p w14:paraId="5DD8EAF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22 (52%)</w:t>
            </w:r>
          </w:p>
        </w:tc>
        <w:tc>
          <w:tcPr>
            <w:tcW w:w="715" w:type="dxa"/>
            <w:gridSpan w:val="2"/>
            <w:tcBorders>
              <w:top w:val="nil"/>
              <w:left w:val="nil"/>
              <w:bottom w:val="nil"/>
              <w:right w:val="single" w:sz="4" w:space="0" w:color="auto"/>
            </w:tcBorders>
            <w:shd w:val="clear" w:color="auto" w:fill="auto"/>
            <w:noWrap/>
            <w:vAlign w:val="bottom"/>
            <w:hideMark/>
          </w:tcPr>
          <w:p w14:paraId="65BA9B28"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0.16</w:t>
            </w:r>
          </w:p>
        </w:tc>
        <w:tc>
          <w:tcPr>
            <w:tcW w:w="1311" w:type="dxa"/>
            <w:tcBorders>
              <w:top w:val="nil"/>
              <w:left w:val="nil"/>
              <w:bottom w:val="nil"/>
              <w:right w:val="nil"/>
            </w:tcBorders>
            <w:shd w:val="clear" w:color="auto" w:fill="auto"/>
            <w:noWrap/>
            <w:vAlign w:val="bottom"/>
            <w:hideMark/>
          </w:tcPr>
          <w:p w14:paraId="42DF4BC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498 (41%)</w:t>
            </w:r>
          </w:p>
        </w:tc>
        <w:tc>
          <w:tcPr>
            <w:tcW w:w="1099" w:type="dxa"/>
            <w:tcBorders>
              <w:top w:val="nil"/>
              <w:left w:val="nil"/>
              <w:bottom w:val="nil"/>
              <w:right w:val="nil"/>
            </w:tcBorders>
            <w:shd w:val="clear" w:color="auto" w:fill="auto"/>
            <w:noWrap/>
            <w:vAlign w:val="bottom"/>
            <w:hideMark/>
          </w:tcPr>
          <w:p w14:paraId="0B6B3A5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255 (43%)</w:t>
            </w:r>
          </w:p>
        </w:tc>
        <w:tc>
          <w:tcPr>
            <w:tcW w:w="986" w:type="dxa"/>
            <w:tcBorders>
              <w:top w:val="nil"/>
              <w:left w:val="nil"/>
              <w:bottom w:val="nil"/>
              <w:right w:val="single" w:sz="4" w:space="0" w:color="auto"/>
            </w:tcBorders>
            <w:shd w:val="clear" w:color="auto" w:fill="auto"/>
            <w:noWrap/>
            <w:vAlign w:val="bottom"/>
            <w:hideMark/>
          </w:tcPr>
          <w:p w14:paraId="2BA9A054"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0.44</w:t>
            </w:r>
          </w:p>
        </w:tc>
        <w:tc>
          <w:tcPr>
            <w:tcW w:w="1498" w:type="dxa"/>
            <w:tcBorders>
              <w:top w:val="nil"/>
              <w:left w:val="nil"/>
              <w:bottom w:val="nil"/>
              <w:right w:val="nil"/>
            </w:tcBorders>
            <w:shd w:val="clear" w:color="auto" w:fill="auto"/>
            <w:noWrap/>
            <w:vAlign w:val="bottom"/>
            <w:hideMark/>
          </w:tcPr>
          <w:p w14:paraId="25787B0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618 (39%)</w:t>
            </w:r>
          </w:p>
        </w:tc>
        <w:tc>
          <w:tcPr>
            <w:tcW w:w="1241" w:type="dxa"/>
            <w:tcBorders>
              <w:top w:val="nil"/>
              <w:left w:val="nil"/>
              <w:bottom w:val="nil"/>
              <w:right w:val="nil"/>
            </w:tcBorders>
            <w:shd w:val="clear" w:color="auto" w:fill="auto"/>
            <w:noWrap/>
            <w:vAlign w:val="bottom"/>
            <w:hideMark/>
          </w:tcPr>
          <w:p w14:paraId="1A13899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135 (59%)</w:t>
            </w:r>
          </w:p>
        </w:tc>
        <w:tc>
          <w:tcPr>
            <w:tcW w:w="1514" w:type="dxa"/>
            <w:tcBorders>
              <w:top w:val="nil"/>
              <w:left w:val="nil"/>
              <w:bottom w:val="nil"/>
              <w:right w:val="single" w:sz="4" w:space="0" w:color="auto"/>
            </w:tcBorders>
            <w:shd w:val="clear" w:color="auto" w:fill="auto"/>
            <w:noWrap/>
            <w:vAlign w:val="bottom"/>
            <w:hideMark/>
          </w:tcPr>
          <w:p w14:paraId="7A92307B"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&lt;0.00001</w:t>
            </w:r>
          </w:p>
        </w:tc>
      </w:tr>
      <w:tr w:rsidR="00635710" w:rsidRPr="00914044" w14:paraId="032E1236"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19A701E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xml:space="preserve">LVEF: </w:t>
            </w:r>
            <w:proofErr w:type="spellStart"/>
            <w:r w:rsidRPr="00914044">
              <w:rPr>
                <w:rFonts w:ascii="Calibri" w:eastAsia="Times New Roman" w:hAnsi="Calibri"/>
                <w:color w:val="000000"/>
                <w:sz w:val="16"/>
                <w:szCs w:val="16"/>
              </w:rPr>
              <w:t>median</w:t>
            </w:r>
            <w:proofErr w:type="spellEnd"/>
            <w:r w:rsidRPr="00914044">
              <w:rPr>
                <w:rFonts w:ascii="Calibri" w:eastAsia="Times New Roman" w:hAnsi="Calibri"/>
                <w:color w:val="000000"/>
                <w:sz w:val="16"/>
                <w:szCs w:val="16"/>
              </w:rPr>
              <w:t xml:space="preserve"> (IQR)</w:t>
            </w:r>
          </w:p>
        </w:tc>
        <w:tc>
          <w:tcPr>
            <w:tcW w:w="1701" w:type="dxa"/>
            <w:tcBorders>
              <w:top w:val="nil"/>
              <w:left w:val="nil"/>
              <w:bottom w:val="nil"/>
              <w:right w:val="nil"/>
            </w:tcBorders>
            <w:shd w:val="clear" w:color="auto" w:fill="auto"/>
            <w:noWrap/>
            <w:vAlign w:val="bottom"/>
            <w:hideMark/>
          </w:tcPr>
          <w:p w14:paraId="3700D0C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29 (24-34)</w:t>
            </w:r>
          </w:p>
        </w:tc>
        <w:tc>
          <w:tcPr>
            <w:tcW w:w="992" w:type="dxa"/>
            <w:tcBorders>
              <w:top w:val="nil"/>
              <w:left w:val="nil"/>
              <w:bottom w:val="nil"/>
              <w:right w:val="nil"/>
            </w:tcBorders>
            <w:shd w:val="clear" w:color="auto" w:fill="auto"/>
            <w:noWrap/>
            <w:vAlign w:val="bottom"/>
            <w:hideMark/>
          </w:tcPr>
          <w:p w14:paraId="35568F0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29 (24-34)</w:t>
            </w:r>
          </w:p>
        </w:tc>
        <w:tc>
          <w:tcPr>
            <w:tcW w:w="715" w:type="dxa"/>
            <w:gridSpan w:val="2"/>
            <w:tcBorders>
              <w:top w:val="nil"/>
              <w:left w:val="nil"/>
              <w:bottom w:val="nil"/>
              <w:right w:val="single" w:sz="4" w:space="0" w:color="auto"/>
            </w:tcBorders>
            <w:shd w:val="clear" w:color="auto" w:fill="auto"/>
            <w:noWrap/>
            <w:vAlign w:val="bottom"/>
            <w:hideMark/>
          </w:tcPr>
          <w:p w14:paraId="54B8E6FD"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0.19</w:t>
            </w:r>
          </w:p>
        </w:tc>
        <w:tc>
          <w:tcPr>
            <w:tcW w:w="1311" w:type="dxa"/>
            <w:tcBorders>
              <w:top w:val="nil"/>
              <w:left w:val="nil"/>
              <w:bottom w:val="nil"/>
              <w:right w:val="nil"/>
            </w:tcBorders>
            <w:shd w:val="clear" w:color="auto" w:fill="auto"/>
            <w:noWrap/>
            <w:vAlign w:val="bottom"/>
            <w:hideMark/>
          </w:tcPr>
          <w:p w14:paraId="548258A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27 (23-34)</w:t>
            </w:r>
          </w:p>
        </w:tc>
        <w:tc>
          <w:tcPr>
            <w:tcW w:w="1099" w:type="dxa"/>
            <w:tcBorders>
              <w:top w:val="nil"/>
              <w:left w:val="nil"/>
              <w:bottom w:val="nil"/>
              <w:right w:val="nil"/>
            </w:tcBorders>
            <w:shd w:val="clear" w:color="auto" w:fill="auto"/>
            <w:noWrap/>
            <w:vAlign w:val="bottom"/>
            <w:hideMark/>
          </w:tcPr>
          <w:p w14:paraId="278F788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29 (24-34)</w:t>
            </w:r>
          </w:p>
        </w:tc>
        <w:tc>
          <w:tcPr>
            <w:tcW w:w="986" w:type="dxa"/>
            <w:tcBorders>
              <w:top w:val="nil"/>
              <w:left w:val="nil"/>
              <w:bottom w:val="nil"/>
              <w:right w:val="single" w:sz="4" w:space="0" w:color="auto"/>
            </w:tcBorders>
            <w:shd w:val="clear" w:color="auto" w:fill="auto"/>
            <w:noWrap/>
            <w:vAlign w:val="bottom"/>
            <w:hideMark/>
          </w:tcPr>
          <w:p w14:paraId="460F8A91"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0.00001</w:t>
            </w:r>
          </w:p>
        </w:tc>
        <w:tc>
          <w:tcPr>
            <w:tcW w:w="1498" w:type="dxa"/>
            <w:tcBorders>
              <w:top w:val="nil"/>
              <w:left w:val="nil"/>
              <w:bottom w:val="nil"/>
              <w:right w:val="nil"/>
            </w:tcBorders>
            <w:shd w:val="clear" w:color="auto" w:fill="auto"/>
            <w:noWrap/>
            <w:vAlign w:val="bottom"/>
            <w:hideMark/>
          </w:tcPr>
          <w:p w14:paraId="5D43A70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28 (23-34)</w:t>
            </w:r>
          </w:p>
        </w:tc>
        <w:tc>
          <w:tcPr>
            <w:tcW w:w="1241" w:type="dxa"/>
            <w:tcBorders>
              <w:top w:val="nil"/>
              <w:left w:val="nil"/>
              <w:bottom w:val="nil"/>
              <w:right w:val="nil"/>
            </w:tcBorders>
            <w:shd w:val="clear" w:color="auto" w:fill="auto"/>
            <w:noWrap/>
            <w:vAlign w:val="bottom"/>
            <w:hideMark/>
          </w:tcPr>
          <w:p w14:paraId="076AB26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29 (24-36)</w:t>
            </w:r>
          </w:p>
        </w:tc>
        <w:tc>
          <w:tcPr>
            <w:tcW w:w="1514" w:type="dxa"/>
            <w:tcBorders>
              <w:top w:val="nil"/>
              <w:left w:val="nil"/>
              <w:bottom w:val="nil"/>
              <w:right w:val="single" w:sz="4" w:space="0" w:color="auto"/>
            </w:tcBorders>
            <w:shd w:val="clear" w:color="auto" w:fill="auto"/>
            <w:noWrap/>
            <w:vAlign w:val="bottom"/>
            <w:hideMark/>
          </w:tcPr>
          <w:p w14:paraId="234AAF26"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&lt;0.00001</w:t>
            </w:r>
          </w:p>
        </w:tc>
      </w:tr>
      <w:tr w:rsidR="003D03F6" w:rsidRPr="00914044" w14:paraId="5D9ED6CB"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197D4716"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NT-</w:t>
            </w:r>
            <w:proofErr w:type="spellStart"/>
            <w:r w:rsidRPr="00914044">
              <w:rPr>
                <w:rFonts w:ascii="Calibri" w:eastAsia="Times New Roman" w:hAnsi="Calibri"/>
                <w:color w:val="000000"/>
                <w:sz w:val="16"/>
                <w:szCs w:val="16"/>
                <w:lang w:val="en-US"/>
              </w:rPr>
              <w:t>proBNP</w:t>
            </w:r>
            <w:proofErr w:type="spellEnd"/>
            <w:r w:rsidRPr="00914044">
              <w:rPr>
                <w:rFonts w:ascii="Calibri" w:eastAsia="Times New Roman" w:hAnsi="Calibri"/>
                <w:color w:val="000000"/>
                <w:sz w:val="16"/>
                <w:szCs w:val="16"/>
                <w:lang w:val="en-US"/>
              </w:rPr>
              <w:t>, ng/L: median (IQR)</w:t>
            </w:r>
          </w:p>
        </w:tc>
        <w:tc>
          <w:tcPr>
            <w:tcW w:w="1701" w:type="dxa"/>
            <w:tcBorders>
              <w:top w:val="nil"/>
              <w:left w:val="nil"/>
              <w:bottom w:val="nil"/>
              <w:right w:val="nil"/>
            </w:tcBorders>
            <w:shd w:val="clear" w:color="auto" w:fill="auto"/>
            <w:noWrap/>
            <w:vAlign w:val="bottom"/>
            <w:hideMark/>
          </w:tcPr>
          <w:p w14:paraId="761CC39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32900 (30630-35620)</w:t>
            </w:r>
          </w:p>
        </w:tc>
        <w:tc>
          <w:tcPr>
            <w:tcW w:w="992" w:type="dxa"/>
            <w:tcBorders>
              <w:top w:val="nil"/>
              <w:left w:val="nil"/>
              <w:bottom w:val="nil"/>
              <w:right w:val="nil"/>
            </w:tcBorders>
            <w:shd w:val="clear" w:color="auto" w:fill="auto"/>
            <w:noWrap/>
            <w:vAlign w:val="bottom"/>
            <w:hideMark/>
          </w:tcPr>
          <w:p w14:paraId="4887D22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27928 (26980-32965)</w:t>
            </w:r>
          </w:p>
        </w:tc>
        <w:tc>
          <w:tcPr>
            <w:tcW w:w="715" w:type="dxa"/>
            <w:gridSpan w:val="2"/>
            <w:tcBorders>
              <w:top w:val="nil"/>
              <w:left w:val="nil"/>
              <w:bottom w:val="nil"/>
              <w:right w:val="single" w:sz="4" w:space="0" w:color="auto"/>
            </w:tcBorders>
            <w:shd w:val="clear" w:color="auto" w:fill="auto"/>
            <w:noWrap/>
            <w:vAlign w:val="bottom"/>
            <w:hideMark/>
          </w:tcPr>
          <w:p w14:paraId="1D968787"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0.01</w:t>
            </w:r>
          </w:p>
        </w:tc>
        <w:tc>
          <w:tcPr>
            <w:tcW w:w="1311" w:type="dxa"/>
            <w:tcBorders>
              <w:top w:val="nil"/>
              <w:left w:val="nil"/>
              <w:bottom w:val="nil"/>
              <w:right w:val="nil"/>
            </w:tcBorders>
            <w:shd w:val="clear" w:color="auto" w:fill="auto"/>
            <w:noWrap/>
            <w:vAlign w:val="bottom"/>
            <w:hideMark/>
          </w:tcPr>
          <w:p w14:paraId="32D9F99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32635 (30247-35086)</w:t>
            </w:r>
          </w:p>
        </w:tc>
        <w:tc>
          <w:tcPr>
            <w:tcW w:w="1099" w:type="dxa"/>
            <w:tcBorders>
              <w:top w:val="nil"/>
              <w:left w:val="nil"/>
              <w:bottom w:val="nil"/>
              <w:right w:val="nil"/>
            </w:tcBorders>
            <w:shd w:val="clear" w:color="auto" w:fill="auto"/>
            <w:noWrap/>
            <w:vAlign w:val="bottom"/>
            <w:hideMark/>
          </w:tcPr>
          <w:p w14:paraId="6F4914D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33593 (31140-36655)</w:t>
            </w:r>
          </w:p>
        </w:tc>
        <w:tc>
          <w:tcPr>
            <w:tcW w:w="986" w:type="dxa"/>
            <w:tcBorders>
              <w:top w:val="nil"/>
              <w:left w:val="nil"/>
              <w:bottom w:val="nil"/>
              <w:right w:val="single" w:sz="4" w:space="0" w:color="auto"/>
            </w:tcBorders>
            <w:shd w:val="clear" w:color="auto" w:fill="auto"/>
            <w:noWrap/>
            <w:vAlign w:val="bottom"/>
            <w:hideMark/>
          </w:tcPr>
          <w:p w14:paraId="61B21130"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0.00003</w:t>
            </w:r>
          </w:p>
        </w:tc>
        <w:tc>
          <w:tcPr>
            <w:tcW w:w="1498" w:type="dxa"/>
            <w:tcBorders>
              <w:top w:val="nil"/>
              <w:left w:val="nil"/>
              <w:bottom w:val="nil"/>
              <w:right w:val="nil"/>
            </w:tcBorders>
            <w:shd w:val="clear" w:color="auto" w:fill="auto"/>
            <w:noWrap/>
            <w:vAlign w:val="bottom"/>
            <w:hideMark/>
          </w:tcPr>
          <w:p w14:paraId="074A538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33143 (30708-35788)</w:t>
            </w:r>
          </w:p>
        </w:tc>
        <w:tc>
          <w:tcPr>
            <w:tcW w:w="1241" w:type="dxa"/>
            <w:tcBorders>
              <w:top w:val="nil"/>
              <w:left w:val="nil"/>
              <w:bottom w:val="nil"/>
              <w:right w:val="nil"/>
            </w:tcBorders>
            <w:shd w:val="clear" w:color="auto" w:fill="auto"/>
            <w:noWrap/>
            <w:vAlign w:val="bottom"/>
            <w:hideMark/>
          </w:tcPr>
          <w:p w14:paraId="49741E6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31303 (29506-33500)</w:t>
            </w:r>
          </w:p>
        </w:tc>
        <w:tc>
          <w:tcPr>
            <w:tcW w:w="1514" w:type="dxa"/>
            <w:tcBorders>
              <w:top w:val="nil"/>
              <w:left w:val="nil"/>
              <w:bottom w:val="nil"/>
              <w:right w:val="single" w:sz="4" w:space="0" w:color="auto"/>
            </w:tcBorders>
            <w:shd w:val="clear" w:color="auto" w:fill="auto"/>
            <w:noWrap/>
            <w:vAlign w:val="bottom"/>
            <w:hideMark/>
          </w:tcPr>
          <w:p w14:paraId="06BEB7D3"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0.00001</w:t>
            </w:r>
          </w:p>
        </w:tc>
      </w:tr>
      <w:tr w:rsidR="00635710" w:rsidRPr="00914044" w14:paraId="4FB129B2"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31A30BFA"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Oedema</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570F54A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818 (46%)</w:t>
            </w:r>
          </w:p>
        </w:tc>
        <w:tc>
          <w:tcPr>
            <w:tcW w:w="992" w:type="dxa"/>
            <w:tcBorders>
              <w:top w:val="nil"/>
              <w:left w:val="nil"/>
              <w:bottom w:val="nil"/>
              <w:right w:val="nil"/>
            </w:tcBorders>
            <w:shd w:val="clear" w:color="auto" w:fill="auto"/>
            <w:noWrap/>
            <w:vAlign w:val="bottom"/>
            <w:hideMark/>
          </w:tcPr>
          <w:p w14:paraId="02306F6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 (31%)</w:t>
            </w:r>
          </w:p>
        </w:tc>
        <w:tc>
          <w:tcPr>
            <w:tcW w:w="715" w:type="dxa"/>
            <w:gridSpan w:val="2"/>
            <w:tcBorders>
              <w:top w:val="nil"/>
              <w:left w:val="nil"/>
              <w:bottom w:val="nil"/>
              <w:right w:val="single" w:sz="4" w:space="0" w:color="auto"/>
            </w:tcBorders>
            <w:shd w:val="clear" w:color="auto" w:fill="auto"/>
            <w:noWrap/>
            <w:vAlign w:val="bottom"/>
            <w:hideMark/>
          </w:tcPr>
          <w:p w14:paraId="172E943E"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0.05</w:t>
            </w:r>
          </w:p>
        </w:tc>
        <w:tc>
          <w:tcPr>
            <w:tcW w:w="1311" w:type="dxa"/>
            <w:tcBorders>
              <w:top w:val="nil"/>
              <w:left w:val="nil"/>
              <w:bottom w:val="nil"/>
              <w:right w:val="nil"/>
            </w:tcBorders>
            <w:shd w:val="clear" w:color="auto" w:fill="auto"/>
            <w:noWrap/>
            <w:vAlign w:val="bottom"/>
            <w:hideMark/>
          </w:tcPr>
          <w:p w14:paraId="70F9CF7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558 (46%)</w:t>
            </w:r>
          </w:p>
        </w:tc>
        <w:tc>
          <w:tcPr>
            <w:tcW w:w="1099" w:type="dxa"/>
            <w:tcBorders>
              <w:top w:val="nil"/>
              <w:left w:val="nil"/>
              <w:bottom w:val="nil"/>
              <w:right w:val="nil"/>
            </w:tcBorders>
            <w:shd w:val="clear" w:color="auto" w:fill="auto"/>
            <w:noWrap/>
            <w:vAlign w:val="bottom"/>
            <w:hideMark/>
          </w:tcPr>
          <w:p w14:paraId="3A99CB6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273 (46%)</w:t>
            </w:r>
          </w:p>
        </w:tc>
        <w:tc>
          <w:tcPr>
            <w:tcW w:w="986" w:type="dxa"/>
            <w:tcBorders>
              <w:top w:val="nil"/>
              <w:left w:val="nil"/>
              <w:bottom w:val="nil"/>
              <w:right w:val="single" w:sz="4" w:space="0" w:color="auto"/>
            </w:tcBorders>
            <w:shd w:val="clear" w:color="auto" w:fill="auto"/>
            <w:noWrap/>
            <w:vAlign w:val="bottom"/>
            <w:hideMark/>
          </w:tcPr>
          <w:p w14:paraId="391CCB91"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1</w:t>
            </w:r>
          </w:p>
        </w:tc>
        <w:tc>
          <w:tcPr>
            <w:tcW w:w="1498" w:type="dxa"/>
            <w:tcBorders>
              <w:top w:val="nil"/>
              <w:left w:val="nil"/>
              <w:bottom w:val="nil"/>
              <w:right w:val="nil"/>
            </w:tcBorders>
            <w:shd w:val="clear" w:color="auto" w:fill="auto"/>
            <w:noWrap/>
            <w:vAlign w:val="bottom"/>
            <w:hideMark/>
          </w:tcPr>
          <w:p w14:paraId="20BA466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753 (48%)</w:t>
            </w:r>
          </w:p>
        </w:tc>
        <w:tc>
          <w:tcPr>
            <w:tcW w:w="1241" w:type="dxa"/>
            <w:tcBorders>
              <w:top w:val="nil"/>
              <w:left w:val="nil"/>
              <w:bottom w:val="nil"/>
              <w:right w:val="nil"/>
            </w:tcBorders>
            <w:shd w:val="clear" w:color="auto" w:fill="auto"/>
            <w:noWrap/>
            <w:vAlign w:val="bottom"/>
            <w:hideMark/>
          </w:tcPr>
          <w:p w14:paraId="252BB74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78 (34%)</w:t>
            </w:r>
          </w:p>
        </w:tc>
        <w:tc>
          <w:tcPr>
            <w:tcW w:w="1514" w:type="dxa"/>
            <w:tcBorders>
              <w:top w:val="nil"/>
              <w:left w:val="nil"/>
              <w:bottom w:val="nil"/>
              <w:right w:val="single" w:sz="4" w:space="0" w:color="auto"/>
            </w:tcBorders>
            <w:shd w:val="clear" w:color="auto" w:fill="auto"/>
            <w:noWrap/>
            <w:vAlign w:val="bottom"/>
            <w:hideMark/>
          </w:tcPr>
          <w:p w14:paraId="192230A7"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0.00009</w:t>
            </w:r>
          </w:p>
        </w:tc>
      </w:tr>
      <w:tr w:rsidR="00635710" w:rsidRPr="00914044" w14:paraId="761CF1CB"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5A995FE3"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Orthopnoea</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4900799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567 (32%)</w:t>
            </w:r>
          </w:p>
        </w:tc>
        <w:tc>
          <w:tcPr>
            <w:tcW w:w="992" w:type="dxa"/>
            <w:tcBorders>
              <w:top w:val="nil"/>
              <w:left w:val="nil"/>
              <w:bottom w:val="nil"/>
              <w:right w:val="nil"/>
            </w:tcBorders>
            <w:shd w:val="clear" w:color="auto" w:fill="auto"/>
            <w:noWrap/>
            <w:vAlign w:val="bottom"/>
            <w:hideMark/>
          </w:tcPr>
          <w:p w14:paraId="3245151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14 (33%)</w:t>
            </w:r>
          </w:p>
        </w:tc>
        <w:tc>
          <w:tcPr>
            <w:tcW w:w="715" w:type="dxa"/>
            <w:gridSpan w:val="2"/>
            <w:tcBorders>
              <w:top w:val="nil"/>
              <w:left w:val="nil"/>
              <w:bottom w:val="nil"/>
              <w:right w:val="single" w:sz="4" w:space="0" w:color="auto"/>
            </w:tcBorders>
            <w:shd w:val="clear" w:color="auto" w:fill="auto"/>
            <w:noWrap/>
            <w:vAlign w:val="bottom"/>
            <w:hideMark/>
          </w:tcPr>
          <w:p w14:paraId="1F478DB1"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0.88</w:t>
            </w:r>
          </w:p>
        </w:tc>
        <w:tc>
          <w:tcPr>
            <w:tcW w:w="1311" w:type="dxa"/>
            <w:tcBorders>
              <w:top w:val="nil"/>
              <w:left w:val="nil"/>
              <w:bottom w:val="nil"/>
              <w:right w:val="nil"/>
            </w:tcBorders>
            <w:shd w:val="clear" w:color="auto" w:fill="auto"/>
            <w:noWrap/>
            <w:vAlign w:val="bottom"/>
            <w:hideMark/>
          </w:tcPr>
          <w:p w14:paraId="171393D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404 (33%)</w:t>
            </w:r>
          </w:p>
        </w:tc>
        <w:tc>
          <w:tcPr>
            <w:tcW w:w="1099" w:type="dxa"/>
            <w:tcBorders>
              <w:top w:val="nil"/>
              <w:left w:val="nil"/>
              <w:bottom w:val="nil"/>
              <w:right w:val="nil"/>
            </w:tcBorders>
            <w:shd w:val="clear" w:color="auto" w:fill="auto"/>
            <w:noWrap/>
            <w:vAlign w:val="bottom"/>
            <w:hideMark/>
          </w:tcPr>
          <w:p w14:paraId="651AB4E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177 (30%)</w:t>
            </w:r>
          </w:p>
        </w:tc>
        <w:tc>
          <w:tcPr>
            <w:tcW w:w="986" w:type="dxa"/>
            <w:tcBorders>
              <w:top w:val="nil"/>
              <w:left w:val="nil"/>
              <w:bottom w:val="nil"/>
              <w:right w:val="single" w:sz="4" w:space="0" w:color="auto"/>
            </w:tcBorders>
            <w:shd w:val="clear" w:color="auto" w:fill="auto"/>
            <w:noWrap/>
            <w:vAlign w:val="bottom"/>
            <w:hideMark/>
          </w:tcPr>
          <w:p w14:paraId="4C9BFFE7"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0.14</w:t>
            </w:r>
          </w:p>
        </w:tc>
        <w:tc>
          <w:tcPr>
            <w:tcW w:w="1498" w:type="dxa"/>
            <w:tcBorders>
              <w:top w:val="nil"/>
              <w:left w:val="nil"/>
              <w:bottom w:val="nil"/>
              <w:right w:val="nil"/>
            </w:tcBorders>
            <w:shd w:val="clear" w:color="auto" w:fill="auto"/>
            <w:noWrap/>
            <w:vAlign w:val="bottom"/>
            <w:hideMark/>
          </w:tcPr>
          <w:p w14:paraId="17B51AE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538 (34%)</w:t>
            </w:r>
          </w:p>
        </w:tc>
        <w:tc>
          <w:tcPr>
            <w:tcW w:w="1241" w:type="dxa"/>
            <w:tcBorders>
              <w:top w:val="nil"/>
              <w:left w:val="nil"/>
              <w:bottom w:val="nil"/>
              <w:right w:val="nil"/>
            </w:tcBorders>
            <w:shd w:val="clear" w:color="auto" w:fill="auto"/>
            <w:noWrap/>
            <w:vAlign w:val="bottom"/>
            <w:hideMark/>
          </w:tcPr>
          <w:p w14:paraId="19D615E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43 (19%)</w:t>
            </w:r>
          </w:p>
        </w:tc>
        <w:tc>
          <w:tcPr>
            <w:tcW w:w="1514" w:type="dxa"/>
            <w:tcBorders>
              <w:top w:val="nil"/>
              <w:left w:val="nil"/>
              <w:bottom w:val="nil"/>
              <w:right w:val="single" w:sz="4" w:space="0" w:color="auto"/>
            </w:tcBorders>
            <w:shd w:val="clear" w:color="auto" w:fill="auto"/>
            <w:noWrap/>
            <w:vAlign w:val="bottom"/>
            <w:hideMark/>
          </w:tcPr>
          <w:p w14:paraId="45129CFA"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&lt;0.00001</w:t>
            </w:r>
          </w:p>
        </w:tc>
      </w:tr>
      <w:tr w:rsidR="00635710" w:rsidRPr="00914044" w14:paraId="15B84E78"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4F74E3D1"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Rales &gt;1/3 up lung fields, % (n)</w:t>
            </w:r>
          </w:p>
        </w:tc>
        <w:tc>
          <w:tcPr>
            <w:tcW w:w="1701" w:type="dxa"/>
            <w:tcBorders>
              <w:top w:val="nil"/>
              <w:left w:val="nil"/>
              <w:bottom w:val="nil"/>
              <w:right w:val="nil"/>
            </w:tcBorders>
            <w:shd w:val="clear" w:color="auto" w:fill="auto"/>
            <w:noWrap/>
            <w:vAlign w:val="bottom"/>
            <w:hideMark/>
          </w:tcPr>
          <w:p w14:paraId="5254B87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166 (19%)</w:t>
            </w:r>
          </w:p>
        </w:tc>
        <w:tc>
          <w:tcPr>
            <w:tcW w:w="992" w:type="dxa"/>
            <w:tcBorders>
              <w:top w:val="nil"/>
              <w:left w:val="nil"/>
              <w:bottom w:val="nil"/>
              <w:right w:val="nil"/>
            </w:tcBorders>
            <w:shd w:val="clear" w:color="auto" w:fill="auto"/>
            <w:noWrap/>
            <w:vAlign w:val="bottom"/>
            <w:hideMark/>
          </w:tcPr>
          <w:p w14:paraId="1736A56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 (14%)</w:t>
            </w:r>
          </w:p>
        </w:tc>
        <w:tc>
          <w:tcPr>
            <w:tcW w:w="715" w:type="dxa"/>
            <w:gridSpan w:val="2"/>
            <w:tcBorders>
              <w:top w:val="nil"/>
              <w:left w:val="nil"/>
              <w:bottom w:val="nil"/>
              <w:right w:val="single" w:sz="4" w:space="0" w:color="auto"/>
            </w:tcBorders>
            <w:shd w:val="clear" w:color="auto" w:fill="auto"/>
            <w:noWrap/>
            <w:vAlign w:val="bottom"/>
            <w:hideMark/>
          </w:tcPr>
          <w:p w14:paraId="2673010F"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0.58</w:t>
            </w:r>
          </w:p>
        </w:tc>
        <w:tc>
          <w:tcPr>
            <w:tcW w:w="1311" w:type="dxa"/>
            <w:tcBorders>
              <w:top w:val="nil"/>
              <w:left w:val="nil"/>
              <w:bottom w:val="nil"/>
              <w:right w:val="nil"/>
            </w:tcBorders>
            <w:shd w:val="clear" w:color="auto" w:fill="auto"/>
            <w:noWrap/>
            <w:vAlign w:val="bottom"/>
            <w:hideMark/>
          </w:tcPr>
          <w:p w14:paraId="24FC643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108 (18%)</w:t>
            </w:r>
          </w:p>
        </w:tc>
        <w:tc>
          <w:tcPr>
            <w:tcW w:w="1099" w:type="dxa"/>
            <w:tcBorders>
              <w:top w:val="nil"/>
              <w:left w:val="nil"/>
              <w:bottom w:val="nil"/>
              <w:right w:val="nil"/>
            </w:tcBorders>
            <w:shd w:val="clear" w:color="auto" w:fill="auto"/>
            <w:noWrap/>
            <w:vAlign w:val="bottom"/>
            <w:hideMark/>
          </w:tcPr>
          <w:p w14:paraId="019E05B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61 (20%)</w:t>
            </w:r>
          </w:p>
        </w:tc>
        <w:tc>
          <w:tcPr>
            <w:tcW w:w="986" w:type="dxa"/>
            <w:tcBorders>
              <w:top w:val="nil"/>
              <w:left w:val="nil"/>
              <w:bottom w:val="nil"/>
              <w:right w:val="single" w:sz="4" w:space="0" w:color="auto"/>
            </w:tcBorders>
            <w:shd w:val="clear" w:color="auto" w:fill="auto"/>
            <w:noWrap/>
            <w:vAlign w:val="bottom"/>
            <w:hideMark/>
          </w:tcPr>
          <w:p w14:paraId="264E5F54"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0.43</w:t>
            </w:r>
          </w:p>
        </w:tc>
        <w:tc>
          <w:tcPr>
            <w:tcW w:w="1498" w:type="dxa"/>
            <w:tcBorders>
              <w:top w:val="nil"/>
              <w:left w:val="nil"/>
              <w:bottom w:val="nil"/>
              <w:right w:val="nil"/>
            </w:tcBorders>
            <w:shd w:val="clear" w:color="auto" w:fill="auto"/>
            <w:noWrap/>
            <w:vAlign w:val="bottom"/>
            <w:hideMark/>
          </w:tcPr>
          <w:p w14:paraId="27ABDA2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159 (20%)</w:t>
            </w:r>
          </w:p>
        </w:tc>
        <w:tc>
          <w:tcPr>
            <w:tcW w:w="1241" w:type="dxa"/>
            <w:tcBorders>
              <w:top w:val="nil"/>
              <w:left w:val="nil"/>
              <w:bottom w:val="nil"/>
              <w:right w:val="nil"/>
            </w:tcBorders>
            <w:shd w:val="clear" w:color="auto" w:fill="auto"/>
            <w:noWrap/>
            <w:vAlign w:val="bottom"/>
            <w:hideMark/>
          </w:tcPr>
          <w:p w14:paraId="06DDF2B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10 (12%)</w:t>
            </w:r>
          </w:p>
        </w:tc>
        <w:tc>
          <w:tcPr>
            <w:tcW w:w="1514" w:type="dxa"/>
            <w:tcBorders>
              <w:top w:val="nil"/>
              <w:left w:val="nil"/>
              <w:bottom w:val="nil"/>
              <w:right w:val="single" w:sz="4" w:space="0" w:color="auto"/>
            </w:tcBorders>
            <w:shd w:val="clear" w:color="auto" w:fill="auto"/>
            <w:noWrap/>
            <w:vAlign w:val="bottom"/>
            <w:hideMark/>
          </w:tcPr>
          <w:p w14:paraId="0BB40F36"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w:t>
            </w:r>
          </w:p>
        </w:tc>
      </w:tr>
      <w:tr w:rsidR="00635710" w:rsidRPr="00914044" w14:paraId="7F7429BD"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5AA70422"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Jugular</w:t>
            </w:r>
            <w:proofErr w:type="spellEnd"/>
            <w:r w:rsidRPr="00914044">
              <w:rPr>
                <w:rFonts w:ascii="Calibri" w:eastAsia="Times New Roman" w:hAnsi="Calibri"/>
                <w:color w:val="000000"/>
                <w:sz w:val="16"/>
                <w:szCs w:val="16"/>
              </w:rPr>
              <w:t xml:space="preserve"> </w:t>
            </w:r>
            <w:proofErr w:type="spellStart"/>
            <w:r w:rsidRPr="00914044">
              <w:rPr>
                <w:rFonts w:ascii="Calibri" w:eastAsia="Times New Roman" w:hAnsi="Calibri"/>
                <w:color w:val="000000"/>
                <w:sz w:val="16"/>
                <w:szCs w:val="16"/>
              </w:rPr>
              <w:t>venous</w:t>
            </w:r>
            <w:proofErr w:type="spellEnd"/>
            <w:r w:rsidRPr="00914044">
              <w:rPr>
                <w:rFonts w:ascii="Calibri" w:eastAsia="Times New Roman" w:hAnsi="Calibri"/>
                <w:color w:val="000000"/>
                <w:sz w:val="16"/>
                <w:szCs w:val="16"/>
              </w:rPr>
              <w:t xml:space="preserve"> </w:t>
            </w:r>
            <w:proofErr w:type="spellStart"/>
            <w:r w:rsidRPr="00914044">
              <w:rPr>
                <w:rFonts w:ascii="Calibri" w:eastAsia="Times New Roman" w:hAnsi="Calibri"/>
                <w:color w:val="000000"/>
                <w:sz w:val="16"/>
                <w:szCs w:val="16"/>
              </w:rPr>
              <w:t>pressure</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545666D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387 (31%)</w:t>
            </w:r>
          </w:p>
        </w:tc>
        <w:tc>
          <w:tcPr>
            <w:tcW w:w="992" w:type="dxa"/>
            <w:tcBorders>
              <w:top w:val="nil"/>
              <w:left w:val="nil"/>
              <w:bottom w:val="nil"/>
              <w:right w:val="nil"/>
            </w:tcBorders>
            <w:shd w:val="clear" w:color="auto" w:fill="auto"/>
            <w:noWrap/>
            <w:vAlign w:val="bottom"/>
            <w:hideMark/>
          </w:tcPr>
          <w:p w14:paraId="11B3A65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 (16%)</w:t>
            </w:r>
          </w:p>
        </w:tc>
        <w:tc>
          <w:tcPr>
            <w:tcW w:w="715" w:type="dxa"/>
            <w:gridSpan w:val="2"/>
            <w:tcBorders>
              <w:top w:val="nil"/>
              <w:left w:val="nil"/>
              <w:bottom w:val="nil"/>
              <w:right w:val="single" w:sz="4" w:space="0" w:color="auto"/>
            </w:tcBorders>
            <w:shd w:val="clear" w:color="auto" w:fill="auto"/>
            <w:noWrap/>
            <w:vAlign w:val="bottom"/>
            <w:hideMark/>
          </w:tcPr>
          <w:p w14:paraId="34010A7C"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0.07</w:t>
            </w:r>
          </w:p>
        </w:tc>
        <w:tc>
          <w:tcPr>
            <w:tcW w:w="1311" w:type="dxa"/>
            <w:tcBorders>
              <w:top w:val="nil"/>
              <w:left w:val="nil"/>
              <w:bottom w:val="nil"/>
              <w:right w:val="nil"/>
            </w:tcBorders>
            <w:shd w:val="clear" w:color="auto" w:fill="auto"/>
            <w:noWrap/>
            <w:vAlign w:val="bottom"/>
            <w:hideMark/>
          </w:tcPr>
          <w:p w14:paraId="26FBF75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256 (30%)</w:t>
            </w:r>
          </w:p>
        </w:tc>
        <w:tc>
          <w:tcPr>
            <w:tcW w:w="1099" w:type="dxa"/>
            <w:tcBorders>
              <w:top w:val="nil"/>
              <w:left w:val="nil"/>
              <w:bottom w:val="nil"/>
              <w:right w:val="nil"/>
            </w:tcBorders>
            <w:shd w:val="clear" w:color="auto" w:fill="auto"/>
            <w:noWrap/>
            <w:vAlign w:val="bottom"/>
            <w:hideMark/>
          </w:tcPr>
          <w:p w14:paraId="2B4C723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136 (31%)</w:t>
            </w:r>
          </w:p>
        </w:tc>
        <w:tc>
          <w:tcPr>
            <w:tcW w:w="986" w:type="dxa"/>
            <w:tcBorders>
              <w:top w:val="nil"/>
              <w:left w:val="nil"/>
              <w:bottom w:val="nil"/>
              <w:right w:val="single" w:sz="4" w:space="0" w:color="auto"/>
            </w:tcBorders>
            <w:shd w:val="clear" w:color="auto" w:fill="auto"/>
            <w:noWrap/>
            <w:vAlign w:val="bottom"/>
            <w:hideMark/>
          </w:tcPr>
          <w:p w14:paraId="2EC75964"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0.8</w:t>
            </w:r>
          </w:p>
        </w:tc>
        <w:tc>
          <w:tcPr>
            <w:tcW w:w="1498" w:type="dxa"/>
            <w:tcBorders>
              <w:top w:val="nil"/>
              <w:left w:val="nil"/>
              <w:bottom w:val="nil"/>
              <w:right w:val="nil"/>
            </w:tcBorders>
            <w:shd w:val="clear" w:color="auto" w:fill="auto"/>
            <w:noWrap/>
            <w:vAlign w:val="bottom"/>
            <w:hideMark/>
          </w:tcPr>
          <w:p w14:paraId="30BD12E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365 (32%)</w:t>
            </w:r>
          </w:p>
        </w:tc>
        <w:tc>
          <w:tcPr>
            <w:tcW w:w="1241" w:type="dxa"/>
            <w:tcBorders>
              <w:top w:val="nil"/>
              <w:left w:val="nil"/>
              <w:bottom w:val="nil"/>
              <w:right w:val="nil"/>
            </w:tcBorders>
            <w:shd w:val="clear" w:color="auto" w:fill="auto"/>
            <w:noWrap/>
            <w:vAlign w:val="bottom"/>
            <w:hideMark/>
          </w:tcPr>
          <w:p w14:paraId="608A8C3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27 (16%)</w:t>
            </w:r>
          </w:p>
        </w:tc>
        <w:tc>
          <w:tcPr>
            <w:tcW w:w="1514" w:type="dxa"/>
            <w:tcBorders>
              <w:top w:val="nil"/>
              <w:left w:val="nil"/>
              <w:bottom w:val="nil"/>
              <w:right w:val="single" w:sz="4" w:space="0" w:color="auto"/>
            </w:tcBorders>
            <w:shd w:val="clear" w:color="auto" w:fill="auto"/>
            <w:noWrap/>
            <w:vAlign w:val="bottom"/>
            <w:hideMark/>
          </w:tcPr>
          <w:p w14:paraId="3E312C10"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0.00001</w:t>
            </w:r>
          </w:p>
        </w:tc>
      </w:tr>
      <w:tr w:rsidR="00635710" w:rsidRPr="00914044" w14:paraId="2B5FF307"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26724640"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Hepatomegaly</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08FDD23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240 (14%)</w:t>
            </w:r>
          </w:p>
        </w:tc>
        <w:tc>
          <w:tcPr>
            <w:tcW w:w="992" w:type="dxa"/>
            <w:tcBorders>
              <w:top w:val="nil"/>
              <w:left w:val="nil"/>
              <w:bottom w:val="nil"/>
              <w:right w:val="nil"/>
            </w:tcBorders>
            <w:shd w:val="clear" w:color="auto" w:fill="auto"/>
            <w:noWrap/>
            <w:vAlign w:val="bottom"/>
            <w:hideMark/>
          </w:tcPr>
          <w:p w14:paraId="0C75DD4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 (10%)</w:t>
            </w:r>
          </w:p>
        </w:tc>
        <w:tc>
          <w:tcPr>
            <w:tcW w:w="715" w:type="dxa"/>
            <w:gridSpan w:val="2"/>
            <w:tcBorders>
              <w:top w:val="nil"/>
              <w:left w:val="nil"/>
              <w:bottom w:val="nil"/>
              <w:right w:val="single" w:sz="4" w:space="0" w:color="auto"/>
            </w:tcBorders>
            <w:shd w:val="clear" w:color="auto" w:fill="auto"/>
            <w:noWrap/>
            <w:vAlign w:val="bottom"/>
            <w:hideMark/>
          </w:tcPr>
          <w:p w14:paraId="20B68BBE"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0.44</w:t>
            </w:r>
          </w:p>
        </w:tc>
        <w:tc>
          <w:tcPr>
            <w:tcW w:w="1311" w:type="dxa"/>
            <w:tcBorders>
              <w:top w:val="nil"/>
              <w:left w:val="nil"/>
              <w:bottom w:val="nil"/>
              <w:right w:val="nil"/>
            </w:tcBorders>
            <w:shd w:val="clear" w:color="auto" w:fill="auto"/>
            <w:noWrap/>
            <w:vAlign w:val="bottom"/>
            <w:hideMark/>
          </w:tcPr>
          <w:p w14:paraId="161BAC2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166 (14%)</w:t>
            </w:r>
          </w:p>
        </w:tc>
        <w:tc>
          <w:tcPr>
            <w:tcW w:w="1099" w:type="dxa"/>
            <w:tcBorders>
              <w:top w:val="nil"/>
              <w:left w:val="nil"/>
              <w:bottom w:val="nil"/>
              <w:right w:val="nil"/>
            </w:tcBorders>
            <w:shd w:val="clear" w:color="auto" w:fill="auto"/>
            <w:noWrap/>
            <w:vAlign w:val="bottom"/>
            <w:hideMark/>
          </w:tcPr>
          <w:p w14:paraId="3EA8FE0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78 (13%)</w:t>
            </w:r>
          </w:p>
        </w:tc>
        <w:tc>
          <w:tcPr>
            <w:tcW w:w="986" w:type="dxa"/>
            <w:tcBorders>
              <w:top w:val="nil"/>
              <w:left w:val="nil"/>
              <w:bottom w:val="nil"/>
              <w:right w:val="single" w:sz="4" w:space="0" w:color="auto"/>
            </w:tcBorders>
            <w:shd w:val="clear" w:color="auto" w:fill="auto"/>
            <w:noWrap/>
            <w:vAlign w:val="bottom"/>
            <w:hideMark/>
          </w:tcPr>
          <w:p w14:paraId="74256D63"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0.75</w:t>
            </w:r>
          </w:p>
        </w:tc>
        <w:tc>
          <w:tcPr>
            <w:tcW w:w="1498" w:type="dxa"/>
            <w:tcBorders>
              <w:top w:val="nil"/>
              <w:left w:val="nil"/>
              <w:bottom w:val="nil"/>
              <w:right w:val="nil"/>
            </w:tcBorders>
            <w:shd w:val="clear" w:color="auto" w:fill="auto"/>
            <w:noWrap/>
            <w:vAlign w:val="bottom"/>
            <w:hideMark/>
          </w:tcPr>
          <w:p w14:paraId="5AE266E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224 (14%)</w:t>
            </w:r>
          </w:p>
        </w:tc>
        <w:tc>
          <w:tcPr>
            <w:tcW w:w="1241" w:type="dxa"/>
            <w:tcBorders>
              <w:top w:val="nil"/>
              <w:left w:val="nil"/>
              <w:bottom w:val="nil"/>
              <w:right w:val="nil"/>
            </w:tcBorders>
            <w:shd w:val="clear" w:color="auto" w:fill="auto"/>
            <w:noWrap/>
            <w:vAlign w:val="bottom"/>
            <w:hideMark/>
          </w:tcPr>
          <w:p w14:paraId="3A93649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20 (9%)</w:t>
            </w:r>
          </w:p>
        </w:tc>
        <w:tc>
          <w:tcPr>
            <w:tcW w:w="1514" w:type="dxa"/>
            <w:tcBorders>
              <w:top w:val="nil"/>
              <w:left w:val="nil"/>
              <w:bottom w:val="nil"/>
              <w:right w:val="single" w:sz="4" w:space="0" w:color="auto"/>
            </w:tcBorders>
            <w:shd w:val="clear" w:color="auto" w:fill="auto"/>
            <w:noWrap/>
            <w:vAlign w:val="bottom"/>
            <w:hideMark/>
          </w:tcPr>
          <w:p w14:paraId="4386F489"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0.02</w:t>
            </w:r>
          </w:p>
        </w:tc>
      </w:tr>
      <w:tr w:rsidR="00635710" w:rsidRPr="00914044" w14:paraId="7757503D"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1AFB236B"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Hypertension</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2F8A8B7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1052 (60%)</w:t>
            </w:r>
          </w:p>
        </w:tc>
        <w:tc>
          <w:tcPr>
            <w:tcW w:w="992" w:type="dxa"/>
            <w:tcBorders>
              <w:top w:val="nil"/>
              <w:left w:val="nil"/>
              <w:bottom w:val="nil"/>
              <w:right w:val="nil"/>
            </w:tcBorders>
            <w:shd w:val="clear" w:color="auto" w:fill="auto"/>
            <w:noWrap/>
            <w:vAlign w:val="bottom"/>
            <w:hideMark/>
          </w:tcPr>
          <w:p w14:paraId="7115855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28 (67%)</w:t>
            </w:r>
          </w:p>
        </w:tc>
        <w:tc>
          <w:tcPr>
            <w:tcW w:w="715" w:type="dxa"/>
            <w:gridSpan w:val="2"/>
            <w:tcBorders>
              <w:top w:val="nil"/>
              <w:left w:val="nil"/>
              <w:bottom w:val="nil"/>
              <w:right w:val="single" w:sz="4" w:space="0" w:color="auto"/>
            </w:tcBorders>
            <w:shd w:val="clear" w:color="auto" w:fill="auto"/>
            <w:noWrap/>
            <w:vAlign w:val="bottom"/>
            <w:hideMark/>
          </w:tcPr>
          <w:p w14:paraId="61AA038B"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0.37</w:t>
            </w:r>
          </w:p>
        </w:tc>
        <w:tc>
          <w:tcPr>
            <w:tcW w:w="1311" w:type="dxa"/>
            <w:tcBorders>
              <w:top w:val="nil"/>
              <w:left w:val="nil"/>
              <w:bottom w:val="nil"/>
              <w:right w:val="nil"/>
            </w:tcBorders>
            <w:shd w:val="clear" w:color="auto" w:fill="auto"/>
            <w:noWrap/>
            <w:vAlign w:val="bottom"/>
            <w:hideMark/>
          </w:tcPr>
          <w:p w14:paraId="5256E5B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713 (59%)</w:t>
            </w:r>
          </w:p>
        </w:tc>
        <w:tc>
          <w:tcPr>
            <w:tcW w:w="1099" w:type="dxa"/>
            <w:tcBorders>
              <w:top w:val="nil"/>
              <w:left w:val="nil"/>
              <w:bottom w:val="nil"/>
              <w:right w:val="nil"/>
            </w:tcBorders>
            <w:shd w:val="clear" w:color="auto" w:fill="auto"/>
            <w:noWrap/>
            <w:vAlign w:val="bottom"/>
            <w:hideMark/>
          </w:tcPr>
          <w:p w14:paraId="6AB70E0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367 (62%)</w:t>
            </w:r>
          </w:p>
        </w:tc>
        <w:tc>
          <w:tcPr>
            <w:tcW w:w="986" w:type="dxa"/>
            <w:tcBorders>
              <w:top w:val="nil"/>
              <w:left w:val="nil"/>
              <w:bottom w:val="nil"/>
              <w:right w:val="single" w:sz="4" w:space="0" w:color="auto"/>
            </w:tcBorders>
            <w:shd w:val="clear" w:color="auto" w:fill="auto"/>
            <w:noWrap/>
            <w:vAlign w:val="bottom"/>
            <w:hideMark/>
          </w:tcPr>
          <w:p w14:paraId="0BA2AC2B"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0.21</w:t>
            </w:r>
          </w:p>
        </w:tc>
        <w:tc>
          <w:tcPr>
            <w:tcW w:w="1498" w:type="dxa"/>
            <w:tcBorders>
              <w:top w:val="nil"/>
              <w:left w:val="nil"/>
              <w:bottom w:val="nil"/>
              <w:right w:val="nil"/>
            </w:tcBorders>
            <w:shd w:val="clear" w:color="auto" w:fill="auto"/>
            <w:noWrap/>
            <w:vAlign w:val="bottom"/>
            <w:hideMark/>
          </w:tcPr>
          <w:p w14:paraId="7AB39DD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940 (60%)</w:t>
            </w:r>
          </w:p>
        </w:tc>
        <w:tc>
          <w:tcPr>
            <w:tcW w:w="1241" w:type="dxa"/>
            <w:tcBorders>
              <w:top w:val="nil"/>
              <w:left w:val="nil"/>
              <w:bottom w:val="nil"/>
              <w:right w:val="nil"/>
            </w:tcBorders>
            <w:shd w:val="clear" w:color="auto" w:fill="auto"/>
            <w:noWrap/>
            <w:vAlign w:val="bottom"/>
            <w:hideMark/>
          </w:tcPr>
          <w:p w14:paraId="57BC735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140 (61%)</w:t>
            </w:r>
          </w:p>
        </w:tc>
        <w:tc>
          <w:tcPr>
            <w:tcW w:w="1514" w:type="dxa"/>
            <w:tcBorders>
              <w:top w:val="nil"/>
              <w:left w:val="nil"/>
              <w:bottom w:val="nil"/>
              <w:right w:val="single" w:sz="4" w:space="0" w:color="auto"/>
            </w:tcBorders>
            <w:shd w:val="clear" w:color="auto" w:fill="auto"/>
            <w:noWrap/>
            <w:vAlign w:val="bottom"/>
            <w:hideMark/>
          </w:tcPr>
          <w:p w14:paraId="73A0B547"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0.69</w:t>
            </w:r>
          </w:p>
        </w:tc>
      </w:tr>
      <w:tr w:rsidR="00635710" w:rsidRPr="00914044" w14:paraId="20F06132"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6BAE2048"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Atrial</w:t>
            </w:r>
            <w:proofErr w:type="spellEnd"/>
            <w:r w:rsidRPr="00914044">
              <w:rPr>
                <w:rFonts w:ascii="Calibri" w:eastAsia="Times New Roman" w:hAnsi="Calibri"/>
                <w:color w:val="000000"/>
                <w:sz w:val="16"/>
                <w:szCs w:val="16"/>
              </w:rPr>
              <w:t xml:space="preserve"> </w:t>
            </w:r>
            <w:proofErr w:type="spellStart"/>
            <w:r w:rsidRPr="00914044">
              <w:rPr>
                <w:rFonts w:ascii="Calibri" w:eastAsia="Times New Roman" w:hAnsi="Calibri"/>
                <w:color w:val="000000"/>
                <w:sz w:val="16"/>
                <w:szCs w:val="16"/>
              </w:rPr>
              <w:t>fibrillation</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1219483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763 (43%)</w:t>
            </w:r>
          </w:p>
        </w:tc>
        <w:tc>
          <w:tcPr>
            <w:tcW w:w="992" w:type="dxa"/>
            <w:tcBorders>
              <w:top w:val="nil"/>
              <w:left w:val="nil"/>
              <w:bottom w:val="nil"/>
              <w:right w:val="nil"/>
            </w:tcBorders>
            <w:shd w:val="clear" w:color="auto" w:fill="auto"/>
            <w:noWrap/>
            <w:vAlign w:val="bottom"/>
            <w:hideMark/>
          </w:tcPr>
          <w:p w14:paraId="6EF3582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10 (24%)</w:t>
            </w:r>
          </w:p>
        </w:tc>
        <w:tc>
          <w:tcPr>
            <w:tcW w:w="715" w:type="dxa"/>
            <w:gridSpan w:val="2"/>
            <w:tcBorders>
              <w:top w:val="nil"/>
              <w:left w:val="nil"/>
              <w:bottom w:val="nil"/>
              <w:right w:val="single" w:sz="4" w:space="0" w:color="auto"/>
            </w:tcBorders>
            <w:shd w:val="clear" w:color="auto" w:fill="auto"/>
            <w:noWrap/>
            <w:vAlign w:val="bottom"/>
            <w:hideMark/>
          </w:tcPr>
          <w:p w14:paraId="08893CD7"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0.01</w:t>
            </w:r>
          </w:p>
        </w:tc>
        <w:tc>
          <w:tcPr>
            <w:tcW w:w="1311" w:type="dxa"/>
            <w:tcBorders>
              <w:top w:val="nil"/>
              <w:left w:val="nil"/>
              <w:bottom w:val="nil"/>
              <w:right w:val="nil"/>
            </w:tcBorders>
            <w:shd w:val="clear" w:color="auto" w:fill="auto"/>
            <w:noWrap/>
            <w:vAlign w:val="bottom"/>
            <w:hideMark/>
          </w:tcPr>
          <w:p w14:paraId="13EFBCF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517 (43%)</w:t>
            </w:r>
          </w:p>
        </w:tc>
        <w:tc>
          <w:tcPr>
            <w:tcW w:w="1099" w:type="dxa"/>
            <w:tcBorders>
              <w:top w:val="nil"/>
              <w:left w:val="nil"/>
              <w:bottom w:val="nil"/>
              <w:right w:val="nil"/>
            </w:tcBorders>
            <w:shd w:val="clear" w:color="auto" w:fill="auto"/>
            <w:noWrap/>
            <w:vAlign w:val="bottom"/>
            <w:hideMark/>
          </w:tcPr>
          <w:p w14:paraId="6F31977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256 (43%)</w:t>
            </w:r>
          </w:p>
        </w:tc>
        <w:tc>
          <w:tcPr>
            <w:tcW w:w="986" w:type="dxa"/>
            <w:tcBorders>
              <w:top w:val="nil"/>
              <w:left w:val="nil"/>
              <w:bottom w:val="nil"/>
              <w:right w:val="single" w:sz="4" w:space="0" w:color="auto"/>
            </w:tcBorders>
            <w:shd w:val="clear" w:color="auto" w:fill="auto"/>
            <w:noWrap/>
            <w:vAlign w:val="bottom"/>
            <w:hideMark/>
          </w:tcPr>
          <w:p w14:paraId="5C8D79FD"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0.84</w:t>
            </w:r>
          </w:p>
        </w:tc>
        <w:tc>
          <w:tcPr>
            <w:tcW w:w="1498" w:type="dxa"/>
            <w:tcBorders>
              <w:top w:val="nil"/>
              <w:left w:val="nil"/>
              <w:bottom w:val="nil"/>
              <w:right w:val="nil"/>
            </w:tcBorders>
            <w:shd w:val="clear" w:color="auto" w:fill="auto"/>
            <w:noWrap/>
            <w:vAlign w:val="bottom"/>
            <w:hideMark/>
          </w:tcPr>
          <w:p w14:paraId="3A8DC82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716 (46%)</w:t>
            </w:r>
          </w:p>
        </w:tc>
        <w:tc>
          <w:tcPr>
            <w:tcW w:w="1241" w:type="dxa"/>
            <w:tcBorders>
              <w:top w:val="nil"/>
              <w:left w:val="nil"/>
              <w:bottom w:val="nil"/>
              <w:right w:val="nil"/>
            </w:tcBorders>
            <w:shd w:val="clear" w:color="auto" w:fill="auto"/>
            <w:noWrap/>
            <w:vAlign w:val="bottom"/>
            <w:hideMark/>
          </w:tcPr>
          <w:p w14:paraId="6C4594C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57 (25%)</w:t>
            </w:r>
          </w:p>
        </w:tc>
        <w:tc>
          <w:tcPr>
            <w:tcW w:w="1514" w:type="dxa"/>
            <w:tcBorders>
              <w:top w:val="nil"/>
              <w:left w:val="nil"/>
              <w:bottom w:val="nil"/>
              <w:right w:val="single" w:sz="4" w:space="0" w:color="auto"/>
            </w:tcBorders>
            <w:shd w:val="clear" w:color="auto" w:fill="auto"/>
            <w:noWrap/>
            <w:vAlign w:val="bottom"/>
            <w:hideMark/>
          </w:tcPr>
          <w:p w14:paraId="4469911A"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&lt;0.00001</w:t>
            </w:r>
          </w:p>
        </w:tc>
      </w:tr>
      <w:tr w:rsidR="00635710" w:rsidRPr="00914044" w14:paraId="742CE630"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40CD9155"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Myocardial</w:t>
            </w:r>
            <w:proofErr w:type="spellEnd"/>
            <w:r w:rsidRPr="00914044">
              <w:rPr>
                <w:rFonts w:ascii="Calibri" w:eastAsia="Times New Roman" w:hAnsi="Calibri"/>
                <w:color w:val="000000"/>
                <w:sz w:val="16"/>
                <w:szCs w:val="16"/>
              </w:rPr>
              <w:t xml:space="preserve"> </w:t>
            </w:r>
            <w:proofErr w:type="spellStart"/>
            <w:r w:rsidRPr="00914044">
              <w:rPr>
                <w:rFonts w:ascii="Calibri" w:eastAsia="Times New Roman" w:hAnsi="Calibri"/>
                <w:color w:val="000000"/>
                <w:sz w:val="16"/>
                <w:szCs w:val="16"/>
              </w:rPr>
              <w:t>infarction</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294D3F6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668 (38%)</w:t>
            </w:r>
          </w:p>
        </w:tc>
        <w:tc>
          <w:tcPr>
            <w:tcW w:w="992" w:type="dxa"/>
            <w:tcBorders>
              <w:top w:val="nil"/>
              <w:left w:val="nil"/>
              <w:bottom w:val="nil"/>
              <w:right w:val="nil"/>
            </w:tcBorders>
            <w:shd w:val="clear" w:color="auto" w:fill="auto"/>
            <w:noWrap/>
            <w:vAlign w:val="bottom"/>
            <w:hideMark/>
          </w:tcPr>
          <w:p w14:paraId="1385030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11 (26%)</w:t>
            </w:r>
          </w:p>
        </w:tc>
        <w:tc>
          <w:tcPr>
            <w:tcW w:w="715" w:type="dxa"/>
            <w:gridSpan w:val="2"/>
            <w:tcBorders>
              <w:top w:val="nil"/>
              <w:left w:val="nil"/>
              <w:bottom w:val="nil"/>
              <w:right w:val="single" w:sz="4" w:space="0" w:color="auto"/>
            </w:tcBorders>
            <w:shd w:val="clear" w:color="auto" w:fill="auto"/>
            <w:noWrap/>
            <w:vAlign w:val="bottom"/>
            <w:hideMark/>
          </w:tcPr>
          <w:p w14:paraId="70D192AE"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0.12</w:t>
            </w:r>
          </w:p>
        </w:tc>
        <w:tc>
          <w:tcPr>
            <w:tcW w:w="1311" w:type="dxa"/>
            <w:tcBorders>
              <w:top w:val="nil"/>
              <w:left w:val="nil"/>
              <w:bottom w:val="nil"/>
              <w:right w:val="nil"/>
            </w:tcBorders>
            <w:shd w:val="clear" w:color="auto" w:fill="auto"/>
            <w:noWrap/>
            <w:vAlign w:val="bottom"/>
            <w:hideMark/>
          </w:tcPr>
          <w:p w14:paraId="32F5226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415 (34%)</w:t>
            </w:r>
          </w:p>
        </w:tc>
        <w:tc>
          <w:tcPr>
            <w:tcW w:w="1099" w:type="dxa"/>
            <w:tcBorders>
              <w:top w:val="nil"/>
              <w:left w:val="nil"/>
              <w:bottom w:val="nil"/>
              <w:right w:val="nil"/>
            </w:tcBorders>
            <w:shd w:val="clear" w:color="auto" w:fill="auto"/>
            <w:noWrap/>
            <w:vAlign w:val="bottom"/>
            <w:hideMark/>
          </w:tcPr>
          <w:p w14:paraId="0136D4A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264 (45%)</w:t>
            </w:r>
          </w:p>
        </w:tc>
        <w:tc>
          <w:tcPr>
            <w:tcW w:w="986" w:type="dxa"/>
            <w:tcBorders>
              <w:top w:val="nil"/>
              <w:left w:val="nil"/>
              <w:bottom w:val="nil"/>
              <w:right w:val="single" w:sz="4" w:space="0" w:color="auto"/>
            </w:tcBorders>
            <w:shd w:val="clear" w:color="auto" w:fill="auto"/>
            <w:noWrap/>
            <w:vAlign w:val="bottom"/>
            <w:hideMark/>
          </w:tcPr>
          <w:p w14:paraId="2F895D84"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0.00002</w:t>
            </w:r>
          </w:p>
        </w:tc>
        <w:tc>
          <w:tcPr>
            <w:tcW w:w="1498" w:type="dxa"/>
            <w:tcBorders>
              <w:top w:val="nil"/>
              <w:left w:val="nil"/>
              <w:bottom w:val="nil"/>
              <w:right w:val="nil"/>
            </w:tcBorders>
            <w:shd w:val="clear" w:color="auto" w:fill="auto"/>
            <w:noWrap/>
            <w:vAlign w:val="bottom"/>
            <w:hideMark/>
          </w:tcPr>
          <w:p w14:paraId="43D5700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595 (38%)</w:t>
            </w:r>
          </w:p>
        </w:tc>
        <w:tc>
          <w:tcPr>
            <w:tcW w:w="1241" w:type="dxa"/>
            <w:tcBorders>
              <w:top w:val="nil"/>
              <w:left w:val="nil"/>
              <w:bottom w:val="nil"/>
              <w:right w:val="nil"/>
            </w:tcBorders>
            <w:shd w:val="clear" w:color="auto" w:fill="auto"/>
            <w:noWrap/>
            <w:vAlign w:val="bottom"/>
            <w:hideMark/>
          </w:tcPr>
          <w:p w14:paraId="6E3801D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84 (37%)</w:t>
            </w:r>
          </w:p>
        </w:tc>
        <w:tc>
          <w:tcPr>
            <w:tcW w:w="1514" w:type="dxa"/>
            <w:tcBorders>
              <w:top w:val="nil"/>
              <w:left w:val="nil"/>
              <w:bottom w:val="nil"/>
              <w:right w:val="single" w:sz="4" w:space="0" w:color="auto"/>
            </w:tcBorders>
            <w:shd w:val="clear" w:color="auto" w:fill="auto"/>
            <w:noWrap/>
            <w:vAlign w:val="bottom"/>
            <w:hideMark/>
          </w:tcPr>
          <w:p w14:paraId="75AC75B7"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0.74</w:t>
            </w:r>
          </w:p>
        </w:tc>
      </w:tr>
      <w:tr w:rsidR="00635710" w:rsidRPr="00914044" w14:paraId="617902A7"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7987B14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PCI, % (n)</w:t>
            </w:r>
          </w:p>
        </w:tc>
        <w:tc>
          <w:tcPr>
            <w:tcW w:w="1701" w:type="dxa"/>
            <w:tcBorders>
              <w:top w:val="nil"/>
              <w:left w:val="nil"/>
              <w:bottom w:val="nil"/>
              <w:right w:val="nil"/>
            </w:tcBorders>
            <w:shd w:val="clear" w:color="auto" w:fill="auto"/>
            <w:noWrap/>
            <w:vAlign w:val="bottom"/>
            <w:hideMark/>
          </w:tcPr>
          <w:p w14:paraId="65A7E12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385 (22%)</w:t>
            </w:r>
          </w:p>
        </w:tc>
        <w:tc>
          <w:tcPr>
            <w:tcW w:w="992" w:type="dxa"/>
            <w:tcBorders>
              <w:top w:val="nil"/>
              <w:left w:val="nil"/>
              <w:bottom w:val="nil"/>
              <w:right w:val="nil"/>
            </w:tcBorders>
            <w:shd w:val="clear" w:color="auto" w:fill="auto"/>
            <w:noWrap/>
            <w:vAlign w:val="bottom"/>
            <w:hideMark/>
          </w:tcPr>
          <w:p w14:paraId="74758D9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 (14%)</w:t>
            </w:r>
          </w:p>
        </w:tc>
        <w:tc>
          <w:tcPr>
            <w:tcW w:w="715" w:type="dxa"/>
            <w:gridSpan w:val="2"/>
            <w:tcBorders>
              <w:top w:val="nil"/>
              <w:left w:val="nil"/>
              <w:bottom w:val="nil"/>
              <w:right w:val="single" w:sz="4" w:space="0" w:color="auto"/>
            </w:tcBorders>
            <w:shd w:val="clear" w:color="auto" w:fill="auto"/>
            <w:noWrap/>
            <w:vAlign w:val="bottom"/>
            <w:hideMark/>
          </w:tcPr>
          <w:p w14:paraId="5CC53CA2"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0.24</w:t>
            </w:r>
          </w:p>
        </w:tc>
        <w:tc>
          <w:tcPr>
            <w:tcW w:w="1311" w:type="dxa"/>
            <w:tcBorders>
              <w:top w:val="nil"/>
              <w:left w:val="nil"/>
              <w:bottom w:val="nil"/>
              <w:right w:val="nil"/>
            </w:tcBorders>
            <w:shd w:val="clear" w:color="auto" w:fill="auto"/>
            <w:noWrap/>
            <w:vAlign w:val="bottom"/>
            <w:hideMark/>
          </w:tcPr>
          <w:p w14:paraId="15B3F2F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248 (20%)</w:t>
            </w:r>
          </w:p>
        </w:tc>
        <w:tc>
          <w:tcPr>
            <w:tcW w:w="1099" w:type="dxa"/>
            <w:tcBorders>
              <w:top w:val="nil"/>
              <w:left w:val="nil"/>
              <w:bottom w:val="nil"/>
              <w:right w:val="nil"/>
            </w:tcBorders>
            <w:shd w:val="clear" w:color="auto" w:fill="auto"/>
            <w:noWrap/>
            <w:vAlign w:val="bottom"/>
            <w:hideMark/>
          </w:tcPr>
          <w:p w14:paraId="337D891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143 (24%)</w:t>
            </w:r>
          </w:p>
        </w:tc>
        <w:tc>
          <w:tcPr>
            <w:tcW w:w="986" w:type="dxa"/>
            <w:tcBorders>
              <w:top w:val="nil"/>
              <w:left w:val="nil"/>
              <w:bottom w:val="nil"/>
              <w:right w:val="single" w:sz="4" w:space="0" w:color="auto"/>
            </w:tcBorders>
            <w:shd w:val="clear" w:color="auto" w:fill="auto"/>
            <w:noWrap/>
            <w:vAlign w:val="bottom"/>
            <w:hideMark/>
          </w:tcPr>
          <w:p w14:paraId="7201CFA9"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0.08</w:t>
            </w:r>
          </w:p>
        </w:tc>
        <w:tc>
          <w:tcPr>
            <w:tcW w:w="1498" w:type="dxa"/>
            <w:tcBorders>
              <w:top w:val="nil"/>
              <w:left w:val="nil"/>
              <w:bottom w:val="nil"/>
              <w:right w:val="nil"/>
            </w:tcBorders>
            <w:shd w:val="clear" w:color="auto" w:fill="auto"/>
            <w:noWrap/>
            <w:vAlign w:val="bottom"/>
            <w:hideMark/>
          </w:tcPr>
          <w:p w14:paraId="4A88741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345 (22%)</w:t>
            </w:r>
          </w:p>
        </w:tc>
        <w:tc>
          <w:tcPr>
            <w:tcW w:w="1241" w:type="dxa"/>
            <w:tcBorders>
              <w:top w:val="nil"/>
              <w:left w:val="nil"/>
              <w:bottom w:val="nil"/>
              <w:right w:val="nil"/>
            </w:tcBorders>
            <w:shd w:val="clear" w:color="auto" w:fill="auto"/>
            <w:noWrap/>
            <w:vAlign w:val="bottom"/>
            <w:hideMark/>
          </w:tcPr>
          <w:p w14:paraId="6FDA6D3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46 (20%)</w:t>
            </w:r>
          </w:p>
        </w:tc>
        <w:tc>
          <w:tcPr>
            <w:tcW w:w="1514" w:type="dxa"/>
            <w:tcBorders>
              <w:top w:val="nil"/>
              <w:left w:val="nil"/>
              <w:bottom w:val="nil"/>
              <w:right w:val="single" w:sz="4" w:space="0" w:color="auto"/>
            </w:tcBorders>
            <w:shd w:val="clear" w:color="auto" w:fill="auto"/>
            <w:noWrap/>
            <w:vAlign w:val="bottom"/>
            <w:hideMark/>
          </w:tcPr>
          <w:p w14:paraId="299C0503"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0.53</w:t>
            </w:r>
          </w:p>
        </w:tc>
      </w:tr>
      <w:tr w:rsidR="00635710" w:rsidRPr="00914044" w14:paraId="7848A423"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7A67B43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CABG, % (n)</w:t>
            </w:r>
          </w:p>
        </w:tc>
        <w:tc>
          <w:tcPr>
            <w:tcW w:w="1701" w:type="dxa"/>
            <w:tcBorders>
              <w:top w:val="nil"/>
              <w:left w:val="nil"/>
              <w:bottom w:val="nil"/>
              <w:right w:val="nil"/>
            </w:tcBorders>
            <w:shd w:val="clear" w:color="auto" w:fill="auto"/>
            <w:noWrap/>
            <w:vAlign w:val="bottom"/>
            <w:hideMark/>
          </w:tcPr>
          <w:p w14:paraId="7779328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282 (16%)</w:t>
            </w:r>
          </w:p>
        </w:tc>
        <w:tc>
          <w:tcPr>
            <w:tcW w:w="992" w:type="dxa"/>
            <w:tcBorders>
              <w:top w:val="nil"/>
              <w:left w:val="nil"/>
              <w:bottom w:val="nil"/>
              <w:right w:val="nil"/>
            </w:tcBorders>
            <w:shd w:val="clear" w:color="auto" w:fill="auto"/>
            <w:noWrap/>
            <w:vAlign w:val="bottom"/>
            <w:hideMark/>
          </w:tcPr>
          <w:p w14:paraId="7F94B78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 (19%)</w:t>
            </w:r>
          </w:p>
        </w:tc>
        <w:tc>
          <w:tcPr>
            <w:tcW w:w="715" w:type="dxa"/>
            <w:gridSpan w:val="2"/>
            <w:tcBorders>
              <w:top w:val="nil"/>
              <w:left w:val="nil"/>
              <w:bottom w:val="nil"/>
              <w:right w:val="single" w:sz="4" w:space="0" w:color="auto"/>
            </w:tcBorders>
            <w:shd w:val="clear" w:color="auto" w:fill="auto"/>
            <w:noWrap/>
            <w:vAlign w:val="bottom"/>
            <w:hideMark/>
          </w:tcPr>
          <w:p w14:paraId="075125A3"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0.6</w:t>
            </w:r>
          </w:p>
        </w:tc>
        <w:tc>
          <w:tcPr>
            <w:tcW w:w="1311" w:type="dxa"/>
            <w:tcBorders>
              <w:top w:val="nil"/>
              <w:left w:val="nil"/>
              <w:bottom w:val="nil"/>
              <w:right w:val="nil"/>
            </w:tcBorders>
            <w:shd w:val="clear" w:color="auto" w:fill="auto"/>
            <w:noWrap/>
            <w:vAlign w:val="bottom"/>
            <w:hideMark/>
          </w:tcPr>
          <w:p w14:paraId="4F1D9A3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180 (15%)</w:t>
            </w:r>
          </w:p>
        </w:tc>
        <w:tc>
          <w:tcPr>
            <w:tcW w:w="1099" w:type="dxa"/>
            <w:tcBorders>
              <w:top w:val="nil"/>
              <w:left w:val="nil"/>
              <w:bottom w:val="nil"/>
              <w:right w:val="nil"/>
            </w:tcBorders>
            <w:shd w:val="clear" w:color="auto" w:fill="auto"/>
            <w:noWrap/>
            <w:vAlign w:val="bottom"/>
            <w:hideMark/>
          </w:tcPr>
          <w:p w14:paraId="3DB2B63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110 (19%)</w:t>
            </w:r>
          </w:p>
        </w:tc>
        <w:tc>
          <w:tcPr>
            <w:tcW w:w="986" w:type="dxa"/>
            <w:tcBorders>
              <w:top w:val="nil"/>
              <w:left w:val="nil"/>
              <w:bottom w:val="nil"/>
              <w:right w:val="single" w:sz="4" w:space="0" w:color="auto"/>
            </w:tcBorders>
            <w:shd w:val="clear" w:color="auto" w:fill="auto"/>
            <w:noWrap/>
            <w:vAlign w:val="bottom"/>
            <w:hideMark/>
          </w:tcPr>
          <w:p w14:paraId="0C05C563"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0.04</w:t>
            </w:r>
          </w:p>
        </w:tc>
        <w:tc>
          <w:tcPr>
            <w:tcW w:w="1498" w:type="dxa"/>
            <w:tcBorders>
              <w:top w:val="nil"/>
              <w:left w:val="nil"/>
              <w:bottom w:val="nil"/>
              <w:right w:val="nil"/>
            </w:tcBorders>
            <w:shd w:val="clear" w:color="auto" w:fill="auto"/>
            <w:noWrap/>
            <w:vAlign w:val="bottom"/>
            <w:hideMark/>
          </w:tcPr>
          <w:p w14:paraId="5472132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254 (16%)</w:t>
            </w:r>
          </w:p>
        </w:tc>
        <w:tc>
          <w:tcPr>
            <w:tcW w:w="1241" w:type="dxa"/>
            <w:tcBorders>
              <w:top w:val="nil"/>
              <w:left w:val="nil"/>
              <w:bottom w:val="nil"/>
              <w:right w:val="nil"/>
            </w:tcBorders>
            <w:shd w:val="clear" w:color="auto" w:fill="auto"/>
            <w:noWrap/>
            <w:vAlign w:val="bottom"/>
            <w:hideMark/>
          </w:tcPr>
          <w:p w14:paraId="37565F4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36 (16%)</w:t>
            </w:r>
          </w:p>
        </w:tc>
        <w:tc>
          <w:tcPr>
            <w:tcW w:w="1514" w:type="dxa"/>
            <w:tcBorders>
              <w:top w:val="nil"/>
              <w:left w:val="nil"/>
              <w:bottom w:val="nil"/>
              <w:right w:val="single" w:sz="4" w:space="0" w:color="auto"/>
            </w:tcBorders>
            <w:shd w:val="clear" w:color="auto" w:fill="auto"/>
            <w:noWrap/>
            <w:vAlign w:val="bottom"/>
            <w:hideMark/>
          </w:tcPr>
          <w:p w14:paraId="07919D35"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0.87</w:t>
            </w:r>
          </w:p>
        </w:tc>
      </w:tr>
      <w:tr w:rsidR="00635710" w:rsidRPr="00914044" w14:paraId="4627BBDE"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15CDC12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None</w:t>
            </w:r>
          </w:p>
        </w:tc>
        <w:tc>
          <w:tcPr>
            <w:tcW w:w="1701" w:type="dxa"/>
            <w:tcBorders>
              <w:top w:val="nil"/>
              <w:left w:val="nil"/>
              <w:bottom w:val="nil"/>
              <w:right w:val="nil"/>
            </w:tcBorders>
            <w:shd w:val="clear" w:color="auto" w:fill="auto"/>
            <w:noWrap/>
            <w:vAlign w:val="bottom"/>
            <w:hideMark/>
          </w:tcPr>
          <w:p w14:paraId="117811D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1326 (74%)</w:t>
            </w:r>
          </w:p>
        </w:tc>
        <w:tc>
          <w:tcPr>
            <w:tcW w:w="992" w:type="dxa"/>
            <w:tcBorders>
              <w:top w:val="nil"/>
              <w:left w:val="nil"/>
              <w:bottom w:val="nil"/>
              <w:right w:val="nil"/>
            </w:tcBorders>
            <w:shd w:val="clear" w:color="auto" w:fill="auto"/>
            <w:noWrap/>
            <w:vAlign w:val="bottom"/>
            <w:hideMark/>
          </w:tcPr>
          <w:p w14:paraId="46515E0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33 (2%)</w:t>
            </w:r>
          </w:p>
        </w:tc>
        <w:tc>
          <w:tcPr>
            <w:tcW w:w="715" w:type="dxa"/>
            <w:gridSpan w:val="2"/>
            <w:tcBorders>
              <w:top w:val="nil"/>
              <w:left w:val="nil"/>
              <w:bottom w:val="nil"/>
              <w:right w:val="single" w:sz="4" w:space="0" w:color="auto"/>
            </w:tcBorders>
            <w:shd w:val="clear" w:color="auto" w:fill="auto"/>
            <w:noWrap/>
            <w:vAlign w:val="bottom"/>
            <w:hideMark/>
          </w:tcPr>
          <w:p w14:paraId="3A9185EB"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0.31</w:t>
            </w:r>
          </w:p>
        </w:tc>
        <w:tc>
          <w:tcPr>
            <w:tcW w:w="1311" w:type="dxa"/>
            <w:tcBorders>
              <w:top w:val="nil"/>
              <w:left w:val="nil"/>
              <w:bottom w:val="nil"/>
              <w:right w:val="nil"/>
            </w:tcBorders>
            <w:shd w:val="clear" w:color="auto" w:fill="auto"/>
            <w:noWrap/>
            <w:vAlign w:val="bottom"/>
            <w:hideMark/>
          </w:tcPr>
          <w:p w14:paraId="7BCB4B8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927 (51%)</w:t>
            </w:r>
          </w:p>
        </w:tc>
        <w:tc>
          <w:tcPr>
            <w:tcW w:w="1099" w:type="dxa"/>
            <w:tcBorders>
              <w:top w:val="nil"/>
              <w:left w:val="nil"/>
              <w:bottom w:val="nil"/>
              <w:right w:val="nil"/>
            </w:tcBorders>
            <w:shd w:val="clear" w:color="auto" w:fill="auto"/>
            <w:noWrap/>
            <w:vAlign w:val="bottom"/>
            <w:hideMark/>
          </w:tcPr>
          <w:p w14:paraId="411C8A7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432 (24%)</w:t>
            </w:r>
          </w:p>
        </w:tc>
        <w:tc>
          <w:tcPr>
            <w:tcW w:w="986" w:type="dxa"/>
            <w:tcBorders>
              <w:top w:val="nil"/>
              <w:left w:val="nil"/>
              <w:bottom w:val="nil"/>
              <w:right w:val="single" w:sz="4" w:space="0" w:color="auto"/>
            </w:tcBorders>
            <w:shd w:val="clear" w:color="auto" w:fill="auto"/>
            <w:noWrap/>
            <w:vAlign w:val="bottom"/>
            <w:hideMark/>
          </w:tcPr>
          <w:p w14:paraId="7EF93279"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0.39</w:t>
            </w:r>
          </w:p>
        </w:tc>
        <w:tc>
          <w:tcPr>
            <w:tcW w:w="1498" w:type="dxa"/>
            <w:tcBorders>
              <w:top w:val="nil"/>
              <w:left w:val="nil"/>
              <w:bottom w:val="nil"/>
              <w:right w:val="nil"/>
            </w:tcBorders>
            <w:shd w:val="clear" w:color="auto" w:fill="auto"/>
            <w:noWrap/>
            <w:vAlign w:val="bottom"/>
            <w:hideMark/>
          </w:tcPr>
          <w:p w14:paraId="3912491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1177 (65%)</w:t>
            </w:r>
          </w:p>
        </w:tc>
        <w:tc>
          <w:tcPr>
            <w:tcW w:w="1241" w:type="dxa"/>
            <w:tcBorders>
              <w:top w:val="nil"/>
              <w:left w:val="nil"/>
              <w:bottom w:val="nil"/>
              <w:right w:val="nil"/>
            </w:tcBorders>
            <w:shd w:val="clear" w:color="auto" w:fill="auto"/>
            <w:noWrap/>
            <w:vAlign w:val="bottom"/>
            <w:hideMark/>
          </w:tcPr>
          <w:p w14:paraId="0D8AB80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182 (10%)</w:t>
            </w:r>
          </w:p>
        </w:tc>
        <w:tc>
          <w:tcPr>
            <w:tcW w:w="1514" w:type="dxa"/>
            <w:tcBorders>
              <w:top w:val="nil"/>
              <w:left w:val="nil"/>
              <w:bottom w:val="nil"/>
              <w:right w:val="single" w:sz="4" w:space="0" w:color="auto"/>
            </w:tcBorders>
            <w:shd w:val="clear" w:color="auto" w:fill="auto"/>
            <w:noWrap/>
            <w:vAlign w:val="bottom"/>
            <w:hideMark/>
          </w:tcPr>
          <w:p w14:paraId="1DC2684B"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0.37</w:t>
            </w:r>
          </w:p>
        </w:tc>
      </w:tr>
      <w:tr w:rsidR="00635710" w:rsidRPr="00914044" w14:paraId="15BE4E16"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7D5F1D7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xml:space="preserve">Pacemaker </w:t>
            </w:r>
            <w:proofErr w:type="spellStart"/>
            <w:r w:rsidRPr="00914044">
              <w:rPr>
                <w:rFonts w:ascii="Calibri" w:eastAsia="Times New Roman" w:hAnsi="Calibri"/>
                <w:color w:val="000000"/>
                <w:sz w:val="16"/>
                <w:szCs w:val="16"/>
              </w:rPr>
              <w:t>only</w:t>
            </w:r>
            <w:proofErr w:type="spellEnd"/>
          </w:p>
        </w:tc>
        <w:tc>
          <w:tcPr>
            <w:tcW w:w="1701" w:type="dxa"/>
            <w:tcBorders>
              <w:top w:val="nil"/>
              <w:left w:val="nil"/>
              <w:bottom w:val="nil"/>
              <w:right w:val="nil"/>
            </w:tcBorders>
            <w:shd w:val="clear" w:color="auto" w:fill="auto"/>
            <w:noWrap/>
            <w:vAlign w:val="bottom"/>
            <w:hideMark/>
          </w:tcPr>
          <w:p w14:paraId="44F98A8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116 (6%)</w:t>
            </w:r>
          </w:p>
        </w:tc>
        <w:tc>
          <w:tcPr>
            <w:tcW w:w="992" w:type="dxa"/>
            <w:tcBorders>
              <w:top w:val="nil"/>
              <w:left w:val="nil"/>
              <w:bottom w:val="nil"/>
              <w:right w:val="nil"/>
            </w:tcBorders>
            <w:shd w:val="clear" w:color="auto" w:fill="auto"/>
            <w:noWrap/>
            <w:vAlign w:val="bottom"/>
            <w:hideMark/>
          </w:tcPr>
          <w:p w14:paraId="344487C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 (0%)</w:t>
            </w:r>
          </w:p>
        </w:tc>
        <w:tc>
          <w:tcPr>
            <w:tcW w:w="715" w:type="dxa"/>
            <w:gridSpan w:val="2"/>
            <w:tcBorders>
              <w:top w:val="nil"/>
              <w:left w:val="nil"/>
              <w:bottom w:val="nil"/>
              <w:right w:val="single" w:sz="4" w:space="0" w:color="auto"/>
            </w:tcBorders>
            <w:shd w:val="clear" w:color="auto" w:fill="auto"/>
            <w:noWrap/>
            <w:vAlign w:val="bottom"/>
            <w:hideMark/>
          </w:tcPr>
          <w:p w14:paraId="441AC21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311" w:type="dxa"/>
            <w:tcBorders>
              <w:top w:val="nil"/>
              <w:left w:val="nil"/>
              <w:bottom w:val="nil"/>
              <w:right w:val="nil"/>
            </w:tcBorders>
            <w:shd w:val="clear" w:color="auto" w:fill="auto"/>
            <w:noWrap/>
            <w:vAlign w:val="bottom"/>
            <w:hideMark/>
          </w:tcPr>
          <w:p w14:paraId="5195383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70 (4%)</w:t>
            </w:r>
          </w:p>
        </w:tc>
        <w:tc>
          <w:tcPr>
            <w:tcW w:w="1099" w:type="dxa"/>
            <w:tcBorders>
              <w:top w:val="nil"/>
              <w:left w:val="nil"/>
              <w:bottom w:val="nil"/>
              <w:right w:val="nil"/>
            </w:tcBorders>
            <w:shd w:val="clear" w:color="auto" w:fill="auto"/>
            <w:noWrap/>
            <w:vAlign w:val="bottom"/>
            <w:hideMark/>
          </w:tcPr>
          <w:p w14:paraId="649B390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47 (3%)</w:t>
            </w:r>
          </w:p>
        </w:tc>
        <w:tc>
          <w:tcPr>
            <w:tcW w:w="986" w:type="dxa"/>
            <w:tcBorders>
              <w:top w:val="nil"/>
              <w:left w:val="nil"/>
              <w:bottom w:val="nil"/>
              <w:right w:val="single" w:sz="4" w:space="0" w:color="auto"/>
            </w:tcBorders>
            <w:shd w:val="clear" w:color="auto" w:fill="auto"/>
            <w:noWrap/>
            <w:vAlign w:val="bottom"/>
            <w:hideMark/>
          </w:tcPr>
          <w:p w14:paraId="31E6A1B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498" w:type="dxa"/>
            <w:tcBorders>
              <w:top w:val="nil"/>
              <w:left w:val="nil"/>
              <w:bottom w:val="nil"/>
              <w:right w:val="nil"/>
            </w:tcBorders>
            <w:shd w:val="clear" w:color="auto" w:fill="auto"/>
            <w:noWrap/>
            <w:vAlign w:val="bottom"/>
            <w:hideMark/>
          </w:tcPr>
          <w:p w14:paraId="77D6FF2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105 (6%)</w:t>
            </w:r>
          </w:p>
        </w:tc>
        <w:tc>
          <w:tcPr>
            <w:tcW w:w="1241" w:type="dxa"/>
            <w:tcBorders>
              <w:top w:val="nil"/>
              <w:left w:val="nil"/>
              <w:bottom w:val="nil"/>
              <w:right w:val="nil"/>
            </w:tcBorders>
            <w:shd w:val="clear" w:color="auto" w:fill="auto"/>
            <w:noWrap/>
            <w:vAlign w:val="bottom"/>
            <w:hideMark/>
          </w:tcPr>
          <w:p w14:paraId="0E08AB2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 (1%)</w:t>
            </w:r>
          </w:p>
        </w:tc>
        <w:tc>
          <w:tcPr>
            <w:tcW w:w="1514" w:type="dxa"/>
            <w:tcBorders>
              <w:top w:val="nil"/>
              <w:left w:val="nil"/>
              <w:bottom w:val="nil"/>
              <w:right w:val="single" w:sz="4" w:space="0" w:color="auto"/>
            </w:tcBorders>
            <w:shd w:val="clear" w:color="auto" w:fill="auto"/>
            <w:noWrap/>
            <w:vAlign w:val="bottom"/>
            <w:hideMark/>
          </w:tcPr>
          <w:p w14:paraId="7D99F0F8"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 </w:t>
            </w:r>
          </w:p>
        </w:tc>
      </w:tr>
      <w:tr w:rsidR="00635710" w:rsidRPr="00914044" w14:paraId="4ED13D9F"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40C65C5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lastRenderedPageBreak/>
              <w:t xml:space="preserve">ICD </w:t>
            </w:r>
            <w:proofErr w:type="spellStart"/>
            <w:r w:rsidRPr="00914044">
              <w:rPr>
                <w:rFonts w:ascii="Calibri" w:eastAsia="Times New Roman" w:hAnsi="Calibri"/>
                <w:color w:val="000000"/>
                <w:sz w:val="16"/>
                <w:szCs w:val="16"/>
              </w:rPr>
              <w:t>only</w:t>
            </w:r>
            <w:proofErr w:type="spellEnd"/>
          </w:p>
        </w:tc>
        <w:tc>
          <w:tcPr>
            <w:tcW w:w="1701" w:type="dxa"/>
            <w:tcBorders>
              <w:top w:val="nil"/>
              <w:left w:val="nil"/>
              <w:bottom w:val="nil"/>
              <w:right w:val="nil"/>
            </w:tcBorders>
            <w:shd w:val="clear" w:color="auto" w:fill="auto"/>
            <w:noWrap/>
            <w:vAlign w:val="bottom"/>
            <w:hideMark/>
          </w:tcPr>
          <w:p w14:paraId="14D2225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151 (8%)</w:t>
            </w:r>
          </w:p>
        </w:tc>
        <w:tc>
          <w:tcPr>
            <w:tcW w:w="992" w:type="dxa"/>
            <w:tcBorders>
              <w:top w:val="nil"/>
              <w:left w:val="nil"/>
              <w:bottom w:val="nil"/>
              <w:right w:val="nil"/>
            </w:tcBorders>
            <w:shd w:val="clear" w:color="auto" w:fill="auto"/>
            <w:noWrap/>
            <w:vAlign w:val="bottom"/>
            <w:hideMark/>
          </w:tcPr>
          <w:p w14:paraId="5C7D4E0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 (0%)</w:t>
            </w:r>
          </w:p>
        </w:tc>
        <w:tc>
          <w:tcPr>
            <w:tcW w:w="715" w:type="dxa"/>
            <w:gridSpan w:val="2"/>
            <w:tcBorders>
              <w:top w:val="nil"/>
              <w:left w:val="nil"/>
              <w:bottom w:val="nil"/>
              <w:right w:val="single" w:sz="4" w:space="0" w:color="auto"/>
            </w:tcBorders>
            <w:shd w:val="clear" w:color="auto" w:fill="auto"/>
            <w:noWrap/>
            <w:vAlign w:val="bottom"/>
            <w:hideMark/>
          </w:tcPr>
          <w:p w14:paraId="4E27799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311" w:type="dxa"/>
            <w:tcBorders>
              <w:top w:val="nil"/>
              <w:left w:val="nil"/>
              <w:bottom w:val="nil"/>
              <w:right w:val="nil"/>
            </w:tcBorders>
            <w:shd w:val="clear" w:color="auto" w:fill="auto"/>
            <w:noWrap/>
            <w:vAlign w:val="bottom"/>
            <w:hideMark/>
          </w:tcPr>
          <w:p w14:paraId="5B70C39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101 (6%)</w:t>
            </w:r>
          </w:p>
        </w:tc>
        <w:tc>
          <w:tcPr>
            <w:tcW w:w="1099" w:type="dxa"/>
            <w:tcBorders>
              <w:top w:val="nil"/>
              <w:left w:val="nil"/>
              <w:bottom w:val="nil"/>
              <w:right w:val="nil"/>
            </w:tcBorders>
            <w:shd w:val="clear" w:color="auto" w:fill="auto"/>
            <w:noWrap/>
            <w:vAlign w:val="bottom"/>
            <w:hideMark/>
          </w:tcPr>
          <w:p w14:paraId="100D407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51 (3%)</w:t>
            </w:r>
          </w:p>
        </w:tc>
        <w:tc>
          <w:tcPr>
            <w:tcW w:w="986" w:type="dxa"/>
            <w:tcBorders>
              <w:top w:val="nil"/>
              <w:left w:val="nil"/>
              <w:bottom w:val="nil"/>
              <w:right w:val="single" w:sz="4" w:space="0" w:color="auto"/>
            </w:tcBorders>
            <w:shd w:val="clear" w:color="auto" w:fill="auto"/>
            <w:noWrap/>
            <w:vAlign w:val="bottom"/>
            <w:hideMark/>
          </w:tcPr>
          <w:p w14:paraId="676FEF2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498" w:type="dxa"/>
            <w:tcBorders>
              <w:top w:val="nil"/>
              <w:left w:val="nil"/>
              <w:bottom w:val="nil"/>
              <w:right w:val="nil"/>
            </w:tcBorders>
            <w:shd w:val="clear" w:color="auto" w:fill="auto"/>
            <w:noWrap/>
            <w:vAlign w:val="bottom"/>
            <w:hideMark/>
          </w:tcPr>
          <w:p w14:paraId="4C375D2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133 (7%)</w:t>
            </w:r>
          </w:p>
        </w:tc>
        <w:tc>
          <w:tcPr>
            <w:tcW w:w="1241" w:type="dxa"/>
            <w:tcBorders>
              <w:top w:val="nil"/>
              <w:left w:val="nil"/>
              <w:bottom w:val="nil"/>
              <w:right w:val="nil"/>
            </w:tcBorders>
            <w:shd w:val="clear" w:color="auto" w:fill="auto"/>
            <w:noWrap/>
            <w:vAlign w:val="bottom"/>
            <w:hideMark/>
          </w:tcPr>
          <w:p w14:paraId="02FE5A4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19 (1%)</w:t>
            </w:r>
          </w:p>
        </w:tc>
        <w:tc>
          <w:tcPr>
            <w:tcW w:w="1514" w:type="dxa"/>
            <w:tcBorders>
              <w:top w:val="nil"/>
              <w:left w:val="nil"/>
              <w:bottom w:val="nil"/>
              <w:right w:val="single" w:sz="4" w:space="0" w:color="auto"/>
            </w:tcBorders>
            <w:shd w:val="clear" w:color="auto" w:fill="auto"/>
            <w:noWrap/>
            <w:vAlign w:val="bottom"/>
            <w:hideMark/>
          </w:tcPr>
          <w:p w14:paraId="72DACC01"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 </w:t>
            </w:r>
          </w:p>
        </w:tc>
      </w:tr>
      <w:tr w:rsidR="00635710" w:rsidRPr="00914044" w14:paraId="77CA4B32"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4C35E5E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xml:space="preserve">CRT </w:t>
            </w:r>
            <w:proofErr w:type="spellStart"/>
            <w:r w:rsidRPr="00914044">
              <w:rPr>
                <w:rFonts w:ascii="Calibri" w:eastAsia="Times New Roman" w:hAnsi="Calibri"/>
                <w:color w:val="000000"/>
                <w:sz w:val="16"/>
                <w:szCs w:val="16"/>
              </w:rPr>
              <w:t>only</w:t>
            </w:r>
            <w:proofErr w:type="spellEnd"/>
          </w:p>
        </w:tc>
        <w:tc>
          <w:tcPr>
            <w:tcW w:w="1701" w:type="dxa"/>
            <w:tcBorders>
              <w:top w:val="nil"/>
              <w:left w:val="nil"/>
              <w:bottom w:val="nil"/>
              <w:right w:val="nil"/>
            </w:tcBorders>
            <w:shd w:val="clear" w:color="auto" w:fill="auto"/>
            <w:noWrap/>
            <w:vAlign w:val="bottom"/>
            <w:hideMark/>
          </w:tcPr>
          <w:p w14:paraId="4AC1093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34 (2%)</w:t>
            </w:r>
          </w:p>
        </w:tc>
        <w:tc>
          <w:tcPr>
            <w:tcW w:w="992" w:type="dxa"/>
            <w:tcBorders>
              <w:top w:val="nil"/>
              <w:left w:val="nil"/>
              <w:bottom w:val="nil"/>
              <w:right w:val="nil"/>
            </w:tcBorders>
            <w:shd w:val="clear" w:color="auto" w:fill="auto"/>
            <w:noWrap/>
            <w:vAlign w:val="bottom"/>
            <w:hideMark/>
          </w:tcPr>
          <w:p w14:paraId="6A8C1F7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 (0%)</w:t>
            </w:r>
          </w:p>
        </w:tc>
        <w:tc>
          <w:tcPr>
            <w:tcW w:w="715" w:type="dxa"/>
            <w:gridSpan w:val="2"/>
            <w:tcBorders>
              <w:top w:val="nil"/>
              <w:left w:val="nil"/>
              <w:bottom w:val="nil"/>
              <w:right w:val="single" w:sz="4" w:space="0" w:color="auto"/>
            </w:tcBorders>
            <w:shd w:val="clear" w:color="auto" w:fill="auto"/>
            <w:noWrap/>
            <w:vAlign w:val="bottom"/>
            <w:hideMark/>
          </w:tcPr>
          <w:p w14:paraId="1CA0A5F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311" w:type="dxa"/>
            <w:tcBorders>
              <w:top w:val="nil"/>
              <w:left w:val="nil"/>
              <w:bottom w:val="nil"/>
              <w:right w:val="nil"/>
            </w:tcBorders>
            <w:shd w:val="clear" w:color="auto" w:fill="auto"/>
            <w:noWrap/>
            <w:vAlign w:val="bottom"/>
            <w:hideMark/>
          </w:tcPr>
          <w:p w14:paraId="5A0C17B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25 (1%)</w:t>
            </w:r>
          </w:p>
        </w:tc>
        <w:tc>
          <w:tcPr>
            <w:tcW w:w="1099" w:type="dxa"/>
            <w:tcBorders>
              <w:top w:val="nil"/>
              <w:left w:val="nil"/>
              <w:bottom w:val="nil"/>
              <w:right w:val="nil"/>
            </w:tcBorders>
            <w:shd w:val="clear" w:color="auto" w:fill="auto"/>
            <w:noWrap/>
            <w:vAlign w:val="bottom"/>
            <w:hideMark/>
          </w:tcPr>
          <w:p w14:paraId="1CF60A7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10 (1%)</w:t>
            </w:r>
          </w:p>
        </w:tc>
        <w:tc>
          <w:tcPr>
            <w:tcW w:w="986" w:type="dxa"/>
            <w:tcBorders>
              <w:top w:val="nil"/>
              <w:left w:val="nil"/>
              <w:bottom w:val="nil"/>
              <w:right w:val="single" w:sz="4" w:space="0" w:color="auto"/>
            </w:tcBorders>
            <w:shd w:val="clear" w:color="auto" w:fill="auto"/>
            <w:noWrap/>
            <w:vAlign w:val="bottom"/>
            <w:hideMark/>
          </w:tcPr>
          <w:p w14:paraId="25FD3CC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498" w:type="dxa"/>
            <w:tcBorders>
              <w:top w:val="nil"/>
              <w:left w:val="nil"/>
              <w:bottom w:val="nil"/>
              <w:right w:val="nil"/>
            </w:tcBorders>
            <w:shd w:val="clear" w:color="auto" w:fill="auto"/>
            <w:noWrap/>
            <w:vAlign w:val="bottom"/>
            <w:hideMark/>
          </w:tcPr>
          <w:p w14:paraId="7F121A5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34 (2%)</w:t>
            </w:r>
          </w:p>
        </w:tc>
        <w:tc>
          <w:tcPr>
            <w:tcW w:w="1241" w:type="dxa"/>
            <w:tcBorders>
              <w:top w:val="nil"/>
              <w:left w:val="nil"/>
              <w:bottom w:val="nil"/>
              <w:right w:val="nil"/>
            </w:tcBorders>
            <w:shd w:val="clear" w:color="auto" w:fill="auto"/>
            <w:noWrap/>
            <w:vAlign w:val="bottom"/>
            <w:hideMark/>
          </w:tcPr>
          <w:p w14:paraId="7489CA0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 (0%)</w:t>
            </w:r>
          </w:p>
        </w:tc>
        <w:tc>
          <w:tcPr>
            <w:tcW w:w="1514" w:type="dxa"/>
            <w:tcBorders>
              <w:top w:val="nil"/>
              <w:left w:val="nil"/>
              <w:bottom w:val="nil"/>
              <w:right w:val="single" w:sz="4" w:space="0" w:color="auto"/>
            </w:tcBorders>
            <w:shd w:val="clear" w:color="auto" w:fill="auto"/>
            <w:noWrap/>
            <w:vAlign w:val="bottom"/>
            <w:hideMark/>
          </w:tcPr>
          <w:p w14:paraId="65187EEE"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 </w:t>
            </w:r>
          </w:p>
        </w:tc>
      </w:tr>
      <w:tr w:rsidR="00635710" w:rsidRPr="00914044" w14:paraId="66ABDCAB"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26B3BC1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xml:space="preserve">ICD </w:t>
            </w:r>
            <w:proofErr w:type="spellStart"/>
            <w:r w:rsidRPr="00914044">
              <w:rPr>
                <w:rFonts w:ascii="Calibri" w:eastAsia="Times New Roman" w:hAnsi="Calibri"/>
                <w:color w:val="000000"/>
                <w:sz w:val="16"/>
                <w:szCs w:val="16"/>
              </w:rPr>
              <w:t>and</w:t>
            </w:r>
            <w:proofErr w:type="spellEnd"/>
            <w:r w:rsidRPr="00914044">
              <w:rPr>
                <w:rFonts w:ascii="Calibri" w:eastAsia="Times New Roman" w:hAnsi="Calibri"/>
                <w:color w:val="000000"/>
                <w:sz w:val="16"/>
                <w:szCs w:val="16"/>
              </w:rPr>
              <w:t xml:space="preserve"> CRT</w:t>
            </w:r>
          </w:p>
        </w:tc>
        <w:tc>
          <w:tcPr>
            <w:tcW w:w="1701" w:type="dxa"/>
            <w:tcBorders>
              <w:top w:val="nil"/>
              <w:left w:val="nil"/>
              <w:bottom w:val="nil"/>
              <w:right w:val="nil"/>
            </w:tcBorders>
            <w:shd w:val="clear" w:color="auto" w:fill="auto"/>
            <w:noWrap/>
            <w:vAlign w:val="bottom"/>
            <w:hideMark/>
          </w:tcPr>
          <w:p w14:paraId="5843B32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127 (7%)</w:t>
            </w:r>
          </w:p>
        </w:tc>
        <w:tc>
          <w:tcPr>
            <w:tcW w:w="992" w:type="dxa"/>
            <w:tcBorders>
              <w:top w:val="nil"/>
              <w:left w:val="nil"/>
              <w:bottom w:val="nil"/>
              <w:right w:val="nil"/>
            </w:tcBorders>
            <w:shd w:val="clear" w:color="auto" w:fill="auto"/>
            <w:noWrap/>
            <w:vAlign w:val="bottom"/>
            <w:hideMark/>
          </w:tcPr>
          <w:p w14:paraId="383D594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 (0%)</w:t>
            </w:r>
          </w:p>
        </w:tc>
        <w:tc>
          <w:tcPr>
            <w:tcW w:w="715" w:type="dxa"/>
            <w:gridSpan w:val="2"/>
            <w:tcBorders>
              <w:top w:val="nil"/>
              <w:left w:val="nil"/>
              <w:bottom w:val="nil"/>
              <w:right w:val="single" w:sz="4" w:space="0" w:color="auto"/>
            </w:tcBorders>
            <w:shd w:val="clear" w:color="auto" w:fill="auto"/>
            <w:noWrap/>
            <w:vAlign w:val="bottom"/>
            <w:hideMark/>
          </w:tcPr>
          <w:p w14:paraId="2496DEC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311" w:type="dxa"/>
            <w:tcBorders>
              <w:top w:val="nil"/>
              <w:left w:val="nil"/>
              <w:bottom w:val="nil"/>
              <w:right w:val="nil"/>
            </w:tcBorders>
            <w:shd w:val="clear" w:color="auto" w:fill="auto"/>
            <w:noWrap/>
            <w:vAlign w:val="bottom"/>
            <w:hideMark/>
          </w:tcPr>
          <w:p w14:paraId="4AED0D9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83 (5%)</w:t>
            </w:r>
          </w:p>
        </w:tc>
        <w:tc>
          <w:tcPr>
            <w:tcW w:w="1099" w:type="dxa"/>
            <w:tcBorders>
              <w:top w:val="nil"/>
              <w:left w:val="nil"/>
              <w:bottom w:val="nil"/>
              <w:right w:val="nil"/>
            </w:tcBorders>
            <w:shd w:val="clear" w:color="auto" w:fill="auto"/>
            <w:noWrap/>
            <w:vAlign w:val="bottom"/>
            <w:hideMark/>
          </w:tcPr>
          <w:p w14:paraId="032E8A5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50 (3%)</w:t>
            </w:r>
          </w:p>
        </w:tc>
        <w:tc>
          <w:tcPr>
            <w:tcW w:w="986" w:type="dxa"/>
            <w:tcBorders>
              <w:top w:val="nil"/>
              <w:left w:val="nil"/>
              <w:bottom w:val="nil"/>
              <w:right w:val="single" w:sz="4" w:space="0" w:color="auto"/>
            </w:tcBorders>
            <w:shd w:val="clear" w:color="auto" w:fill="auto"/>
            <w:noWrap/>
            <w:vAlign w:val="bottom"/>
            <w:hideMark/>
          </w:tcPr>
          <w:p w14:paraId="2B7EA99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498" w:type="dxa"/>
            <w:tcBorders>
              <w:top w:val="nil"/>
              <w:left w:val="nil"/>
              <w:bottom w:val="nil"/>
              <w:right w:val="nil"/>
            </w:tcBorders>
            <w:shd w:val="clear" w:color="auto" w:fill="auto"/>
            <w:noWrap/>
            <w:vAlign w:val="bottom"/>
            <w:hideMark/>
          </w:tcPr>
          <w:p w14:paraId="353DBCB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118 (7%)</w:t>
            </w:r>
          </w:p>
        </w:tc>
        <w:tc>
          <w:tcPr>
            <w:tcW w:w="1241" w:type="dxa"/>
            <w:tcBorders>
              <w:top w:val="nil"/>
              <w:left w:val="nil"/>
              <w:bottom w:val="nil"/>
              <w:right w:val="nil"/>
            </w:tcBorders>
            <w:shd w:val="clear" w:color="auto" w:fill="auto"/>
            <w:noWrap/>
            <w:vAlign w:val="bottom"/>
            <w:hideMark/>
          </w:tcPr>
          <w:p w14:paraId="1C7E5AD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15 (1%)</w:t>
            </w:r>
          </w:p>
        </w:tc>
        <w:tc>
          <w:tcPr>
            <w:tcW w:w="1514" w:type="dxa"/>
            <w:tcBorders>
              <w:top w:val="nil"/>
              <w:left w:val="nil"/>
              <w:bottom w:val="nil"/>
              <w:right w:val="single" w:sz="4" w:space="0" w:color="auto"/>
            </w:tcBorders>
            <w:shd w:val="clear" w:color="auto" w:fill="auto"/>
            <w:noWrap/>
            <w:vAlign w:val="bottom"/>
            <w:hideMark/>
          </w:tcPr>
          <w:p w14:paraId="366F4B63"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 </w:t>
            </w:r>
          </w:p>
        </w:tc>
      </w:tr>
      <w:tr w:rsidR="00635710" w:rsidRPr="00914044" w14:paraId="2FE96DCF"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6A3D85CD"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Other</w:t>
            </w:r>
            <w:proofErr w:type="spellEnd"/>
          </w:p>
        </w:tc>
        <w:tc>
          <w:tcPr>
            <w:tcW w:w="1701" w:type="dxa"/>
            <w:tcBorders>
              <w:top w:val="nil"/>
              <w:left w:val="nil"/>
              <w:bottom w:val="nil"/>
              <w:right w:val="nil"/>
            </w:tcBorders>
            <w:shd w:val="clear" w:color="auto" w:fill="auto"/>
            <w:noWrap/>
            <w:vAlign w:val="bottom"/>
            <w:hideMark/>
          </w:tcPr>
          <w:p w14:paraId="5543091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 (0%)</w:t>
            </w:r>
          </w:p>
        </w:tc>
        <w:tc>
          <w:tcPr>
            <w:tcW w:w="992" w:type="dxa"/>
            <w:tcBorders>
              <w:top w:val="nil"/>
              <w:left w:val="nil"/>
              <w:bottom w:val="nil"/>
              <w:right w:val="nil"/>
            </w:tcBorders>
            <w:shd w:val="clear" w:color="auto" w:fill="auto"/>
            <w:noWrap/>
            <w:vAlign w:val="bottom"/>
            <w:hideMark/>
          </w:tcPr>
          <w:p w14:paraId="07C0048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0 (0%)</w:t>
            </w:r>
          </w:p>
        </w:tc>
        <w:tc>
          <w:tcPr>
            <w:tcW w:w="715" w:type="dxa"/>
            <w:gridSpan w:val="2"/>
            <w:tcBorders>
              <w:top w:val="nil"/>
              <w:left w:val="nil"/>
              <w:bottom w:val="nil"/>
              <w:right w:val="single" w:sz="4" w:space="0" w:color="auto"/>
            </w:tcBorders>
            <w:shd w:val="clear" w:color="auto" w:fill="auto"/>
            <w:noWrap/>
            <w:vAlign w:val="bottom"/>
            <w:hideMark/>
          </w:tcPr>
          <w:p w14:paraId="6C7B8F9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311" w:type="dxa"/>
            <w:tcBorders>
              <w:top w:val="nil"/>
              <w:left w:val="nil"/>
              <w:bottom w:val="nil"/>
              <w:right w:val="nil"/>
            </w:tcBorders>
            <w:shd w:val="clear" w:color="auto" w:fill="auto"/>
            <w:noWrap/>
            <w:vAlign w:val="bottom"/>
            <w:hideMark/>
          </w:tcPr>
          <w:p w14:paraId="5B40125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 (0%)</w:t>
            </w:r>
          </w:p>
        </w:tc>
        <w:tc>
          <w:tcPr>
            <w:tcW w:w="1099" w:type="dxa"/>
            <w:tcBorders>
              <w:top w:val="nil"/>
              <w:left w:val="nil"/>
              <w:bottom w:val="nil"/>
              <w:right w:val="nil"/>
            </w:tcBorders>
            <w:shd w:val="clear" w:color="auto" w:fill="auto"/>
            <w:noWrap/>
            <w:vAlign w:val="bottom"/>
            <w:hideMark/>
          </w:tcPr>
          <w:p w14:paraId="440D14F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 (0%)</w:t>
            </w:r>
          </w:p>
        </w:tc>
        <w:tc>
          <w:tcPr>
            <w:tcW w:w="986" w:type="dxa"/>
            <w:tcBorders>
              <w:top w:val="nil"/>
              <w:left w:val="nil"/>
              <w:bottom w:val="nil"/>
              <w:right w:val="single" w:sz="4" w:space="0" w:color="auto"/>
            </w:tcBorders>
            <w:shd w:val="clear" w:color="auto" w:fill="auto"/>
            <w:noWrap/>
            <w:vAlign w:val="bottom"/>
            <w:hideMark/>
          </w:tcPr>
          <w:p w14:paraId="44EADEE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w:t>
            </w:r>
          </w:p>
        </w:tc>
        <w:tc>
          <w:tcPr>
            <w:tcW w:w="1498" w:type="dxa"/>
            <w:tcBorders>
              <w:top w:val="nil"/>
              <w:left w:val="nil"/>
              <w:bottom w:val="nil"/>
              <w:right w:val="nil"/>
            </w:tcBorders>
            <w:shd w:val="clear" w:color="auto" w:fill="auto"/>
            <w:noWrap/>
            <w:vAlign w:val="bottom"/>
            <w:hideMark/>
          </w:tcPr>
          <w:p w14:paraId="017688E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 (0%)</w:t>
            </w:r>
          </w:p>
        </w:tc>
        <w:tc>
          <w:tcPr>
            <w:tcW w:w="1241" w:type="dxa"/>
            <w:tcBorders>
              <w:top w:val="nil"/>
              <w:left w:val="nil"/>
              <w:bottom w:val="nil"/>
              <w:right w:val="nil"/>
            </w:tcBorders>
            <w:shd w:val="clear" w:color="auto" w:fill="auto"/>
            <w:noWrap/>
            <w:vAlign w:val="bottom"/>
            <w:hideMark/>
          </w:tcPr>
          <w:p w14:paraId="3B6EF43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0 (0%)</w:t>
            </w:r>
          </w:p>
        </w:tc>
        <w:tc>
          <w:tcPr>
            <w:tcW w:w="1514" w:type="dxa"/>
            <w:tcBorders>
              <w:top w:val="nil"/>
              <w:left w:val="nil"/>
              <w:bottom w:val="nil"/>
              <w:right w:val="single" w:sz="4" w:space="0" w:color="auto"/>
            </w:tcBorders>
            <w:shd w:val="clear" w:color="auto" w:fill="auto"/>
            <w:noWrap/>
            <w:vAlign w:val="bottom"/>
            <w:hideMark/>
          </w:tcPr>
          <w:p w14:paraId="2A9BA3D8"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 </w:t>
            </w:r>
          </w:p>
        </w:tc>
      </w:tr>
      <w:tr w:rsidR="00635710" w:rsidRPr="00914044" w14:paraId="46247C6C"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29267DF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Diabetes mellitus, % (n)</w:t>
            </w:r>
          </w:p>
        </w:tc>
        <w:tc>
          <w:tcPr>
            <w:tcW w:w="1701" w:type="dxa"/>
            <w:tcBorders>
              <w:top w:val="nil"/>
              <w:left w:val="nil"/>
              <w:bottom w:val="nil"/>
              <w:right w:val="nil"/>
            </w:tcBorders>
            <w:shd w:val="clear" w:color="auto" w:fill="auto"/>
            <w:noWrap/>
            <w:vAlign w:val="bottom"/>
            <w:hideMark/>
          </w:tcPr>
          <w:p w14:paraId="44BAFF1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560 (32%)</w:t>
            </w:r>
          </w:p>
        </w:tc>
        <w:tc>
          <w:tcPr>
            <w:tcW w:w="992" w:type="dxa"/>
            <w:tcBorders>
              <w:top w:val="nil"/>
              <w:left w:val="nil"/>
              <w:bottom w:val="nil"/>
              <w:right w:val="nil"/>
            </w:tcBorders>
            <w:shd w:val="clear" w:color="auto" w:fill="auto"/>
            <w:noWrap/>
            <w:vAlign w:val="bottom"/>
            <w:hideMark/>
          </w:tcPr>
          <w:p w14:paraId="54D8DC1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11 (26%)</w:t>
            </w:r>
          </w:p>
        </w:tc>
        <w:tc>
          <w:tcPr>
            <w:tcW w:w="715" w:type="dxa"/>
            <w:gridSpan w:val="2"/>
            <w:tcBorders>
              <w:top w:val="nil"/>
              <w:left w:val="nil"/>
              <w:bottom w:val="nil"/>
              <w:right w:val="single" w:sz="4" w:space="0" w:color="auto"/>
            </w:tcBorders>
            <w:shd w:val="clear" w:color="auto" w:fill="auto"/>
            <w:noWrap/>
            <w:vAlign w:val="bottom"/>
            <w:hideMark/>
          </w:tcPr>
          <w:p w14:paraId="1E8023D1"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0.44</w:t>
            </w:r>
          </w:p>
        </w:tc>
        <w:tc>
          <w:tcPr>
            <w:tcW w:w="1311" w:type="dxa"/>
            <w:tcBorders>
              <w:top w:val="nil"/>
              <w:left w:val="nil"/>
              <w:bottom w:val="nil"/>
              <w:right w:val="nil"/>
            </w:tcBorders>
            <w:shd w:val="clear" w:color="auto" w:fill="auto"/>
            <w:noWrap/>
            <w:vAlign w:val="bottom"/>
            <w:hideMark/>
          </w:tcPr>
          <w:p w14:paraId="34EACB0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367 (30%)</w:t>
            </w:r>
          </w:p>
        </w:tc>
        <w:tc>
          <w:tcPr>
            <w:tcW w:w="1099" w:type="dxa"/>
            <w:tcBorders>
              <w:top w:val="nil"/>
              <w:left w:val="nil"/>
              <w:bottom w:val="nil"/>
              <w:right w:val="nil"/>
            </w:tcBorders>
            <w:shd w:val="clear" w:color="auto" w:fill="auto"/>
            <w:noWrap/>
            <w:vAlign w:val="bottom"/>
            <w:hideMark/>
          </w:tcPr>
          <w:p w14:paraId="2E7B13D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204 (34%)</w:t>
            </w:r>
          </w:p>
        </w:tc>
        <w:tc>
          <w:tcPr>
            <w:tcW w:w="986" w:type="dxa"/>
            <w:tcBorders>
              <w:top w:val="nil"/>
              <w:left w:val="nil"/>
              <w:bottom w:val="nil"/>
              <w:right w:val="single" w:sz="4" w:space="0" w:color="auto"/>
            </w:tcBorders>
            <w:shd w:val="clear" w:color="auto" w:fill="auto"/>
            <w:noWrap/>
            <w:vAlign w:val="bottom"/>
            <w:hideMark/>
          </w:tcPr>
          <w:p w14:paraId="42B62D6D"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0.08</w:t>
            </w:r>
          </w:p>
        </w:tc>
        <w:tc>
          <w:tcPr>
            <w:tcW w:w="1498" w:type="dxa"/>
            <w:tcBorders>
              <w:top w:val="nil"/>
              <w:left w:val="nil"/>
              <w:bottom w:val="nil"/>
              <w:right w:val="nil"/>
            </w:tcBorders>
            <w:shd w:val="clear" w:color="auto" w:fill="auto"/>
            <w:noWrap/>
            <w:vAlign w:val="bottom"/>
            <w:hideMark/>
          </w:tcPr>
          <w:p w14:paraId="61F9792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506 (32%)</w:t>
            </w:r>
          </w:p>
        </w:tc>
        <w:tc>
          <w:tcPr>
            <w:tcW w:w="1241" w:type="dxa"/>
            <w:tcBorders>
              <w:top w:val="nil"/>
              <w:left w:val="nil"/>
              <w:bottom w:val="nil"/>
              <w:right w:val="nil"/>
            </w:tcBorders>
            <w:shd w:val="clear" w:color="auto" w:fill="auto"/>
            <w:noWrap/>
            <w:vAlign w:val="bottom"/>
            <w:hideMark/>
          </w:tcPr>
          <w:p w14:paraId="3AA99CB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65 (28%)</w:t>
            </w:r>
          </w:p>
        </w:tc>
        <w:tc>
          <w:tcPr>
            <w:tcW w:w="1514" w:type="dxa"/>
            <w:tcBorders>
              <w:top w:val="nil"/>
              <w:left w:val="nil"/>
              <w:bottom w:val="nil"/>
              <w:right w:val="single" w:sz="4" w:space="0" w:color="auto"/>
            </w:tcBorders>
            <w:shd w:val="clear" w:color="auto" w:fill="auto"/>
            <w:noWrap/>
            <w:vAlign w:val="bottom"/>
            <w:hideMark/>
          </w:tcPr>
          <w:p w14:paraId="17EEFB1E"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0.25</w:t>
            </w:r>
          </w:p>
        </w:tc>
      </w:tr>
      <w:tr w:rsidR="00635710" w:rsidRPr="00914044" w14:paraId="55714B11"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00C622D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COPD, % (n)</w:t>
            </w:r>
          </w:p>
        </w:tc>
        <w:tc>
          <w:tcPr>
            <w:tcW w:w="1701" w:type="dxa"/>
            <w:tcBorders>
              <w:top w:val="nil"/>
              <w:left w:val="nil"/>
              <w:bottom w:val="nil"/>
              <w:right w:val="nil"/>
            </w:tcBorders>
            <w:shd w:val="clear" w:color="auto" w:fill="auto"/>
            <w:noWrap/>
            <w:vAlign w:val="bottom"/>
            <w:hideMark/>
          </w:tcPr>
          <w:p w14:paraId="4C3433C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287 (16%)</w:t>
            </w:r>
          </w:p>
        </w:tc>
        <w:tc>
          <w:tcPr>
            <w:tcW w:w="992" w:type="dxa"/>
            <w:tcBorders>
              <w:top w:val="nil"/>
              <w:left w:val="nil"/>
              <w:bottom w:val="nil"/>
              <w:right w:val="nil"/>
            </w:tcBorders>
            <w:shd w:val="clear" w:color="auto" w:fill="auto"/>
            <w:noWrap/>
            <w:vAlign w:val="bottom"/>
            <w:hideMark/>
          </w:tcPr>
          <w:p w14:paraId="09B33BA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 (7%)</w:t>
            </w:r>
          </w:p>
        </w:tc>
        <w:tc>
          <w:tcPr>
            <w:tcW w:w="715" w:type="dxa"/>
            <w:gridSpan w:val="2"/>
            <w:tcBorders>
              <w:top w:val="nil"/>
              <w:left w:val="nil"/>
              <w:bottom w:val="nil"/>
              <w:right w:val="single" w:sz="4" w:space="0" w:color="auto"/>
            </w:tcBorders>
            <w:shd w:val="clear" w:color="auto" w:fill="auto"/>
            <w:noWrap/>
            <w:vAlign w:val="bottom"/>
            <w:hideMark/>
          </w:tcPr>
          <w:p w14:paraId="3C052DBF"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0.11</w:t>
            </w:r>
          </w:p>
        </w:tc>
        <w:tc>
          <w:tcPr>
            <w:tcW w:w="1311" w:type="dxa"/>
            <w:tcBorders>
              <w:top w:val="nil"/>
              <w:left w:val="nil"/>
              <w:bottom w:val="nil"/>
              <w:right w:val="nil"/>
            </w:tcBorders>
            <w:shd w:val="clear" w:color="auto" w:fill="auto"/>
            <w:noWrap/>
            <w:vAlign w:val="bottom"/>
            <w:hideMark/>
          </w:tcPr>
          <w:p w14:paraId="2DB8C05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194 (16%)</w:t>
            </w:r>
          </w:p>
        </w:tc>
        <w:tc>
          <w:tcPr>
            <w:tcW w:w="1099" w:type="dxa"/>
            <w:tcBorders>
              <w:top w:val="nil"/>
              <w:left w:val="nil"/>
              <w:bottom w:val="nil"/>
              <w:right w:val="nil"/>
            </w:tcBorders>
            <w:shd w:val="clear" w:color="auto" w:fill="auto"/>
            <w:noWrap/>
            <w:vAlign w:val="bottom"/>
            <w:hideMark/>
          </w:tcPr>
          <w:p w14:paraId="23B6CBA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96 (16%)</w:t>
            </w:r>
          </w:p>
        </w:tc>
        <w:tc>
          <w:tcPr>
            <w:tcW w:w="986" w:type="dxa"/>
            <w:tcBorders>
              <w:top w:val="nil"/>
              <w:left w:val="nil"/>
              <w:bottom w:val="nil"/>
              <w:right w:val="single" w:sz="4" w:space="0" w:color="auto"/>
            </w:tcBorders>
            <w:shd w:val="clear" w:color="auto" w:fill="auto"/>
            <w:noWrap/>
            <w:vAlign w:val="bottom"/>
            <w:hideMark/>
          </w:tcPr>
          <w:p w14:paraId="36AF928C"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0.92</w:t>
            </w:r>
          </w:p>
        </w:tc>
        <w:tc>
          <w:tcPr>
            <w:tcW w:w="1498" w:type="dxa"/>
            <w:tcBorders>
              <w:top w:val="nil"/>
              <w:left w:val="nil"/>
              <w:bottom w:val="nil"/>
              <w:right w:val="nil"/>
            </w:tcBorders>
            <w:shd w:val="clear" w:color="auto" w:fill="auto"/>
            <w:noWrap/>
            <w:vAlign w:val="bottom"/>
            <w:hideMark/>
          </w:tcPr>
          <w:p w14:paraId="0895C64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259 (16%)</w:t>
            </w:r>
          </w:p>
        </w:tc>
        <w:tc>
          <w:tcPr>
            <w:tcW w:w="1241" w:type="dxa"/>
            <w:tcBorders>
              <w:top w:val="nil"/>
              <w:left w:val="nil"/>
              <w:bottom w:val="nil"/>
              <w:right w:val="nil"/>
            </w:tcBorders>
            <w:shd w:val="clear" w:color="auto" w:fill="auto"/>
            <w:noWrap/>
            <w:vAlign w:val="bottom"/>
            <w:hideMark/>
          </w:tcPr>
          <w:p w14:paraId="74E434D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31 (14%)</w:t>
            </w:r>
          </w:p>
        </w:tc>
        <w:tc>
          <w:tcPr>
            <w:tcW w:w="1514" w:type="dxa"/>
            <w:tcBorders>
              <w:top w:val="nil"/>
              <w:left w:val="nil"/>
              <w:bottom w:val="nil"/>
              <w:right w:val="single" w:sz="4" w:space="0" w:color="auto"/>
            </w:tcBorders>
            <w:shd w:val="clear" w:color="auto" w:fill="auto"/>
            <w:noWrap/>
            <w:vAlign w:val="bottom"/>
            <w:hideMark/>
          </w:tcPr>
          <w:p w14:paraId="71CCB60F"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0.26</w:t>
            </w:r>
          </w:p>
        </w:tc>
      </w:tr>
      <w:tr w:rsidR="00635710" w:rsidRPr="00914044" w14:paraId="016C5C55"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7659C17C"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Stroke</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6C60AAF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162 (9%)</w:t>
            </w:r>
          </w:p>
        </w:tc>
        <w:tc>
          <w:tcPr>
            <w:tcW w:w="992" w:type="dxa"/>
            <w:tcBorders>
              <w:top w:val="nil"/>
              <w:left w:val="nil"/>
              <w:bottom w:val="nil"/>
              <w:right w:val="nil"/>
            </w:tcBorders>
            <w:shd w:val="clear" w:color="auto" w:fill="auto"/>
            <w:noWrap/>
            <w:vAlign w:val="bottom"/>
            <w:hideMark/>
          </w:tcPr>
          <w:p w14:paraId="538C3F9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0 (0%)</w:t>
            </w:r>
          </w:p>
        </w:tc>
        <w:tc>
          <w:tcPr>
            <w:tcW w:w="715" w:type="dxa"/>
            <w:gridSpan w:val="2"/>
            <w:tcBorders>
              <w:top w:val="nil"/>
              <w:left w:val="nil"/>
              <w:bottom w:val="nil"/>
              <w:right w:val="single" w:sz="4" w:space="0" w:color="auto"/>
            </w:tcBorders>
            <w:shd w:val="clear" w:color="auto" w:fill="auto"/>
            <w:noWrap/>
            <w:vAlign w:val="bottom"/>
            <w:hideMark/>
          </w:tcPr>
          <w:p w14:paraId="4671618C"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0.04</w:t>
            </w:r>
          </w:p>
        </w:tc>
        <w:tc>
          <w:tcPr>
            <w:tcW w:w="1311" w:type="dxa"/>
            <w:tcBorders>
              <w:top w:val="nil"/>
              <w:left w:val="nil"/>
              <w:bottom w:val="nil"/>
              <w:right w:val="nil"/>
            </w:tcBorders>
            <w:shd w:val="clear" w:color="auto" w:fill="auto"/>
            <w:noWrap/>
            <w:vAlign w:val="bottom"/>
            <w:hideMark/>
          </w:tcPr>
          <w:p w14:paraId="06B806D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101 (8%)</w:t>
            </w:r>
          </w:p>
        </w:tc>
        <w:tc>
          <w:tcPr>
            <w:tcW w:w="1099" w:type="dxa"/>
            <w:tcBorders>
              <w:top w:val="nil"/>
              <w:left w:val="nil"/>
              <w:bottom w:val="nil"/>
              <w:right w:val="nil"/>
            </w:tcBorders>
            <w:shd w:val="clear" w:color="auto" w:fill="auto"/>
            <w:noWrap/>
            <w:vAlign w:val="bottom"/>
            <w:hideMark/>
          </w:tcPr>
          <w:p w14:paraId="5CEB047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61 (10%)</w:t>
            </w:r>
          </w:p>
        </w:tc>
        <w:tc>
          <w:tcPr>
            <w:tcW w:w="986" w:type="dxa"/>
            <w:tcBorders>
              <w:top w:val="nil"/>
              <w:left w:val="nil"/>
              <w:bottom w:val="nil"/>
              <w:right w:val="single" w:sz="4" w:space="0" w:color="auto"/>
            </w:tcBorders>
            <w:shd w:val="clear" w:color="auto" w:fill="auto"/>
            <w:noWrap/>
            <w:vAlign w:val="bottom"/>
            <w:hideMark/>
          </w:tcPr>
          <w:p w14:paraId="3F169F45"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0.17</w:t>
            </w:r>
          </w:p>
        </w:tc>
        <w:tc>
          <w:tcPr>
            <w:tcW w:w="1498" w:type="dxa"/>
            <w:tcBorders>
              <w:top w:val="nil"/>
              <w:left w:val="nil"/>
              <w:bottom w:val="nil"/>
              <w:right w:val="nil"/>
            </w:tcBorders>
            <w:shd w:val="clear" w:color="auto" w:fill="auto"/>
            <w:noWrap/>
            <w:vAlign w:val="bottom"/>
            <w:hideMark/>
          </w:tcPr>
          <w:p w14:paraId="61E8FEB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148 (9%)</w:t>
            </w:r>
          </w:p>
        </w:tc>
        <w:tc>
          <w:tcPr>
            <w:tcW w:w="1241" w:type="dxa"/>
            <w:tcBorders>
              <w:top w:val="nil"/>
              <w:left w:val="nil"/>
              <w:bottom w:val="nil"/>
              <w:right w:val="nil"/>
            </w:tcBorders>
            <w:shd w:val="clear" w:color="auto" w:fill="auto"/>
            <w:noWrap/>
            <w:vAlign w:val="bottom"/>
            <w:hideMark/>
          </w:tcPr>
          <w:p w14:paraId="427FCA5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14 (6%)</w:t>
            </w:r>
          </w:p>
        </w:tc>
        <w:tc>
          <w:tcPr>
            <w:tcW w:w="1514" w:type="dxa"/>
            <w:tcBorders>
              <w:top w:val="nil"/>
              <w:left w:val="nil"/>
              <w:bottom w:val="nil"/>
              <w:right w:val="single" w:sz="4" w:space="0" w:color="auto"/>
            </w:tcBorders>
            <w:shd w:val="clear" w:color="auto" w:fill="auto"/>
            <w:noWrap/>
            <w:vAlign w:val="bottom"/>
            <w:hideMark/>
          </w:tcPr>
          <w:p w14:paraId="3B81E649"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w:t>
            </w:r>
          </w:p>
        </w:tc>
      </w:tr>
      <w:tr w:rsidR="00635710" w:rsidRPr="00914044" w14:paraId="174F0FD1"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351EEC3E"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Peripheral</w:t>
            </w:r>
            <w:proofErr w:type="spellEnd"/>
            <w:r w:rsidRPr="00914044">
              <w:rPr>
                <w:rFonts w:ascii="Calibri" w:eastAsia="Times New Roman" w:hAnsi="Calibri"/>
                <w:color w:val="000000"/>
                <w:sz w:val="16"/>
                <w:szCs w:val="16"/>
              </w:rPr>
              <w:t xml:space="preserve"> </w:t>
            </w:r>
            <w:proofErr w:type="spellStart"/>
            <w:r w:rsidRPr="00914044">
              <w:rPr>
                <w:rFonts w:ascii="Calibri" w:eastAsia="Times New Roman" w:hAnsi="Calibri"/>
                <w:color w:val="000000"/>
                <w:sz w:val="16"/>
                <w:szCs w:val="16"/>
              </w:rPr>
              <w:t>artery</w:t>
            </w:r>
            <w:proofErr w:type="spellEnd"/>
            <w:r w:rsidRPr="00914044">
              <w:rPr>
                <w:rFonts w:ascii="Calibri" w:eastAsia="Times New Roman" w:hAnsi="Calibri"/>
                <w:color w:val="000000"/>
                <w:sz w:val="16"/>
                <w:szCs w:val="16"/>
              </w:rPr>
              <w:t xml:space="preserve"> </w:t>
            </w:r>
            <w:proofErr w:type="spellStart"/>
            <w:r w:rsidRPr="00914044">
              <w:rPr>
                <w:rFonts w:ascii="Calibri" w:eastAsia="Times New Roman" w:hAnsi="Calibri"/>
                <w:color w:val="000000"/>
                <w:sz w:val="16"/>
                <w:szCs w:val="16"/>
              </w:rPr>
              <w:t>disease</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7E59C55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185 (11%)</w:t>
            </w:r>
          </w:p>
        </w:tc>
        <w:tc>
          <w:tcPr>
            <w:tcW w:w="992" w:type="dxa"/>
            <w:tcBorders>
              <w:top w:val="nil"/>
              <w:left w:val="nil"/>
              <w:bottom w:val="nil"/>
              <w:right w:val="nil"/>
            </w:tcBorders>
            <w:shd w:val="clear" w:color="auto" w:fill="auto"/>
            <w:noWrap/>
            <w:vAlign w:val="bottom"/>
            <w:hideMark/>
          </w:tcPr>
          <w:p w14:paraId="54F37BA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 (7%)</w:t>
            </w:r>
          </w:p>
        </w:tc>
        <w:tc>
          <w:tcPr>
            <w:tcW w:w="715" w:type="dxa"/>
            <w:gridSpan w:val="2"/>
            <w:tcBorders>
              <w:top w:val="nil"/>
              <w:left w:val="nil"/>
              <w:bottom w:val="nil"/>
              <w:right w:val="single" w:sz="4" w:space="0" w:color="auto"/>
            </w:tcBorders>
            <w:shd w:val="clear" w:color="auto" w:fill="auto"/>
            <w:noWrap/>
            <w:vAlign w:val="bottom"/>
            <w:hideMark/>
          </w:tcPr>
          <w:p w14:paraId="1BDB48A1"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0.48</w:t>
            </w:r>
          </w:p>
        </w:tc>
        <w:tc>
          <w:tcPr>
            <w:tcW w:w="1311" w:type="dxa"/>
            <w:tcBorders>
              <w:top w:val="nil"/>
              <w:left w:val="nil"/>
              <w:bottom w:val="nil"/>
              <w:right w:val="nil"/>
            </w:tcBorders>
            <w:shd w:val="clear" w:color="auto" w:fill="auto"/>
            <w:noWrap/>
            <w:vAlign w:val="bottom"/>
            <w:hideMark/>
          </w:tcPr>
          <w:p w14:paraId="467DFA3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120 (10%)</w:t>
            </w:r>
          </w:p>
        </w:tc>
        <w:tc>
          <w:tcPr>
            <w:tcW w:w="1099" w:type="dxa"/>
            <w:tcBorders>
              <w:top w:val="nil"/>
              <w:left w:val="nil"/>
              <w:bottom w:val="nil"/>
              <w:right w:val="nil"/>
            </w:tcBorders>
            <w:shd w:val="clear" w:color="auto" w:fill="auto"/>
            <w:noWrap/>
            <w:vAlign w:val="bottom"/>
            <w:hideMark/>
          </w:tcPr>
          <w:p w14:paraId="69F5E76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68 (11%)</w:t>
            </w:r>
          </w:p>
        </w:tc>
        <w:tc>
          <w:tcPr>
            <w:tcW w:w="986" w:type="dxa"/>
            <w:tcBorders>
              <w:top w:val="nil"/>
              <w:left w:val="nil"/>
              <w:bottom w:val="nil"/>
              <w:right w:val="single" w:sz="4" w:space="0" w:color="auto"/>
            </w:tcBorders>
            <w:shd w:val="clear" w:color="auto" w:fill="auto"/>
            <w:noWrap/>
            <w:vAlign w:val="bottom"/>
            <w:hideMark/>
          </w:tcPr>
          <w:p w14:paraId="19BA3953"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0.31</w:t>
            </w:r>
          </w:p>
        </w:tc>
        <w:tc>
          <w:tcPr>
            <w:tcW w:w="1498" w:type="dxa"/>
            <w:tcBorders>
              <w:top w:val="nil"/>
              <w:left w:val="nil"/>
              <w:bottom w:val="nil"/>
              <w:right w:val="nil"/>
            </w:tcBorders>
            <w:shd w:val="clear" w:color="auto" w:fill="auto"/>
            <w:noWrap/>
            <w:vAlign w:val="bottom"/>
            <w:hideMark/>
          </w:tcPr>
          <w:p w14:paraId="1835EAC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173 (11%)</w:t>
            </w:r>
          </w:p>
        </w:tc>
        <w:tc>
          <w:tcPr>
            <w:tcW w:w="1241" w:type="dxa"/>
            <w:tcBorders>
              <w:top w:val="nil"/>
              <w:left w:val="nil"/>
              <w:bottom w:val="nil"/>
              <w:right w:val="nil"/>
            </w:tcBorders>
            <w:shd w:val="clear" w:color="auto" w:fill="auto"/>
            <w:noWrap/>
            <w:vAlign w:val="bottom"/>
            <w:hideMark/>
          </w:tcPr>
          <w:p w14:paraId="677C0AD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15 (7%)</w:t>
            </w:r>
          </w:p>
        </w:tc>
        <w:tc>
          <w:tcPr>
            <w:tcW w:w="1514" w:type="dxa"/>
            <w:tcBorders>
              <w:top w:val="nil"/>
              <w:left w:val="nil"/>
              <w:bottom w:val="nil"/>
              <w:right w:val="single" w:sz="4" w:space="0" w:color="auto"/>
            </w:tcBorders>
            <w:shd w:val="clear" w:color="auto" w:fill="auto"/>
            <w:noWrap/>
            <w:vAlign w:val="bottom"/>
            <w:hideMark/>
          </w:tcPr>
          <w:p w14:paraId="1CB999D4"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0.04</w:t>
            </w:r>
          </w:p>
        </w:tc>
      </w:tr>
      <w:tr w:rsidR="00635710" w:rsidRPr="00914044" w14:paraId="1279C790"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4F1E8870"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Aldosterone</w:t>
            </w:r>
            <w:proofErr w:type="spellEnd"/>
            <w:r w:rsidRPr="00914044">
              <w:rPr>
                <w:rFonts w:ascii="Calibri" w:eastAsia="Times New Roman" w:hAnsi="Calibri"/>
                <w:color w:val="000000"/>
                <w:sz w:val="16"/>
                <w:szCs w:val="16"/>
              </w:rPr>
              <w:t xml:space="preserve"> </w:t>
            </w:r>
            <w:proofErr w:type="spellStart"/>
            <w:r w:rsidRPr="00914044">
              <w:rPr>
                <w:rFonts w:ascii="Calibri" w:eastAsia="Times New Roman" w:hAnsi="Calibri"/>
                <w:color w:val="000000"/>
                <w:sz w:val="16"/>
                <w:szCs w:val="16"/>
              </w:rPr>
              <w:t>antagonists</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6164FD6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966 (55%)</w:t>
            </w:r>
          </w:p>
        </w:tc>
        <w:tc>
          <w:tcPr>
            <w:tcW w:w="992" w:type="dxa"/>
            <w:tcBorders>
              <w:top w:val="nil"/>
              <w:left w:val="nil"/>
              <w:bottom w:val="nil"/>
              <w:right w:val="nil"/>
            </w:tcBorders>
            <w:shd w:val="clear" w:color="auto" w:fill="auto"/>
            <w:noWrap/>
            <w:vAlign w:val="bottom"/>
            <w:hideMark/>
          </w:tcPr>
          <w:p w14:paraId="7A5AA55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20 (48%)</w:t>
            </w:r>
          </w:p>
        </w:tc>
        <w:tc>
          <w:tcPr>
            <w:tcW w:w="715" w:type="dxa"/>
            <w:gridSpan w:val="2"/>
            <w:tcBorders>
              <w:top w:val="nil"/>
              <w:left w:val="nil"/>
              <w:bottom w:val="nil"/>
              <w:right w:val="single" w:sz="4" w:space="0" w:color="auto"/>
            </w:tcBorders>
            <w:shd w:val="clear" w:color="auto" w:fill="auto"/>
            <w:noWrap/>
            <w:vAlign w:val="bottom"/>
            <w:hideMark/>
          </w:tcPr>
          <w:p w14:paraId="02861902"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0.35</w:t>
            </w:r>
          </w:p>
        </w:tc>
        <w:tc>
          <w:tcPr>
            <w:tcW w:w="1311" w:type="dxa"/>
            <w:tcBorders>
              <w:top w:val="nil"/>
              <w:left w:val="nil"/>
              <w:bottom w:val="nil"/>
              <w:right w:val="nil"/>
            </w:tcBorders>
            <w:shd w:val="clear" w:color="auto" w:fill="auto"/>
            <w:noWrap/>
            <w:vAlign w:val="bottom"/>
            <w:hideMark/>
          </w:tcPr>
          <w:p w14:paraId="6D7A14E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692 (57%)</w:t>
            </w:r>
          </w:p>
        </w:tc>
        <w:tc>
          <w:tcPr>
            <w:tcW w:w="1099" w:type="dxa"/>
            <w:tcBorders>
              <w:top w:val="nil"/>
              <w:left w:val="nil"/>
              <w:bottom w:val="nil"/>
              <w:right w:val="nil"/>
            </w:tcBorders>
            <w:shd w:val="clear" w:color="auto" w:fill="auto"/>
            <w:noWrap/>
            <w:vAlign w:val="bottom"/>
            <w:hideMark/>
          </w:tcPr>
          <w:p w14:paraId="7F80BE1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294 (50%)</w:t>
            </w:r>
          </w:p>
        </w:tc>
        <w:tc>
          <w:tcPr>
            <w:tcW w:w="986" w:type="dxa"/>
            <w:tcBorders>
              <w:top w:val="nil"/>
              <w:left w:val="nil"/>
              <w:bottom w:val="nil"/>
              <w:right w:val="single" w:sz="4" w:space="0" w:color="auto"/>
            </w:tcBorders>
            <w:shd w:val="clear" w:color="auto" w:fill="auto"/>
            <w:noWrap/>
            <w:vAlign w:val="bottom"/>
            <w:hideMark/>
          </w:tcPr>
          <w:p w14:paraId="09090639"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0.003</w:t>
            </w:r>
          </w:p>
        </w:tc>
        <w:tc>
          <w:tcPr>
            <w:tcW w:w="1498" w:type="dxa"/>
            <w:tcBorders>
              <w:top w:val="nil"/>
              <w:left w:val="nil"/>
              <w:bottom w:val="nil"/>
              <w:right w:val="nil"/>
            </w:tcBorders>
            <w:shd w:val="clear" w:color="auto" w:fill="auto"/>
            <w:noWrap/>
            <w:vAlign w:val="bottom"/>
            <w:hideMark/>
          </w:tcPr>
          <w:p w14:paraId="3A405D0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854 (54%)</w:t>
            </w:r>
          </w:p>
        </w:tc>
        <w:tc>
          <w:tcPr>
            <w:tcW w:w="1241" w:type="dxa"/>
            <w:tcBorders>
              <w:top w:val="nil"/>
              <w:left w:val="nil"/>
              <w:bottom w:val="nil"/>
              <w:right w:val="nil"/>
            </w:tcBorders>
            <w:shd w:val="clear" w:color="auto" w:fill="auto"/>
            <w:noWrap/>
            <w:vAlign w:val="bottom"/>
            <w:hideMark/>
          </w:tcPr>
          <w:p w14:paraId="523E72D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132 (58%)</w:t>
            </w:r>
          </w:p>
        </w:tc>
        <w:tc>
          <w:tcPr>
            <w:tcW w:w="1514" w:type="dxa"/>
            <w:tcBorders>
              <w:top w:val="nil"/>
              <w:left w:val="nil"/>
              <w:bottom w:val="nil"/>
              <w:right w:val="single" w:sz="4" w:space="0" w:color="auto"/>
            </w:tcBorders>
            <w:shd w:val="clear" w:color="auto" w:fill="auto"/>
            <w:noWrap/>
            <w:vAlign w:val="bottom"/>
            <w:hideMark/>
          </w:tcPr>
          <w:p w14:paraId="40C9A2DD"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0.34</w:t>
            </w:r>
          </w:p>
        </w:tc>
      </w:tr>
      <w:tr w:rsidR="00635710" w:rsidRPr="00914044" w14:paraId="1E740C89"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64E9998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xml:space="preserve">Loop </w:t>
            </w:r>
            <w:proofErr w:type="spellStart"/>
            <w:r w:rsidRPr="00914044">
              <w:rPr>
                <w:rFonts w:ascii="Calibri" w:eastAsia="Times New Roman" w:hAnsi="Calibri"/>
                <w:color w:val="000000"/>
                <w:sz w:val="16"/>
                <w:szCs w:val="16"/>
              </w:rPr>
              <w:t>diuretics</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70B3D56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1752 (100%)</w:t>
            </w:r>
          </w:p>
        </w:tc>
        <w:tc>
          <w:tcPr>
            <w:tcW w:w="992" w:type="dxa"/>
            <w:tcBorders>
              <w:top w:val="nil"/>
              <w:left w:val="nil"/>
              <w:bottom w:val="nil"/>
              <w:right w:val="nil"/>
            </w:tcBorders>
            <w:shd w:val="clear" w:color="auto" w:fill="auto"/>
            <w:noWrap/>
            <w:vAlign w:val="bottom"/>
            <w:hideMark/>
          </w:tcPr>
          <w:p w14:paraId="3E0F29A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42 (100%)</w:t>
            </w:r>
          </w:p>
        </w:tc>
        <w:tc>
          <w:tcPr>
            <w:tcW w:w="715" w:type="dxa"/>
            <w:gridSpan w:val="2"/>
            <w:tcBorders>
              <w:top w:val="nil"/>
              <w:left w:val="nil"/>
              <w:bottom w:val="nil"/>
              <w:right w:val="single" w:sz="4" w:space="0" w:color="auto"/>
            </w:tcBorders>
            <w:shd w:val="clear" w:color="auto" w:fill="auto"/>
            <w:noWrap/>
            <w:vAlign w:val="bottom"/>
            <w:hideMark/>
          </w:tcPr>
          <w:p w14:paraId="66BD1BDE"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0.66</w:t>
            </w:r>
          </w:p>
        </w:tc>
        <w:tc>
          <w:tcPr>
            <w:tcW w:w="1311" w:type="dxa"/>
            <w:tcBorders>
              <w:top w:val="nil"/>
              <w:left w:val="nil"/>
              <w:bottom w:val="nil"/>
              <w:right w:val="nil"/>
            </w:tcBorders>
            <w:shd w:val="clear" w:color="auto" w:fill="auto"/>
            <w:noWrap/>
            <w:vAlign w:val="bottom"/>
            <w:hideMark/>
          </w:tcPr>
          <w:p w14:paraId="7FE302B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1203 (99%)</w:t>
            </w:r>
          </w:p>
        </w:tc>
        <w:tc>
          <w:tcPr>
            <w:tcW w:w="1099" w:type="dxa"/>
            <w:tcBorders>
              <w:top w:val="nil"/>
              <w:left w:val="nil"/>
              <w:bottom w:val="nil"/>
              <w:right w:val="nil"/>
            </w:tcBorders>
            <w:shd w:val="clear" w:color="auto" w:fill="auto"/>
            <w:noWrap/>
            <w:vAlign w:val="bottom"/>
            <w:hideMark/>
          </w:tcPr>
          <w:p w14:paraId="42EB217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591 (100%)</w:t>
            </w:r>
          </w:p>
        </w:tc>
        <w:tc>
          <w:tcPr>
            <w:tcW w:w="986" w:type="dxa"/>
            <w:tcBorders>
              <w:top w:val="nil"/>
              <w:left w:val="nil"/>
              <w:bottom w:val="nil"/>
              <w:right w:val="single" w:sz="4" w:space="0" w:color="auto"/>
            </w:tcBorders>
            <w:shd w:val="clear" w:color="auto" w:fill="auto"/>
            <w:noWrap/>
            <w:vAlign w:val="bottom"/>
            <w:hideMark/>
          </w:tcPr>
          <w:p w14:paraId="51705C26"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0.22</w:t>
            </w:r>
          </w:p>
        </w:tc>
        <w:tc>
          <w:tcPr>
            <w:tcW w:w="1498" w:type="dxa"/>
            <w:tcBorders>
              <w:top w:val="nil"/>
              <w:left w:val="nil"/>
              <w:bottom w:val="nil"/>
              <w:right w:val="nil"/>
            </w:tcBorders>
            <w:shd w:val="clear" w:color="auto" w:fill="auto"/>
            <w:noWrap/>
            <w:vAlign w:val="bottom"/>
            <w:hideMark/>
          </w:tcPr>
          <w:p w14:paraId="5E8C104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1567 (100%)</w:t>
            </w:r>
          </w:p>
        </w:tc>
        <w:tc>
          <w:tcPr>
            <w:tcW w:w="1241" w:type="dxa"/>
            <w:tcBorders>
              <w:top w:val="nil"/>
              <w:left w:val="nil"/>
              <w:bottom w:val="nil"/>
              <w:right w:val="nil"/>
            </w:tcBorders>
            <w:shd w:val="clear" w:color="auto" w:fill="auto"/>
            <w:noWrap/>
            <w:vAlign w:val="bottom"/>
            <w:hideMark/>
          </w:tcPr>
          <w:p w14:paraId="3E59FC1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227 (99%)</w:t>
            </w:r>
          </w:p>
        </w:tc>
        <w:tc>
          <w:tcPr>
            <w:tcW w:w="1514" w:type="dxa"/>
            <w:tcBorders>
              <w:top w:val="nil"/>
              <w:left w:val="nil"/>
              <w:bottom w:val="nil"/>
              <w:right w:val="single" w:sz="4" w:space="0" w:color="auto"/>
            </w:tcBorders>
            <w:shd w:val="clear" w:color="auto" w:fill="auto"/>
            <w:noWrap/>
            <w:vAlign w:val="bottom"/>
            <w:hideMark/>
          </w:tcPr>
          <w:p w14:paraId="1D27E475"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0.3</w:t>
            </w:r>
          </w:p>
        </w:tc>
      </w:tr>
      <w:tr w:rsidR="00635710" w:rsidRPr="00914044" w14:paraId="00CC0D79"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6511A7CD" w14:textId="77777777" w:rsidR="00607D43" w:rsidRPr="00914044" w:rsidRDefault="00607D43">
            <w:pPr>
              <w:rPr>
                <w:rFonts w:ascii="Calibri" w:eastAsia="Times New Roman" w:hAnsi="Calibri"/>
                <w:color w:val="000000"/>
                <w:sz w:val="16"/>
                <w:szCs w:val="16"/>
              </w:rPr>
            </w:pPr>
            <w:proofErr w:type="spellStart"/>
            <w:r w:rsidRPr="00914044">
              <w:rPr>
                <w:rFonts w:ascii="Calibri" w:eastAsia="Times New Roman" w:hAnsi="Calibri"/>
                <w:color w:val="000000"/>
                <w:sz w:val="16"/>
                <w:szCs w:val="16"/>
              </w:rPr>
              <w:t>Digoxin</w:t>
            </w:r>
            <w:proofErr w:type="spellEnd"/>
            <w:r w:rsidRPr="00914044">
              <w:rPr>
                <w:rFonts w:ascii="Calibri" w:eastAsia="Times New Roman" w:hAnsi="Calibri"/>
                <w:color w:val="000000"/>
                <w:sz w:val="16"/>
                <w:szCs w:val="16"/>
              </w:rPr>
              <w:t>, % (n)</w:t>
            </w:r>
          </w:p>
        </w:tc>
        <w:tc>
          <w:tcPr>
            <w:tcW w:w="1701" w:type="dxa"/>
            <w:tcBorders>
              <w:top w:val="nil"/>
              <w:left w:val="nil"/>
              <w:bottom w:val="nil"/>
              <w:right w:val="nil"/>
            </w:tcBorders>
            <w:shd w:val="clear" w:color="auto" w:fill="auto"/>
            <w:noWrap/>
            <w:vAlign w:val="bottom"/>
            <w:hideMark/>
          </w:tcPr>
          <w:p w14:paraId="715F60F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321 (18%)</w:t>
            </w:r>
          </w:p>
        </w:tc>
        <w:tc>
          <w:tcPr>
            <w:tcW w:w="992" w:type="dxa"/>
            <w:tcBorders>
              <w:top w:val="nil"/>
              <w:left w:val="nil"/>
              <w:bottom w:val="nil"/>
              <w:right w:val="nil"/>
            </w:tcBorders>
            <w:shd w:val="clear" w:color="auto" w:fill="auto"/>
            <w:noWrap/>
            <w:vAlign w:val="bottom"/>
            <w:hideMark/>
          </w:tcPr>
          <w:p w14:paraId="73183A2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 (7%)</w:t>
            </w:r>
          </w:p>
        </w:tc>
        <w:tc>
          <w:tcPr>
            <w:tcW w:w="715" w:type="dxa"/>
            <w:gridSpan w:val="2"/>
            <w:tcBorders>
              <w:top w:val="nil"/>
              <w:left w:val="nil"/>
              <w:bottom w:val="nil"/>
              <w:right w:val="single" w:sz="4" w:space="0" w:color="auto"/>
            </w:tcBorders>
            <w:shd w:val="clear" w:color="auto" w:fill="auto"/>
            <w:noWrap/>
            <w:vAlign w:val="bottom"/>
            <w:hideMark/>
          </w:tcPr>
          <w:p w14:paraId="037CA4CC"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0.06</w:t>
            </w:r>
          </w:p>
        </w:tc>
        <w:tc>
          <w:tcPr>
            <w:tcW w:w="1311" w:type="dxa"/>
            <w:tcBorders>
              <w:top w:val="nil"/>
              <w:left w:val="nil"/>
              <w:bottom w:val="nil"/>
              <w:right w:val="nil"/>
            </w:tcBorders>
            <w:shd w:val="clear" w:color="auto" w:fill="auto"/>
            <w:noWrap/>
            <w:vAlign w:val="bottom"/>
            <w:hideMark/>
          </w:tcPr>
          <w:p w14:paraId="5FCACE7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231 (19%)</w:t>
            </w:r>
          </w:p>
        </w:tc>
        <w:tc>
          <w:tcPr>
            <w:tcW w:w="1099" w:type="dxa"/>
            <w:tcBorders>
              <w:top w:val="nil"/>
              <w:left w:val="nil"/>
              <w:bottom w:val="nil"/>
              <w:right w:val="nil"/>
            </w:tcBorders>
            <w:shd w:val="clear" w:color="auto" w:fill="auto"/>
            <w:noWrap/>
            <w:vAlign w:val="bottom"/>
            <w:hideMark/>
          </w:tcPr>
          <w:p w14:paraId="0260B44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93 (16%)</w:t>
            </w:r>
          </w:p>
        </w:tc>
        <w:tc>
          <w:tcPr>
            <w:tcW w:w="986" w:type="dxa"/>
            <w:tcBorders>
              <w:top w:val="nil"/>
              <w:left w:val="nil"/>
              <w:bottom w:val="nil"/>
              <w:right w:val="single" w:sz="4" w:space="0" w:color="auto"/>
            </w:tcBorders>
            <w:shd w:val="clear" w:color="auto" w:fill="auto"/>
            <w:noWrap/>
            <w:vAlign w:val="bottom"/>
            <w:hideMark/>
          </w:tcPr>
          <w:p w14:paraId="52F1E9D4"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0.08</w:t>
            </w:r>
          </w:p>
        </w:tc>
        <w:tc>
          <w:tcPr>
            <w:tcW w:w="1498" w:type="dxa"/>
            <w:tcBorders>
              <w:top w:val="nil"/>
              <w:left w:val="nil"/>
              <w:bottom w:val="nil"/>
              <w:right w:val="nil"/>
            </w:tcBorders>
            <w:shd w:val="clear" w:color="auto" w:fill="auto"/>
            <w:noWrap/>
            <w:vAlign w:val="bottom"/>
            <w:hideMark/>
          </w:tcPr>
          <w:p w14:paraId="25A44D8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296 (19%)</w:t>
            </w:r>
          </w:p>
        </w:tc>
        <w:tc>
          <w:tcPr>
            <w:tcW w:w="1241" w:type="dxa"/>
            <w:tcBorders>
              <w:top w:val="nil"/>
              <w:left w:val="nil"/>
              <w:bottom w:val="nil"/>
              <w:right w:val="nil"/>
            </w:tcBorders>
            <w:shd w:val="clear" w:color="auto" w:fill="auto"/>
            <w:noWrap/>
            <w:vAlign w:val="bottom"/>
            <w:hideMark/>
          </w:tcPr>
          <w:p w14:paraId="2B3EE08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28 (12%)</w:t>
            </w:r>
          </w:p>
        </w:tc>
        <w:tc>
          <w:tcPr>
            <w:tcW w:w="1514" w:type="dxa"/>
            <w:tcBorders>
              <w:top w:val="nil"/>
              <w:left w:val="nil"/>
              <w:bottom w:val="nil"/>
              <w:right w:val="single" w:sz="4" w:space="0" w:color="auto"/>
            </w:tcBorders>
            <w:shd w:val="clear" w:color="auto" w:fill="auto"/>
            <w:noWrap/>
            <w:vAlign w:val="bottom"/>
            <w:hideMark/>
          </w:tcPr>
          <w:p w14:paraId="26395704"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0.02</w:t>
            </w:r>
          </w:p>
        </w:tc>
      </w:tr>
      <w:tr w:rsidR="003D03F6" w:rsidRPr="00914044" w14:paraId="397E4888"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2F2D8658" w14:textId="77777777" w:rsidR="00607D43" w:rsidRPr="00914044" w:rsidRDefault="00607D43">
            <w:pPr>
              <w:rPr>
                <w:rFonts w:ascii="Calibri" w:eastAsia="Times New Roman" w:hAnsi="Calibri"/>
                <w:color w:val="000000"/>
                <w:sz w:val="16"/>
                <w:szCs w:val="16"/>
                <w:lang w:val="en-US"/>
              </w:rPr>
            </w:pPr>
            <w:proofErr w:type="spellStart"/>
            <w:r w:rsidRPr="00914044">
              <w:rPr>
                <w:rFonts w:ascii="Calibri" w:eastAsia="Times New Roman" w:hAnsi="Calibri"/>
                <w:color w:val="000000"/>
                <w:sz w:val="16"/>
                <w:szCs w:val="16"/>
                <w:lang w:val="en-US"/>
              </w:rPr>
              <w:t>Haemoglobin</w:t>
            </w:r>
            <w:proofErr w:type="spellEnd"/>
            <w:r w:rsidRPr="00914044">
              <w:rPr>
                <w:rFonts w:ascii="Calibri" w:eastAsia="Times New Roman" w:hAnsi="Calibri"/>
                <w:color w:val="000000"/>
                <w:sz w:val="16"/>
                <w:szCs w:val="16"/>
                <w:lang w:val="en-US"/>
              </w:rPr>
              <w:t>, g/</w:t>
            </w:r>
            <w:proofErr w:type="spellStart"/>
            <w:r w:rsidRPr="00914044">
              <w:rPr>
                <w:rFonts w:ascii="Calibri" w:eastAsia="Times New Roman" w:hAnsi="Calibri"/>
                <w:color w:val="000000"/>
                <w:sz w:val="16"/>
                <w:szCs w:val="16"/>
                <w:lang w:val="en-US"/>
              </w:rPr>
              <w:t>dL</w:t>
            </w:r>
            <w:proofErr w:type="spellEnd"/>
            <w:r w:rsidRPr="00914044">
              <w:rPr>
                <w:rFonts w:ascii="Calibri" w:eastAsia="Times New Roman" w:hAnsi="Calibri"/>
                <w:color w:val="000000"/>
                <w:sz w:val="16"/>
                <w:szCs w:val="16"/>
                <w:lang w:val="en-US"/>
              </w:rPr>
              <w:t>: mean (SD)</w:t>
            </w:r>
          </w:p>
        </w:tc>
        <w:tc>
          <w:tcPr>
            <w:tcW w:w="1701" w:type="dxa"/>
            <w:tcBorders>
              <w:top w:val="nil"/>
              <w:left w:val="nil"/>
              <w:bottom w:val="nil"/>
              <w:right w:val="nil"/>
            </w:tcBorders>
            <w:shd w:val="clear" w:color="auto" w:fill="auto"/>
            <w:noWrap/>
            <w:vAlign w:val="bottom"/>
            <w:hideMark/>
          </w:tcPr>
          <w:p w14:paraId="008797F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12.36 (1.85)</w:t>
            </w:r>
          </w:p>
        </w:tc>
        <w:tc>
          <w:tcPr>
            <w:tcW w:w="992" w:type="dxa"/>
            <w:tcBorders>
              <w:top w:val="nil"/>
              <w:left w:val="nil"/>
              <w:bottom w:val="nil"/>
              <w:right w:val="nil"/>
            </w:tcBorders>
            <w:shd w:val="clear" w:color="auto" w:fill="auto"/>
            <w:noWrap/>
            <w:vAlign w:val="bottom"/>
            <w:hideMark/>
          </w:tcPr>
          <w:p w14:paraId="6CDDB455"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 (1)</w:t>
            </w:r>
          </w:p>
        </w:tc>
        <w:tc>
          <w:tcPr>
            <w:tcW w:w="715" w:type="dxa"/>
            <w:gridSpan w:val="2"/>
            <w:tcBorders>
              <w:top w:val="nil"/>
              <w:left w:val="nil"/>
              <w:bottom w:val="nil"/>
              <w:right w:val="single" w:sz="4" w:space="0" w:color="auto"/>
            </w:tcBorders>
            <w:shd w:val="clear" w:color="auto" w:fill="auto"/>
            <w:noWrap/>
            <w:vAlign w:val="bottom"/>
            <w:hideMark/>
          </w:tcPr>
          <w:p w14:paraId="105C2206"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0.004</w:t>
            </w:r>
          </w:p>
        </w:tc>
        <w:tc>
          <w:tcPr>
            <w:tcW w:w="1311" w:type="dxa"/>
            <w:tcBorders>
              <w:top w:val="nil"/>
              <w:left w:val="nil"/>
              <w:bottom w:val="nil"/>
              <w:right w:val="nil"/>
            </w:tcBorders>
            <w:shd w:val="clear" w:color="auto" w:fill="auto"/>
            <w:noWrap/>
            <w:vAlign w:val="bottom"/>
            <w:hideMark/>
          </w:tcPr>
          <w:p w14:paraId="3991EE4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12.79 (1.73)</w:t>
            </w:r>
          </w:p>
        </w:tc>
        <w:tc>
          <w:tcPr>
            <w:tcW w:w="1099" w:type="dxa"/>
            <w:tcBorders>
              <w:top w:val="nil"/>
              <w:left w:val="nil"/>
              <w:bottom w:val="nil"/>
              <w:right w:val="nil"/>
            </w:tcBorders>
            <w:shd w:val="clear" w:color="auto" w:fill="auto"/>
            <w:noWrap/>
            <w:vAlign w:val="bottom"/>
            <w:hideMark/>
          </w:tcPr>
          <w:p w14:paraId="2E6E4F0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 (2)</w:t>
            </w:r>
          </w:p>
        </w:tc>
        <w:tc>
          <w:tcPr>
            <w:tcW w:w="986" w:type="dxa"/>
            <w:tcBorders>
              <w:top w:val="nil"/>
              <w:left w:val="nil"/>
              <w:bottom w:val="nil"/>
              <w:right w:val="single" w:sz="4" w:space="0" w:color="auto"/>
            </w:tcBorders>
            <w:shd w:val="clear" w:color="auto" w:fill="auto"/>
            <w:noWrap/>
            <w:vAlign w:val="bottom"/>
            <w:hideMark/>
          </w:tcPr>
          <w:p w14:paraId="58DA1BA7"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&lt;0.00001</w:t>
            </w:r>
          </w:p>
        </w:tc>
        <w:tc>
          <w:tcPr>
            <w:tcW w:w="1498" w:type="dxa"/>
            <w:tcBorders>
              <w:top w:val="nil"/>
              <w:left w:val="nil"/>
              <w:bottom w:val="nil"/>
              <w:right w:val="nil"/>
            </w:tcBorders>
            <w:shd w:val="clear" w:color="auto" w:fill="auto"/>
            <w:noWrap/>
            <w:vAlign w:val="bottom"/>
            <w:hideMark/>
          </w:tcPr>
          <w:p w14:paraId="4263AF48"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12.4 (1.87)</w:t>
            </w:r>
          </w:p>
        </w:tc>
        <w:tc>
          <w:tcPr>
            <w:tcW w:w="1241" w:type="dxa"/>
            <w:tcBorders>
              <w:top w:val="nil"/>
              <w:left w:val="nil"/>
              <w:bottom w:val="nil"/>
              <w:right w:val="nil"/>
            </w:tcBorders>
            <w:shd w:val="clear" w:color="auto" w:fill="auto"/>
            <w:noWrap/>
            <w:vAlign w:val="bottom"/>
            <w:hideMark/>
          </w:tcPr>
          <w:p w14:paraId="0548404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12.23 (1.68)</w:t>
            </w:r>
          </w:p>
        </w:tc>
        <w:tc>
          <w:tcPr>
            <w:tcW w:w="1514" w:type="dxa"/>
            <w:tcBorders>
              <w:top w:val="nil"/>
              <w:left w:val="nil"/>
              <w:bottom w:val="nil"/>
              <w:right w:val="single" w:sz="4" w:space="0" w:color="auto"/>
            </w:tcBorders>
            <w:shd w:val="clear" w:color="auto" w:fill="auto"/>
            <w:noWrap/>
            <w:vAlign w:val="bottom"/>
            <w:hideMark/>
          </w:tcPr>
          <w:p w14:paraId="3FD71646"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0.17</w:t>
            </w:r>
          </w:p>
        </w:tc>
      </w:tr>
      <w:tr w:rsidR="00635710" w:rsidRPr="00914044" w14:paraId="77C88F63"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3CB15FB9"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 xml:space="preserve">Creatinine, </w:t>
            </w:r>
            <w:proofErr w:type="spellStart"/>
            <w:r w:rsidRPr="00914044">
              <w:rPr>
                <w:rFonts w:ascii="Calibri" w:eastAsia="Times New Roman" w:hAnsi="Calibri"/>
                <w:color w:val="000000"/>
                <w:sz w:val="16"/>
                <w:szCs w:val="16"/>
                <w:lang w:val="en-US"/>
              </w:rPr>
              <w:t>mmol</w:t>
            </w:r>
            <w:proofErr w:type="spellEnd"/>
            <w:r w:rsidRPr="00914044">
              <w:rPr>
                <w:rFonts w:ascii="Calibri" w:eastAsia="Times New Roman" w:hAnsi="Calibri"/>
                <w:color w:val="000000"/>
                <w:sz w:val="16"/>
                <w:szCs w:val="16"/>
                <w:lang w:val="en-US"/>
              </w:rPr>
              <w:t>/L: median (IQR)</w:t>
            </w:r>
          </w:p>
        </w:tc>
        <w:tc>
          <w:tcPr>
            <w:tcW w:w="1701" w:type="dxa"/>
            <w:tcBorders>
              <w:top w:val="nil"/>
              <w:left w:val="nil"/>
              <w:bottom w:val="nil"/>
              <w:right w:val="nil"/>
            </w:tcBorders>
            <w:shd w:val="clear" w:color="auto" w:fill="auto"/>
            <w:noWrap/>
            <w:vAlign w:val="bottom"/>
            <w:hideMark/>
          </w:tcPr>
          <w:p w14:paraId="7BB21FA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486 (461-510)</w:t>
            </w:r>
          </w:p>
        </w:tc>
        <w:tc>
          <w:tcPr>
            <w:tcW w:w="992" w:type="dxa"/>
            <w:tcBorders>
              <w:top w:val="nil"/>
              <w:left w:val="nil"/>
              <w:bottom w:val="nil"/>
              <w:right w:val="nil"/>
            </w:tcBorders>
            <w:shd w:val="clear" w:color="auto" w:fill="auto"/>
            <w:noWrap/>
            <w:vAlign w:val="bottom"/>
            <w:hideMark/>
          </w:tcPr>
          <w:p w14:paraId="7B748B7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488 (461-508)</w:t>
            </w:r>
          </w:p>
        </w:tc>
        <w:tc>
          <w:tcPr>
            <w:tcW w:w="715" w:type="dxa"/>
            <w:gridSpan w:val="2"/>
            <w:tcBorders>
              <w:top w:val="nil"/>
              <w:left w:val="nil"/>
              <w:bottom w:val="nil"/>
              <w:right w:val="single" w:sz="4" w:space="0" w:color="auto"/>
            </w:tcBorders>
            <w:shd w:val="clear" w:color="auto" w:fill="auto"/>
            <w:noWrap/>
            <w:vAlign w:val="bottom"/>
            <w:hideMark/>
          </w:tcPr>
          <w:p w14:paraId="4117AA73"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0.55</w:t>
            </w:r>
          </w:p>
        </w:tc>
        <w:tc>
          <w:tcPr>
            <w:tcW w:w="1311" w:type="dxa"/>
            <w:tcBorders>
              <w:top w:val="nil"/>
              <w:left w:val="nil"/>
              <w:bottom w:val="nil"/>
              <w:right w:val="nil"/>
            </w:tcBorders>
            <w:shd w:val="clear" w:color="auto" w:fill="auto"/>
            <w:noWrap/>
            <w:vAlign w:val="bottom"/>
            <w:hideMark/>
          </w:tcPr>
          <w:p w14:paraId="43F2E39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482 (476-502)</w:t>
            </w:r>
          </w:p>
        </w:tc>
        <w:tc>
          <w:tcPr>
            <w:tcW w:w="1099" w:type="dxa"/>
            <w:tcBorders>
              <w:top w:val="nil"/>
              <w:left w:val="nil"/>
              <w:bottom w:val="nil"/>
              <w:right w:val="nil"/>
            </w:tcBorders>
            <w:shd w:val="clear" w:color="auto" w:fill="auto"/>
            <w:noWrap/>
            <w:vAlign w:val="bottom"/>
            <w:hideMark/>
          </w:tcPr>
          <w:p w14:paraId="5812856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500 (476-527)</w:t>
            </w:r>
          </w:p>
        </w:tc>
        <w:tc>
          <w:tcPr>
            <w:tcW w:w="986" w:type="dxa"/>
            <w:tcBorders>
              <w:top w:val="nil"/>
              <w:left w:val="nil"/>
              <w:bottom w:val="nil"/>
              <w:right w:val="single" w:sz="4" w:space="0" w:color="auto"/>
            </w:tcBorders>
            <w:shd w:val="clear" w:color="auto" w:fill="auto"/>
            <w:noWrap/>
            <w:vAlign w:val="bottom"/>
            <w:hideMark/>
          </w:tcPr>
          <w:p w14:paraId="5993AC6F"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&lt;0.00001</w:t>
            </w:r>
          </w:p>
        </w:tc>
        <w:tc>
          <w:tcPr>
            <w:tcW w:w="1498" w:type="dxa"/>
            <w:tcBorders>
              <w:top w:val="nil"/>
              <w:left w:val="nil"/>
              <w:bottom w:val="nil"/>
              <w:right w:val="nil"/>
            </w:tcBorders>
            <w:shd w:val="clear" w:color="auto" w:fill="auto"/>
            <w:noWrap/>
            <w:vAlign w:val="bottom"/>
            <w:hideMark/>
          </w:tcPr>
          <w:p w14:paraId="114B022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489 (451-514)</w:t>
            </w:r>
          </w:p>
        </w:tc>
        <w:tc>
          <w:tcPr>
            <w:tcW w:w="1241" w:type="dxa"/>
            <w:tcBorders>
              <w:top w:val="nil"/>
              <w:left w:val="nil"/>
              <w:bottom w:val="nil"/>
              <w:right w:val="nil"/>
            </w:tcBorders>
            <w:shd w:val="clear" w:color="auto" w:fill="auto"/>
            <w:noWrap/>
            <w:vAlign w:val="bottom"/>
            <w:hideMark/>
          </w:tcPr>
          <w:p w14:paraId="059D83B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472 (451-491)</w:t>
            </w:r>
          </w:p>
        </w:tc>
        <w:tc>
          <w:tcPr>
            <w:tcW w:w="1514" w:type="dxa"/>
            <w:tcBorders>
              <w:top w:val="nil"/>
              <w:left w:val="nil"/>
              <w:bottom w:val="nil"/>
              <w:right w:val="single" w:sz="4" w:space="0" w:color="auto"/>
            </w:tcBorders>
            <w:shd w:val="clear" w:color="auto" w:fill="auto"/>
            <w:noWrap/>
            <w:vAlign w:val="bottom"/>
            <w:hideMark/>
          </w:tcPr>
          <w:p w14:paraId="06D36B50"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&lt;0.00001</w:t>
            </w:r>
          </w:p>
        </w:tc>
      </w:tr>
      <w:tr w:rsidR="003D03F6" w:rsidRPr="00914044" w14:paraId="395F0DAA"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6431B31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 xml:space="preserve">BUN, </w:t>
            </w:r>
            <w:proofErr w:type="spellStart"/>
            <w:r w:rsidRPr="00914044">
              <w:rPr>
                <w:rFonts w:ascii="Calibri" w:eastAsia="Times New Roman" w:hAnsi="Calibri"/>
                <w:color w:val="000000"/>
                <w:sz w:val="16"/>
                <w:szCs w:val="16"/>
              </w:rPr>
              <w:t>mmol</w:t>
            </w:r>
            <w:proofErr w:type="spellEnd"/>
            <w:r w:rsidRPr="00914044">
              <w:rPr>
                <w:rFonts w:ascii="Calibri" w:eastAsia="Times New Roman" w:hAnsi="Calibri"/>
                <w:color w:val="000000"/>
                <w:sz w:val="16"/>
                <w:szCs w:val="16"/>
              </w:rPr>
              <w:t xml:space="preserve">/L: </w:t>
            </w:r>
            <w:proofErr w:type="spellStart"/>
            <w:r w:rsidRPr="00914044">
              <w:rPr>
                <w:rFonts w:ascii="Calibri" w:eastAsia="Times New Roman" w:hAnsi="Calibri"/>
                <w:color w:val="000000"/>
                <w:sz w:val="16"/>
                <w:szCs w:val="16"/>
              </w:rPr>
              <w:t>median</w:t>
            </w:r>
            <w:proofErr w:type="spellEnd"/>
            <w:r w:rsidRPr="00914044">
              <w:rPr>
                <w:rFonts w:ascii="Calibri" w:eastAsia="Times New Roman" w:hAnsi="Calibri"/>
                <w:color w:val="000000"/>
                <w:sz w:val="16"/>
                <w:szCs w:val="16"/>
              </w:rPr>
              <w:t xml:space="preserve"> (IQR)</w:t>
            </w:r>
          </w:p>
        </w:tc>
        <w:tc>
          <w:tcPr>
            <w:tcW w:w="1701" w:type="dxa"/>
            <w:tcBorders>
              <w:top w:val="nil"/>
              <w:left w:val="nil"/>
              <w:bottom w:val="nil"/>
              <w:right w:val="nil"/>
            </w:tcBorders>
            <w:shd w:val="clear" w:color="auto" w:fill="auto"/>
            <w:noWrap/>
            <w:vAlign w:val="bottom"/>
            <w:hideMark/>
          </w:tcPr>
          <w:p w14:paraId="61AF4E7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28 (26.9-33.6)</w:t>
            </w:r>
          </w:p>
        </w:tc>
        <w:tc>
          <w:tcPr>
            <w:tcW w:w="992" w:type="dxa"/>
            <w:tcBorders>
              <w:top w:val="nil"/>
              <w:left w:val="nil"/>
              <w:bottom w:val="nil"/>
              <w:right w:val="nil"/>
            </w:tcBorders>
            <w:shd w:val="clear" w:color="auto" w:fill="auto"/>
            <w:noWrap/>
            <w:vAlign w:val="bottom"/>
            <w:hideMark/>
          </w:tcPr>
          <w:p w14:paraId="1D6138E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33 (27-36)</w:t>
            </w:r>
          </w:p>
        </w:tc>
        <w:tc>
          <w:tcPr>
            <w:tcW w:w="715" w:type="dxa"/>
            <w:gridSpan w:val="2"/>
            <w:tcBorders>
              <w:top w:val="nil"/>
              <w:left w:val="nil"/>
              <w:bottom w:val="nil"/>
              <w:right w:val="single" w:sz="4" w:space="0" w:color="auto"/>
            </w:tcBorders>
            <w:shd w:val="clear" w:color="auto" w:fill="auto"/>
            <w:noWrap/>
            <w:vAlign w:val="bottom"/>
            <w:hideMark/>
          </w:tcPr>
          <w:p w14:paraId="35D055A0"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0.002</w:t>
            </w:r>
          </w:p>
        </w:tc>
        <w:tc>
          <w:tcPr>
            <w:tcW w:w="1311" w:type="dxa"/>
            <w:tcBorders>
              <w:top w:val="nil"/>
              <w:left w:val="nil"/>
              <w:bottom w:val="nil"/>
              <w:right w:val="nil"/>
            </w:tcBorders>
            <w:shd w:val="clear" w:color="auto" w:fill="auto"/>
            <w:noWrap/>
            <w:vAlign w:val="bottom"/>
            <w:hideMark/>
          </w:tcPr>
          <w:p w14:paraId="1471A9F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27.4 (24.4-32.8)</w:t>
            </w:r>
          </w:p>
        </w:tc>
        <w:tc>
          <w:tcPr>
            <w:tcW w:w="1099" w:type="dxa"/>
            <w:tcBorders>
              <w:top w:val="nil"/>
              <w:left w:val="nil"/>
              <w:bottom w:val="nil"/>
              <w:right w:val="nil"/>
            </w:tcBorders>
            <w:shd w:val="clear" w:color="auto" w:fill="auto"/>
            <w:noWrap/>
            <w:vAlign w:val="bottom"/>
            <w:hideMark/>
          </w:tcPr>
          <w:p w14:paraId="6791AC6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29 (24-35)</w:t>
            </w:r>
          </w:p>
        </w:tc>
        <w:tc>
          <w:tcPr>
            <w:tcW w:w="986" w:type="dxa"/>
            <w:tcBorders>
              <w:top w:val="nil"/>
              <w:left w:val="nil"/>
              <w:bottom w:val="nil"/>
              <w:right w:val="single" w:sz="4" w:space="0" w:color="auto"/>
            </w:tcBorders>
            <w:shd w:val="clear" w:color="auto" w:fill="auto"/>
            <w:noWrap/>
            <w:vAlign w:val="bottom"/>
            <w:hideMark/>
          </w:tcPr>
          <w:p w14:paraId="5A902FE1"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0.0001</w:t>
            </w:r>
          </w:p>
        </w:tc>
        <w:tc>
          <w:tcPr>
            <w:tcW w:w="1498" w:type="dxa"/>
            <w:tcBorders>
              <w:top w:val="nil"/>
              <w:left w:val="nil"/>
              <w:bottom w:val="nil"/>
              <w:right w:val="nil"/>
            </w:tcBorders>
            <w:shd w:val="clear" w:color="auto" w:fill="auto"/>
            <w:noWrap/>
            <w:vAlign w:val="bottom"/>
            <w:hideMark/>
          </w:tcPr>
          <w:p w14:paraId="6889AE9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28.4 (21.5-34)</w:t>
            </w:r>
          </w:p>
        </w:tc>
        <w:tc>
          <w:tcPr>
            <w:tcW w:w="1241" w:type="dxa"/>
            <w:tcBorders>
              <w:top w:val="nil"/>
              <w:left w:val="nil"/>
              <w:bottom w:val="nil"/>
              <w:right w:val="nil"/>
            </w:tcBorders>
            <w:shd w:val="clear" w:color="auto" w:fill="auto"/>
            <w:noWrap/>
            <w:vAlign w:val="bottom"/>
            <w:hideMark/>
          </w:tcPr>
          <w:p w14:paraId="04FCC21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25.2 (21.5-30.5)</w:t>
            </w:r>
          </w:p>
        </w:tc>
        <w:tc>
          <w:tcPr>
            <w:tcW w:w="1514" w:type="dxa"/>
            <w:tcBorders>
              <w:top w:val="nil"/>
              <w:left w:val="nil"/>
              <w:bottom w:val="nil"/>
              <w:right w:val="single" w:sz="4" w:space="0" w:color="auto"/>
            </w:tcBorders>
            <w:shd w:val="clear" w:color="auto" w:fill="auto"/>
            <w:noWrap/>
            <w:vAlign w:val="bottom"/>
            <w:hideMark/>
          </w:tcPr>
          <w:p w14:paraId="6FAF766C"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&lt;0.00001</w:t>
            </w:r>
          </w:p>
        </w:tc>
      </w:tr>
      <w:tr w:rsidR="00635710" w:rsidRPr="00914044" w14:paraId="443F7A81"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0E9BF320"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GFR MDRD formula, mL/min.1.73m2: mean (SD)</w:t>
            </w:r>
          </w:p>
        </w:tc>
        <w:tc>
          <w:tcPr>
            <w:tcW w:w="1701" w:type="dxa"/>
            <w:tcBorders>
              <w:top w:val="nil"/>
              <w:left w:val="nil"/>
              <w:bottom w:val="nil"/>
              <w:right w:val="nil"/>
            </w:tcBorders>
            <w:shd w:val="clear" w:color="auto" w:fill="auto"/>
            <w:noWrap/>
            <w:vAlign w:val="bottom"/>
            <w:hideMark/>
          </w:tcPr>
          <w:p w14:paraId="0FCAC73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66 (23)</w:t>
            </w:r>
          </w:p>
        </w:tc>
        <w:tc>
          <w:tcPr>
            <w:tcW w:w="992" w:type="dxa"/>
            <w:tcBorders>
              <w:top w:val="nil"/>
              <w:left w:val="nil"/>
              <w:bottom w:val="nil"/>
              <w:right w:val="nil"/>
            </w:tcBorders>
            <w:shd w:val="clear" w:color="auto" w:fill="auto"/>
            <w:noWrap/>
            <w:vAlign w:val="bottom"/>
            <w:hideMark/>
          </w:tcPr>
          <w:p w14:paraId="7149C32D"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70 (25)</w:t>
            </w:r>
          </w:p>
        </w:tc>
        <w:tc>
          <w:tcPr>
            <w:tcW w:w="715" w:type="dxa"/>
            <w:gridSpan w:val="2"/>
            <w:tcBorders>
              <w:top w:val="nil"/>
              <w:left w:val="nil"/>
              <w:bottom w:val="nil"/>
              <w:right w:val="single" w:sz="4" w:space="0" w:color="auto"/>
            </w:tcBorders>
            <w:shd w:val="clear" w:color="auto" w:fill="auto"/>
            <w:noWrap/>
            <w:vAlign w:val="bottom"/>
            <w:hideMark/>
          </w:tcPr>
          <w:p w14:paraId="35D17DA6"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0.29</w:t>
            </w:r>
          </w:p>
        </w:tc>
        <w:tc>
          <w:tcPr>
            <w:tcW w:w="1311" w:type="dxa"/>
            <w:tcBorders>
              <w:top w:val="nil"/>
              <w:left w:val="nil"/>
              <w:bottom w:val="nil"/>
              <w:right w:val="nil"/>
            </w:tcBorders>
            <w:shd w:val="clear" w:color="auto" w:fill="auto"/>
            <w:noWrap/>
            <w:vAlign w:val="bottom"/>
            <w:hideMark/>
          </w:tcPr>
          <w:p w14:paraId="40CE1D2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70 (22)</w:t>
            </w:r>
          </w:p>
        </w:tc>
        <w:tc>
          <w:tcPr>
            <w:tcW w:w="1099" w:type="dxa"/>
            <w:tcBorders>
              <w:top w:val="nil"/>
              <w:left w:val="nil"/>
              <w:bottom w:val="nil"/>
              <w:right w:val="nil"/>
            </w:tcBorders>
            <w:shd w:val="clear" w:color="auto" w:fill="auto"/>
            <w:noWrap/>
            <w:vAlign w:val="bottom"/>
            <w:hideMark/>
          </w:tcPr>
          <w:p w14:paraId="3E411E7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56 (23)</w:t>
            </w:r>
          </w:p>
        </w:tc>
        <w:tc>
          <w:tcPr>
            <w:tcW w:w="986" w:type="dxa"/>
            <w:tcBorders>
              <w:top w:val="nil"/>
              <w:left w:val="nil"/>
              <w:bottom w:val="nil"/>
              <w:right w:val="single" w:sz="4" w:space="0" w:color="auto"/>
            </w:tcBorders>
            <w:shd w:val="clear" w:color="auto" w:fill="auto"/>
            <w:noWrap/>
            <w:vAlign w:val="bottom"/>
            <w:hideMark/>
          </w:tcPr>
          <w:p w14:paraId="633A5EA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&lt;0.00001</w:t>
            </w:r>
          </w:p>
        </w:tc>
        <w:tc>
          <w:tcPr>
            <w:tcW w:w="1498" w:type="dxa"/>
            <w:tcBorders>
              <w:top w:val="nil"/>
              <w:left w:val="nil"/>
              <w:bottom w:val="nil"/>
              <w:right w:val="nil"/>
            </w:tcBorders>
            <w:shd w:val="clear" w:color="auto" w:fill="auto"/>
            <w:noWrap/>
            <w:vAlign w:val="bottom"/>
            <w:hideMark/>
          </w:tcPr>
          <w:p w14:paraId="514EC31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64 (23)</w:t>
            </w:r>
          </w:p>
        </w:tc>
        <w:tc>
          <w:tcPr>
            <w:tcW w:w="1241" w:type="dxa"/>
            <w:tcBorders>
              <w:top w:val="nil"/>
              <w:left w:val="nil"/>
              <w:bottom w:val="nil"/>
              <w:right w:val="nil"/>
            </w:tcBorders>
            <w:shd w:val="clear" w:color="auto" w:fill="auto"/>
            <w:noWrap/>
            <w:vAlign w:val="bottom"/>
            <w:hideMark/>
          </w:tcPr>
          <w:p w14:paraId="559F956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78.16 (21.68)</w:t>
            </w:r>
          </w:p>
        </w:tc>
        <w:tc>
          <w:tcPr>
            <w:tcW w:w="1514" w:type="dxa"/>
            <w:tcBorders>
              <w:top w:val="nil"/>
              <w:left w:val="nil"/>
              <w:bottom w:val="nil"/>
              <w:right w:val="single" w:sz="4" w:space="0" w:color="auto"/>
            </w:tcBorders>
            <w:shd w:val="clear" w:color="auto" w:fill="auto"/>
            <w:noWrap/>
            <w:vAlign w:val="bottom"/>
            <w:hideMark/>
          </w:tcPr>
          <w:p w14:paraId="6632C1BE"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&lt;0.00001</w:t>
            </w:r>
          </w:p>
        </w:tc>
      </w:tr>
      <w:tr w:rsidR="00635710" w:rsidRPr="00914044" w14:paraId="56B3DB7E"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524B7098"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 xml:space="preserve">Sodium, </w:t>
            </w:r>
            <w:proofErr w:type="spellStart"/>
            <w:r w:rsidRPr="00914044">
              <w:rPr>
                <w:rFonts w:ascii="Calibri" w:eastAsia="Times New Roman" w:hAnsi="Calibri"/>
                <w:color w:val="000000"/>
                <w:sz w:val="16"/>
                <w:szCs w:val="16"/>
                <w:lang w:val="en-US"/>
              </w:rPr>
              <w:t>mmol</w:t>
            </w:r>
            <w:proofErr w:type="spellEnd"/>
            <w:r w:rsidRPr="00914044">
              <w:rPr>
                <w:rFonts w:ascii="Calibri" w:eastAsia="Times New Roman" w:hAnsi="Calibri"/>
                <w:color w:val="000000"/>
                <w:sz w:val="16"/>
                <w:szCs w:val="16"/>
                <w:lang w:val="en-US"/>
              </w:rPr>
              <w:t>/L: mean (SD)</w:t>
            </w:r>
          </w:p>
        </w:tc>
        <w:tc>
          <w:tcPr>
            <w:tcW w:w="1701" w:type="dxa"/>
            <w:tcBorders>
              <w:top w:val="nil"/>
              <w:left w:val="nil"/>
              <w:bottom w:val="nil"/>
              <w:right w:val="nil"/>
            </w:tcBorders>
            <w:shd w:val="clear" w:color="auto" w:fill="auto"/>
            <w:noWrap/>
            <w:vAlign w:val="bottom"/>
            <w:hideMark/>
          </w:tcPr>
          <w:p w14:paraId="332B46DE"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138.28 (3.75)</w:t>
            </w:r>
          </w:p>
        </w:tc>
        <w:tc>
          <w:tcPr>
            <w:tcW w:w="992" w:type="dxa"/>
            <w:tcBorders>
              <w:top w:val="nil"/>
              <w:left w:val="nil"/>
              <w:bottom w:val="nil"/>
              <w:right w:val="nil"/>
            </w:tcBorders>
            <w:shd w:val="clear" w:color="auto" w:fill="auto"/>
            <w:noWrap/>
            <w:vAlign w:val="bottom"/>
            <w:hideMark/>
          </w:tcPr>
          <w:p w14:paraId="1E4A8FB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138.95 (3.88)</w:t>
            </w:r>
          </w:p>
        </w:tc>
        <w:tc>
          <w:tcPr>
            <w:tcW w:w="715" w:type="dxa"/>
            <w:gridSpan w:val="2"/>
            <w:tcBorders>
              <w:top w:val="nil"/>
              <w:left w:val="nil"/>
              <w:bottom w:val="nil"/>
              <w:right w:val="single" w:sz="4" w:space="0" w:color="auto"/>
            </w:tcBorders>
            <w:shd w:val="clear" w:color="auto" w:fill="auto"/>
            <w:noWrap/>
            <w:vAlign w:val="bottom"/>
            <w:hideMark/>
          </w:tcPr>
          <w:p w14:paraId="2D780386"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0.27</w:t>
            </w:r>
          </w:p>
        </w:tc>
        <w:tc>
          <w:tcPr>
            <w:tcW w:w="1311" w:type="dxa"/>
            <w:tcBorders>
              <w:top w:val="nil"/>
              <w:left w:val="nil"/>
              <w:bottom w:val="nil"/>
              <w:right w:val="nil"/>
            </w:tcBorders>
            <w:shd w:val="clear" w:color="auto" w:fill="auto"/>
            <w:noWrap/>
            <w:vAlign w:val="bottom"/>
            <w:hideMark/>
          </w:tcPr>
          <w:p w14:paraId="702BED50"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138.42 (3.64)</w:t>
            </w:r>
          </w:p>
        </w:tc>
        <w:tc>
          <w:tcPr>
            <w:tcW w:w="1099" w:type="dxa"/>
            <w:tcBorders>
              <w:top w:val="nil"/>
              <w:left w:val="nil"/>
              <w:bottom w:val="nil"/>
              <w:right w:val="nil"/>
            </w:tcBorders>
            <w:shd w:val="clear" w:color="auto" w:fill="auto"/>
            <w:noWrap/>
            <w:vAlign w:val="bottom"/>
            <w:hideMark/>
          </w:tcPr>
          <w:p w14:paraId="603C1AC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138.03 (3.97)</w:t>
            </w:r>
          </w:p>
        </w:tc>
        <w:tc>
          <w:tcPr>
            <w:tcW w:w="986" w:type="dxa"/>
            <w:tcBorders>
              <w:top w:val="nil"/>
              <w:left w:val="nil"/>
              <w:bottom w:val="nil"/>
              <w:right w:val="single" w:sz="4" w:space="0" w:color="auto"/>
            </w:tcBorders>
            <w:shd w:val="clear" w:color="auto" w:fill="auto"/>
            <w:noWrap/>
            <w:vAlign w:val="bottom"/>
            <w:hideMark/>
          </w:tcPr>
          <w:p w14:paraId="7CDB78B0"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0.04</w:t>
            </w:r>
          </w:p>
        </w:tc>
        <w:tc>
          <w:tcPr>
            <w:tcW w:w="1498" w:type="dxa"/>
            <w:tcBorders>
              <w:top w:val="nil"/>
              <w:left w:val="nil"/>
              <w:bottom w:val="nil"/>
              <w:right w:val="nil"/>
            </w:tcBorders>
            <w:shd w:val="clear" w:color="auto" w:fill="auto"/>
            <w:noWrap/>
            <w:vAlign w:val="bottom"/>
            <w:hideMark/>
          </w:tcPr>
          <w:p w14:paraId="0AB1ED94"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138.11 (3.84)</w:t>
            </w:r>
          </w:p>
        </w:tc>
        <w:tc>
          <w:tcPr>
            <w:tcW w:w="1241" w:type="dxa"/>
            <w:tcBorders>
              <w:top w:val="nil"/>
              <w:left w:val="nil"/>
              <w:bottom w:val="nil"/>
              <w:right w:val="nil"/>
            </w:tcBorders>
            <w:shd w:val="clear" w:color="auto" w:fill="auto"/>
            <w:noWrap/>
            <w:vAlign w:val="bottom"/>
            <w:hideMark/>
          </w:tcPr>
          <w:p w14:paraId="66F4012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139.58 (2.79)</w:t>
            </w:r>
          </w:p>
        </w:tc>
        <w:tc>
          <w:tcPr>
            <w:tcW w:w="1514" w:type="dxa"/>
            <w:tcBorders>
              <w:top w:val="nil"/>
              <w:left w:val="nil"/>
              <w:bottom w:val="nil"/>
              <w:right w:val="single" w:sz="4" w:space="0" w:color="auto"/>
            </w:tcBorders>
            <w:shd w:val="clear" w:color="auto" w:fill="auto"/>
            <w:noWrap/>
            <w:vAlign w:val="bottom"/>
            <w:hideMark/>
          </w:tcPr>
          <w:p w14:paraId="39DC624C"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&lt;0.00001</w:t>
            </w:r>
          </w:p>
        </w:tc>
      </w:tr>
      <w:tr w:rsidR="00635710" w:rsidRPr="00914044" w14:paraId="5E17BAD7" w14:textId="77777777" w:rsidTr="00914044">
        <w:trPr>
          <w:trHeight w:val="220"/>
        </w:trPr>
        <w:tc>
          <w:tcPr>
            <w:tcW w:w="3544" w:type="dxa"/>
            <w:tcBorders>
              <w:top w:val="nil"/>
              <w:left w:val="nil"/>
              <w:bottom w:val="nil"/>
              <w:right w:val="single" w:sz="4" w:space="0" w:color="auto"/>
            </w:tcBorders>
            <w:shd w:val="clear" w:color="auto" w:fill="auto"/>
            <w:noWrap/>
            <w:vAlign w:val="bottom"/>
            <w:hideMark/>
          </w:tcPr>
          <w:p w14:paraId="4CF86177"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 xml:space="preserve">Potassium, </w:t>
            </w:r>
            <w:proofErr w:type="spellStart"/>
            <w:r w:rsidRPr="00914044">
              <w:rPr>
                <w:rFonts w:ascii="Calibri" w:eastAsia="Times New Roman" w:hAnsi="Calibri"/>
                <w:color w:val="000000"/>
                <w:sz w:val="16"/>
                <w:szCs w:val="16"/>
                <w:lang w:val="en-US"/>
              </w:rPr>
              <w:t>mmol</w:t>
            </w:r>
            <w:proofErr w:type="spellEnd"/>
            <w:r w:rsidRPr="00914044">
              <w:rPr>
                <w:rFonts w:ascii="Calibri" w:eastAsia="Times New Roman" w:hAnsi="Calibri"/>
                <w:color w:val="000000"/>
                <w:sz w:val="16"/>
                <w:szCs w:val="16"/>
                <w:lang w:val="en-US"/>
              </w:rPr>
              <w:t>/L: mean (SD)</w:t>
            </w:r>
          </w:p>
        </w:tc>
        <w:tc>
          <w:tcPr>
            <w:tcW w:w="1701" w:type="dxa"/>
            <w:tcBorders>
              <w:top w:val="nil"/>
              <w:left w:val="nil"/>
              <w:bottom w:val="nil"/>
              <w:right w:val="nil"/>
            </w:tcBorders>
            <w:shd w:val="clear" w:color="auto" w:fill="auto"/>
            <w:noWrap/>
            <w:vAlign w:val="bottom"/>
            <w:hideMark/>
          </w:tcPr>
          <w:p w14:paraId="6FBFF34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3.27 (0.55)</w:t>
            </w:r>
          </w:p>
        </w:tc>
        <w:tc>
          <w:tcPr>
            <w:tcW w:w="992" w:type="dxa"/>
            <w:tcBorders>
              <w:top w:val="nil"/>
              <w:left w:val="nil"/>
              <w:bottom w:val="nil"/>
              <w:right w:val="nil"/>
            </w:tcBorders>
            <w:shd w:val="clear" w:color="auto" w:fill="auto"/>
            <w:noWrap/>
            <w:vAlign w:val="bottom"/>
            <w:hideMark/>
          </w:tcPr>
          <w:p w14:paraId="31E433C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3.29 (0.53)</w:t>
            </w:r>
          </w:p>
        </w:tc>
        <w:tc>
          <w:tcPr>
            <w:tcW w:w="715" w:type="dxa"/>
            <w:gridSpan w:val="2"/>
            <w:tcBorders>
              <w:top w:val="nil"/>
              <w:left w:val="nil"/>
              <w:bottom w:val="nil"/>
              <w:right w:val="single" w:sz="4" w:space="0" w:color="auto"/>
            </w:tcBorders>
            <w:shd w:val="clear" w:color="auto" w:fill="auto"/>
            <w:noWrap/>
            <w:vAlign w:val="bottom"/>
            <w:hideMark/>
          </w:tcPr>
          <w:p w14:paraId="1AA3E6AA"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0.86</w:t>
            </w:r>
          </w:p>
        </w:tc>
        <w:tc>
          <w:tcPr>
            <w:tcW w:w="1311" w:type="dxa"/>
            <w:tcBorders>
              <w:top w:val="nil"/>
              <w:left w:val="nil"/>
              <w:bottom w:val="nil"/>
              <w:right w:val="nil"/>
            </w:tcBorders>
            <w:shd w:val="clear" w:color="auto" w:fill="auto"/>
            <w:noWrap/>
            <w:vAlign w:val="bottom"/>
            <w:hideMark/>
          </w:tcPr>
          <w:p w14:paraId="1CD4BB2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3.26 (0.53)</w:t>
            </w:r>
          </w:p>
        </w:tc>
        <w:tc>
          <w:tcPr>
            <w:tcW w:w="1099" w:type="dxa"/>
            <w:tcBorders>
              <w:top w:val="nil"/>
              <w:left w:val="nil"/>
              <w:bottom w:val="nil"/>
              <w:right w:val="nil"/>
            </w:tcBorders>
            <w:shd w:val="clear" w:color="auto" w:fill="auto"/>
            <w:noWrap/>
            <w:vAlign w:val="bottom"/>
            <w:hideMark/>
          </w:tcPr>
          <w:p w14:paraId="281CDE9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3.31 (0.58)</w:t>
            </w:r>
          </w:p>
        </w:tc>
        <w:tc>
          <w:tcPr>
            <w:tcW w:w="986" w:type="dxa"/>
            <w:tcBorders>
              <w:top w:val="nil"/>
              <w:left w:val="nil"/>
              <w:bottom w:val="nil"/>
              <w:right w:val="single" w:sz="4" w:space="0" w:color="auto"/>
            </w:tcBorders>
            <w:shd w:val="clear" w:color="auto" w:fill="auto"/>
            <w:noWrap/>
            <w:vAlign w:val="bottom"/>
            <w:hideMark/>
          </w:tcPr>
          <w:p w14:paraId="76947117"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0.08</w:t>
            </w:r>
          </w:p>
        </w:tc>
        <w:tc>
          <w:tcPr>
            <w:tcW w:w="1498" w:type="dxa"/>
            <w:tcBorders>
              <w:top w:val="nil"/>
              <w:left w:val="nil"/>
              <w:bottom w:val="nil"/>
              <w:right w:val="nil"/>
            </w:tcBorders>
            <w:shd w:val="clear" w:color="auto" w:fill="auto"/>
            <w:noWrap/>
            <w:vAlign w:val="bottom"/>
            <w:hideMark/>
          </w:tcPr>
          <w:p w14:paraId="37C37392"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3.27 (0.55)</w:t>
            </w:r>
          </w:p>
        </w:tc>
        <w:tc>
          <w:tcPr>
            <w:tcW w:w="1241" w:type="dxa"/>
            <w:tcBorders>
              <w:top w:val="nil"/>
              <w:left w:val="nil"/>
              <w:bottom w:val="nil"/>
              <w:right w:val="nil"/>
            </w:tcBorders>
            <w:shd w:val="clear" w:color="auto" w:fill="auto"/>
            <w:noWrap/>
            <w:vAlign w:val="bottom"/>
            <w:hideMark/>
          </w:tcPr>
          <w:p w14:paraId="60357763"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3.33 (0.52)</w:t>
            </w:r>
          </w:p>
        </w:tc>
        <w:tc>
          <w:tcPr>
            <w:tcW w:w="1514" w:type="dxa"/>
            <w:tcBorders>
              <w:top w:val="nil"/>
              <w:left w:val="nil"/>
              <w:bottom w:val="nil"/>
              <w:right w:val="single" w:sz="4" w:space="0" w:color="auto"/>
            </w:tcBorders>
            <w:shd w:val="clear" w:color="auto" w:fill="auto"/>
            <w:noWrap/>
            <w:vAlign w:val="bottom"/>
            <w:hideMark/>
          </w:tcPr>
          <w:p w14:paraId="7E31F883"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0.1</w:t>
            </w:r>
          </w:p>
        </w:tc>
      </w:tr>
      <w:tr w:rsidR="003D03F6" w14:paraId="26032AA7" w14:textId="77777777" w:rsidTr="00914044">
        <w:trPr>
          <w:trHeight w:val="220"/>
        </w:trPr>
        <w:tc>
          <w:tcPr>
            <w:tcW w:w="3544" w:type="dxa"/>
            <w:tcBorders>
              <w:top w:val="nil"/>
              <w:left w:val="nil"/>
              <w:bottom w:val="single" w:sz="4" w:space="0" w:color="auto"/>
              <w:right w:val="single" w:sz="4" w:space="0" w:color="auto"/>
            </w:tcBorders>
            <w:shd w:val="clear" w:color="auto" w:fill="auto"/>
            <w:noWrap/>
            <w:vAlign w:val="bottom"/>
            <w:hideMark/>
          </w:tcPr>
          <w:p w14:paraId="4F67B0AF" w14:textId="77777777" w:rsidR="00607D43" w:rsidRPr="00914044" w:rsidRDefault="00607D43">
            <w:pPr>
              <w:rPr>
                <w:rFonts w:ascii="Calibri" w:eastAsia="Times New Roman" w:hAnsi="Calibri"/>
                <w:color w:val="000000"/>
                <w:sz w:val="16"/>
                <w:szCs w:val="16"/>
                <w:lang w:val="en-US"/>
              </w:rPr>
            </w:pPr>
            <w:r w:rsidRPr="00914044">
              <w:rPr>
                <w:rFonts w:ascii="Calibri" w:eastAsia="Times New Roman" w:hAnsi="Calibri"/>
                <w:color w:val="000000"/>
                <w:sz w:val="16"/>
                <w:szCs w:val="16"/>
                <w:lang w:val="en-US"/>
              </w:rPr>
              <w:t xml:space="preserve">BNP, </w:t>
            </w:r>
            <w:proofErr w:type="spellStart"/>
            <w:r w:rsidRPr="00914044">
              <w:rPr>
                <w:rFonts w:ascii="Calibri" w:eastAsia="Times New Roman" w:hAnsi="Calibri"/>
                <w:color w:val="000000"/>
                <w:sz w:val="16"/>
                <w:szCs w:val="16"/>
                <w:lang w:val="en-US"/>
              </w:rPr>
              <w:t>pg</w:t>
            </w:r>
            <w:proofErr w:type="spellEnd"/>
            <w:r w:rsidRPr="00914044">
              <w:rPr>
                <w:rFonts w:ascii="Calibri" w:eastAsia="Times New Roman" w:hAnsi="Calibri"/>
                <w:color w:val="000000"/>
                <w:sz w:val="16"/>
                <w:szCs w:val="16"/>
                <w:lang w:val="en-US"/>
              </w:rPr>
              <w:t>/mL: median (IQR)</w:t>
            </w:r>
          </w:p>
        </w:tc>
        <w:tc>
          <w:tcPr>
            <w:tcW w:w="1701" w:type="dxa"/>
            <w:tcBorders>
              <w:top w:val="nil"/>
              <w:left w:val="nil"/>
              <w:bottom w:val="single" w:sz="4" w:space="0" w:color="auto"/>
              <w:right w:val="nil"/>
            </w:tcBorders>
            <w:shd w:val="clear" w:color="auto" w:fill="auto"/>
            <w:noWrap/>
            <w:vAlign w:val="bottom"/>
            <w:hideMark/>
          </w:tcPr>
          <w:p w14:paraId="57F1F699"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3985 (2090-4357)</w:t>
            </w:r>
          </w:p>
        </w:tc>
        <w:tc>
          <w:tcPr>
            <w:tcW w:w="992" w:type="dxa"/>
            <w:tcBorders>
              <w:top w:val="nil"/>
              <w:left w:val="nil"/>
              <w:bottom w:val="single" w:sz="4" w:space="0" w:color="auto"/>
              <w:right w:val="nil"/>
            </w:tcBorders>
            <w:shd w:val="clear" w:color="auto" w:fill="auto"/>
            <w:noWrap/>
            <w:vAlign w:val="bottom"/>
            <w:hideMark/>
          </w:tcPr>
          <w:p w14:paraId="788E414B"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3124 (2090-3823)</w:t>
            </w:r>
          </w:p>
        </w:tc>
        <w:tc>
          <w:tcPr>
            <w:tcW w:w="715" w:type="dxa"/>
            <w:gridSpan w:val="2"/>
            <w:tcBorders>
              <w:top w:val="nil"/>
              <w:left w:val="nil"/>
              <w:bottom w:val="single" w:sz="4" w:space="0" w:color="auto"/>
              <w:right w:val="single" w:sz="4" w:space="0" w:color="auto"/>
            </w:tcBorders>
            <w:shd w:val="clear" w:color="auto" w:fill="auto"/>
            <w:noWrap/>
            <w:vAlign w:val="bottom"/>
            <w:hideMark/>
          </w:tcPr>
          <w:p w14:paraId="046BC1CD"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0.04</w:t>
            </w:r>
          </w:p>
        </w:tc>
        <w:tc>
          <w:tcPr>
            <w:tcW w:w="1311" w:type="dxa"/>
            <w:tcBorders>
              <w:top w:val="nil"/>
              <w:left w:val="nil"/>
              <w:bottom w:val="single" w:sz="4" w:space="0" w:color="auto"/>
              <w:right w:val="nil"/>
            </w:tcBorders>
            <w:shd w:val="clear" w:color="auto" w:fill="auto"/>
            <w:noWrap/>
            <w:vAlign w:val="bottom"/>
            <w:hideMark/>
          </w:tcPr>
          <w:p w14:paraId="34F68A26"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3914 (3744-4282)</w:t>
            </w:r>
          </w:p>
        </w:tc>
        <w:tc>
          <w:tcPr>
            <w:tcW w:w="1099" w:type="dxa"/>
            <w:tcBorders>
              <w:top w:val="nil"/>
              <w:left w:val="nil"/>
              <w:bottom w:val="single" w:sz="4" w:space="0" w:color="auto"/>
              <w:right w:val="nil"/>
            </w:tcBorders>
            <w:shd w:val="clear" w:color="auto" w:fill="auto"/>
            <w:noWrap/>
            <w:vAlign w:val="bottom"/>
            <w:hideMark/>
          </w:tcPr>
          <w:p w14:paraId="711EA1E1"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4182 (3744-4457)</w:t>
            </w:r>
          </w:p>
        </w:tc>
        <w:tc>
          <w:tcPr>
            <w:tcW w:w="986" w:type="dxa"/>
            <w:tcBorders>
              <w:top w:val="nil"/>
              <w:left w:val="nil"/>
              <w:bottom w:val="single" w:sz="4" w:space="0" w:color="auto"/>
              <w:right w:val="single" w:sz="4" w:space="0" w:color="auto"/>
            </w:tcBorders>
            <w:shd w:val="clear" w:color="auto" w:fill="auto"/>
            <w:noWrap/>
            <w:vAlign w:val="bottom"/>
            <w:hideMark/>
          </w:tcPr>
          <w:p w14:paraId="3F3518EB" w14:textId="77777777" w:rsidR="00607D43" w:rsidRPr="00914044"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0.008</w:t>
            </w:r>
          </w:p>
        </w:tc>
        <w:tc>
          <w:tcPr>
            <w:tcW w:w="1498" w:type="dxa"/>
            <w:tcBorders>
              <w:top w:val="nil"/>
              <w:left w:val="nil"/>
              <w:bottom w:val="single" w:sz="4" w:space="0" w:color="auto"/>
              <w:right w:val="nil"/>
            </w:tcBorders>
            <w:shd w:val="clear" w:color="auto" w:fill="auto"/>
            <w:noWrap/>
            <w:vAlign w:val="bottom"/>
            <w:hideMark/>
          </w:tcPr>
          <w:p w14:paraId="7309C3AA"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3999 (2631-4394)</w:t>
            </w:r>
          </w:p>
        </w:tc>
        <w:tc>
          <w:tcPr>
            <w:tcW w:w="1241" w:type="dxa"/>
            <w:tcBorders>
              <w:top w:val="nil"/>
              <w:left w:val="nil"/>
              <w:bottom w:val="single" w:sz="4" w:space="0" w:color="auto"/>
              <w:right w:val="nil"/>
            </w:tcBorders>
            <w:shd w:val="clear" w:color="auto" w:fill="auto"/>
            <w:noWrap/>
            <w:vAlign w:val="bottom"/>
            <w:hideMark/>
          </w:tcPr>
          <w:p w14:paraId="58A437DC" w14:textId="77777777" w:rsidR="00607D43" w:rsidRPr="00914044" w:rsidRDefault="00607D43">
            <w:pPr>
              <w:rPr>
                <w:rFonts w:ascii="Calibri" w:eastAsia="Times New Roman" w:hAnsi="Calibri"/>
                <w:color w:val="000000"/>
                <w:sz w:val="16"/>
                <w:szCs w:val="16"/>
              </w:rPr>
            </w:pPr>
            <w:r w:rsidRPr="00914044">
              <w:rPr>
                <w:rFonts w:ascii="Calibri" w:eastAsia="Times New Roman" w:hAnsi="Calibri"/>
                <w:color w:val="000000"/>
                <w:sz w:val="16"/>
                <w:szCs w:val="16"/>
              </w:rPr>
              <w:t>3403 (2631-3877)</w:t>
            </w:r>
          </w:p>
        </w:tc>
        <w:tc>
          <w:tcPr>
            <w:tcW w:w="1514" w:type="dxa"/>
            <w:tcBorders>
              <w:top w:val="nil"/>
              <w:left w:val="nil"/>
              <w:bottom w:val="single" w:sz="4" w:space="0" w:color="auto"/>
              <w:right w:val="single" w:sz="4" w:space="0" w:color="auto"/>
            </w:tcBorders>
            <w:shd w:val="clear" w:color="auto" w:fill="auto"/>
            <w:noWrap/>
            <w:vAlign w:val="bottom"/>
            <w:hideMark/>
          </w:tcPr>
          <w:p w14:paraId="2EFFCA5D" w14:textId="77777777" w:rsidR="00607D43" w:rsidRDefault="00607D43">
            <w:pPr>
              <w:jc w:val="right"/>
              <w:rPr>
                <w:rFonts w:ascii="Calibri" w:eastAsia="Times New Roman" w:hAnsi="Calibri"/>
                <w:color w:val="000000"/>
                <w:sz w:val="16"/>
                <w:szCs w:val="16"/>
              </w:rPr>
            </w:pPr>
            <w:r w:rsidRPr="00914044">
              <w:rPr>
                <w:rFonts w:ascii="Calibri" w:eastAsia="Times New Roman" w:hAnsi="Calibri"/>
                <w:color w:val="000000"/>
                <w:sz w:val="16"/>
                <w:szCs w:val="16"/>
              </w:rPr>
              <w:t>0.004</w:t>
            </w:r>
          </w:p>
        </w:tc>
      </w:tr>
    </w:tbl>
    <w:p w14:paraId="53DF41FD" w14:textId="22506672" w:rsidR="000D0028" w:rsidRPr="001C748B" w:rsidRDefault="000D0028" w:rsidP="001C748B"/>
    <w:sectPr w:rsidR="000D0028" w:rsidRPr="001C748B" w:rsidSect="004F4BB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7A74BF" w14:textId="77777777" w:rsidR="002D1084" w:rsidRDefault="002D1084" w:rsidP="00082D8E">
      <w:r>
        <w:separator/>
      </w:r>
    </w:p>
  </w:endnote>
  <w:endnote w:type="continuationSeparator" w:id="0">
    <w:p w14:paraId="56F9284E" w14:textId="77777777" w:rsidR="002D1084" w:rsidRDefault="002D1084" w:rsidP="00082D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Helvetica">
    <w:panose1 w:val="00000000000000000000"/>
    <w:charset w:val="00"/>
    <w:family w:val="swiss"/>
    <w:pitch w:val="variable"/>
    <w:sig w:usb0="E00002FF" w:usb1="5000785B"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2FE1BA" w14:textId="77777777" w:rsidR="00642CDB" w:rsidRDefault="00642CDB" w:rsidP="00C55C39">
    <w:pPr>
      <w:pStyle w:val="Voettekst"/>
      <w:framePr w:wrap="none" w:vAnchor="text" w:hAnchor="margin" w:xAlign="center" w:y="1"/>
      <w:rPr>
        <w:rStyle w:val="Paginanummer"/>
      </w:rPr>
    </w:pPr>
    <w:r>
      <w:rPr>
        <w:rStyle w:val="Paginanummer"/>
      </w:rPr>
      <w:fldChar w:fldCharType="begin"/>
    </w:r>
    <w:r>
      <w:rPr>
        <w:rStyle w:val="Paginanummer"/>
      </w:rPr>
      <w:instrText xml:space="preserve">PAGE  </w:instrText>
    </w:r>
    <w:r>
      <w:rPr>
        <w:rStyle w:val="Paginanummer"/>
      </w:rPr>
      <w:fldChar w:fldCharType="end"/>
    </w:r>
  </w:p>
  <w:p w14:paraId="68B0801E" w14:textId="77777777" w:rsidR="00642CDB" w:rsidRDefault="00642CDB">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E38D95" w14:textId="77777777" w:rsidR="002D1084" w:rsidRDefault="002D1084" w:rsidP="00082D8E">
      <w:r>
        <w:separator/>
      </w:r>
    </w:p>
  </w:footnote>
  <w:footnote w:type="continuationSeparator" w:id="0">
    <w:p w14:paraId="0DA63B8B" w14:textId="77777777" w:rsidR="002D1084" w:rsidRDefault="002D1084" w:rsidP="00082D8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EF52121"/>
    <w:multiLevelType w:val="hybridMultilevel"/>
    <w:tmpl w:val="60BC921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35CC1288"/>
    <w:multiLevelType w:val="hybridMultilevel"/>
    <w:tmpl w:val="78408C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B365FAE"/>
    <w:multiLevelType w:val="hybridMultilevel"/>
    <w:tmpl w:val="EF7867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43F0E65"/>
    <w:multiLevelType w:val="hybridMultilevel"/>
    <w:tmpl w:val="C3B80E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C706392"/>
    <w:multiLevelType w:val="hybridMultilevel"/>
    <w:tmpl w:val="7104FE88"/>
    <w:lvl w:ilvl="0" w:tplc="6F50E2AC">
      <w:numFmt w:val="bullet"/>
      <w:lvlText w:val="-"/>
      <w:lvlJc w:val="left"/>
      <w:pPr>
        <w:ind w:left="720" w:hanging="360"/>
      </w:pPr>
      <w:rPr>
        <w:rFonts w:ascii="Calibri" w:eastAsiaTheme="minorHAns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72D40449"/>
    <w:multiLevelType w:val="hybridMultilevel"/>
    <w:tmpl w:val="9216BE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B3577CE"/>
    <w:multiLevelType w:val="hybridMultilevel"/>
    <w:tmpl w:val="B7A836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4"/>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2"/>
  <w:activeWritingStyle w:appName="MSWord" w:lang="nl-NL" w:vendorID="64" w:dllVersion="0" w:nlCheck="1" w:checkStyle="0"/>
  <w:activeWritingStyle w:appName="MSWord" w:lang="en-US" w:vendorID="64" w:dllVersion="0" w:nlCheck="1" w:checkStyle="0"/>
  <w:activeWritingStyle w:appName="MSWord" w:lang="en-GB" w:vendorID="64" w:dllVersion="0" w:nlCheck="1" w:checkStyle="0"/>
  <w:activeWritingStyle w:appName="MSWord" w:lang="de-DE" w:vendorID="64" w:dllVersion="0" w:nlCheck="1" w:checkStyle="0"/>
  <w:activeWritingStyle w:appName="MSWord" w:lang="fr-FR"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11A"/>
    <w:rsid w:val="00000599"/>
    <w:rsid w:val="000007A4"/>
    <w:rsid w:val="00000E79"/>
    <w:rsid w:val="000020FF"/>
    <w:rsid w:val="00002883"/>
    <w:rsid w:val="00002CEE"/>
    <w:rsid w:val="00004013"/>
    <w:rsid w:val="00004AB7"/>
    <w:rsid w:val="00004EB4"/>
    <w:rsid w:val="00005684"/>
    <w:rsid w:val="00005FD3"/>
    <w:rsid w:val="00006B13"/>
    <w:rsid w:val="0000711A"/>
    <w:rsid w:val="00007B58"/>
    <w:rsid w:val="0001000A"/>
    <w:rsid w:val="00010830"/>
    <w:rsid w:val="00010ACE"/>
    <w:rsid w:val="00011187"/>
    <w:rsid w:val="0001133E"/>
    <w:rsid w:val="0001173B"/>
    <w:rsid w:val="00012554"/>
    <w:rsid w:val="00012C06"/>
    <w:rsid w:val="00013E97"/>
    <w:rsid w:val="00014B9D"/>
    <w:rsid w:val="00014DCC"/>
    <w:rsid w:val="000153DA"/>
    <w:rsid w:val="00016A7E"/>
    <w:rsid w:val="00017DFC"/>
    <w:rsid w:val="00022436"/>
    <w:rsid w:val="0002256F"/>
    <w:rsid w:val="00022E98"/>
    <w:rsid w:val="0002318E"/>
    <w:rsid w:val="0002320D"/>
    <w:rsid w:val="000233DE"/>
    <w:rsid w:val="000234C1"/>
    <w:rsid w:val="00023B2E"/>
    <w:rsid w:val="000248F7"/>
    <w:rsid w:val="00024C13"/>
    <w:rsid w:val="00025678"/>
    <w:rsid w:val="00025C98"/>
    <w:rsid w:val="000277EA"/>
    <w:rsid w:val="00031253"/>
    <w:rsid w:val="0003170E"/>
    <w:rsid w:val="00032015"/>
    <w:rsid w:val="0003291C"/>
    <w:rsid w:val="000333C5"/>
    <w:rsid w:val="00033E05"/>
    <w:rsid w:val="00033E41"/>
    <w:rsid w:val="00033E4D"/>
    <w:rsid w:val="000344F0"/>
    <w:rsid w:val="00035037"/>
    <w:rsid w:val="000351A4"/>
    <w:rsid w:val="000366BF"/>
    <w:rsid w:val="00036C4C"/>
    <w:rsid w:val="0003782E"/>
    <w:rsid w:val="00041561"/>
    <w:rsid w:val="00041D38"/>
    <w:rsid w:val="00042218"/>
    <w:rsid w:val="00042D7A"/>
    <w:rsid w:val="00045ABF"/>
    <w:rsid w:val="00045FC8"/>
    <w:rsid w:val="00046065"/>
    <w:rsid w:val="00046D0E"/>
    <w:rsid w:val="00050066"/>
    <w:rsid w:val="0005033D"/>
    <w:rsid w:val="00050543"/>
    <w:rsid w:val="0005106A"/>
    <w:rsid w:val="000514AF"/>
    <w:rsid w:val="00051D40"/>
    <w:rsid w:val="00055938"/>
    <w:rsid w:val="00056CC1"/>
    <w:rsid w:val="00057C0C"/>
    <w:rsid w:val="00060555"/>
    <w:rsid w:val="00060D50"/>
    <w:rsid w:val="00061EB6"/>
    <w:rsid w:val="00064414"/>
    <w:rsid w:val="000648B8"/>
    <w:rsid w:val="00064B10"/>
    <w:rsid w:val="00065F20"/>
    <w:rsid w:val="000670A5"/>
    <w:rsid w:val="00067D72"/>
    <w:rsid w:val="00071C5B"/>
    <w:rsid w:val="00071E12"/>
    <w:rsid w:val="0007280C"/>
    <w:rsid w:val="000728A1"/>
    <w:rsid w:val="0007397F"/>
    <w:rsid w:val="0007476A"/>
    <w:rsid w:val="00075234"/>
    <w:rsid w:val="000767C2"/>
    <w:rsid w:val="000774F7"/>
    <w:rsid w:val="000808E3"/>
    <w:rsid w:val="00080B0C"/>
    <w:rsid w:val="00081E23"/>
    <w:rsid w:val="00082D8E"/>
    <w:rsid w:val="00084046"/>
    <w:rsid w:val="000847CD"/>
    <w:rsid w:val="00084D95"/>
    <w:rsid w:val="0008507F"/>
    <w:rsid w:val="000857DE"/>
    <w:rsid w:val="000862C0"/>
    <w:rsid w:val="00086D5B"/>
    <w:rsid w:val="00087216"/>
    <w:rsid w:val="00087A1C"/>
    <w:rsid w:val="000925B4"/>
    <w:rsid w:val="0009327D"/>
    <w:rsid w:val="00093754"/>
    <w:rsid w:val="00093B00"/>
    <w:rsid w:val="00094703"/>
    <w:rsid w:val="00097B5C"/>
    <w:rsid w:val="000A075A"/>
    <w:rsid w:val="000A0A62"/>
    <w:rsid w:val="000A1288"/>
    <w:rsid w:val="000A218A"/>
    <w:rsid w:val="000A2B0B"/>
    <w:rsid w:val="000A3710"/>
    <w:rsid w:val="000A3AA4"/>
    <w:rsid w:val="000A3AC8"/>
    <w:rsid w:val="000A3D7E"/>
    <w:rsid w:val="000A4173"/>
    <w:rsid w:val="000A5D8D"/>
    <w:rsid w:val="000B1C16"/>
    <w:rsid w:val="000B1D1A"/>
    <w:rsid w:val="000B1DC7"/>
    <w:rsid w:val="000B2C0C"/>
    <w:rsid w:val="000B4D04"/>
    <w:rsid w:val="000B512E"/>
    <w:rsid w:val="000B588E"/>
    <w:rsid w:val="000B598F"/>
    <w:rsid w:val="000B5BB1"/>
    <w:rsid w:val="000B6A88"/>
    <w:rsid w:val="000B7467"/>
    <w:rsid w:val="000B7DF3"/>
    <w:rsid w:val="000C02E3"/>
    <w:rsid w:val="000C0D07"/>
    <w:rsid w:val="000C13CB"/>
    <w:rsid w:val="000C2508"/>
    <w:rsid w:val="000C2DD0"/>
    <w:rsid w:val="000C3627"/>
    <w:rsid w:val="000C3A45"/>
    <w:rsid w:val="000C3DC5"/>
    <w:rsid w:val="000C4129"/>
    <w:rsid w:val="000C4B4C"/>
    <w:rsid w:val="000C4D9A"/>
    <w:rsid w:val="000C6168"/>
    <w:rsid w:val="000C626F"/>
    <w:rsid w:val="000C6567"/>
    <w:rsid w:val="000C6860"/>
    <w:rsid w:val="000D0028"/>
    <w:rsid w:val="000D0613"/>
    <w:rsid w:val="000D1688"/>
    <w:rsid w:val="000D1FA2"/>
    <w:rsid w:val="000D3AB8"/>
    <w:rsid w:val="000D4318"/>
    <w:rsid w:val="000D4389"/>
    <w:rsid w:val="000D577E"/>
    <w:rsid w:val="000D5E18"/>
    <w:rsid w:val="000D66A8"/>
    <w:rsid w:val="000D7734"/>
    <w:rsid w:val="000E08B9"/>
    <w:rsid w:val="000E09ED"/>
    <w:rsid w:val="000E1144"/>
    <w:rsid w:val="000E278B"/>
    <w:rsid w:val="000E2BD5"/>
    <w:rsid w:val="000E2CD7"/>
    <w:rsid w:val="000E4CAE"/>
    <w:rsid w:val="000E5434"/>
    <w:rsid w:val="000E5CB4"/>
    <w:rsid w:val="000E651E"/>
    <w:rsid w:val="000E6542"/>
    <w:rsid w:val="000F04AF"/>
    <w:rsid w:val="000F123C"/>
    <w:rsid w:val="000F312C"/>
    <w:rsid w:val="000F3AD1"/>
    <w:rsid w:val="000F5117"/>
    <w:rsid w:val="000F5651"/>
    <w:rsid w:val="000F6155"/>
    <w:rsid w:val="000F6BBC"/>
    <w:rsid w:val="001008DE"/>
    <w:rsid w:val="00101047"/>
    <w:rsid w:val="00101FA6"/>
    <w:rsid w:val="0010262E"/>
    <w:rsid w:val="00104550"/>
    <w:rsid w:val="00105EC7"/>
    <w:rsid w:val="0010669F"/>
    <w:rsid w:val="00106DEC"/>
    <w:rsid w:val="00107B3F"/>
    <w:rsid w:val="00111C0A"/>
    <w:rsid w:val="00111FD7"/>
    <w:rsid w:val="0011223D"/>
    <w:rsid w:val="0011243D"/>
    <w:rsid w:val="00113D18"/>
    <w:rsid w:val="0011451C"/>
    <w:rsid w:val="00115939"/>
    <w:rsid w:val="00115B5F"/>
    <w:rsid w:val="00115D2D"/>
    <w:rsid w:val="00116C68"/>
    <w:rsid w:val="00122675"/>
    <w:rsid w:val="00122A9C"/>
    <w:rsid w:val="00122FEC"/>
    <w:rsid w:val="0012309F"/>
    <w:rsid w:val="001237A4"/>
    <w:rsid w:val="001239A9"/>
    <w:rsid w:val="00123B69"/>
    <w:rsid w:val="00124F30"/>
    <w:rsid w:val="00125001"/>
    <w:rsid w:val="00127EE4"/>
    <w:rsid w:val="00130395"/>
    <w:rsid w:val="00130E38"/>
    <w:rsid w:val="001315CE"/>
    <w:rsid w:val="001329AD"/>
    <w:rsid w:val="00132F1F"/>
    <w:rsid w:val="00133502"/>
    <w:rsid w:val="00133DD9"/>
    <w:rsid w:val="00136164"/>
    <w:rsid w:val="001374B8"/>
    <w:rsid w:val="001379EB"/>
    <w:rsid w:val="00137B0A"/>
    <w:rsid w:val="00140323"/>
    <w:rsid w:val="0014061F"/>
    <w:rsid w:val="00140B4E"/>
    <w:rsid w:val="00140C51"/>
    <w:rsid w:val="00143DEC"/>
    <w:rsid w:val="001440C9"/>
    <w:rsid w:val="00147137"/>
    <w:rsid w:val="0014740E"/>
    <w:rsid w:val="0015071E"/>
    <w:rsid w:val="00150D56"/>
    <w:rsid w:val="00151484"/>
    <w:rsid w:val="001525B4"/>
    <w:rsid w:val="0015365A"/>
    <w:rsid w:val="00153E95"/>
    <w:rsid w:val="001542E0"/>
    <w:rsid w:val="001545AC"/>
    <w:rsid w:val="00154AFB"/>
    <w:rsid w:val="00155D0C"/>
    <w:rsid w:val="00156BC4"/>
    <w:rsid w:val="001575CD"/>
    <w:rsid w:val="0015799C"/>
    <w:rsid w:val="0016124D"/>
    <w:rsid w:val="00162942"/>
    <w:rsid w:val="00164966"/>
    <w:rsid w:val="00164C41"/>
    <w:rsid w:val="00165238"/>
    <w:rsid w:val="00166675"/>
    <w:rsid w:val="00166D8B"/>
    <w:rsid w:val="0017035E"/>
    <w:rsid w:val="00170E61"/>
    <w:rsid w:val="001711AD"/>
    <w:rsid w:val="00171239"/>
    <w:rsid w:val="001713DF"/>
    <w:rsid w:val="00171E54"/>
    <w:rsid w:val="00172C77"/>
    <w:rsid w:val="00175374"/>
    <w:rsid w:val="00176764"/>
    <w:rsid w:val="00177BB3"/>
    <w:rsid w:val="00177F45"/>
    <w:rsid w:val="00180524"/>
    <w:rsid w:val="001805E5"/>
    <w:rsid w:val="00180F50"/>
    <w:rsid w:val="00182095"/>
    <w:rsid w:val="00182384"/>
    <w:rsid w:val="00183FB0"/>
    <w:rsid w:val="001840C8"/>
    <w:rsid w:val="001851F7"/>
    <w:rsid w:val="0018531A"/>
    <w:rsid w:val="00185B5C"/>
    <w:rsid w:val="00187EC5"/>
    <w:rsid w:val="00191C8C"/>
    <w:rsid w:val="00191DCF"/>
    <w:rsid w:val="00191DD9"/>
    <w:rsid w:val="00194E9C"/>
    <w:rsid w:val="00194F02"/>
    <w:rsid w:val="00195DB7"/>
    <w:rsid w:val="0019695B"/>
    <w:rsid w:val="00196D9A"/>
    <w:rsid w:val="001A1D0D"/>
    <w:rsid w:val="001A1F8D"/>
    <w:rsid w:val="001A2D40"/>
    <w:rsid w:val="001A4013"/>
    <w:rsid w:val="001A47B5"/>
    <w:rsid w:val="001A7245"/>
    <w:rsid w:val="001A77ED"/>
    <w:rsid w:val="001B04D7"/>
    <w:rsid w:val="001B3632"/>
    <w:rsid w:val="001B5342"/>
    <w:rsid w:val="001B58F7"/>
    <w:rsid w:val="001B63E0"/>
    <w:rsid w:val="001B6460"/>
    <w:rsid w:val="001B712C"/>
    <w:rsid w:val="001B7200"/>
    <w:rsid w:val="001B731E"/>
    <w:rsid w:val="001B74D1"/>
    <w:rsid w:val="001B7E5E"/>
    <w:rsid w:val="001C01C3"/>
    <w:rsid w:val="001C0AFD"/>
    <w:rsid w:val="001C15AF"/>
    <w:rsid w:val="001C19CE"/>
    <w:rsid w:val="001C1FCB"/>
    <w:rsid w:val="001C2656"/>
    <w:rsid w:val="001C2A85"/>
    <w:rsid w:val="001C3AA1"/>
    <w:rsid w:val="001C60A2"/>
    <w:rsid w:val="001C6EA8"/>
    <w:rsid w:val="001C748B"/>
    <w:rsid w:val="001C77D0"/>
    <w:rsid w:val="001C7C40"/>
    <w:rsid w:val="001C7EC0"/>
    <w:rsid w:val="001C7EC5"/>
    <w:rsid w:val="001C7EE9"/>
    <w:rsid w:val="001D0334"/>
    <w:rsid w:val="001D0F6A"/>
    <w:rsid w:val="001D0FCF"/>
    <w:rsid w:val="001D38BE"/>
    <w:rsid w:val="001D3CCD"/>
    <w:rsid w:val="001D47F8"/>
    <w:rsid w:val="001D4945"/>
    <w:rsid w:val="001D4A76"/>
    <w:rsid w:val="001D5B5F"/>
    <w:rsid w:val="001D64B8"/>
    <w:rsid w:val="001D6D50"/>
    <w:rsid w:val="001D7E99"/>
    <w:rsid w:val="001D7EA9"/>
    <w:rsid w:val="001E07CC"/>
    <w:rsid w:val="001E08E9"/>
    <w:rsid w:val="001E161A"/>
    <w:rsid w:val="001E168B"/>
    <w:rsid w:val="001E23FE"/>
    <w:rsid w:val="001E259E"/>
    <w:rsid w:val="001E2B84"/>
    <w:rsid w:val="001E6A19"/>
    <w:rsid w:val="001E72D0"/>
    <w:rsid w:val="001E7438"/>
    <w:rsid w:val="001F0763"/>
    <w:rsid w:val="001F08FB"/>
    <w:rsid w:val="001F0FB1"/>
    <w:rsid w:val="001F2895"/>
    <w:rsid w:val="001F33F7"/>
    <w:rsid w:val="001F41C2"/>
    <w:rsid w:val="001F4200"/>
    <w:rsid w:val="001F5303"/>
    <w:rsid w:val="001F5EDC"/>
    <w:rsid w:val="001F6615"/>
    <w:rsid w:val="00201156"/>
    <w:rsid w:val="0020175B"/>
    <w:rsid w:val="00203419"/>
    <w:rsid w:val="00203527"/>
    <w:rsid w:val="00203785"/>
    <w:rsid w:val="00204046"/>
    <w:rsid w:val="00205296"/>
    <w:rsid w:val="002067BB"/>
    <w:rsid w:val="00207DB3"/>
    <w:rsid w:val="002110A1"/>
    <w:rsid w:val="00211D4F"/>
    <w:rsid w:val="00213638"/>
    <w:rsid w:val="0021431E"/>
    <w:rsid w:val="002145F6"/>
    <w:rsid w:val="0021464B"/>
    <w:rsid w:val="00217736"/>
    <w:rsid w:val="00217AAF"/>
    <w:rsid w:val="00221574"/>
    <w:rsid w:val="00221B4B"/>
    <w:rsid w:val="00221D16"/>
    <w:rsid w:val="002241E9"/>
    <w:rsid w:val="002261A0"/>
    <w:rsid w:val="00227638"/>
    <w:rsid w:val="00227694"/>
    <w:rsid w:val="00227921"/>
    <w:rsid w:val="002279ED"/>
    <w:rsid w:val="0023100F"/>
    <w:rsid w:val="002315EA"/>
    <w:rsid w:val="0023522B"/>
    <w:rsid w:val="002352B6"/>
    <w:rsid w:val="00235663"/>
    <w:rsid w:val="00235BDD"/>
    <w:rsid w:val="002360B8"/>
    <w:rsid w:val="002366F9"/>
    <w:rsid w:val="00236B95"/>
    <w:rsid w:val="00240959"/>
    <w:rsid w:val="00242288"/>
    <w:rsid w:val="00242ED1"/>
    <w:rsid w:val="00244A75"/>
    <w:rsid w:val="00245159"/>
    <w:rsid w:val="00246992"/>
    <w:rsid w:val="0024700D"/>
    <w:rsid w:val="002478E9"/>
    <w:rsid w:val="00250108"/>
    <w:rsid w:val="002515F6"/>
    <w:rsid w:val="0025266F"/>
    <w:rsid w:val="0025439A"/>
    <w:rsid w:val="0025749F"/>
    <w:rsid w:val="00257B4F"/>
    <w:rsid w:val="00257DCD"/>
    <w:rsid w:val="002629DE"/>
    <w:rsid w:val="00262D2F"/>
    <w:rsid w:val="00263461"/>
    <w:rsid w:val="00263F4E"/>
    <w:rsid w:val="002641B3"/>
    <w:rsid w:val="0026515F"/>
    <w:rsid w:val="00265734"/>
    <w:rsid w:val="002731F1"/>
    <w:rsid w:val="00274308"/>
    <w:rsid w:val="00275A05"/>
    <w:rsid w:val="00275C4A"/>
    <w:rsid w:val="00275E26"/>
    <w:rsid w:val="002777BE"/>
    <w:rsid w:val="0028062D"/>
    <w:rsid w:val="002808B5"/>
    <w:rsid w:val="002817B3"/>
    <w:rsid w:val="00281BB7"/>
    <w:rsid w:val="00282D52"/>
    <w:rsid w:val="0028467B"/>
    <w:rsid w:val="0028496F"/>
    <w:rsid w:val="002861DF"/>
    <w:rsid w:val="00287C20"/>
    <w:rsid w:val="00287CB2"/>
    <w:rsid w:val="00287E43"/>
    <w:rsid w:val="0029026D"/>
    <w:rsid w:val="00291F5C"/>
    <w:rsid w:val="00291FB7"/>
    <w:rsid w:val="002924F1"/>
    <w:rsid w:val="00292EA5"/>
    <w:rsid w:val="002938E1"/>
    <w:rsid w:val="00293D86"/>
    <w:rsid w:val="0029407F"/>
    <w:rsid w:val="00294605"/>
    <w:rsid w:val="002948A9"/>
    <w:rsid w:val="00294FA3"/>
    <w:rsid w:val="00297A69"/>
    <w:rsid w:val="002A09BB"/>
    <w:rsid w:val="002A0AD2"/>
    <w:rsid w:val="002A1046"/>
    <w:rsid w:val="002A1D5B"/>
    <w:rsid w:val="002A203B"/>
    <w:rsid w:val="002A2147"/>
    <w:rsid w:val="002A52D3"/>
    <w:rsid w:val="002A66E7"/>
    <w:rsid w:val="002A708D"/>
    <w:rsid w:val="002B06CF"/>
    <w:rsid w:val="002B3002"/>
    <w:rsid w:val="002B4184"/>
    <w:rsid w:val="002B45D1"/>
    <w:rsid w:val="002B472F"/>
    <w:rsid w:val="002B492B"/>
    <w:rsid w:val="002B53D3"/>
    <w:rsid w:val="002B5A2D"/>
    <w:rsid w:val="002B5DAA"/>
    <w:rsid w:val="002B71C0"/>
    <w:rsid w:val="002B76BD"/>
    <w:rsid w:val="002C04DF"/>
    <w:rsid w:val="002C2536"/>
    <w:rsid w:val="002C3D19"/>
    <w:rsid w:val="002C41DE"/>
    <w:rsid w:val="002C6AEA"/>
    <w:rsid w:val="002C7476"/>
    <w:rsid w:val="002D0150"/>
    <w:rsid w:val="002D0384"/>
    <w:rsid w:val="002D07E8"/>
    <w:rsid w:val="002D1084"/>
    <w:rsid w:val="002D1118"/>
    <w:rsid w:val="002D17A0"/>
    <w:rsid w:val="002D224A"/>
    <w:rsid w:val="002D284D"/>
    <w:rsid w:val="002D38E4"/>
    <w:rsid w:val="002D51E2"/>
    <w:rsid w:val="002D523A"/>
    <w:rsid w:val="002D527E"/>
    <w:rsid w:val="002D5734"/>
    <w:rsid w:val="002D5765"/>
    <w:rsid w:val="002E202C"/>
    <w:rsid w:val="002E216E"/>
    <w:rsid w:val="002E3159"/>
    <w:rsid w:val="002E4409"/>
    <w:rsid w:val="002E533D"/>
    <w:rsid w:val="002E5DF9"/>
    <w:rsid w:val="002E63BE"/>
    <w:rsid w:val="002E66A0"/>
    <w:rsid w:val="002E798B"/>
    <w:rsid w:val="002F0A55"/>
    <w:rsid w:val="002F12F6"/>
    <w:rsid w:val="002F18A4"/>
    <w:rsid w:val="002F1D72"/>
    <w:rsid w:val="002F2DC7"/>
    <w:rsid w:val="002F2F64"/>
    <w:rsid w:val="002F30B8"/>
    <w:rsid w:val="002F4230"/>
    <w:rsid w:val="002F447B"/>
    <w:rsid w:val="002F5005"/>
    <w:rsid w:val="002F5B29"/>
    <w:rsid w:val="002F7461"/>
    <w:rsid w:val="0030008B"/>
    <w:rsid w:val="003000C9"/>
    <w:rsid w:val="003003D3"/>
    <w:rsid w:val="00300524"/>
    <w:rsid w:val="00300A7F"/>
    <w:rsid w:val="003017C5"/>
    <w:rsid w:val="00301850"/>
    <w:rsid w:val="003038F4"/>
    <w:rsid w:val="00304593"/>
    <w:rsid w:val="00304DC3"/>
    <w:rsid w:val="00305277"/>
    <w:rsid w:val="0030535D"/>
    <w:rsid w:val="0030670B"/>
    <w:rsid w:val="00312246"/>
    <w:rsid w:val="00312F50"/>
    <w:rsid w:val="003132BC"/>
    <w:rsid w:val="00313EA7"/>
    <w:rsid w:val="00314878"/>
    <w:rsid w:val="00315F42"/>
    <w:rsid w:val="0031680F"/>
    <w:rsid w:val="00317468"/>
    <w:rsid w:val="00317D25"/>
    <w:rsid w:val="00320C35"/>
    <w:rsid w:val="003227F9"/>
    <w:rsid w:val="0032280E"/>
    <w:rsid w:val="00322F68"/>
    <w:rsid w:val="00323498"/>
    <w:rsid w:val="00323792"/>
    <w:rsid w:val="0032389E"/>
    <w:rsid w:val="00323D53"/>
    <w:rsid w:val="003250AD"/>
    <w:rsid w:val="00325C3B"/>
    <w:rsid w:val="0032763E"/>
    <w:rsid w:val="0032786E"/>
    <w:rsid w:val="0033252D"/>
    <w:rsid w:val="00332E39"/>
    <w:rsid w:val="00333D3E"/>
    <w:rsid w:val="00334296"/>
    <w:rsid w:val="00335269"/>
    <w:rsid w:val="00335A4E"/>
    <w:rsid w:val="00336477"/>
    <w:rsid w:val="00337C7D"/>
    <w:rsid w:val="00341D59"/>
    <w:rsid w:val="00342371"/>
    <w:rsid w:val="003426EE"/>
    <w:rsid w:val="00342C36"/>
    <w:rsid w:val="00343047"/>
    <w:rsid w:val="00343E58"/>
    <w:rsid w:val="00344047"/>
    <w:rsid w:val="00345957"/>
    <w:rsid w:val="00345A42"/>
    <w:rsid w:val="003478EF"/>
    <w:rsid w:val="00347C3D"/>
    <w:rsid w:val="00350692"/>
    <w:rsid w:val="003512BD"/>
    <w:rsid w:val="00352F16"/>
    <w:rsid w:val="00355C1F"/>
    <w:rsid w:val="00356277"/>
    <w:rsid w:val="00360128"/>
    <w:rsid w:val="003610B5"/>
    <w:rsid w:val="00361DC5"/>
    <w:rsid w:val="00363AC1"/>
    <w:rsid w:val="00364815"/>
    <w:rsid w:val="003648A8"/>
    <w:rsid w:val="0036594A"/>
    <w:rsid w:val="00366226"/>
    <w:rsid w:val="00366A08"/>
    <w:rsid w:val="00366E93"/>
    <w:rsid w:val="003670CE"/>
    <w:rsid w:val="00370891"/>
    <w:rsid w:val="0037173F"/>
    <w:rsid w:val="003717FD"/>
    <w:rsid w:val="00372AB5"/>
    <w:rsid w:val="0037386C"/>
    <w:rsid w:val="00373F0C"/>
    <w:rsid w:val="00374335"/>
    <w:rsid w:val="003750A4"/>
    <w:rsid w:val="00375800"/>
    <w:rsid w:val="00375A95"/>
    <w:rsid w:val="00376839"/>
    <w:rsid w:val="00376983"/>
    <w:rsid w:val="00376BE0"/>
    <w:rsid w:val="00376C49"/>
    <w:rsid w:val="00376F85"/>
    <w:rsid w:val="00381646"/>
    <w:rsid w:val="00381C8F"/>
    <w:rsid w:val="00381E19"/>
    <w:rsid w:val="00382355"/>
    <w:rsid w:val="003824E7"/>
    <w:rsid w:val="00382B2F"/>
    <w:rsid w:val="00383E67"/>
    <w:rsid w:val="00384141"/>
    <w:rsid w:val="003843BD"/>
    <w:rsid w:val="00384588"/>
    <w:rsid w:val="00384A5C"/>
    <w:rsid w:val="00386D67"/>
    <w:rsid w:val="00386FC4"/>
    <w:rsid w:val="00387500"/>
    <w:rsid w:val="0039021E"/>
    <w:rsid w:val="00391252"/>
    <w:rsid w:val="00392167"/>
    <w:rsid w:val="00392619"/>
    <w:rsid w:val="00393025"/>
    <w:rsid w:val="00394DE2"/>
    <w:rsid w:val="00395D68"/>
    <w:rsid w:val="00396E59"/>
    <w:rsid w:val="00396EFE"/>
    <w:rsid w:val="003972B3"/>
    <w:rsid w:val="003977AD"/>
    <w:rsid w:val="00397BED"/>
    <w:rsid w:val="003A09EB"/>
    <w:rsid w:val="003A0B7D"/>
    <w:rsid w:val="003A2D9D"/>
    <w:rsid w:val="003A4814"/>
    <w:rsid w:val="003A4EA5"/>
    <w:rsid w:val="003A6162"/>
    <w:rsid w:val="003A6793"/>
    <w:rsid w:val="003A7089"/>
    <w:rsid w:val="003B0636"/>
    <w:rsid w:val="003B11C3"/>
    <w:rsid w:val="003B1C09"/>
    <w:rsid w:val="003B26A9"/>
    <w:rsid w:val="003B4696"/>
    <w:rsid w:val="003B5BAA"/>
    <w:rsid w:val="003B5FC3"/>
    <w:rsid w:val="003B6C54"/>
    <w:rsid w:val="003B6D56"/>
    <w:rsid w:val="003B705F"/>
    <w:rsid w:val="003C31C4"/>
    <w:rsid w:val="003C538B"/>
    <w:rsid w:val="003C5498"/>
    <w:rsid w:val="003C58E2"/>
    <w:rsid w:val="003C6D4D"/>
    <w:rsid w:val="003C7043"/>
    <w:rsid w:val="003C7CAB"/>
    <w:rsid w:val="003D03F6"/>
    <w:rsid w:val="003D086A"/>
    <w:rsid w:val="003D0D1D"/>
    <w:rsid w:val="003D0D7A"/>
    <w:rsid w:val="003D1292"/>
    <w:rsid w:val="003D151A"/>
    <w:rsid w:val="003D1802"/>
    <w:rsid w:val="003D1EC5"/>
    <w:rsid w:val="003D2968"/>
    <w:rsid w:val="003D3420"/>
    <w:rsid w:val="003D34DF"/>
    <w:rsid w:val="003D4297"/>
    <w:rsid w:val="003D44EC"/>
    <w:rsid w:val="003D498F"/>
    <w:rsid w:val="003D4FA0"/>
    <w:rsid w:val="003D5CC3"/>
    <w:rsid w:val="003D62E4"/>
    <w:rsid w:val="003D6D04"/>
    <w:rsid w:val="003D6DC4"/>
    <w:rsid w:val="003E16E5"/>
    <w:rsid w:val="003E1802"/>
    <w:rsid w:val="003E3A63"/>
    <w:rsid w:val="003E3EE3"/>
    <w:rsid w:val="003E4581"/>
    <w:rsid w:val="003E66A5"/>
    <w:rsid w:val="003E7565"/>
    <w:rsid w:val="003F0040"/>
    <w:rsid w:val="003F0051"/>
    <w:rsid w:val="003F0CFA"/>
    <w:rsid w:val="003F1069"/>
    <w:rsid w:val="003F24DE"/>
    <w:rsid w:val="003F2696"/>
    <w:rsid w:val="003F3305"/>
    <w:rsid w:val="003F37F8"/>
    <w:rsid w:val="003F3891"/>
    <w:rsid w:val="003F41CC"/>
    <w:rsid w:val="003F452F"/>
    <w:rsid w:val="003F5C04"/>
    <w:rsid w:val="003F636B"/>
    <w:rsid w:val="003F6AD4"/>
    <w:rsid w:val="003F777F"/>
    <w:rsid w:val="00403517"/>
    <w:rsid w:val="004044C3"/>
    <w:rsid w:val="00404E7A"/>
    <w:rsid w:val="00405231"/>
    <w:rsid w:val="0040601B"/>
    <w:rsid w:val="00406193"/>
    <w:rsid w:val="00406295"/>
    <w:rsid w:val="0040738A"/>
    <w:rsid w:val="00407A0F"/>
    <w:rsid w:val="00407EC5"/>
    <w:rsid w:val="004100DE"/>
    <w:rsid w:val="004107DD"/>
    <w:rsid w:val="004110A9"/>
    <w:rsid w:val="0041275F"/>
    <w:rsid w:val="00412D05"/>
    <w:rsid w:val="00413801"/>
    <w:rsid w:val="004140A0"/>
    <w:rsid w:val="004158A6"/>
    <w:rsid w:val="004205CF"/>
    <w:rsid w:val="00421D96"/>
    <w:rsid w:val="004223C2"/>
    <w:rsid w:val="00422C06"/>
    <w:rsid w:val="0042345D"/>
    <w:rsid w:val="004262DA"/>
    <w:rsid w:val="004278AB"/>
    <w:rsid w:val="004279E8"/>
    <w:rsid w:val="00430FD4"/>
    <w:rsid w:val="00432B26"/>
    <w:rsid w:val="004339CD"/>
    <w:rsid w:val="004341A5"/>
    <w:rsid w:val="00434326"/>
    <w:rsid w:val="00435020"/>
    <w:rsid w:val="00436788"/>
    <w:rsid w:val="00436DE2"/>
    <w:rsid w:val="00440E63"/>
    <w:rsid w:val="00440E69"/>
    <w:rsid w:val="0044201D"/>
    <w:rsid w:val="00442815"/>
    <w:rsid w:val="00442A61"/>
    <w:rsid w:val="00442AF2"/>
    <w:rsid w:val="004434AA"/>
    <w:rsid w:val="00445486"/>
    <w:rsid w:val="004459BE"/>
    <w:rsid w:val="0044612A"/>
    <w:rsid w:val="00446202"/>
    <w:rsid w:val="004462DF"/>
    <w:rsid w:val="00450116"/>
    <w:rsid w:val="00450BEE"/>
    <w:rsid w:val="00451103"/>
    <w:rsid w:val="00451AE9"/>
    <w:rsid w:val="004523BB"/>
    <w:rsid w:val="004523EB"/>
    <w:rsid w:val="00452DD4"/>
    <w:rsid w:val="00452ECB"/>
    <w:rsid w:val="004533A7"/>
    <w:rsid w:val="004547D2"/>
    <w:rsid w:val="004550E8"/>
    <w:rsid w:val="004555E1"/>
    <w:rsid w:val="004560D4"/>
    <w:rsid w:val="00456DDB"/>
    <w:rsid w:val="00457D71"/>
    <w:rsid w:val="00461B8B"/>
    <w:rsid w:val="00461ED1"/>
    <w:rsid w:val="00462216"/>
    <w:rsid w:val="0046457B"/>
    <w:rsid w:val="0046460D"/>
    <w:rsid w:val="00464A83"/>
    <w:rsid w:val="00466059"/>
    <w:rsid w:val="0047021C"/>
    <w:rsid w:val="00470F70"/>
    <w:rsid w:val="00471562"/>
    <w:rsid w:val="00471AC2"/>
    <w:rsid w:val="00472CCD"/>
    <w:rsid w:val="00472D90"/>
    <w:rsid w:val="00473398"/>
    <w:rsid w:val="004738D1"/>
    <w:rsid w:val="004760E6"/>
    <w:rsid w:val="004763A7"/>
    <w:rsid w:val="00476DDA"/>
    <w:rsid w:val="004778FC"/>
    <w:rsid w:val="004807D2"/>
    <w:rsid w:val="004810D1"/>
    <w:rsid w:val="004810D6"/>
    <w:rsid w:val="0048182A"/>
    <w:rsid w:val="004819AC"/>
    <w:rsid w:val="00482462"/>
    <w:rsid w:val="004826F3"/>
    <w:rsid w:val="00484106"/>
    <w:rsid w:val="00485E66"/>
    <w:rsid w:val="004861EE"/>
    <w:rsid w:val="004879EC"/>
    <w:rsid w:val="0049104A"/>
    <w:rsid w:val="00491CBC"/>
    <w:rsid w:val="004927D5"/>
    <w:rsid w:val="004931D7"/>
    <w:rsid w:val="00493A8A"/>
    <w:rsid w:val="00493E57"/>
    <w:rsid w:val="00494783"/>
    <w:rsid w:val="004947A7"/>
    <w:rsid w:val="00494E13"/>
    <w:rsid w:val="004951D9"/>
    <w:rsid w:val="0049567F"/>
    <w:rsid w:val="00497957"/>
    <w:rsid w:val="004A07C7"/>
    <w:rsid w:val="004A1D42"/>
    <w:rsid w:val="004A2F76"/>
    <w:rsid w:val="004A39C6"/>
    <w:rsid w:val="004A3B70"/>
    <w:rsid w:val="004A5CC6"/>
    <w:rsid w:val="004A5DAD"/>
    <w:rsid w:val="004A6799"/>
    <w:rsid w:val="004A799D"/>
    <w:rsid w:val="004A7A97"/>
    <w:rsid w:val="004A7BAE"/>
    <w:rsid w:val="004A7D78"/>
    <w:rsid w:val="004B0111"/>
    <w:rsid w:val="004B0F38"/>
    <w:rsid w:val="004B190E"/>
    <w:rsid w:val="004B19C3"/>
    <w:rsid w:val="004B19EB"/>
    <w:rsid w:val="004B2450"/>
    <w:rsid w:val="004B3B02"/>
    <w:rsid w:val="004B48A5"/>
    <w:rsid w:val="004B5BFA"/>
    <w:rsid w:val="004B6AD9"/>
    <w:rsid w:val="004B6F64"/>
    <w:rsid w:val="004B72CD"/>
    <w:rsid w:val="004C02EE"/>
    <w:rsid w:val="004C06FB"/>
    <w:rsid w:val="004C070A"/>
    <w:rsid w:val="004C1331"/>
    <w:rsid w:val="004C148F"/>
    <w:rsid w:val="004C1930"/>
    <w:rsid w:val="004C2D52"/>
    <w:rsid w:val="004C3FAB"/>
    <w:rsid w:val="004C41E5"/>
    <w:rsid w:val="004C43FB"/>
    <w:rsid w:val="004C5192"/>
    <w:rsid w:val="004C5AE6"/>
    <w:rsid w:val="004C60C5"/>
    <w:rsid w:val="004C61AE"/>
    <w:rsid w:val="004C7F39"/>
    <w:rsid w:val="004D110A"/>
    <w:rsid w:val="004D1E1F"/>
    <w:rsid w:val="004D2133"/>
    <w:rsid w:val="004D4230"/>
    <w:rsid w:val="004D4314"/>
    <w:rsid w:val="004D4D3A"/>
    <w:rsid w:val="004D6EF9"/>
    <w:rsid w:val="004D6FB4"/>
    <w:rsid w:val="004D7034"/>
    <w:rsid w:val="004D70D7"/>
    <w:rsid w:val="004D7CF8"/>
    <w:rsid w:val="004E15AE"/>
    <w:rsid w:val="004E256E"/>
    <w:rsid w:val="004E2FB0"/>
    <w:rsid w:val="004E36C3"/>
    <w:rsid w:val="004E3FC5"/>
    <w:rsid w:val="004E4D14"/>
    <w:rsid w:val="004E6FC3"/>
    <w:rsid w:val="004F012C"/>
    <w:rsid w:val="004F341F"/>
    <w:rsid w:val="004F3B24"/>
    <w:rsid w:val="004F47DB"/>
    <w:rsid w:val="004F4939"/>
    <w:rsid w:val="004F4BA6"/>
    <w:rsid w:val="004F4BB2"/>
    <w:rsid w:val="004F4BDF"/>
    <w:rsid w:val="004F64FC"/>
    <w:rsid w:val="004F66D8"/>
    <w:rsid w:val="004F6FB4"/>
    <w:rsid w:val="004F7295"/>
    <w:rsid w:val="00500C58"/>
    <w:rsid w:val="005022AD"/>
    <w:rsid w:val="005025C2"/>
    <w:rsid w:val="00502C11"/>
    <w:rsid w:val="00504EC9"/>
    <w:rsid w:val="00505438"/>
    <w:rsid w:val="0050553A"/>
    <w:rsid w:val="00505ED9"/>
    <w:rsid w:val="005062F1"/>
    <w:rsid w:val="005069E5"/>
    <w:rsid w:val="00510AAC"/>
    <w:rsid w:val="005110F7"/>
    <w:rsid w:val="005118E2"/>
    <w:rsid w:val="0051260F"/>
    <w:rsid w:val="0051293F"/>
    <w:rsid w:val="00512A68"/>
    <w:rsid w:val="00513FA3"/>
    <w:rsid w:val="005140CB"/>
    <w:rsid w:val="00514528"/>
    <w:rsid w:val="00514A75"/>
    <w:rsid w:val="00515346"/>
    <w:rsid w:val="00516EA2"/>
    <w:rsid w:val="00516F1A"/>
    <w:rsid w:val="00517D4E"/>
    <w:rsid w:val="005207CE"/>
    <w:rsid w:val="00520D2B"/>
    <w:rsid w:val="00521AC7"/>
    <w:rsid w:val="0052492A"/>
    <w:rsid w:val="00524F4D"/>
    <w:rsid w:val="0052578D"/>
    <w:rsid w:val="00525F27"/>
    <w:rsid w:val="00526682"/>
    <w:rsid w:val="00526BF8"/>
    <w:rsid w:val="00526F27"/>
    <w:rsid w:val="00530120"/>
    <w:rsid w:val="0053067A"/>
    <w:rsid w:val="005313F2"/>
    <w:rsid w:val="0053262E"/>
    <w:rsid w:val="00533238"/>
    <w:rsid w:val="00533EE7"/>
    <w:rsid w:val="005347DC"/>
    <w:rsid w:val="0053503A"/>
    <w:rsid w:val="0053523D"/>
    <w:rsid w:val="00536A95"/>
    <w:rsid w:val="00540D9D"/>
    <w:rsid w:val="005417D7"/>
    <w:rsid w:val="00541D53"/>
    <w:rsid w:val="00542A0B"/>
    <w:rsid w:val="00542E23"/>
    <w:rsid w:val="00545BE3"/>
    <w:rsid w:val="00545E65"/>
    <w:rsid w:val="00546368"/>
    <w:rsid w:val="005468CE"/>
    <w:rsid w:val="0054726B"/>
    <w:rsid w:val="00550EAF"/>
    <w:rsid w:val="00551141"/>
    <w:rsid w:val="00551FB8"/>
    <w:rsid w:val="005527DA"/>
    <w:rsid w:val="005528B2"/>
    <w:rsid w:val="005528C0"/>
    <w:rsid w:val="0055407F"/>
    <w:rsid w:val="00555860"/>
    <w:rsid w:val="005572FE"/>
    <w:rsid w:val="00562317"/>
    <w:rsid w:val="0056231C"/>
    <w:rsid w:val="00562A4E"/>
    <w:rsid w:val="00563076"/>
    <w:rsid w:val="00563A80"/>
    <w:rsid w:val="00563D5C"/>
    <w:rsid w:val="00566139"/>
    <w:rsid w:val="00566FC1"/>
    <w:rsid w:val="00567231"/>
    <w:rsid w:val="00567281"/>
    <w:rsid w:val="00567305"/>
    <w:rsid w:val="00570CB1"/>
    <w:rsid w:val="0057118D"/>
    <w:rsid w:val="0057177F"/>
    <w:rsid w:val="00571A6D"/>
    <w:rsid w:val="00573187"/>
    <w:rsid w:val="00573E3F"/>
    <w:rsid w:val="005740E6"/>
    <w:rsid w:val="005755B2"/>
    <w:rsid w:val="00576E22"/>
    <w:rsid w:val="00577177"/>
    <w:rsid w:val="005818B0"/>
    <w:rsid w:val="00582028"/>
    <w:rsid w:val="0058216B"/>
    <w:rsid w:val="005850B4"/>
    <w:rsid w:val="005852EF"/>
    <w:rsid w:val="00585647"/>
    <w:rsid w:val="00586AEB"/>
    <w:rsid w:val="0059217B"/>
    <w:rsid w:val="005930A9"/>
    <w:rsid w:val="0059670B"/>
    <w:rsid w:val="00596ED3"/>
    <w:rsid w:val="00596FAA"/>
    <w:rsid w:val="00597EEF"/>
    <w:rsid w:val="005A082A"/>
    <w:rsid w:val="005A0F7C"/>
    <w:rsid w:val="005A10D6"/>
    <w:rsid w:val="005A17A4"/>
    <w:rsid w:val="005A2894"/>
    <w:rsid w:val="005A3AD9"/>
    <w:rsid w:val="005A3C16"/>
    <w:rsid w:val="005A4146"/>
    <w:rsid w:val="005A6778"/>
    <w:rsid w:val="005A762A"/>
    <w:rsid w:val="005B0C1A"/>
    <w:rsid w:val="005B17CE"/>
    <w:rsid w:val="005B2C24"/>
    <w:rsid w:val="005B30C0"/>
    <w:rsid w:val="005B3C35"/>
    <w:rsid w:val="005B415D"/>
    <w:rsid w:val="005B62BC"/>
    <w:rsid w:val="005B63A1"/>
    <w:rsid w:val="005B7885"/>
    <w:rsid w:val="005C03B3"/>
    <w:rsid w:val="005C14D6"/>
    <w:rsid w:val="005C1FE0"/>
    <w:rsid w:val="005C3B05"/>
    <w:rsid w:val="005C54AD"/>
    <w:rsid w:val="005C5C55"/>
    <w:rsid w:val="005D11BE"/>
    <w:rsid w:val="005D2738"/>
    <w:rsid w:val="005D2EF5"/>
    <w:rsid w:val="005D2FA9"/>
    <w:rsid w:val="005D48F2"/>
    <w:rsid w:val="005D4A15"/>
    <w:rsid w:val="005D5063"/>
    <w:rsid w:val="005D53AD"/>
    <w:rsid w:val="005D55AE"/>
    <w:rsid w:val="005D60FD"/>
    <w:rsid w:val="005D6E33"/>
    <w:rsid w:val="005E25B2"/>
    <w:rsid w:val="005E3C86"/>
    <w:rsid w:val="005E6A7B"/>
    <w:rsid w:val="005E722C"/>
    <w:rsid w:val="005E79FC"/>
    <w:rsid w:val="005F056E"/>
    <w:rsid w:val="005F0C7C"/>
    <w:rsid w:val="005F2C04"/>
    <w:rsid w:val="005F2C45"/>
    <w:rsid w:val="005F55EA"/>
    <w:rsid w:val="005F7EFC"/>
    <w:rsid w:val="006038B0"/>
    <w:rsid w:val="00604406"/>
    <w:rsid w:val="00604829"/>
    <w:rsid w:val="006049C9"/>
    <w:rsid w:val="00606325"/>
    <w:rsid w:val="00607D43"/>
    <w:rsid w:val="00611F21"/>
    <w:rsid w:val="00612295"/>
    <w:rsid w:val="00612387"/>
    <w:rsid w:val="00612598"/>
    <w:rsid w:val="00612797"/>
    <w:rsid w:val="0061411C"/>
    <w:rsid w:val="006147B0"/>
    <w:rsid w:val="00616E07"/>
    <w:rsid w:val="00617DFE"/>
    <w:rsid w:val="00622104"/>
    <w:rsid w:val="006221F2"/>
    <w:rsid w:val="0062536A"/>
    <w:rsid w:val="00625D75"/>
    <w:rsid w:val="00627365"/>
    <w:rsid w:val="0063002E"/>
    <w:rsid w:val="00630650"/>
    <w:rsid w:val="00631201"/>
    <w:rsid w:val="00631C3B"/>
    <w:rsid w:val="006330A1"/>
    <w:rsid w:val="00633E84"/>
    <w:rsid w:val="00635710"/>
    <w:rsid w:val="00636336"/>
    <w:rsid w:val="00636F0B"/>
    <w:rsid w:val="006370B2"/>
    <w:rsid w:val="00640CCE"/>
    <w:rsid w:val="006417F2"/>
    <w:rsid w:val="00641933"/>
    <w:rsid w:val="00641F73"/>
    <w:rsid w:val="00642CDB"/>
    <w:rsid w:val="00643A45"/>
    <w:rsid w:val="00644728"/>
    <w:rsid w:val="00644834"/>
    <w:rsid w:val="00646212"/>
    <w:rsid w:val="0065098C"/>
    <w:rsid w:val="00651316"/>
    <w:rsid w:val="006529D4"/>
    <w:rsid w:val="006538DC"/>
    <w:rsid w:val="00653B42"/>
    <w:rsid w:val="006540A6"/>
    <w:rsid w:val="00654289"/>
    <w:rsid w:val="006561C0"/>
    <w:rsid w:val="00656580"/>
    <w:rsid w:val="00656B6B"/>
    <w:rsid w:val="00656EAD"/>
    <w:rsid w:val="0065771D"/>
    <w:rsid w:val="00657EB4"/>
    <w:rsid w:val="0066061D"/>
    <w:rsid w:val="006607C1"/>
    <w:rsid w:val="00660950"/>
    <w:rsid w:val="006614E1"/>
    <w:rsid w:val="00661911"/>
    <w:rsid w:val="00661AF4"/>
    <w:rsid w:val="00662177"/>
    <w:rsid w:val="0066285D"/>
    <w:rsid w:val="00665177"/>
    <w:rsid w:val="00665374"/>
    <w:rsid w:val="00665685"/>
    <w:rsid w:val="0066579A"/>
    <w:rsid w:val="00665BB4"/>
    <w:rsid w:val="006660D8"/>
    <w:rsid w:val="00667F04"/>
    <w:rsid w:val="0067562F"/>
    <w:rsid w:val="0067607F"/>
    <w:rsid w:val="00676323"/>
    <w:rsid w:val="00676E97"/>
    <w:rsid w:val="00677379"/>
    <w:rsid w:val="00677678"/>
    <w:rsid w:val="006814DE"/>
    <w:rsid w:val="006818D2"/>
    <w:rsid w:val="006824D7"/>
    <w:rsid w:val="006825AB"/>
    <w:rsid w:val="00682932"/>
    <w:rsid w:val="00682A22"/>
    <w:rsid w:val="006841D0"/>
    <w:rsid w:val="006844FA"/>
    <w:rsid w:val="00685290"/>
    <w:rsid w:val="006857AF"/>
    <w:rsid w:val="00685BE8"/>
    <w:rsid w:val="0068611A"/>
    <w:rsid w:val="00686E84"/>
    <w:rsid w:val="0069351A"/>
    <w:rsid w:val="006939F4"/>
    <w:rsid w:val="00693F66"/>
    <w:rsid w:val="00694E41"/>
    <w:rsid w:val="00695B5F"/>
    <w:rsid w:val="00696C58"/>
    <w:rsid w:val="006A0F07"/>
    <w:rsid w:val="006A1EE2"/>
    <w:rsid w:val="006A23BE"/>
    <w:rsid w:val="006A27F2"/>
    <w:rsid w:val="006A2BF4"/>
    <w:rsid w:val="006A35EB"/>
    <w:rsid w:val="006A3846"/>
    <w:rsid w:val="006A3929"/>
    <w:rsid w:val="006A397A"/>
    <w:rsid w:val="006A4CD4"/>
    <w:rsid w:val="006A4FDB"/>
    <w:rsid w:val="006A6766"/>
    <w:rsid w:val="006A68A2"/>
    <w:rsid w:val="006A6944"/>
    <w:rsid w:val="006B0006"/>
    <w:rsid w:val="006B02F9"/>
    <w:rsid w:val="006B041A"/>
    <w:rsid w:val="006B0C82"/>
    <w:rsid w:val="006B217C"/>
    <w:rsid w:val="006B2E51"/>
    <w:rsid w:val="006B325D"/>
    <w:rsid w:val="006B4DFE"/>
    <w:rsid w:val="006B67EA"/>
    <w:rsid w:val="006B696A"/>
    <w:rsid w:val="006B7537"/>
    <w:rsid w:val="006C1B35"/>
    <w:rsid w:val="006C2F85"/>
    <w:rsid w:val="006C3065"/>
    <w:rsid w:val="006C312D"/>
    <w:rsid w:val="006C4BA1"/>
    <w:rsid w:val="006C5B46"/>
    <w:rsid w:val="006C5E74"/>
    <w:rsid w:val="006D154A"/>
    <w:rsid w:val="006D1804"/>
    <w:rsid w:val="006D1F52"/>
    <w:rsid w:val="006D24EF"/>
    <w:rsid w:val="006D32A7"/>
    <w:rsid w:val="006D3D4E"/>
    <w:rsid w:val="006D5D53"/>
    <w:rsid w:val="006D6694"/>
    <w:rsid w:val="006D6EFB"/>
    <w:rsid w:val="006D7543"/>
    <w:rsid w:val="006D768E"/>
    <w:rsid w:val="006D7D80"/>
    <w:rsid w:val="006E11F9"/>
    <w:rsid w:val="006E1775"/>
    <w:rsid w:val="006E2D6C"/>
    <w:rsid w:val="006E3374"/>
    <w:rsid w:val="006E33D0"/>
    <w:rsid w:val="006E544D"/>
    <w:rsid w:val="006E6473"/>
    <w:rsid w:val="006E7C28"/>
    <w:rsid w:val="006F2748"/>
    <w:rsid w:val="006F2C10"/>
    <w:rsid w:val="006F2C48"/>
    <w:rsid w:val="006F3622"/>
    <w:rsid w:val="006F3BD8"/>
    <w:rsid w:val="006F40DE"/>
    <w:rsid w:val="006F54DC"/>
    <w:rsid w:val="006F5763"/>
    <w:rsid w:val="006F5DEC"/>
    <w:rsid w:val="006F6735"/>
    <w:rsid w:val="006F6C5B"/>
    <w:rsid w:val="007001F8"/>
    <w:rsid w:val="00700448"/>
    <w:rsid w:val="007010FA"/>
    <w:rsid w:val="0070130A"/>
    <w:rsid w:val="00701659"/>
    <w:rsid w:val="0070278E"/>
    <w:rsid w:val="00702822"/>
    <w:rsid w:val="00702B24"/>
    <w:rsid w:val="00702E49"/>
    <w:rsid w:val="00704473"/>
    <w:rsid w:val="007044BC"/>
    <w:rsid w:val="00705196"/>
    <w:rsid w:val="0070519E"/>
    <w:rsid w:val="00705411"/>
    <w:rsid w:val="007057C2"/>
    <w:rsid w:val="00705C13"/>
    <w:rsid w:val="007067A2"/>
    <w:rsid w:val="00706B2D"/>
    <w:rsid w:val="00707B17"/>
    <w:rsid w:val="00707CE0"/>
    <w:rsid w:val="00710676"/>
    <w:rsid w:val="00710E1D"/>
    <w:rsid w:val="00711953"/>
    <w:rsid w:val="00711E9C"/>
    <w:rsid w:val="00713141"/>
    <w:rsid w:val="00715F81"/>
    <w:rsid w:val="00716784"/>
    <w:rsid w:val="007168C5"/>
    <w:rsid w:val="007173F7"/>
    <w:rsid w:val="007179CF"/>
    <w:rsid w:val="007203B0"/>
    <w:rsid w:val="0072077A"/>
    <w:rsid w:val="00721D62"/>
    <w:rsid w:val="00722CD3"/>
    <w:rsid w:val="00723B02"/>
    <w:rsid w:val="0072426A"/>
    <w:rsid w:val="00724411"/>
    <w:rsid w:val="00724532"/>
    <w:rsid w:val="007258D1"/>
    <w:rsid w:val="00726740"/>
    <w:rsid w:val="00730657"/>
    <w:rsid w:val="007308D7"/>
    <w:rsid w:val="0073134D"/>
    <w:rsid w:val="00731ECC"/>
    <w:rsid w:val="0073298A"/>
    <w:rsid w:val="00733B39"/>
    <w:rsid w:val="00734C55"/>
    <w:rsid w:val="007356D4"/>
    <w:rsid w:val="00735E5E"/>
    <w:rsid w:val="0073615F"/>
    <w:rsid w:val="00736531"/>
    <w:rsid w:val="00736A17"/>
    <w:rsid w:val="00736CE9"/>
    <w:rsid w:val="00737CAC"/>
    <w:rsid w:val="00737CD2"/>
    <w:rsid w:val="00740B58"/>
    <w:rsid w:val="0074227D"/>
    <w:rsid w:val="00742B04"/>
    <w:rsid w:val="00742C7A"/>
    <w:rsid w:val="007445EA"/>
    <w:rsid w:val="00744785"/>
    <w:rsid w:val="00745391"/>
    <w:rsid w:val="007455CE"/>
    <w:rsid w:val="007459B9"/>
    <w:rsid w:val="00746CB6"/>
    <w:rsid w:val="00747BD9"/>
    <w:rsid w:val="00750D6A"/>
    <w:rsid w:val="00750D87"/>
    <w:rsid w:val="0075260E"/>
    <w:rsid w:val="007528AD"/>
    <w:rsid w:val="007534F7"/>
    <w:rsid w:val="00755794"/>
    <w:rsid w:val="007579B3"/>
    <w:rsid w:val="00757B40"/>
    <w:rsid w:val="007601F7"/>
    <w:rsid w:val="00760671"/>
    <w:rsid w:val="0076144C"/>
    <w:rsid w:val="00761D26"/>
    <w:rsid w:val="007620F1"/>
    <w:rsid w:val="00763EDE"/>
    <w:rsid w:val="0076447A"/>
    <w:rsid w:val="00764660"/>
    <w:rsid w:val="00764E6A"/>
    <w:rsid w:val="00765342"/>
    <w:rsid w:val="0076622D"/>
    <w:rsid w:val="00767AB7"/>
    <w:rsid w:val="00767FC4"/>
    <w:rsid w:val="00772EEA"/>
    <w:rsid w:val="007759CF"/>
    <w:rsid w:val="00775A91"/>
    <w:rsid w:val="00775BD9"/>
    <w:rsid w:val="00777537"/>
    <w:rsid w:val="00777ED8"/>
    <w:rsid w:val="00781D89"/>
    <w:rsid w:val="00784489"/>
    <w:rsid w:val="007864CC"/>
    <w:rsid w:val="007865D0"/>
    <w:rsid w:val="007868BE"/>
    <w:rsid w:val="0078771E"/>
    <w:rsid w:val="00787E47"/>
    <w:rsid w:val="0079042C"/>
    <w:rsid w:val="00790BB3"/>
    <w:rsid w:val="00790C15"/>
    <w:rsid w:val="00792196"/>
    <w:rsid w:val="00793A19"/>
    <w:rsid w:val="00793BAA"/>
    <w:rsid w:val="00793BC7"/>
    <w:rsid w:val="00794219"/>
    <w:rsid w:val="00795BEA"/>
    <w:rsid w:val="007960C9"/>
    <w:rsid w:val="007A0495"/>
    <w:rsid w:val="007A0A0B"/>
    <w:rsid w:val="007A0D0B"/>
    <w:rsid w:val="007A1267"/>
    <w:rsid w:val="007A148D"/>
    <w:rsid w:val="007A4385"/>
    <w:rsid w:val="007A4D68"/>
    <w:rsid w:val="007A5BE0"/>
    <w:rsid w:val="007A66B0"/>
    <w:rsid w:val="007A6B11"/>
    <w:rsid w:val="007A6DC0"/>
    <w:rsid w:val="007A70DC"/>
    <w:rsid w:val="007A792E"/>
    <w:rsid w:val="007B0009"/>
    <w:rsid w:val="007B065A"/>
    <w:rsid w:val="007B1171"/>
    <w:rsid w:val="007B1C4B"/>
    <w:rsid w:val="007B1E98"/>
    <w:rsid w:val="007B21B1"/>
    <w:rsid w:val="007B4CBB"/>
    <w:rsid w:val="007B5BFE"/>
    <w:rsid w:val="007B7217"/>
    <w:rsid w:val="007C157F"/>
    <w:rsid w:val="007C2C99"/>
    <w:rsid w:val="007C30DF"/>
    <w:rsid w:val="007C3BCA"/>
    <w:rsid w:val="007C4F0E"/>
    <w:rsid w:val="007C5362"/>
    <w:rsid w:val="007C53C1"/>
    <w:rsid w:val="007C53D5"/>
    <w:rsid w:val="007C5969"/>
    <w:rsid w:val="007C618C"/>
    <w:rsid w:val="007C632B"/>
    <w:rsid w:val="007C722A"/>
    <w:rsid w:val="007C7FB0"/>
    <w:rsid w:val="007D0173"/>
    <w:rsid w:val="007D3199"/>
    <w:rsid w:val="007D3C74"/>
    <w:rsid w:val="007D49A0"/>
    <w:rsid w:val="007D4E05"/>
    <w:rsid w:val="007D4FB7"/>
    <w:rsid w:val="007D5311"/>
    <w:rsid w:val="007D54E5"/>
    <w:rsid w:val="007D5E32"/>
    <w:rsid w:val="007D67B7"/>
    <w:rsid w:val="007D71BD"/>
    <w:rsid w:val="007E19CC"/>
    <w:rsid w:val="007E1AE7"/>
    <w:rsid w:val="007E31A9"/>
    <w:rsid w:val="007E497C"/>
    <w:rsid w:val="007E4A03"/>
    <w:rsid w:val="007E5BD5"/>
    <w:rsid w:val="007E5D29"/>
    <w:rsid w:val="007E65B8"/>
    <w:rsid w:val="007E68D1"/>
    <w:rsid w:val="007E6C96"/>
    <w:rsid w:val="007E7F37"/>
    <w:rsid w:val="007F2A52"/>
    <w:rsid w:val="007F2F8A"/>
    <w:rsid w:val="007F4E64"/>
    <w:rsid w:val="007F5A6E"/>
    <w:rsid w:val="007F65AE"/>
    <w:rsid w:val="007F6ABB"/>
    <w:rsid w:val="008003CB"/>
    <w:rsid w:val="008024CE"/>
    <w:rsid w:val="00804001"/>
    <w:rsid w:val="00804CA5"/>
    <w:rsid w:val="008061A5"/>
    <w:rsid w:val="00806203"/>
    <w:rsid w:val="00807CCB"/>
    <w:rsid w:val="00810296"/>
    <w:rsid w:val="00811871"/>
    <w:rsid w:val="0081296E"/>
    <w:rsid w:val="00813A30"/>
    <w:rsid w:val="00813E15"/>
    <w:rsid w:val="00814836"/>
    <w:rsid w:val="00814A32"/>
    <w:rsid w:val="00815E9A"/>
    <w:rsid w:val="008171A3"/>
    <w:rsid w:val="00817E88"/>
    <w:rsid w:val="00820F3C"/>
    <w:rsid w:val="00821866"/>
    <w:rsid w:val="0082276D"/>
    <w:rsid w:val="00822D4B"/>
    <w:rsid w:val="008240E2"/>
    <w:rsid w:val="00824204"/>
    <w:rsid w:val="0082426A"/>
    <w:rsid w:val="008246AC"/>
    <w:rsid w:val="0082482B"/>
    <w:rsid w:val="00825209"/>
    <w:rsid w:val="00825829"/>
    <w:rsid w:val="0082597E"/>
    <w:rsid w:val="00826881"/>
    <w:rsid w:val="008270AD"/>
    <w:rsid w:val="00827375"/>
    <w:rsid w:val="008276A7"/>
    <w:rsid w:val="00827C83"/>
    <w:rsid w:val="00831ADB"/>
    <w:rsid w:val="00832A57"/>
    <w:rsid w:val="00832A62"/>
    <w:rsid w:val="00832ACA"/>
    <w:rsid w:val="008344FE"/>
    <w:rsid w:val="0083679A"/>
    <w:rsid w:val="00836CB8"/>
    <w:rsid w:val="00836CFB"/>
    <w:rsid w:val="00836EB7"/>
    <w:rsid w:val="00836F09"/>
    <w:rsid w:val="00837841"/>
    <w:rsid w:val="00837E86"/>
    <w:rsid w:val="00840D63"/>
    <w:rsid w:val="00840E09"/>
    <w:rsid w:val="008424DD"/>
    <w:rsid w:val="00842FC8"/>
    <w:rsid w:val="0084360F"/>
    <w:rsid w:val="00844BFA"/>
    <w:rsid w:val="0084508D"/>
    <w:rsid w:val="00845982"/>
    <w:rsid w:val="00845D38"/>
    <w:rsid w:val="0084666F"/>
    <w:rsid w:val="00846864"/>
    <w:rsid w:val="00850B67"/>
    <w:rsid w:val="00850B97"/>
    <w:rsid w:val="00851D2D"/>
    <w:rsid w:val="00854229"/>
    <w:rsid w:val="008551AD"/>
    <w:rsid w:val="00855EF5"/>
    <w:rsid w:val="00856E62"/>
    <w:rsid w:val="0085725F"/>
    <w:rsid w:val="00860E70"/>
    <w:rsid w:val="0086146C"/>
    <w:rsid w:val="00862E0B"/>
    <w:rsid w:val="00864987"/>
    <w:rsid w:val="00864DF3"/>
    <w:rsid w:val="00864E29"/>
    <w:rsid w:val="00864E95"/>
    <w:rsid w:val="00865DC4"/>
    <w:rsid w:val="0086607B"/>
    <w:rsid w:val="00866B2A"/>
    <w:rsid w:val="00866CB9"/>
    <w:rsid w:val="008676E4"/>
    <w:rsid w:val="00871CC4"/>
    <w:rsid w:val="00871CFD"/>
    <w:rsid w:val="00872C07"/>
    <w:rsid w:val="00872C7D"/>
    <w:rsid w:val="00875108"/>
    <w:rsid w:val="00876353"/>
    <w:rsid w:val="00880446"/>
    <w:rsid w:val="008824E7"/>
    <w:rsid w:val="008825F6"/>
    <w:rsid w:val="00882AFB"/>
    <w:rsid w:val="00882E2E"/>
    <w:rsid w:val="00883E14"/>
    <w:rsid w:val="00883ECC"/>
    <w:rsid w:val="00884FA0"/>
    <w:rsid w:val="00886DEC"/>
    <w:rsid w:val="00887CFC"/>
    <w:rsid w:val="00890D2F"/>
    <w:rsid w:val="00890EB0"/>
    <w:rsid w:val="00892FC2"/>
    <w:rsid w:val="00893BE1"/>
    <w:rsid w:val="00894543"/>
    <w:rsid w:val="00894948"/>
    <w:rsid w:val="00894B40"/>
    <w:rsid w:val="00894B57"/>
    <w:rsid w:val="00895445"/>
    <w:rsid w:val="0089577C"/>
    <w:rsid w:val="00896FB0"/>
    <w:rsid w:val="00897060"/>
    <w:rsid w:val="00897C7B"/>
    <w:rsid w:val="008A0964"/>
    <w:rsid w:val="008A0DE0"/>
    <w:rsid w:val="008A1032"/>
    <w:rsid w:val="008A1C3D"/>
    <w:rsid w:val="008A1C4D"/>
    <w:rsid w:val="008A3129"/>
    <w:rsid w:val="008A532F"/>
    <w:rsid w:val="008A661B"/>
    <w:rsid w:val="008B049A"/>
    <w:rsid w:val="008B04EF"/>
    <w:rsid w:val="008B0530"/>
    <w:rsid w:val="008B08C5"/>
    <w:rsid w:val="008B2380"/>
    <w:rsid w:val="008B3B9D"/>
    <w:rsid w:val="008B43F2"/>
    <w:rsid w:val="008B446F"/>
    <w:rsid w:val="008B4E47"/>
    <w:rsid w:val="008B4FF9"/>
    <w:rsid w:val="008B5C0D"/>
    <w:rsid w:val="008B609C"/>
    <w:rsid w:val="008B6D49"/>
    <w:rsid w:val="008C0D50"/>
    <w:rsid w:val="008C0EF0"/>
    <w:rsid w:val="008C2191"/>
    <w:rsid w:val="008C2B29"/>
    <w:rsid w:val="008C4061"/>
    <w:rsid w:val="008C40A0"/>
    <w:rsid w:val="008C5031"/>
    <w:rsid w:val="008C56D9"/>
    <w:rsid w:val="008C67EB"/>
    <w:rsid w:val="008D0285"/>
    <w:rsid w:val="008D1333"/>
    <w:rsid w:val="008D1AF0"/>
    <w:rsid w:val="008D214A"/>
    <w:rsid w:val="008D2941"/>
    <w:rsid w:val="008D2FAF"/>
    <w:rsid w:val="008D3143"/>
    <w:rsid w:val="008D3691"/>
    <w:rsid w:val="008D38BA"/>
    <w:rsid w:val="008D4EC7"/>
    <w:rsid w:val="008D4F8A"/>
    <w:rsid w:val="008D6B36"/>
    <w:rsid w:val="008D7EDC"/>
    <w:rsid w:val="008E09FE"/>
    <w:rsid w:val="008E209B"/>
    <w:rsid w:val="008E275B"/>
    <w:rsid w:val="008E2E5E"/>
    <w:rsid w:val="008E58C9"/>
    <w:rsid w:val="008E602A"/>
    <w:rsid w:val="008E7497"/>
    <w:rsid w:val="008E7941"/>
    <w:rsid w:val="008E7A0F"/>
    <w:rsid w:val="008F227E"/>
    <w:rsid w:val="008F2931"/>
    <w:rsid w:val="008F2C85"/>
    <w:rsid w:val="008F48AD"/>
    <w:rsid w:val="008F5A13"/>
    <w:rsid w:val="008F7E53"/>
    <w:rsid w:val="009007D9"/>
    <w:rsid w:val="0090098E"/>
    <w:rsid w:val="00900E99"/>
    <w:rsid w:val="00901351"/>
    <w:rsid w:val="00901AB8"/>
    <w:rsid w:val="00901EFF"/>
    <w:rsid w:val="009022AF"/>
    <w:rsid w:val="00902894"/>
    <w:rsid w:val="009028BD"/>
    <w:rsid w:val="00903495"/>
    <w:rsid w:val="009036FC"/>
    <w:rsid w:val="00903A82"/>
    <w:rsid w:val="009043B9"/>
    <w:rsid w:val="00904F68"/>
    <w:rsid w:val="0090574A"/>
    <w:rsid w:val="00905B9D"/>
    <w:rsid w:val="00906F62"/>
    <w:rsid w:val="009076CA"/>
    <w:rsid w:val="00907CD0"/>
    <w:rsid w:val="00907EC5"/>
    <w:rsid w:val="00910935"/>
    <w:rsid w:val="00912670"/>
    <w:rsid w:val="00914044"/>
    <w:rsid w:val="00914F00"/>
    <w:rsid w:val="009153BE"/>
    <w:rsid w:val="00915433"/>
    <w:rsid w:val="00915798"/>
    <w:rsid w:val="00916DA7"/>
    <w:rsid w:val="00917438"/>
    <w:rsid w:val="009204BC"/>
    <w:rsid w:val="00921258"/>
    <w:rsid w:val="0092140C"/>
    <w:rsid w:val="0092199B"/>
    <w:rsid w:val="00921C3E"/>
    <w:rsid w:val="00922D9C"/>
    <w:rsid w:val="00923F9E"/>
    <w:rsid w:val="00924798"/>
    <w:rsid w:val="00926A57"/>
    <w:rsid w:val="00927919"/>
    <w:rsid w:val="00927B25"/>
    <w:rsid w:val="00931294"/>
    <w:rsid w:val="00933E02"/>
    <w:rsid w:val="00934694"/>
    <w:rsid w:val="009355A0"/>
    <w:rsid w:val="00936E06"/>
    <w:rsid w:val="00941A56"/>
    <w:rsid w:val="009434AE"/>
    <w:rsid w:val="0094375F"/>
    <w:rsid w:val="009444C2"/>
    <w:rsid w:val="00945560"/>
    <w:rsid w:val="00945C40"/>
    <w:rsid w:val="00945EF5"/>
    <w:rsid w:val="00950622"/>
    <w:rsid w:val="00950808"/>
    <w:rsid w:val="00950979"/>
    <w:rsid w:val="00951129"/>
    <w:rsid w:val="009516D1"/>
    <w:rsid w:val="00951A2A"/>
    <w:rsid w:val="00951CA2"/>
    <w:rsid w:val="00953532"/>
    <w:rsid w:val="009535FB"/>
    <w:rsid w:val="00954563"/>
    <w:rsid w:val="00954B0F"/>
    <w:rsid w:val="00954CD4"/>
    <w:rsid w:val="0095624D"/>
    <w:rsid w:val="0095717A"/>
    <w:rsid w:val="009572F2"/>
    <w:rsid w:val="009573FC"/>
    <w:rsid w:val="0095741C"/>
    <w:rsid w:val="00957A1C"/>
    <w:rsid w:val="00957C92"/>
    <w:rsid w:val="00960024"/>
    <w:rsid w:val="009603B3"/>
    <w:rsid w:val="00962EA6"/>
    <w:rsid w:val="009632A2"/>
    <w:rsid w:val="00964510"/>
    <w:rsid w:val="009652FA"/>
    <w:rsid w:val="00967709"/>
    <w:rsid w:val="0097047B"/>
    <w:rsid w:val="009704CF"/>
    <w:rsid w:val="00970C11"/>
    <w:rsid w:val="00970FFE"/>
    <w:rsid w:val="009711B3"/>
    <w:rsid w:val="009739FB"/>
    <w:rsid w:val="00976A2E"/>
    <w:rsid w:val="00976B87"/>
    <w:rsid w:val="009770BD"/>
    <w:rsid w:val="009777BB"/>
    <w:rsid w:val="009804A0"/>
    <w:rsid w:val="0098188A"/>
    <w:rsid w:val="00982F60"/>
    <w:rsid w:val="0098521B"/>
    <w:rsid w:val="00985284"/>
    <w:rsid w:val="0098533F"/>
    <w:rsid w:val="00986D45"/>
    <w:rsid w:val="00987206"/>
    <w:rsid w:val="00987CFD"/>
    <w:rsid w:val="0099035F"/>
    <w:rsid w:val="0099062A"/>
    <w:rsid w:val="00990AF3"/>
    <w:rsid w:val="0099133C"/>
    <w:rsid w:val="0099293E"/>
    <w:rsid w:val="00994573"/>
    <w:rsid w:val="00996C15"/>
    <w:rsid w:val="009971FA"/>
    <w:rsid w:val="00997962"/>
    <w:rsid w:val="009A0BDC"/>
    <w:rsid w:val="009A10BC"/>
    <w:rsid w:val="009A2ACE"/>
    <w:rsid w:val="009A3342"/>
    <w:rsid w:val="009A410F"/>
    <w:rsid w:val="009A419F"/>
    <w:rsid w:val="009A4CCA"/>
    <w:rsid w:val="009A5110"/>
    <w:rsid w:val="009A5837"/>
    <w:rsid w:val="009A6225"/>
    <w:rsid w:val="009A643D"/>
    <w:rsid w:val="009B0805"/>
    <w:rsid w:val="009B3314"/>
    <w:rsid w:val="009B50B5"/>
    <w:rsid w:val="009B6770"/>
    <w:rsid w:val="009B6A0E"/>
    <w:rsid w:val="009B6C8E"/>
    <w:rsid w:val="009B7353"/>
    <w:rsid w:val="009B7D28"/>
    <w:rsid w:val="009C03D0"/>
    <w:rsid w:val="009C0D15"/>
    <w:rsid w:val="009C0D7B"/>
    <w:rsid w:val="009C0FA9"/>
    <w:rsid w:val="009C12F5"/>
    <w:rsid w:val="009C1D96"/>
    <w:rsid w:val="009C34F9"/>
    <w:rsid w:val="009C674F"/>
    <w:rsid w:val="009C67F0"/>
    <w:rsid w:val="009D1C03"/>
    <w:rsid w:val="009D2441"/>
    <w:rsid w:val="009D3BA7"/>
    <w:rsid w:val="009D582A"/>
    <w:rsid w:val="009E0BB7"/>
    <w:rsid w:val="009E1481"/>
    <w:rsid w:val="009E1B9B"/>
    <w:rsid w:val="009E1D89"/>
    <w:rsid w:val="009E2638"/>
    <w:rsid w:val="009E27B3"/>
    <w:rsid w:val="009E3509"/>
    <w:rsid w:val="009E3DCD"/>
    <w:rsid w:val="009E4694"/>
    <w:rsid w:val="009E55A8"/>
    <w:rsid w:val="009E7CA1"/>
    <w:rsid w:val="009F1A62"/>
    <w:rsid w:val="009F29F2"/>
    <w:rsid w:val="009F3BD6"/>
    <w:rsid w:val="009F46C2"/>
    <w:rsid w:val="009F481D"/>
    <w:rsid w:val="009F671B"/>
    <w:rsid w:val="009F6A7C"/>
    <w:rsid w:val="009F7736"/>
    <w:rsid w:val="009F7FDE"/>
    <w:rsid w:val="00A00872"/>
    <w:rsid w:val="00A01F1D"/>
    <w:rsid w:val="00A0220E"/>
    <w:rsid w:val="00A0277B"/>
    <w:rsid w:val="00A0280A"/>
    <w:rsid w:val="00A032C6"/>
    <w:rsid w:val="00A0339D"/>
    <w:rsid w:val="00A05453"/>
    <w:rsid w:val="00A07F6A"/>
    <w:rsid w:val="00A10B2D"/>
    <w:rsid w:val="00A11224"/>
    <w:rsid w:val="00A118C7"/>
    <w:rsid w:val="00A11A0C"/>
    <w:rsid w:val="00A12C9F"/>
    <w:rsid w:val="00A1301E"/>
    <w:rsid w:val="00A134CD"/>
    <w:rsid w:val="00A1383D"/>
    <w:rsid w:val="00A144D3"/>
    <w:rsid w:val="00A14BFE"/>
    <w:rsid w:val="00A14EB6"/>
    <w:rsid w:val="00A15273"/>
    <w:rsid w:val="00A15D74"/>
    <w:rsid w:val="00A16A6B"/>
    <w:rsid w:val="00A201A0"/>
    <w:rsid w:val="00A2029C"/>
    <w:rsid w:val="00A20862"/>
    <w:rsid w:val="00A24087"/>
    <w:rsid w:val="00A25B47"/>
    <w:rsid w:val="00A2789E"/>
    <w:rsid w:val="00A30910"/>
    <w:rsid w:val="00A32787"/>
    <w:rsid w:val="00A337A0"/>
    <w:rsid w:val="00A340C7"/>
    <w:rsid w:val="00A35614"/>
    <w:rsid w:val="00A36723"/>
    <w:rsid w:val="00A36CD9"/>
    <w:rsid w:val="00A37632"/>
    <w:rsid w:val="00A402DA"/>
    <w:rsid w:val="00A403A6"/>
    <w:rsid w:val="00A40519"/>
    <w:rsid w:val="00A40D62"/>
    <w:rsid w:val="00A40FC7"/>
    <w:rsid w:val="00A417ED"/>
    <w:rsid w:val="00A42ABF"/>
    <w:rsid w:val="00A430E6"/>
    <w:rsid w:val="00A43965"/>
    <w:rsid w:val="00A43FB4"/>
    <w:rsid w:val="00A45352"/>
    <w:rsid w:val="00A4554C"/>
    <w:rsid w:val="00A45ED2"/>
    <w:rsid w:val="00A46373"/>
    <w:rsid w:val="00A465C6"/>
    <w:rsid w:val="00A466F0"/>
    <w:rsid w:val="00A47E12"/>
    <w:rsid w:val="00A500FC"/>
    <w:rsid w:val="00A504AE"/>
    <w:rsid w:val="00A516F5"/>
    <w:rsid w:val="00A517F0"/>
    <w:rsid w:val="00A5227B"/>
    <w:rsid w:val="00A540B3"/>
    <w:rsid w:val="00A54302"/>
    <w:rsid w:val="00A56304"/>
    <w:rsid w:val="00A57A3D"/>
    <w:rsid w:val="00A6050F"/>
    <w:rsid w:val="00A62216"/>
    <w:rsid w:val="00A6278A"/>
    <w:rsid w:val="00A63AE3"/>
    <w:rsid w:val="00A64EC7"/>
    <w:rsid w:val="00A6582A"/>
    <w:rsid w:val="00A65FD8"/>
    <w:rsid w:val="00A67A64"/>
    <w:rsid w:val="00A67BF0"/>
    <w:rsid w:val="00A7117E"/>
    <w:rsid w:val="00A7201B"/>
    <w:rsid w:val="00A72403"/>
    <w:rsid w:val="00A730A6"/>
    <w:rsid w:val="00A73552"/>
    <w:rsid w:val="00A75F5C"/>
    <w:rsid w:val="00A7644B"/>
    <w:rsid w:val="00A77751"/>
    <w:rsid w:val="00A819DC"/>
    <w:rsid w:val="00A81DAD"/>
    <w:rsid w:val="00A8252C"/>
    <w:rsid w:val="00A83873"/>
    <w:rsid w:val="00A839CC"/>
    <w:rsid w:val="00A83E12"/>
    <w:rsid w:val="00A84011"/>
    <w:rsid w:val="00A8473E"/>
    <w:rsid w:val="00A85409"/>
    <w:rsid w:val="00A87386"/>
    <w:rsid w:val="00A877F9"/>
    <w:rsid w:val="00A90652"/>
    <w:rsid w:val="00A91CF2"/>
    <w:rsid w:val="00A92213"/>
    <w:rsid w:val="00A92F86"/>
    <w:rsid w:val="00A944C2"/>
    <w:rsid w:val="00A948F4"/>
    <w:rsid w:val="00A94F3F"/>
    <w:rsid w:val="00A9694E"/>
    <w:rsid w:val="00A97337"/>
    <w:rsid w:val="00AA15B6"/>
    <w:rsid w:val="00AA2212"/>
    <w:rsid w:val="00AA3915"/>
    <w:rsid w:val="00AA3BC2"/>
    <w:rsid w:val="00AA4912"/>
    <w:rsid w:val="00AA4A47"/>
    <w:rsid w:val="00AA4ECE"/>
    <w:rsid w:val="00AA5011"/>
    <w:rsid w:val="00AA5FD4"/>
    <w:rsid w:val="00AA6979"/>
    <w:rsid w:val="00AA762D"/>
    <w:rsid w:val="00AA7662"/>
    <w:rsid w:val="00AA7807"/>
    <w:rsid w:val="00AB0B58"/>
    <w:rsid w:val="00AB0D24"/>
    <w:rsid w:val="00AB0E18"/>
    <w:rsid w:val="00AB1943"/>
    <w:rsid w:val="00AB2435"/>
    <w:rsid w:val="00AB3377"/>
    <w:rsid w:val="00AB3D98"/>
    <w:rsid w:val="00AB5AF8"/>
    <w:rsid w:val="00AB6B1B"/>
    <w:rsid w:val="00AB7A51"/>
    <w:rsid w:val="00AC0263"/>
    <w:rsid w:val="00AC1E89"/>
    <w:rsid w:val="00AC2407"/>
    <w:rsid w:val="00AC2EEF"/>
    <w:rsid w:val="00AC3C0A"/>
    <w:rsid w:val="00AC5314"/>
    <w:rsid w:val="00AC6936"/>
    <w:rsid w:val="00AC6BAD"/>
    <w:rsid w:val="00AC727C"/>
    <w:rsid w:val="00AC7DD4"/>
    <w:rsid w:val="00AD0784"/>
    <w:rsid w:val="00AD0F50"/>
    <w:rsid w:val="00AD165A"/>
    <w:rsid w:val="00AD254B"/>
    <w:rsid w:val="00AD297B"/>
    <w:rsid w:val="00AD3ACA"/>
    <w:rsid w:val="00AD6576"/>
    <w:rsid w:val="00AD6BC9"/>
    <w:rsid w:val="00AD6F50"/>
    <w:rsid w:val="00AD7608"/>
    <w:rsid w:val="00AD7885"/>
    <w:rsid w:val="00AD7A5A"/>
    <w:rsid w:val="00AE00C2"/>
    <w:rsid w:val="00AE2E09"/>
    <w:rsid w:val="00AE3E2E"/>
    <w:rsid w:val="00AE521C"/>
    <w:rsid w:val="00AE5273"/>
    <w:rsid w:val="00AE5A2D"/>
    <w:rsid w:val="00AE6BB4"/>
    <w:rsid w:val="00AE774A"/>
    <w:rsid w:val="00AF03E1"/>
    <w:rsid w:val="00AF0B9C"/>
    <w:rsid w:val="00AF0F03"/>
    <w:rsid w:val="00AF28CC"/>
    <w:rsid w:val="00AF3314"/>
    <w:rsid w:val="00AF43FF"/>
    <w:rsid w:val="00AF51B7"/>
    <w:rsid w:val="00AF53BB"/>
    <w:rsid w:val="00AF5878"/>
    <w:rsid w:val="00AF5A2D"/>
    <w:rsid w:val="00AF5B08"/>
    <w:rsid w:val="00AF6D64"/>
    <w:rsid w:val="00AF78E8"/>
    <w:rsid w:val="00AF790A"/>
    <w:rsid w:val="00B00A9D"/>
    <w:rsid w:val="00B019C5"/>
    <w:rsid w:val="00B01E0A"/>
    <w:rsid w:val="00B02C4E"/>
    <w:rsid w:val="00B02F2E"/>
    <w:rsid w:val="00B03AEB"/>
    <w:rsid w:val="00B050FE"/>
    <w:rsid w:val="00B07FE9"/>
    <w:rsid w:val="00B11691"/>
    <w:rsid w:val="00B11E9D"/>
    <w:rsid w:val="00B13B2E"/>
    <w:rsid w:val="00B14BD0"/>
    <w:rsid w:val="00B20636"/>
    <w:rsid w:val="00B22FE8"/>
    <w:rsid w:val="00B23506"/>
    <w:rsid w:val="00B23916"/>
    <w:rsid w:val="00B23B14"/>
    <w:rsid w:val="00B23C6C"/>
    <w:rsid w:val="00B23F08"/>
    <w:rsid w:val="00B25820"/>
    <w:rsid w:val="00B2659A"/>
    <w:rsid w:val="00B276A7"/>
    <w:rsid w:val="00B30F58"/>
    <w:rsid w:val="00B310DE"/>
    <w:rsid w:val="00B31481"/>
    <w:rsid w:val="00B314CE"/>
    <w:rsid w:val="00B324C8"/>
    <w:rsid w:val="00B33E77"/>
    <w:rsid w:val="00B34EB2"/>
    <w:rsid w:val="00B34FDD"/>
    <w:rsid w:val="00B35F49"/>
    <w:rsid w:val="00B36EB0"/>
    <w:rsid w:val="00B423C0"/>
    <w:rsid w:val="00B42FA5"/>
    <w:rsid w:val="00B430C5"/>
    <w:rsid w:val="00B4354B"/>
    <w:rsid w:val="00B4446A"/>
    <w:rsid w:val="00B45367"/>
    <w:rsid w:val="00B46A4B"/>
    <w:rsid w:val="00B47C94"/>
    <w:rsid w:val="00B51053"/>
    <w:rsid w:val="00B5107C"/>
    <w:rsid w:val="00B5120C"/>
    <w:rsid w:val="00B513D0"/>
    <w:rsid w:val="00B51FD7"/>
    <w:rsid w:val="00B52219"/>
    <w:rsid w:val="00B536BC"/>
    <w:rsid w:val="00B547B0"/>
    <w:rsid w:val="00B54857"/>
    <w:rsid w:val="00B55ABF"/>
    <w:rsid w:val="00B60862"/>
    <w:rsid w:val="00B6125B"/>
    <w:rsid w:val="00B61999"/>
    <w:rsid w:val="00B624D1"/>
    <w:rsid w:val="00B64C2A"/>
    <w:rsid w:val="00B65A56"/>
    <w:rsid w:val="00B67124"/>
    <w:rsid w:val="00B67394"/>
    <w:rsid w:val="00B70A8B"/>
    <w:rsid w:val="00B71183"/>
    <w:rsid w:val="00B734C6"/>
    <w:rsid w:val="00B734FF"/>
    <w:rsid w:val="00B73F66"/>
    <w:rsid w:val="00B74538"/>
    <w:rsid w:val="00B74B47"/>
    <w:rsid w:val="00B74BA0"/>
    <w:rsid w:val="00B75838"/>
    <w:rsid w:val="00B766D6"/>
    <w:rsid w:val="00B77080"/>
    <w:rsid w:val="00B8088E"/>
    <w:rsid w:val="00B81C18"/>
    <w:rsid w:val="00B81DA1"/>
    <w:rsid w:val="00B82702"/>
    <w:rsid w:val="00B84777"/>
    <w:rsid w:val="00B86BB4"/>
    <w:rsid w:val="00B86FA8"/>
    <w:rsid w:val="00B908C7"/>
    <w:rsid w:val="00B95C2C"/>
    <w:rsid w:val="00B96057"/>
    <w:rsid w:val="00B96B3A"/>
    <w:rsid w:val="00BA1802"/>
    <w:rsid w:val="00BA2BA1"/>
    <w:rsid w:val="00BA36A5"/>
    <w:rsid w:val="00BA3A28"/>
    <w:rsid w:val="00BA3B7C"/>
    <w:rsid w:val="00BA6536"/>
    <w:rsid w:val="00BA6C07"/>
    <w:rsid w:val="00BA6C69"/>
    <w:rsid w:val="00BA7610"/>
    <w:rsid w:val="00BA7818"/>
    <w:rsid w:val="00BB1CD1"/>
    <w:rsid w:val="00BB2B92"/>
    <w:rsid w:val="00BB3319"/>
    <w:rsid w:val="00BB3E0D"/>
    <w:rsid w:val="00BB3F0A"/>
    <w:rsid w:val="00BB4507"/>
    <w:rsid w:val="00BB5C32"/>
    <w:rsid w:val="00BB6083"/>
    <w:rsid w:val="00BB6F67"/>
    <w:rsid w:val="00BB7ACB"/>
    <w:rsid w:val="00BB7B80"/>
    <w:rsid w:val="00BC03E1"/>
    <w:rsid w:val="00BC0FE0"/>
    <w:rsid w:val="00BC27E0"/>
    <w:rsid w:val="00BC30CE"/>
    <w:rsid w:val="00BC59B1"/>
    <w:rsid w:val="00BC6966"/>
    <w:rsid w:val="00BC7BF2"/>
    <w:rsid w:val="00BD0091"/>
    <w:rsid w:val="00BD0757"/>
    <w:rsid w:val="00BD0F95"/>
    <w:rsid w:val="00BD143D"/>
    <w:rsid w:val="00BD15A4"/>
    <w:rsid w:val="00BD228F"/>
    <w:rsid w:val="00BD4DD7"/>
    <w:rsid w:val="00BD5060"/>
    <w:rsid w:val="00BD5235"/>
    <w:rsid w:val="00BD5577"/>
    <w:rsid w:val="00BD6270"/>
    <w:rsid w:val="00BD6F94"/>
    <w:rsid w:val="00BD712D"/>
    <w:rsid w:val="00BE03D6"/>
    <w:rsid w:val="00BE0C8D"/>
    <w:rsid w:val="00BE116B"/>
    <w:rsid w:val="00BE1233"/>
    <w:rsid w:val="00BE182B"/>
    <w:rsid w:val="00BE1B37"/>
    <w:rsid w:val="00BE2600"/>
    <w:rsid w:val="00BE26F1"/>
    <w:rsid w:val="00BE2725"/>
    <w:rsid w:val="00BE32A4"/>
    <w:rsid w:val="00BE3AC8"/>
    <w:rsid w:val="00BE4831"/>
    <w:rsid w:val="00BE49A4"/>
    <w:rsid w:val="00BE5D3C"/>
    <w:rsid w:val="00BE60A9"/>
    <w:rsid w:val="00BF0265"/>
    <w:rsid w:val="00BF0601"/>
    <w:rsid w:val="00BF1AB2"/>
    <w:rsid w:val="00BF21E0"/>
    <w:rsid w:val="00BF408F"/>
    <w:rsid w:val="00BF4DDF"/>
    <w:rsid w:val="00BF5439"/>
    <w:rsid w:val="00BF7000"/>
    <w:rsid w:val="00BF70B9"/>
    <w:rsid w:val="00BF78C5"/>
    <w:rsid w:val="00BF7DD3"/>
    <w:rsid w:val="00C01D00"/>
    <w:rsid w:val="00C01DCD"/>
    <w:rsid w:val="00C0311E"/>
    <w:rsid w:val="00C0328F"/>
    <w:rsid w:val="00C04E25"/>
    <w:rsid w:val="00C04EC5"/>
    <w:rsid w:val="00C0561F"/>
    <w:rsid w:val="00C05693"/>
    <w:rsid w:val="00C10CFF"/>
    <w:rsid w:val="00C10E22"/>
    <w:rsid w:val="00C1117A"/>
    <w:rsid w:val="00C1152A"/>
    <w:rsid w:val="00C1152C"/>
    <w:rsid w:val="00C11A87"/>
    <w:rsid w:val="00C12ADA"/>
    <w:rsid w:val="00C1376E"/>
    <w:rsid w:val="00C13B49"/>
    <w:rsid w:val="00C204CB"/>
    <w:rsid w:val="00C2110E"/>
    <w:rsid w:val="00C214D6"/>
    <w:rsid w:val="00C21900"/>
    <w:rsid w:val="00C22402"/>
    <w:rsid w:val="00C226C4"/>
    <w:rsid w:val="00C22A6F"/>
    <w:rsid w:val="00C2369A"/>
    <w:rsid w:val="00C245AB"/>
    <w:rsid w:val="00C245FF"/>
    <w:rsid w:val="00C24ABC"/>
    <w:rsid w:val="00C256B7"/>
    <w:rsid w:val="00C2685A"/>
    <w:rsid w:val="00C26FAE"/>
    <w:rsid w:val="00C27503"/>
    <w:rsid w:val="00C27AE5"/>
    <w:rsid w:val="00C27DF0"/>
    <w:rsid w:val="00C306C7"/>
    <w:rsid w:val="00C3205D"/>
    <w:rsid w:val="00C34111"/>
    <w:rsid w:val="00C36920"/>
    <w:rsid w:val="00C3717E"/>
    <w:rsid w:val="00C374CD"/>
    <w:rsid w:val="00C41C8C"/>
    <w:rsid w:val="00C43613"/>
    <w:rsid w:val="00C45225"/>
    <w:rsid w:val="00C456C1"/>
    <w:rsid w:val="00C4599C"/>
    <w:rsid w:val="00C45BEC"/>
    <w:rsid w:val="00C45F8D"/>
    <w:rsid w:val="00C46B39"/>
    <w:rsid w:val="00C47A19"/>
    <w:rsid w:val="00C532D8"/>
    <w:rsid w:val="00C53D82"/>
    <w:rsid w:val="00C5445C"/>
    <w:rsid w:val="00C54E8A"/>
    <w:rsid w:val="00C5513B"/>
    <w:rsid w:val="00C5551A"/>
    <w:rsid w:val="00C55C39"/>
    <w:rsid w:val="00C56034"/>
    <w:rsid w:val="00C56283"/>
    <w:rsid w:val="00C5679C"/>
    <w:rsid w:val="00C56BDD"/>
    <w:rsid w:val="00C57366"/>
    <w:rsid w:val="00C60717"/>
    <w:rsid w:val="00C6072A"/>
    <w:rsid w:val="00C60840"/>
    <w:rsid w:val="00C61188"/>
    <w:rsid w:val="00C653DD"/>
    <w:rsid w:val="00C65690"/>
    <w:rsid w:val="00C679DC"/>
    <w:rsid w:val="00C713BF"/>
    <w:rsid w:val="00C715D2"/>
    <w:rsid w:val="00C7226A"/>
    <w:rsid w:val="00C725F4"/>
    <w:rsid w:val="00C746D4"/>
    <w:rsid w:val="00C753C5"/>
    <w:rsid w:val="00C75F35"/>
    <w:rsid w:val="00C76CAA"/>
    <w:rsid w:val="00C804D0"/>
    <w:rsid w:val="00C80EE2"/>
    <w:rsid w:val="00C81C52"/>
    <w:rsid w:val="00C83138"/>
    <w:rsid w:val="00C83362"/>
    <w:rsid w:val="00C86389"/>
    <w:rsid w:val="00C8754B"/>
    <w:rsid w:val="00C87B40"/>
    <w:rsid w:val="00C91876"/>
    <w:rsid w:val="00C923F6"/>
    <w:rsid w:val="00C9279F"/>
    <w:rsid w:val="00C944DC"/>
    <w:rsid w:val="00C947DC"/>
    <w:rsid w:val="00C94E40"/>
    <w:rsid w:val="00C94FD1"/>
    <w:rsid w:val="00C95DB4"/>
    <w:rsid w:val="00C96550"/>
    <w:rsid w:val="00CA0EC6"/>
    <w:rsid w:val="00CA19AB"/>
    <w:rsid w:val="00CA48E7"/>
    <w:rsid w:val="00CA53D1"/>
    <w:rsid w:val="00CA59F3"/>
    <w:rsid w:val="00CA5AFB"/>
    <w:rsid w:val="00CA72B8"/>
    <w:rsid w:val="00CB049D"/>
    <w:rsid w:val="00CB04D7"/>
    <w:rsid w:val="00CB074D"/>
    <w:rsid w:val="00CB08CC"/>
    <w:rsid w:val="00CB16A6"/>
    <w:rsid w:val="00CB16DF"/>
    <w:rsid w:val="00CB282A"/>
    <w:rsid w:val="00CB427F"/>
    <w:rsid w:val="00CB4CC3"/>
    <w:rsid w:val="00CB5669"/>
    <w:rsid w:val="00CB5F83"/>
    <w:rsid w:val="00CB654A"/>
    <w:rsid w:val="00CC12E3"/>
    <w:rsid w:val="00CC1583"/>
    <w:rsid w:val="00CC191A"/>
    <w:rsid w:val="00CC2529"/>
    <w:rsid w:val="00CC25E3"/>
    <w:rsid w:val="00CC273E"/>
    <w:rsid w:val="00CC2CB5"/>
    <w:rsid w:val="00CC3647"/>
    <w:rsid w:val="00CC41DC"/>
    <w:rsid w:val="00CC59AB"/>
    <w:rsid w:val="00CC5F11"/>
    <w:rsid w:val="00CC7E8A"/>
    <w:rsid w:val="00CD00A5"/>
    <w:rsid w:val="00CD0867"/>
    <w:rsid w:val="00CD1531"/>
    <w:rsid w:val="00CD22C1"/>
    <w:rsid w:val="00CD27CC"/>
    <w:rsid w:val="00CD3A56"/>
    <w:rsid w:val="00CD50D1"/>
    <w:rsid w:val="00CD555F"/>
    <w:rsid w:val="00CD6161"/>
    <w:rsid w:val="00CD6EE6"/>
    <w:rsid w:val="00CD72F8"/>
    <w:rsid w:val="00CD7E2D"/>
    <w:rsid w:val="00CE02A6"/>
    <w:rsid w:val="00CE1F95"/>
    <w:rsid w:val="00CE2A39"/>
    <w:rsid w:val="00CE2D72"/>
    <w:rsid w:val="00CE2DCE"/>
    <w:rsid w:val="00CE38D9"/>
    <w:rsid w:val="00CE3949"/>
    <w:rsid w:val="00CE3A2C"/>
    <w:rsid w:val="00CE47FD"/>
    <w:rsid w:val="00CE5787"/>
    <w:rsid w:val="00CE5E5F"/>
    <w:rsid w:val="00CE6AE7"/>
    <w:rsid w:val="00CE777A"/>
    <w:rsid w:val="00CF42AC"/>
    <w:rsid w:val="00CF571E"/>
    <w:rsid w:val="00CF6640"/>
    <w:rsid w:val="00CF6FD7"/>
    <w:rsid w:val="00D021D7"/>
    <w:rsid w:val="00D02A5C"/>
    <w:rsid w:val="00D044A4"/>
    <w:rsid w:val="00D05925"/>
    <w:rsid w:val="00D05E91"/>
    <w:rsid w:val="00D06320"/>
    <w:rsid w:val="00D068EF"/>
    <w:rsid w:val="00D0761E"/>
    <w:rsid w:val="00D07A57"/>
    <w:rsid w:val="00D07C6F"/>
    <w:rsid w:val="00D1029A"/>
    <w:rsid w:val="00D11F7E"/>
    <w:rsid w:val="00D12BD4"/>
    <w:rsid w:val="00D14CBE"/>
    <w:rsid w:val="00D14F0E"/>
    <w:rsid w:val="00D15911"/>
    <w:rsid w:val="00D1645E"/>
    <w:rsid w:val="00D175D1"/>
    <w:rsid w:val="00D17AF5"/>
    <w:rsid w:val="00D17D5C"/>
    <w:rsid w:val="00D17DDF"/>
    <w:rsid w:val="00D20882"/>
    <w:rsid w:val="00D20EA3"/>
    <w:rsid w:val="00D21235"/>
    <w:rsid w:val="00D22B87"/>
    <w:rsid w:val="00D24376"/>
    <w:rsid w:val="00D24DAF"/>
    <w:rsid w:val="00D24EAE"/>
    <w:rsid w:val="00D26007"/>
    <w:rsid w:val="00D26DFB"/>
    <w:rsid w:val="00D277BC"/>
    <w:rsid w:val="00D3010C"/>
    <w:rsid w:val="00D30E7D"/>
    <w:rsid w:val="00D30F15"/>
    <w:rsid w:val="00D321B9"/>
    <w:rsid w:val="00D34777"/>
    <w:rsid w:val="00D34D3B"/>
    <w:rsid w:val="00D3506A"/>
    <w:rsid w:val="00D35840"/>
    <w:rsid w:val="00D36FEF"/>
    <w:rsid w:val="00D3774E"/>
    <w:rsid w:val="00D37A39"/>
    <w:rsid w:val="00D40E4B"/>
    <w:rsid w:val="00D42EB7"/>
    <w:rsid w:val="00D43541"/>
    <w:rsid w:val="00D43997"/>
    <w:rsid w:val="00D43F44"/>
    <w:rsid w:val="00D441B7"/>
    <w:rsid w:val="00D44634"/>
    <w:rsid w:val="00D44C98"/>
    <w:rsid w:val="00D44D02"/>
    <w:rsid w:val="00D45684"/>
    <w:rsid w:val="00D45E4C"/>
    <w:rsid w:val="00D47A07"/>
    <w:rsid w:val="00D47FFB"/>
    <w:rsid w:val="00D50C0B"/>
    <w:rsid w:val="00D5176B"/>
    <w:rsid w:val="00D51926"/>
    <w:rsid w:val="00D55749"/>
    <w:rsid w:val="00D55F8C"/>
    <w:rsid w:val="00D56302"/>
    <w:rsid w:val="00D565E0"/>
    <w:rsid w:val="00D567D1"/>
    <w:rsid w:val="00D573D9"/>
    <w:rsid w:val="00D5754C"/>
    <w:rsid w:val="00D576AB"/>
    <w:rsid w:val="00D57855"/>
    <w:rsid w:val="00D60298"/>
    <w:rsid w:val="00D606B5"/>
    <w:rsid w:val="00D62212"/>
    <w:rsid w:val="00D62D6C"/>
    <w:rsid w:val="00D63317"/>
    <w:rsid w:val="00D6339A"/>
    <w:rsid w:val="00D63C4D"/>
    <w:rsid w:val="00D6425F"/>
    <w:rsid w:val="00D65D9E"/>
    <w:rsid w:val="00D65DFA"/>
    <w:rsid w:val="00D663CD"/>
    <w:rsid w:val="00D6722D"/>
    <w:rsid w:val="00D67453"/>
    <w:rsid w:val="00D7040F"/>
    <w:rsid w:val="00D70E92"/>
    <w:rsid w:val="00D72CF5"/>
    <w:rsid w:val="00D74471"/>
    <w:rsid w:val="00D752D9"/>
    <w:rsid w:val="00D75965"/>
    <w:rsid w:val="00D76D1F"/>
    <w:rsid w:val="00D77CBB"/>
    <w:rsid w:val="00D817EE"/>
    <w:rsid w:val="00D8341E"/>
    <w:rsid w:val="00D83B54"/>
    <w:rsid w:val="00D8478D"/>
    <w:rsid w:val="00D8603C"/>
    <w:rsid w:val="00D86D4D"/>
    <w:rsid w:val="00D90181"/>
    <w:rsid w:val="00D91239"/>
    <w:rsid w:val="00D914AE"/>
    <w:rsid w:val="00D9187B"/>
    <w:rsid w:val="00D926CA"/>
    <w:rsid w:val="00D96297"/>
    <w:rsid w:val="00D97CCA"/>
    <w:rsid w:val="00DA28A4"/>
    <w:rsid w:val="00DA34A8"/>
    <w:rsid w:val="00DA34B8"/>
    <w:rsid w:val="00DA39A3"/>
    <w:rsid w:val="00DA3F82"/>
    <w:rsid w:val="00DA53F9"/>
    <w:rsid w:val="00DA6150"/>
    <w:rsid w:val="00DA6AE9"/>
    <w:rsid w:val="00DA6D4A"/>
    <w:rsid w:val="00DB0895"/>
    <w:rsid w:val="00DB096D"/>
    <w:rsid w:val="00DB274A"/>
    <w:rsid w:val="00DB34E1"/>
    <w:rsid w:val="00DB352F"/>
    <w:rsid w:val="00DB3E89"/>
    <w:rsid w:val="00DB3F08"/>
    <w:rsid w:val="00DB4046"/>
    <w:rsid w:val="00DB59F8"/>
    <w:rsid w:val="00DB5D10"/>
    <w:rsid w:val="00DB6239"/>
    <w:rsid w:val="00DB6BFD"/>
    <w:rsid w:val="00DB6E04"/>
    <w:rsid w:val="00DC0908"/>
    <w:rsid w:val="00DC1308"/>
    <w:rsid w:val="00DC155C"/>
    <w:rsid w:val="00DC3785"/>
    <w:rsid w:val="00DC3F59"/>
    <w:rsid w:val="00DC4C3C"/>
    <w:rsid w:val="00DC5091"/>
    <w:rsid w:val="00DC56C7"/>
    <w:rsid w:val="00DC5B12"/>
    <w:rsid w:val="00DC7365"/>
    <w:rsid w:val="00DC749C"/>
    <w:rsid w:val="00DC7BC5"/>
    <w:rsid w:val="00DC7C24"/>
    <w:rsid w:val="00DD5B78"/>
    <w:rsid w:val="00DD723F"/>
    <w:rsid w:val="00DD7BA4"/>
    <w:rsid w:val="00DD7F4E"/>
    <w:rsid w:val="00DE07E8"/>
    <w:rsid w:val="00DE2D3A"/>
    <w:rsid w:val="00DE358B"/>
    <w:rsid w:val="00DE35A0"/>
    <w:rsid w:val="00DE4C71"/>
    <w:rsid w:val="00DE5E0F"/>
    <w:rsid w:val="00DE6849"/>
    <w:rsid w:val="00DE7B11"/>
    <w:rsid w:val="00DF083C"/>
    <w:rsid w:val="00DF1A26"/>
    <w:rsid w:val="00DF21DC"/>
    <w:rsid w:val="00DF2385"/>
    <w:rsid w:val="00DF3AED"/>
    <w:rsid w:val="00DF4150"/>
    <w:rsid w:val="00DF49FC"/>
    <w:rsid w:val="00DF59C6"/>
    <w:rsid w:val="00E017CE"/>
    <w:rsid w:val="00E0390E"/>
    <w:rsid w:val="00E03DDD"/>
    <w:rsid w:val="00E041B4"/>
    <w:rsid w:val="00E0643C"/>
    <w:rsid w:val="00E06507"/>
    <w:rsid w:val="00E06952"/>
    <w:rsid w:val="00E06C40"/>
    <w:rsid w:val="00E07240"/>
    <w:rsid w:val="00E07F91"/>
    <w:rsid w:val="00E10EF0"/>
    <w:rsid w:val="00E11E07"/>
    <w:rsid w:val="00E12ACE"/>
    <w:rsid w:val="00E12BD0"/>
    <w:rsid w:val="00E13342"/>
    <w:rsid w:val="00E1412D"/>
    <w:rsid w:val="00E14378"/>
    <w:rsid w:val="00E14BA2"/>
    <w:rsid w:val="00E160F3"/>
    <w:rsid w:val="00E1689A"/>
    <w:rsid w:val="00E172F1"/>
    <w:rsid w:val="00E200FA"/>
    <w:rsid w:val="00E20874"/>
    <w:rsid w:val="00E20E4D"/>
    <w:rsid w:val="00E21BE2"/>
    <w:rsid w:val="00E21C91"/>
    <w:rsid w:val="00E2251D"/>
    <w:rsid w:val="00E22764"/>
    <w:rsid w:val="00E24FD9"/>
    <w:rsid w:val="00E2509A"/>
    <w:rsid w:val="00E266FE"/>
    <w:rsid w:val="00E26C70"/>
    <w:rsid w:val="00E27846"/>
    <w:rsid w:val="00E27F5A"/>
    <w:rsid w:val="00E3277A"/>
    <w:rsid w:val="00E32CA1"/>
    <w:rsid w:val="00E33773"/>
    <w:rsid w:val="00E33A9A"/>
    <w:rsid w:val="00E34D41"/>
    <w:rsid w:val="00E34D89"/>
    <w:rsid w:val="00E35199"/>
    <w:rsid w:val="00E35D12"/>
    <w:rsid w:val="00E37894"/>
    <w:rsid w:val="00E41638"/>
    <w:rsid w:val="00E42246"/>
    <w:rsid w:val="00E43F9B"/>
    <w:rsid w:val="00E44071"/>
    <w:rsid w:val="00E44FF3"/>
    <w:rsid w:val="00E4706A"/>
    <w:rsid w:val="00E47FBD"/>
    <w:rsid w:val="00E508EC"/>
    <w:rsid w:val="00E52B6D"/>
    <w:rsid w:val="00E534E0"/>
    <w:rsid w:val="00E53A9B"/>
    <w:rsid w:val="00E5501D"/>
    <w:rsid w:val="00E551E2"/>
    <w:rsid w:val="00E5549F"/>
    <w:rsid w:val="00E57015"/>
    <w:rsid w:val="00E57BB5"/>
    <w:rsid w:val="00E6013F"/>
    <w:rsid w:val="00E60253"/>
    <w:rsid w:val="00E60747"/>
    <w:rsid w:val="00E6209A"/>
    <w:rsid w:val="00E62522"/>
    <w:rsid w:val="00E638C9"/>
    <w:rsid w:val="00E6393D"/>
    <w:rsid w:val="00E64909"/>
    <w:rsid w:val="00E659B5"/>
    <w:rsid w:val="00E66184"/>
    <w:rsid w:val="00E66534"/>
    <w:rsid w:val="00E66C78"/>
    <w:rsid w:val="00E673DE"/>
    <w:rsid w:val="00E71451"/>
    <w:rsid w:val="00E71C4E"/>
    <w:rsid w:val="00E72617"/>
    <w:rsid w:val="00E72822"/>
    <w:rsid w:val="00E72CE8"/>
    <w:rsid w:val="00E748D5"/>
    <w:rsid w:val="00E749FD"/>
    <w:rsid w:val="00E75D98"/>
    <w:rsid w:val="00E77668"/>
    <w:rsid w:val="00E77E94"/>
    <w:rsid w:val="00E82DF2"/>
    <w:rsid w:val="00E82F29"/>
    <w:rsid w:val="00E8316E"/>
    <w:rsid w:val="00E8384B"/>
    <w:rsid w:val="00E83920"/>
    <w:rsid w:val="00E84FE1"/>
    <w:rsid w:val="00E85897"/>
    <w:rsid w:val="00E85B97"/>
    <w:rsid w:val="00E87055"/>
    <w:rsid w:val="00E870A2"/>
    <w:rsid w:val="00E87CEC"/>
    <w:rsid w:val="00E900F6"/>
    <w:rsid w:val="00E915D4"/>
    <w:rsid w:val="00E9217E"/>
    <w:rsid w:val="00E922D7"/>
    <w:rsid w:val="00E9328A"/>
    <w:rsid w:val="00E93A89"/>
    <w:rsid w:val="00E95299"/>
    <w:rsid w:val="00E97F13"/>
    <w:rsid w:val="00EA1E58"/>
    <w:rsid w:val="00EA2321"/>
    <w:rsid w:val="00EA2527"/>
    <w:rsid w:val="00EA27CF"/>
    <w:rsid w:val="00EA3280"/>
    <w:rsid w:val="00EA6252"/>
    <w:rsid w:val="00EB1074"/>
    <w:rsid w:val="00EB20A7"/>
    <w:rsid w:val="00EB3698"/>
    <w:rsid w:val="00EB3728"/>
    <w:rsid w:val="00EB4510"/>
    <w:rsid w:val="00EB705F"/>
    <w:rsid w:val="00EC0197"/>
    <w:rsid w:val="00EC0319"/>
    <w:rsid w:val="00EC080A"/>
    <w:rsid w:val="00EC3F42"/>
    <w:rsid w:val="00EC4145"/>
    <w:rsid w:val="00EC542D"/>
    <w:rsid w:val="00EC687F"/>
    <w:rsid w:val="00EC6967"/>
    <w:rsid w:val="00ED0094"/>
    <w:rsid w:val="00ED05D5"/>
    <w:rsid w:val="00ED0DFC"/>
    <w:rsid w:val="00ED1BA3"/>
    <w:rsid w:val="00ED406E"/>
    <w:rsid w:val="00ED5C5A"/>
    <w:rsid w:val="00ED63D8"/>
    <w:rsid w:val="00ED6890"/>
    <w:rsid w:val="00ED69F8"/>
    <w:rsid w:val="00ED7702"/>
    <w:rsid w:val="00EE00BE"/>
    <w:rsid w:val="00EE24F7"/>
    <w:rsid w:val="00EE4A6F"/>
    <w:rsid w:val="00EE4A92"/>
    <w:rsid w:val="00EE4E85"/>
    <w:rsid w:val="00EE4F49"/>
    <w:rsid w:val="00EE58A8"/>
    <w:rsid w:val="00EE6B24"/>
    <w:rsid w:val="00EE6C13"/>
    <w:rsid w:val="00EE6FD5"/>
    <w:rsid w:val="00EE6FE0"/>
    <w:rsid w:val="00EE7DA1"/>
    <w:rsid w:val="00EF2F97"/>
    <w:rsid w:val="00EF6F0E"/>
    <w:rsid w:val="00EF7A56"/>
    <w:rsid w:val="00F005BD"/>
    <w:rsid w:val="00F01D5D"/>
    <w:rsid w:val="00F01F7A"/>
    <w:rsid w:val="00F027E6"/>
    <w:rsid w:val="00F038F1"/>
    <w:rsid w:val="00F04AC2"/>
    <w:rsid w:val="00F07367"/>
    <w:rsid w:val="00F07498"/>
    <w:rsid w:val="00F07A38"/>
    <w:rsid w:val="00F07AC5"/>
    <w:rsid w:val="00F07B5B"/>
    <w:rsid w:val="00F1015E"/>
    <w:rsid w:val="00F13428"/>
    <w:rsid w:val="00F13517"/>
    <w:rsid w:val="00F1445F"/>
    <w:rsid w:val="00F14E75"/>
    <w:rsid w:val="00F15161"/>
    <w:rsid w:val="00F15A78"/>
    <w:rsid w:val="00F16D83"/>
    <w:rsid w:val="00F1702E"/>
    <w:rsid w:val="00F172F2"/>
    <w:rsid w:val="00F17891"/>
    <w:rsid w:val="00F20A1B"/>
    <w:rsid w:val="00F210D8"/>
    <w:rsid w:val="00F2182D"/>
    <w:rsid w:val="00F21FBD"/>
    <w:rsid w:val="00F2221C"/>
    <w:rsid w:val="00F22A4D"/>
    <w:rsid w:val="00F24E67"/>
    <w:rsid w:val="00F252CF"/>
    <w:rsid w:val="00F263B5"/>
    <w:rsid w:val="00F264C3"/>
    <w:rsid w:val="00F27419"/>
    <w:rsid w:val="00F3081F"/>
    <w:rsid w:val="00F3135D"/>
    <w:rsid w:val="00F317BD"/>
    <w:rsid w:val="00F31B0F"/>
    <w:rsid w:val="00F3257E"/>
    <w:rsid w:val="00F343CF"/>
    <w:rsid w:val="00F34CB7"/>
    <w:rsid w:val="00F3731D"/>
    <w:rsid w:val="00F407B8"/>
    <w:rsid w:val="00F41906"/>
    <w:rsid w:val="00F438ED"/>
    <w:rsid w:val="00F43D31"/>
    <w:rsid w:val="00F44791"/>
    <w:rsid w:val="00F454AD"/>
    <w:rsid w:val="00F46079"/>
    <w:rsid w:val="00F47267"/>
    <w:rsid w:val="00F5061C"/>
    <w:rsid w:val="00F50A2A"/>
    <w:rsid w:val="00F50EC5"/>
    <w:rsid w:val="00F51968"/>
    <w:rsid w:val="00F52720"/>
    <w:rsid w:val="00F52F2E"/>
    <w:rsid w:val="00F53F09"/>
    <w:rsid w:val="00F54737"/>
    <w:rsid w:val="00F56037"/>
    <w:rsid w:val="00F563DD"/>
    <w:rsid w:val="00F56ABF"/>
    <w:rsid w:val="00F60205"/>
    <w:rsid w:val="00F60220"/>
    <w:rsid w:val="00F60C5F"/>
    <w:rsid w:val="00F61D30"/>
    <w:rsid w:val="00F62BB4"/>
    <w:rsid w:val="00F66BE0"/>
    <w:rsid w:val="00F705AA"/>
    <w:rsid w:val="00F71FDE"/>
    <w:rsid w:val="00F72E0D"/>
    <w:rsid w:val="00F73141"/>
    <w:rsid w:val="00F7320B"/>
    <w:rsid w:val="00F7579D"/>
    <w:rsid w:val="00F75D4D"/>
    <w:rsid w:val="00F77C27"/>
    <w:rsid w:val="00F77F2A"/>
    <w:rsid w:val="00F807DF"/>
    <w:rsid w:val="00F80DBD"/>
    <w:rsid w:val="00F80EB6"/>
    <w:rsid w:val="00F826DD"/>
    <w:rsid w:val="00F83202"/>
    <w:rsid w:val="00F84ACC"/>
    <w:rsid w:val="00F852D8"/>
    <w:rsid w:val="00F9005E"/>
    <w:rsid w:val="00F90786"/>
    <w:rsid w:val="00F90848"/>
    <w:rsid w:val="00F9099E"/>
    <w:rsid w:val="00F91003"/>
    <w:rsid w:val="00F9188D"/>
    <w:rsid w:val="00F91F6E"/>
    <w:rsid w:val="00F93538"/>
    <w:rsid w:val="00F95BDA"/>
    <w:rsid w:val="00FA0BCA"/>
    <w:rsid w:val="00FA256D"/>
    <w:rsid w:val="00FA29F7"/>
    <w:rsid w:val="00FA3E3B"/>
    <w:rsid w:val="00FA5F27"/>
    <w:rsid w:val="00FA6386"/>
    <w:rsid w:val="00FA647C"/>
    <w:rsid w:val="00FA6F49"/>
    <w:rsid w:val="00FA77BC"/>
    <w:rsid w:val="00FB00BD"/>
    <w:rsid w:val="00FB152F"/>
    <w:rsid w:val="00FB15E1"/>
    <w:rsid w:val="00FB1C2B"/>
    <w:rsid w:val="00FB21AD"/>
    <w:rsid w:val="00FB29A4"/>
    <w:rsid w:val="00FB3062"/>
    <w:rsid w:val="00FB3187"/>
    <w:rsid w:val="00FB330B"/>
    <w:rsid w:val="00FB43F5"/>
    <w:rsid w:val="00FB54E2"/>
    <w:rsid w:val="00FB5617"/>
    <w:rsid w:val="00FB5CF1"/>
    <w:rsid w:val="00FB6B86"/>
    <w:rsid w:val="00FB73AE"/>
    <w:rsid w:val="00FB7BEE"/>
    <w:rsid w:val="00FB7D5A"/>
    <w:rsid w:val="00FC0385"/>
    <w:rsid w:val="00FC201F"/>
    <w:rsid w:val="00FC3264"/>
    <w:rsid w:val="00FC4FC8"/>
    <w:rsid w:val="00FC599B"/>
    <w:rsid w:val="00FC7379"/>
    <w:rsid w:val="00FD0C37"/>
    <w:rsid w:val="00FD0DB0"/>
    <w:rsid w:val="00FD2126"/>
    <w:rsid w:val="00FD2990"/>
    <w:rsid w:val="00FD4095"/>
    <w:rsid w:val="00FD4399"/>
    <w:rsid w:val="00FD5C44"/>
    <w:rsid w:val="00FE23EF"/>
    <w:rsid w:val="00FE25D0"/>
    <w:rsid w:val="00FE29A2"/>
    <w:rsid w:val="00FE3810"/>
    <w:rsid w:val="00FE3CE3"/>
    <w:rsid w:val="00FE46BB"/>
    <w:rsid w:val="00FE474F"/>
    <w:rsid w:val="00FE5E91"/>
    <w:rsid w:val="00FE6785"/>
    <w:rsid w:val="00FE699A"/>
    <w:rsid w:val="00FF0C0C"/>
    <w:rsid w:val="00FF1EE2"/>
    <w:rsid w:val="00FF22AF"/>
    <w:rsid w:val="00FF3031"/>
    <w:rsid w:val="00FF4401"/>
    <w:rsid w:val="00FF4C8E"/>
    <w:rsid w:val="00FF4F87"/>
    <w:rsid w:val="00FF64C3"/>
    <w:rsid w:val="00FF7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641CA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93538"/>
    <w:pPr>
      <w:spacing w:after="0" w:line="240" w:lineRule="auto"/>
    </w:pPr>
    <w:rPr>
      <w:rFonts w:ascii="Times New Roman" w:hAnsi="Times New Roman" w:cs="Times New Roman"/>
      <w:sz w:val="24"/>
      <w:szCs w:val="24"/>
      <w:lang w:val="nl-NL" w:eastAsia="nl-NL"/>
    </w:rPr>
  </w:style>
  <w:style w:type="paragraph" w:styleId="Kop1">
    <w:name w:val="heading 1"/>
    <w:basedOn w:val="Standaard"/>
    <w:next w:val="Standaard"/>
    <w:link w:val="Kop1Teken"/>
    <w:uiPriority w:val="9"/>
    <w:qFormat/>
    <w:rsid w:val="00525F27"/>
    <w:pPr>
      <w:keepNext/>
      <w:keepLines/>
      <w:spacing w:before="240" w:line="480" w:lineRule="auto"/>
      <w:outlineLvl w:val="0"/>
    </w:pPr>
    <w:rPr>
      <w:rFonts w:asciiTheme="majorHAnsi" w:eastAsiaTheme="majorEastAsia" w:hAnsiTheme="majorHAnsi" w:cstheme="majorBidi"/>
      <w:color w:val="2E74B5" w:themeColor="accent1" w:themeShade="BF"/>
      <w:sz w:val="32"/>
      <w:szCs w:val="32"/>
      <w:lang w:val="en-GB" w:eastAsia="en-US"/>
    </w:rPr>
  </w:style>
  <w:style w:type="paragraph" w:styleId="Kop2">
    <w:name w:val="heading 2"/>
    <w:basedOn w:val="Standaard"/>
    <w:next w:val="Standaard"/>
    <w:link w:val="Kop2Teken"/>
    <w:uiPriority w:val="9"/>
    <w:unhideWhenUsed/>
    <w:qFormat/>
    <w:rsid w:val="00525F27"/>
    <w:pPr>
      <w:keepNext/>
      <w:keepLines/>
      <w:spacing w:before="40" w:line="480" w:lineRule="auto"/>
      <w:outlineLvl w:val="1"/>
    </w:pPr>
    <w:rPr>
      <w:rFonts w:asciiTheme="majorHAnsi" w:eastAsiaTheme="majorEastAsia" w:hAnsiTheme="majorHAnsi" w:cstheme="majorBidi"/>
      <w:color w:val="2E74B5" w:themeColor="accent1" w:themeShade="BF"/>
      <w:sz w:val="26"/>
      <w:szCs w:val="26"/>
      <w:lang w:val="en-GB" w:eastAsia="en-US"/>
    </w:rPr>
  </w:style>
  <w:style w:type="paragraph" w:styleId="Kop3">
    <w:name w:val="heading 3"/>
    <w:basedOn w:val="Standaard"/>
    <w:next w:val="Standaard"/>
    <w:link w:val="Kop3Teken"/>
    <w:uiPriority w:val="9"/>
    <w:unhideWhenUsed/>
    <w:qFormat/>
    <w:rsid w:val="00E03DDD"/>
    <w:pPr>
      <w:keepNext/>
      <w:keepLines/>
      <w:spacing w:before="40" w:line="480" w:lineRule="auto"/>
      <w:outlineLvl w:val="2"/>
    </w:pPr>
    <w:rPr>
      <w:rFonts w:asciiTheme="majorHAnsi" w:eastAsiaTheme="majorEastAsia" w:hAnsiTheme="majorHAnsi" w:cstheme="majorBidi"/>
      <w:color w:val="1F4D78" w:themeColor="accent1" w:themeShade="7F"/>
      <w:lang w:val="en-GB" w:eastAsia="en-US"/>
    </w:rPr>
  </w:style>
  <w:style w:type="paragraph" w:styleId="Kop4">
    <w:name w:val="heading 4"/>
    <w:basedOn w:val="Standaard"/>
    <w:next w:val="Standaard"/>
    <w:link w:val="Kop4Teken"/>
    <w:uiPriority w:val="9"/>
    <w:unhideWhenUsed/>
    <w:qFormat/>
    <w:rsid w:val="00E03DDD"/>
    <w:pPr>
      <w:keepNext/>
      <w:keepLines/>
      <w:spacing w:before="40" w:line="480" w:lineRule="auto"/>
      <w:outlineLvl w:val="3"/>
    </w:pPr>
    <w:rPr>
      <w:rFonts w:asciiTheme="majorHAnsi" w:eastAsiaTheme="majorEastAsia" w:hAnsiTheme="majorHAnsi" w:cstheme="majorBidi"/>
      <w:i/>
      <w:iCs/>
      <w:color w:val="2E74B5" w:themeColor="accent1" w:themeShade="BF"/>
      <w:sz w:val="22"/>
      <w:szCs w:val="22"/>
      <w:lang w:val="en-GB"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Teken">
    <w:name w:val="Kop 1 Teken"/>
    <w:basedOn w:val="Standaardalinea-lettertype"/>
    <w:link w:val="Kop1"/>
    <w:uiPriority w:val="9"/>
    <w:rsid w:val="00525F27"/>
    <w:rPr>
      <w:rFonts w:asciiTheme="majorHAnsi" w:eastAsiaTheme="majorEastAsia" w:hAnsiTheme="majorHAnsi" w:cstheme="majorBidi"/>
      <w:color w:val="2E74B5" w:themeColor="accent1" w:themeShade="BF"/>
      <w:sz w:val="32"/>
      <w:szCs w:val="32"/>
      <w:lang w:val="en-GB"/>
    </w:rPr>
  </w:style>
  <w:style w:type="character" w:customStyle="1" w:styleId="Kop2Teken">
    <w:name w:val="Kop 2 Teken"/>
    <w:basedOn w:val="Standaardalinea-lettertype"/>
    <w:link w:val="Kop2"/>
    <w:uiPriority w:val="9"/>
    <w:rsid w:val="00525F27"/>
    <w:rPr>
      <w:rFonts w:asciiTheme="majorHAnsi" w:eastAsiaTheme="majorEastAsia" w:hAnsiTheme="majorHAnsi" w:cstheme="majorBidi"/>
      <w:color w:val="2E74B5" w:themeColor="accent1" w:themeShade="BF"/>
      <w:sz w:val="26"/>
      <w:szCs w:val="26"/>
      <w:lang w:val="en-GB"/>
    </w:rPr>
  </w:style>
  <w:style w:type="character" w:customStyle="1" w:styleId="Kop3Teken">
    <w:name w:val="Kop 3 Teken"/>
    <w:basedOn w:val="Standaardalinea-lettertype"/>
    <w:link w:val="Kop3"/>
    <w:uiPriority w:val="9"/>
    <w:rsid w:val="00E03DDD"/>
    <w:rPr>
      <w:rFonts w:asciiTheme="majorHAnsi" w:eastAsiaTheme="majorEastAsia" w:hAnsiTheme="majorHAnsi" w:cstheme="majorBidi"/>
      <w:color w:val="1F4D78" w:themeColor="accent1" w:themeShade="7F"/>
      <w:sz w:val="24"/>
      <w:szCs w:val="24"/>
      <w:lang w:val="en-GB"/>
    </w:rPr>
  </w:style>
  <w:style w:type="character" w:customStyle="1" w:styleId="Kop4Teken">
    <w:name w:val="Kop 4 Teken"/>
    <w:basedOn w:val="Standaardalinea-lettertype"/>
    <w:link w:val="Kop4"/>
    <w:uiPriority w:val="9"/>
    <w:rsid w:val="00E03DDD"/>
    <w:rPr>
      <w:rFonts w:asciiTheme="majorHAnsi" w:eastAsiaTheme="majorEastAsia" w:hAnsiTheme="majorHAnsi" w:cstheme="majorBidi"/>
      <w:i/>
      <w:iCs/>
      <w:color w:val="2E74B5" w:themeColor="accent1" w:themeShade="BF"/>
      <w:lang w:val="en-GB"/>
    </w:rPr>
  </w:style>
  <w:style w:type="paragraph" w:styleId="Lijstalinea">
    <w:name w:val="List Paragraph"/>
    <w:basedOn w:val="Standaard"/>
    <w:uiPriority w:val="34"/>
    <w:qFormat/>
    <w:rsid w:val="00695B5F"/>
    <w:pPr>
      <w:spacing w:after="160" w:line="480" w:lineRule="auto"/>
      <w:ind w:left="720"/>
      <w:contextualSpacing/>
    </w:pPr>
    <w:rPr>
      <w:rFonts w:asciiTheme="minorHAnsi" w:hAnsiTheme="minorHAnsi" w:cstheme="minorBidi"/>
      <w:sz w:val="22"/>
      <w:szCs w:val="22"/>
      <w:lang w:val="en-GB" w:eastAsia="en-US"/>
    </w:rPr>
  </w:style>
  <w:style w:type="character" w:styleId="Tekstvantijdelijkeaanduiding">
    <w:name w:val="Placeholder Text"/>
    <w:basedOn w:val="Standaardalinea-lettertype"/>
    <w:uiPriority w:val="99"/>
    <w:semiHidden/>
    <w:rsid w:val="00D65D9E"/>
    <w:rPr>
      <w:color w:val="808080"/>
    </w:rPr>
  </w:style>
  <w:style w:type="table" w:styleId="Tabelraster">
    <w:name w:val="Table Grid"/>
    <w:basedOn w:val="Standaardtabel"/>
    <w:uiPriority w:val="39"/>
    <w:rsid w:val="00C53D8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alweb">
    <w:name w:val="Normal (Web)"/>
    <w:basedOn w:val="Standaard"/>
    <w:uiPriority w:val="99"/>
    <w:unhideWhenUsed/>
    <w:rsid w:val="000C6168"/>
    <w:pPr>
      <w:spacing w:before="100" w:beforeAutospacing="1" w:after="100" w:afterAutospacing="1"/>
    </w:pPr>
  </w:style>
  <w:style w:type="paragraph" w:styleId="Ballontekst">
    <w:name w:val="Balloon Text"/>
    <w:basedOn w:val="Standaard"/>
    <w:link w:val="BallontekstTeken"/>
    <w:uiPriority w:val="99"/>
    <w:semiHidden/>
    <w:unhideWhenUsed/>
    <w:rsid w:val="00E83920"/>
    <w:rPr>
      <w:sz w:val="18"/>
      <w:szCs w:val="18"/>
      <w:lang w:val="en-GB" w:eastAsia="en-US"/>
    </w:rPr>
  </w:style>
  <w:style w:type="character" w:customStyle="1" w:styleId="BallontekstTeken">
    <w:name w:val="Ballontekst Teken"/>
    <w:basedOn w:val="Standaardalinea-lettertype"/>
    <w:link w:val="Ballontekst"/>
    <w:uiPriority w:val="99"/>
    <w:semiHidden/>
    <w:rsid w:val="00E83920"/>
    <w:rPr>
      <w:rFonts w:ascii="Times New Roman" w:hAnsi="Times New Roman" w:cs="Times New Roman"/>
      <w:sz w:val="18"/>
      <w:szCs w:val="18"/>
      <w:lang w:val="en-GB"/>
    </w:rPr>
  </w:style>
  <w:style w:type="paragraph" w:styleId="Geenafstand">
    <w:name w:val="No Spacing"/>
    <w:uiPriority w:val="1"/>
    <w:qFormat/>
    <w:rsid w:val="000A4173"/>
    <w:pPr>
      <w:spacing w:after="0" w:line="240" w:lineRule="auto"/>
    </w:pPr>
    <w:rPr>
      <w:rFonts w:ascii="Times New Roman" w:hAnsi="Times New Roman" w:cs="Times New Roman"/>
      <w:sz w:val="24"/>
      <w:szCs w:val="24"/>
      <w:lang w:val="nl-NL" w:eastAsia="nl-NL"/>
    </w:rPr>
  </w:style>
  <w:style w:type="character" w:styleId="Verwijzingopmerking">
    <w:name w:val="annotation reference"/>
    <w:basedOn w:val="Standaardalinea-lettertype"/>
    <w:uiPriority w:val="99"/>
    <w:semiHidden/>
    <w:unhideWhenUsed/>
    <w:rsid w:val="00D7040F"/>
    <w:rPr>
      <w:sz w:val="16"/>
      <w:szCs w:val="16"/>
    </w:rPr>
  </w:style>
  <w:style w:type="paragraph" w:styleId="Tekstopmerking">
    <w:name w:val="annotation text"/>
    <w:basedOn w:val="Standaard"/>
    <w:link w:val="TekstopmerkingTeken"/>
    <w:uiPriority w:val="99"/>
    <w:semiHidden/>
    <w:unhideWhenUsed/>
    <w:rsid w:val="00D7040F"/>
    <w:rPr>
      <w:sz w:val="20"/>
      <w:szCs w:val="20"/>
    </w:rPr>
  </w:style>
  <w:style w:type="character" w:customStyle="1" w:styleId="TekstopmerkingTeken">
    <w:name w:val="Tekst opmerking Teken"/>
    <w:basedOn w:val="Standaardalinea-lettertype"/>
    <w:link w:val="Tekstopmerking"/>
    <w:uiPriority w:val="99"/>
    <w:semiHidden/>
    <w:rsid w:val="00D7040F"/>
    <w:rPr>
      <w:rFonts w:ascii="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Teken"/>
    <w:uiPriority w:val="99"/>
    <w:semiHidden/>
    <w:unhideWhenUsed/>
    <w:rsid w:val="00D7040F"/>
    <w:rPr>
      <w:b/>
      <w:bCs/>
    </w:rPr>
  </w:style>
  <w:style w:type="character" w:customStyle="1" w:styleId="OnderwerpvanopmerkingTeken">
    <w:name w:val="Onderwerp van opmerking Teken"/>
    <w:basedOn w:val="TekstopmerkingTeken"/>
    <w:link w:val="Onderwerpvanopmerking"/>
    <w:uiPriority w:val="99"/>
    <w:semiHidden/>
    <w:rsid w:val="00D7040F"/>
    <w:rPr>
      <w:rFonts w:ascii="Times New Roman" w:hAnsi="Times New Roman" w:cs="Times New Roman"/>
      <w:b/>
      <w:bCs/>
      <w:sz w:val="20"/>
      <w:szCs w:val="20"/>
      <w:lang w:val="nl-NL" w:eastAsia="nl-NL"/>
    </w:rPr>
  </w:style>
  <w:style w:type="paragraph" w:styleId="HTML-voorafopgemaakt">
    <w:name w:val="HTML Preformatted"/>
    <w:basedOn w:val="Standaard"/>
    <w:link w:val="HTML-voorafopgemaaktTeken"/>
    <w:uiPriority w:val="99"/>
    <w:unhideWhenUsed/>
    <w:rsid w:val="003D2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GB" w:eastAsia="en-GB"/>
    </w:rPr>
  </w:style>
  <w:style w:type="character" w:customStyle="1" w:styleId="HTML-voorafopgemaaktTeken">
    <w:name w:val="HTML - vooraf opgemaakt Teken"/>
    <w:basedOn w:val="Standaardalinea-lettertype"/>
    <w:link w:val="HTML-voorafopgemaakt"/>
    <w:uiPriority w:val="99"/>
    <w:rsid w:val="003D2968"/>
    <w:rPr>
      <w:rFonts w:ascii="Courier New" w:eastAsia="Times New Roman" w:hAnsi="Courier New" w:cs="Courier New"/>
      <w:sz w:val="20"/>
      <w:szCs w:val="20"/>
      <w:lang w:val="en-GB" w:eastAsia="en-GB"/>
    </w:rPr>
  </w:style>
  <w:style w:type="paragraph" w:styleId="Plattetekst">
    <w:name w:val="Body Text"/>
    <w:basedOn w:val="Standaard"/>
    <w:link w:val="PlattetekstTeken"/>
    <w:uiPriority w:val="1"/>
    <w:qFormat/>
    <w:rsid w:val="00115D2D"/>
    <w:pPr>
      <w:widowControl w:val="0"/>
      <w:spacing w:line="480" w:lineRule="auto"/>
      <w:ind w:left="105"/>
    </w:pPr>
    <w:rPr>
      <w:rFonts w:eastAsia="Times New Roman" w:cstheme="minorBidi"/>
      <w:lang w:val="en-US" w:eastAsia="en-US"/>
    </w:rPr>
  </w:style>
  <w:style w:type="character" w:customStyle="1" w:styleId="PlattetekstTeken">
    <w:name w:val="Platte tekst Teken"/>
    <w:basedOn w:val="Standaardalinea-lettertype"/>
    <w:link w:val="Plattetekst"/>
    <w:uiPriority w:val="1"/>
    <w:rsid w:val="00115D2D"/>
    <w:rPr>
      <w:rFonts w:ascii="Times New Roman" w:eastAsia="Times New Roman" w:hAnsi="Times New Roman"/>
      <w:sz w:val="24"/>
      <w:szCs w:val="24"/>
    </w:rPr>
  </w:style>
  <w:style w:type="paragraph" w:styleId="Koptekst">
    <w:name w:val="header"/>
    <w:basedOn w:val="Standaard"/>
    <w:link w:val="KoptekstTeken"/>
    <w:uiPriority w:val="99"/>
    <w:unhideWhenUsed/>
    <w:rsid w:val="00082D8E"/>
    <w:pPr>
      <w:tabs>
        <w:tab w:val="center" w:pos="4536"/>
        <w:tab w:val="right" w:pos="9072"/>
      </w:tabs>
    </w:pPr>
  </w:style>
  <w:style w:type="character" w:customStyle="1" w:styleId="KoptekstTeken">
    <w:name w:val="Koptekst Teken"/>
    <w:basedOn w:val="Standaardalinea-lettertype"/>
    <w:link w:val="Koptekst"/>
    <w:uiPriority w:val="99"/>
    <w:rsid w:val="00082D8E"/>
    <w:rPr>
      <w:rFonts w:ascii="Times New Roman" w:hAnsi="Times New Roman" w:cs="Times New Roman"/>
      <w:sz w:val="24"/>
      <w:szCs w:val="24"/>
      <w:lang w:val="nl-NL" w:eastAsia="nl-NL"/>
    </w:rPr>
  </w:style>
  <w:style w:type="paragraph" w:styleId="Voettekst">
    <w:name w:val="footer"/>
    <w:basedOn w:val="Standaard"/>
    <w:link w:val="VoettekstTeken"/>
    <w:uiPriority w:val="99"/>
    <w:unhideWhenUsed/>
    <w:rsid w:val="00082D8E"/>
    <w:pPr>
      <w:tabs>
        <w:tab w:val="center" w:pos="4536"/>
        <w:tab w:val="right" w:pos="9072"/>
      </w:tabs>
    </w:pPr>
  </w:style>
  <w:style w:type="character" w:customStyle="1" w:styleId="VoettekstTeken">
    <w:name w:val="Voettekst Teken"/>
    <w:basedOn w:val="Standaardalinea-lettertype"/>
    <w:link w:val="Voettekst"/>
    <w:uiPriority w:val="99"/>
    <w:rsid w:val="00082D8E"/>
    <w:rPr>
      <w:rFonts w:ascii="Times New Roman" w:hAnsi="Times New Roman" w:cs="Times New Roman"/>
      <w:sz w:val="24"/>
      <w:szCs w:val="24"/>
      <w:lang w:val="nl-NL" w:eastAsia="nl-NL"/>
    </w:rPr>
  </w:style>
  <w:style w:type="paragraph" w:customStyle="1" w:styleId="p1">
    <w:name w:val="p1"/>
    <w:basedOn w:val="Standaard"/>
    <w:rsid w:val="00512A68"/>
    <w:rPr>
      <w:rFonts w:ascii="Helvetica" w:hAnsi="Helvetica"/>
      <w:color w:val="000000"/>
      <w:sz w:val="15"/>
      <w:szCs w:val="15"/>
    </w:rPr>
  </w:style>
  <w:style w:type="character" w:customStyle="1" w:styleId="s1">
    <w:name w:val="s1"/>
    <w:basedOn w:val="Standaardalinea-lettertype"/>
    <w:rsid w:val="00512A68"/>
  </w:style>
  <w:style w:type="character" w:styleId="Regelnummer">
    <w:name w:val="line number"/>
    <w:basedOn w:val="Standaardalinea-lettertype"/>
    <w:uiPriority w:val="99"/>
    <w:semiHidden/>
    <w:unhideWhenUsed/>
    <w:rsid w:val="00876353"/>
  </w:style>
  <w:style w:type="character" w:styleId="Paginanummer">
    <w:name w:val="page number"/>
    <w:basedOn w:val="Standaardalinea-lettertype"/>
    <w:uiPriority w:val="99"/>
    <w:semiHidden/>
    <w:unhideWhenUsed/>
    <w:rsid w:val="00876353"/>
  </w:style>
  <w:style w:type="character" w:styleId="Nadruk">
    <w:name w:val="Emphasis"/>
    <w:basedOn w:val="Standaardalinea-lettertype"/>
    <w:uiPriority w:val="20"/>
    <w:qFormat/>
    <w:rsid w:val="00F93538"/>
    <w:rPr>
      <w:i/>
      <w:iCs/>
    </w:rPr>
  </w:style>
  <w:style w:type="character" w:styleId="Zwaar">
    <w:name w:val="Strong"/>
    <w:basedOn w:val="Standaardalinea-lettertype"/>
    <w:uiPriority w:val="22"/>
    <w:qFormat/>
    <w:rsid w:val="00827C83"/>
    <w:rPr>
      <w:b/>
      <w:bCs/>
    </w:rPr>
  </w:style>
  <w:style w:type="paragraph" w:styleId="Revisie">
    <w:name w:val="Revision"/>
    <w:hidden/>
    <w:uiPriority w:val="99"/>
    <w:semiHidden/>
    <w:rsid w:val="000C3DC5"/>
    <w:pPr>
      <w:spacing w:after="0" w:line="240" w:lineRule="auto"/>
    </w:pPr>
    <w:rPr>
      <w:rFonts w:ascii="Times New Roman" w:hAnsi="Times New Roman" w:cs="Times New Roman"/>
      <w:sz w:val="24"/>
      <w:szCs w:val="24"/>
      <w:lang w:val="nl-NL" w:eastAsia="nl-NL"/>
    </w:rPr>
  </w:style>
  <w:style w:type="paragraph" w:styleId="Documentstructuur">
    <w:name w:val="Document Map"/>
    <w:basedOn w:val="Standaard"/>
    <w:link w:val="DocumentstructuurTeken"/>
    <w:uiPriority w:val="99"/>
    <w:semiHidden/>
    <w:unhideWhenUsed/>
    <w:rsid w:val="009D582A"/>
  </w:style>
  <w:style w:type="character" w:customStyle="1" w:styleId="DocumentstructuurTeken">
    <w:name w:val="Documentstructuur Teken"/>
    <w:basedOn w:val="Standaardalinea-lettertype"/>
    <w:link w:val="Documentstructuur"/>
    <w:uiPriority w:val="99"/>
    <w:semiHidden/>
    <w:rsid w:val="009D582A"/>
    <w:rPr>
      <w:rFonts w:ascii="Times New Roman" w:hAnsi="Times New Roman" w:cs="Times New Roman"/>
      <w:sz w:val="24"/>
      <w:szCs w:val="24"/>
      <w:lang w:val="nl-NL" w:eastAsia="nl-NL"/>
    </w:rPr>
  </w:style>
  <w:style w:type="character" w:styleId="Hyperlink">
    <w:name w:val="Hyperlink"/>
    <w:basedOn w:val="Standaardalinea-lettertype"/>
    <w:uiPriority w:val="99"/>
    <w:unhideWhenUsed/>
    <w:rsid w:val="006141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188619">
      <w:bodyDiv w:val="1"/>
      <w:marLeft w:val="0"/>
      <w:marRight w:val="0"/>
      <w:marTop w:val="0"/>
      <w:marBottom w:val="0"/>
      <w:divBdr>
        <w:top w:val="none" w:sz="0" w:space="0" w:color="auto"/>
        <w:left w:val="none" w:sz="0" w:space="0" w:color="auto"/>
        <w:bottom w:val="none" w:sz="0" w:space="0" w:color="auto"/>
        <w:right w:val="none" w:sz="0" w:space="0" w:color="auto"/>
      </w:divBdr>
    </w:div>
    <w:div w:id="71660812">
      <w:bodyDiv w:val="1"/>
      <w:marLeft w:val="0"/>
      <w:marRight w:val="0"/>
      <w:marTop w:val="0"/>
      <w:marBottom w:val="0"/>
      <w:divBdr>
        <w:top w:val="none" w:sz="0" w:space="0" w:color="auto"/>
        <w:left w:val="none" w:sz="0" w:space="0" w:color="auto"/>
        <w:bottom w:val="none" w:sz="0" w:space="0" w:color="auto"/>
        <w:right w:val="none" w:sz="0" w:space="0" w:color="auto"/>
      </w:divBdr>
    </w:div>
    <w:div w:id="111172221">
      <w:bodyDiv w:val="1"/>
      <w:marLeft w:val="0"/>
      <w:marRight w:val="0"/>
      <w:marTop w:val="0"/>
      <w:marBottom w:val="0"/>
      <w:divBdr>
        <w:top w:val="none" w:sz="0" w:space="0" w:color="auto"/>
        <w:left w:val="none" w:sz="0" w:space="0" w:color="auto"/>
        <w:bottom w:val="none" w:sz="0" w:space="0" w:color="auto"/>
        <w:right w:val="none" w:sz="0" w:space="0" w:color="auto"/>
      </w:divBdr>
    </w:div>
    <w:div w:id="138885495">
      <w:bodyDiv w:val="1"/>
      <w:marLeft w:val="0"/>
      <w:marRight w:val="0"/>
      <w:marTop w:val="0"/>
      <w:marBottom w:val="0"/>
      <w:divBdr>
        <w:top w:val="none" w:sz="0" w:space="0" w:color="auto"/>
        <w:left w:val="none" w:sz="0" w:space="0" w:color="auto"/>
        <w:bottom w:val="none" w:sz="0" w:space="0" w:color="auto"/>
        <w:right w:val="none" w:sz="0" w:space="0" w:color="auto"/>
      </w:divBdr>
    </w:div>
    <w:div w:id="163127576">
      <w:bodyDiv w:val="1"/>
      <w:marLeft w:val="0"/>
      <w:marRight w:val="0"/>
      <w:marTop w:val="0"/>
      <w:marBottom w:val="0"/>
      <w:divBdr>
        <w:top w:val="none" w:sz="0" w:space="0" w:color="auto"/>
        <w:left w:val="none" w:sz="0" w:space="0" w:color="auto"/>
        <w:bottom w:val="none" w:sz="0" w:space="0" w:color="auto"/>
        <w:right w:val="none" w:sz="0" w:space="0" w:color="auto"/>
      </w:divBdr>
      <w:divsChild>
        <w:div w:id="1394352501">
          <w:marLeft w:val="0"/>
          <w:marRight w:val="0"/>
          <w:marTop w:val="0"/>
          <w:marBottom w:val="0"/>
          <w:divBdr>
            <w:top w:val="none" w:sz="0" w:space="0" w:color="auto"/>
            <w:left w:val="none" w:sz="0" w:space="0" w:color="auto"/>
            <w:bottom w:val="none" w:sz="0" w:space="0" w:color="auto"/>
            <w:right w:val="none" w:sz="0" w:space="0" w:color="auto"/>
          </w:divBdr>
          <w:divsChild>
            <w:div w:id="418841035">
              <w:marLeft w:val="0"/>
              <w:marRight w:val="0"/>
              <w:marTop w:val="0"/>
              <w:marBottom w:val="0"/>
              <w:divBdr>
                <w:top w:val="none" w:sz="0" w:space="0" w:color="auto"/>
                <w:left w:val="none" w:sz="0" w:space="0" w:color="auto"/>
                <w:bottom w:val="none" w:sz="0" w:space="0" w:color="auto"/>
                <w:right w:val="none" w:sz="0" w:space="0" w:color="auto"/>
              </w:divBdr>
              <w:divsChild>
                <w:div w:id="126242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56067">
      <w:bodyDiv w:val="1"/>
      <w:marLeft w:val="0"/>
      <w:marRight w:val="0"/>
      <w:marTop w:val="0"/>
      <w:marBottom w:val="0"/>
      <w:divBdr>
        <w:top w:val="none" w:sz="0" w:space="0" w:color="auto"/>
        <w:left w:val="none" w:sz="0" w:space="0" w:color="auto"/>
        <w:bottom w:val="none" w:sz="0" w:space="0" w:color="auto"/>
        <w:right w:val="none" w:sz="0" w:space="0" w:color="auto"/>
      </w:divBdr>
    </w:div>
    <w:div w:id="231619329">
      <w:bodyDiv w:val="1"/>
      <w:marLeft w:val="0"/>
      <w:marRight w:val="0"/>
      <w:marTop w:val="0"/>
      <w:marBottom w:val="0"/>
      <w:divBdr>
        <w:top w:val="none" w:sz="0" w:space="0" w:color="auto"/>
        <w:left w:val="none" w:sz="0" w:space="0" w:color="auto"/>
        <w:bottom w:val="none" w:sz="0" w:space="0" w:color="auto"/>
        <w:right w:val="none" w:sz="0" w:space="0" w:color="auto"/>
      </w:divBdr>
    </w:div>
    <w:div w:id="239559873">
      <w:bodyDiv w:val="1"/>
      <w:marLeft w:val="0"/>
      <w:marRight w:val="0"/>
      <w:marTop w:val="0"/>
      <w:marBottom w:val="0"/>
      <w:divBdr>
        <w:top w:val="none" w:sz="0" w:space="0" w:color="auto"/>
        <w:left w:val="none" w:sz="0" w:space="0" w:color="auto"/>
        <w:bottom w:val="none" w:sz="0" w:space="0" w:color="auto"/>
        <w:right w:val="none" w:sz="0" w:space="0" w:color="auto"/>
      </w:divBdr>
    </w:div>
    <w:div w:id="358506903">
      <w:bodyDiv w:val="1"/>
      <w:marLeft w:val="0"/>
      <w:marRight w:val="0"/>
      <w:marTop w:val="0"/>
      <w:marBottom w:val="0"/>
      <w:divBdr>
        <w:top w:val="none" w:sz="0" w:space="0" w:color="auto"/>
        <w:left w:val="none" w:sz="0" w:space="0" w:color="auto"/>
        <w:bottom w:val="none" w:sz="0" w:space="0" w:color="auto"/>
        <w:right w:val="none" w:sz="0" w:space="0" w:color="auto"/>
      </w:divBdr>
    </w:div>
    <w:div w:id="395711381">
      <w:bodyDiv w:val="1"/>
      <w:marLeft w:val="0"/>
      <w:marRight w:val="0"/>
      <w:marTop w:val="0"/>
      <w:marBottom w:val="0"/>
      <w:divBdr>
        <w:top w:val="none" w:sz="0" w:space="0" w:color="auto"/>
        <w:left w:val="none" w:sz="0" w:space="0" w:color="auto"/>
        <w:bottom w:val="none" w:sz="0" w:space="0" w:color="auto"/>
        <w:right w:val="none" w:sz="0" w:space="0" w:color="auto"/>
      </w:divBdr>
    </w:div>
    <w:div w:id="409545502">
      <w:bodyDiv w:val="1"/>
      <w:marLeft w:val="0"/>
      <w:marRight w:val="0"/>
      <w:marTop w:val="0"/>
      <w:marBottom w:val="0"/>
      <w:divBdr>
        <w:top w:val="none" w:sz="0" w:space="0" w:color="auto"/>
        <w:left w:val="none" w:sz="0" w:space="0" w:color="auto"/>
        <w:bottom w:val="none" w:sz="0" w:space="0" w:color="auto"/>
        <w:right w:val="none" w:sz="0" w:space="0" w:color="auto"/>
      </w:divBdr>
    </w:div>
    <w:div w:id="443041669">
      <w:bodyDiv w:val="1"/>
      <w:marLeft w:val="0"/>
      <w:marRight w:val="0"/>
      <w:marTop w:val="0"/>
      <w:marBottom w:val="0"/>
      <w:divBdr>
        <w:top w:val="none" w:sz="0" w:space="0" w:color="auto"/>
        <w:left w:val="none" w:sz="0" w:space="0" w:color="auto"/>
        <w:bottom w:val="none" w:sz="0" w:space="0" w:color="auto"/>
        <w:right w:val="none" w:sz="0" w:space="0" w:color="auto"/>
      </w:divBdr>
    </w:div>
    <w:div w:id="462356961">
      <w:bodyDiv w:val="1"/>
      <w:marLeft w:val="0"/>
      <w:marRight w:val="0"/>
      <w:marTop w:val="0"/>
      <w:marBottom w:val="0"/>
      <w:divBdr>
        <w:top w:val="none" w:sz="0" w:space="0" w:color="auto"/>
        <w:left w:val="none" w:sz="0" w:space="0" w:color="auto"/>
        <w:bottom w:val="none" w:sz="0" w:space="0" w:color="auto"/>
        <w:right w:val="none" w:sz="0" w:space="0" w:color="auto"/>
      </w:divBdr>
    </w:div>
    <w:div w:id="519049855">
      <w:bodyDiv w:val="1"/>
      <w:marLeft w:val="0"/>
      <w:marRight w:val="0"/>
      <w:marTop w:val="0"/>
      <w:marBottom w:val="0"/>
      <w:divBdr>
        <w:top w:val="none" w:sz="0" w:space="0" w:color="auto"/>
        <w:left w:val="none" w:sz="0" w:space="0" w:color="auto"/>
        <w:bottom w:val="none" w:sz="0" w:space="0" w:color="auto"/>
        <w:right w:val="none" w:sz="0" w:space="0" w:color="auto"/>
      </w:divBdr>
    </w:div>
    <w:div w:id="632296059">
      <w:bodyDiv w:val="1"/>
      <w:marLeft w:val="0"/>
      <w:marRight w:val="0"/>
      <w:marTop w:val="0"/>
      <w:marBottom w:val="0"/>
      <w:divBdr>
        <w:top w:val="none" w:sz="0" w:space="0" w:color="auto"/>
        <w:left w:val="none" w:sz="0" w:space="0" w:color="auto"/>
        <w:bottom w:val="none" w:sz="0" w:space="0" w:color="auto"/>
        <w:right w:val="none" w:sz="0" w:space="0" w:color="auto"/>
      </w:divBdr>
    </w:div>
    <w:div w:id="652636316">
      <w:bodyDiv w:val="1"/>
      <w:marLeft w:val="0"/>
      <w:marRight w:val="0"/>
      <w:marTop w:val="0"/>
      <w:marBottom w:val="0"/>
      <w:divBdr>
        <w:top w:val="none" w:sz="0" w:space="0" w:color="auto"/>
        <w:left w:val="none" w:sz="0" w:space="0" w:color="auto"/>
        <w:bottom w:val="none" w:sz="0" w:space="0" w:color="auto"/>
        <w:right w:val="none" w:sz="0" w:space="0" w:color="auto"/>
      </w:divBdr>
    </w:div>
    <w:div w:id="676736585">
      <w:bodyDiv w:val="1"/>
      <w:marLeft w:val="0"/>
      <w:marRight w:val="0"/>
      <w:marTop w:val="0"/>
      <w:marBottom w:val="0"/>
      <w:divBdr>
        <w:top w:val="none" w:sz="0" w:space="0" w:color="auto"/>
        <w:left w:val="none" w:sz="0" w:space="0" w:color="auto"/>
        <w:bottom w:val="none" w:sz="0" w:space="0" w:color="auto"/>
        <w:right w:val="none" w:sz="0" w:space="0" w:color="auto"/>
      </w:divBdr>
    </w:div>
    <w:div w:id="679433163">
      <w:bodyDiv w:val="1"/>
      <w:marLeft w:val="0"/>
      <w:marRight w:val="0"/>
      <w:marTop w:val="0"/>
      <w:marBottom w:val="0"/>
      <w:divBdr>
        <w:top w:val="none" w:sz="0" w:space="0" w:color="auto"/>
        <w:left w:val="none" w:sz="0" w:space="0" w:color="auto"/>
        <w:bottom w:val="none" w:sz="0" w:space="0" w:color="auto"/>
        <w:right w:val="none" w:sz="0" w:space="0" w:color="auto"/>
      </w:divBdr>
    </w:div>
    <w:div w:id="701592739">
      <w:bodyDiv w:val="1"/>
      <w:marLeft w:val="0"/>
      <w:marRight w:val="0"/>
      <w:marTop w:val="0"/>
      <w:marBottom w:val="0"/>
      <w:divBdr>
        <w:top w:val="none" w:sz="0" w:space="0" w:color="auto"/>
        <w:left w:val="none" w:sz="0" w:space="0" w:color="auto"/>
        <w:bottom w:val="none" w:sz="0" w:space="0" w:color="auto"/>
        <w:right w:val="none" w:sz="0" w:space="0" w:color="auto"/>
      </w:divBdr>
    </w:div>
    <w:div w:id="745956488">
      <w:bodyDiv w:val="1"/>
      <w:marLeft w:val="0"/>
      <w:marRight w:val="0"/>
      <w:marTop w:val="0"/>
      <w:marBottom w:val="0"/>
      <w:divBdr>
        <w:top w:val="none" w:sz="0" w:space="0" w:color="auto"/>
        <w:left w:val="none" w:sz="0" w:space="0" w:color="auto"/>
        <w:bottom w:val="none" w:sz="0" w:space="0" w:color="auto"/>
        <w:right w:val="none" w:sz="0" w:space="0" w:color="auto"/>
      </w:divBdr>
    </w:div>
    <w:div w:id="806704970">
      <w:bodyDiv w:val="1"/>
      <w:marLeft w:val="0"/>
      <w:marRight w:val="0"/>
      <w:marTop w:val="0"/>
      <w:marBottom w:val="0"/>
      <w:divBdr>
        <w:top w:val="none" w:sz="0" w:space="0" w:color="auto"/>
        <w:left w:val="none" w:sz="0" w:space="0" w:color="auto"/>
        <w:bottom w:val="none" w:sz="0" w:space="0" w:color="auto"/>
        <w:right w:val="none" w:sz="0" w:space="0" w:color="auto"/>
      </w:divBdr>
    </w:div>
    <w:div w:id="841354999">
      <w:bodyDiv w:val="1"/>
      <w:marLeft w:val="0"/>
      <w:marRight w:val="0"/>
      <w:marTop w:val="0"/>
      <w:marBottom w:val="0"/>
      <w:divBdr>
        <w:top w:val="none" w:sz="0" w:space="0" w:color="auto"/>
        <w:left w:val="none" w:sz="0" w:space="0" w:color="auto"/>
        <w:bottom w:val="none" w:sz="0" w:space="0" w:color="auto"/>
        <w:right w:val="none" w:sz="0" w:space="0" w:color="auto"/>
      </w:divBdr>
      <w:divsChild>
        <w:div w:id="113712915">
          <w:marLeft w:val="0"/>
          <w:marRight w:val="0"/>
          <w:marTop w:val="0"/>
          <w:marBottom w:val="0"/>
          <w:divBdr>
            <w:top w:val="none" w:sz="0" w:space="0" w:color="auto"/>
            <w:left w:val="none" w:sz="0" w:space="0" w:color="auto"/>
            <w:bottom w:val="none" w:sz="0" w:space="0" w:color="auto"/>
            <w:right w:val="none" w:sz="0" w:space="0" w:color="auto"/>
          </w:divBdr>
          <w:divsChild>
            <w:div w:id="865021472">
              <w:marLeft w:val="0"/>
              <w:marRight w:val="0"/>
              <w:marTop w:val="0"/>
              <w:marBottom w:val="0"/>
              <w:divBdr>
                <w:top w:val="none" w:sz="0" w:space="0" w:color="auto"/>
                <w:left w:val="none" w:sz="0" w:space="0" w:color="auto"/>
                <w:bottom w:val="none" w:sz="0" w:space="0" w:color="auto"/>
                <w:right w:val="none" w:sz="0" w:space="0" w:color="auto"/>
              </w:divBdr>
              <w:divsChild>
                <w:div w:id="114371692">
                  <w:marLeft w:val="0"/>
                  <w:marRight w:val="0"/>
                  <w:marTop w:val="0"/>
                  <w:marBottom w:val="0"/>
                  <w:divBdr>
                    <w:top w:val="none" w:sz="0" w:space="0" w:color="auto"/>
                    <w:left w:val="none" w:sz="0" w:space="0" w:color="auto"/>
                    <w:bottom w:val="none" w:sz="0" w:space="0" w:color="auto"/>
                    <w:right w:val="none" w:sz="0" w:space="0" w:color="auto"/>
                  </w:divBdr>
                  <w:divsChild>
                    <w:div w:id="1059018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4393734">
      <w:bodyDiv w:val="1"/>
      <w:marLeft w:val="0"/>
      <w:marRight w:val="0"/>
      <w:marTop w:val="0"/>
      <w:marBottom w:val="0"/>
      <w:divBdr>
        <w:top w:val="none" w:sz="0" w:space="0" w:color="auto"/>
        <w:left w:val="none" w:sz="0" w:space="0" w:color="auto"/>
        <w:bottom w:val="none" w:sz="0" w:space="0" w:color="auto"/>
        <w:right w:val="none" w:sz="0" w:space="0" w:color="auto"/>
      </w:divBdr>
    </w:div>
    <w:div w:id="845826274">
      <w:bodyDiv w:val="1"/>
      <w:marLeft w:val="0"/>
      <w:marRight w:val="0"/>
      <w:marTop w:val="0"/>
      <w:marBottom w:val="0"/>
      <w:divBdr>
        <w:top w:val="none" w:sz="0" w:space="0" w:color="auto"/>
        <w:left w:val="none" w:sz="0" w:space="0" w:color="auto"/>
        <w:bottom w:val="none" w:sz="0" w:space="0" w:color="auto"/>
        <w:right w:val="none" w:sz="0" w:space="0" w:color="auto"/>
      </w:divBdr>
    </w:div>
    <w:div w:id="885799384">
      <w:bodyDiv w:val="1"/>
      <w:marLeft w:val="0"/>
      <w:marRight w:val="0"/>
      <w:marTop w:val="0"/>
      <w:marBottom w:val="0"/>
      <w:divBdr>
        <w:top w:val="none" w:sz="0" w:space="0" w:color="auto"/>
        <w:left w:val="none" w:sz="0" w:space="0" w:color="auto"/>
        <w:bottom w:val="none" w:sz="0" w:space="0" w:color="auto"/>
        <w:right w:val="none" w:sz="0" w:space="0" w:color="auto"/>
      </w:divBdr>
    </w:div>
    <w:div w:id="897010553">
      <w:bodyDiv w:val="1"/>
      <w:marLeft w:val="0"/>
      <w:marRight w:val="0"/>
      <w:marTop w:val="0"/>
      <w:marBottom w:val="0"/>
      <w:divBdr>
        <w:top w:val="none" w:sz="0" w:space="0" w:color="auto"/>
        <w:left w:val="none" w:sz="0" w:space="0" w:color="auto"/>
        <w:bottom w:val="none" w:sz="0" w:space="0" w:color="auto"/>
        <w:right w:val="none" w:sz="0" w:space="0" w:color="auto"/>
      </w:divBdr>
    </w:div>
    <w:div w:id="924456860">
      <w:bodyDiv w:val="1"/>
      <w:marLeft w:val="0"/>
      <w:marRight w:val="0"/>
      <w:marTop w:val="0"/>
      <w:marBottom w:val="0"/>
      <w:divBdr>
        <w:top w:val="none" w:sz="0" w:space="0" w:color="auto"/>
        <w:left w:val="none" w:sz="0" w:space="0" w:color="auto"/>
        <w:bottom w:val="none" w:sz="0" w:space="0" w:color="auto"/>
        <w:right w:val="none" w:sz="0" w:space="0" w:color="auto"/>
      </w:divBdr>
    </w:div>
    <w:div w:id="990476200">
      <w:bodyDiv w:val="1"/>
      <w:marLeft w:val="0"/>
      <w:marRight w:val="0"/>
      <w:marTop w:val="0"/>
      <w:marBottom w:val="0"/>
      <w:divBdr>
        <w:top w:val="none" w:sz="0" w:space="0" w:color="auto"/>
        <w:left w:val="none" w:sz="0" w:space="0" w:color="auto"/>
        <w:bottom w:val="none" w:sz="0" w:space="0" w:color="auto"/>
        <w:right w:val="none" w:sz="0" w:space="0" w:color="auto"/>
      </w:divBdr>
    </w:div>
    <w:div w:id="998463252">
      <w:bodyDiv w:val="1"/>
      <w:marLeft w:val="0"/>
      <w:marRight w:val="0"/>
      <w:marTop w:val="0"/>
      <w:marBottom w:val="0"/>
      <w:divBdr>
        <w:top w:val="none" w:sz="0" w:space="0" w:color="auto"/>
        <w:left w:val="none" w:sz="0" w:space="0" w:color="auto"/>
        <w:bottom w:val="none" w:sz="0" w:space="0" w:color="auto"/>
        <w:right w:val="none" w:sz="0" w:space="0" w:color="auto"/>
      </w:divBdr>
    </w:div>
    <w:div w:id="1019432264">
      <w:bodyDiv w:val="1"/>
      <w:marLeft w:val="0"/>
      <w:marRight w:val="0"/>
      <w:marTop w:val="0"/>
      <w:marBottom w:val="0"/>
      <w:divBdr>
        <w:top w:val="none" w:sz="0" w:space="0" w:color="auto"/>
        <w:left w:val="none" w:sz="0" w:space="0" w:color="auto"/>
        <w:bottom w:val="none" w:sz="0" w:space="0" w:color="auto"/>
        <w:right w:val="none" w:sz="0" w:space="0" w:color="auto"/>
      </w:divBdr>
      <w:divsChild>
        <w:div w:id="1896775197">
          <w:marLeft w:val="0"/>
          <w:marRight w:val="0"/>
          <w:marTop w:val="0"/>
          <w:marBottom w:val="0"/>
          <w:divBdr>
            <w:top w:val="none" w:sz="0" w:space="0" w:color="auto"/>
            <w:left w:val="none" w:sz="0" w:space="0" w:color="auto"/>
            <w:bottom w:val="none" w:sz="0" w:space="0" w:color="auto"/>
            <w:right w:val="none" w:sz="0" w:space="0" w:color="auto"/>
          </w:divBdr>
          <w:divsChild>
            <w:div w:id="158741137">
              <w:marLeft w:val="0"/>
              <w:marRight w:val="0"/>
              <w:marTop w:val="0"/>
              <w:marBottom w:val="0"/>
              <w:divBdr>
                <w:top w:val="none" w:sz="0" w:space="0" w:color="auto"/>
                <w:left w:val="none" w:sz="0" w:space="0" w:color="auto"/>
                <w:bottom w:val="none" w:sz="0" w:space="0" w:color="auto"/>
                <w:right w:val="none" w:sz="0" w:space="0" w:color="auto"/>
              </w:divBdr>
              <w:divsChild>
                <w:div w:id="771704133">
                  <w:marLeft w:val="0"/>
                  <w:marRight w:val="0"/>
                  <w:marTop w:val="0"/>
                  <w:marBottom w:val="0"/>
                  <w:divBdr>
                    <w:top w:val="none" w:sz="0" w:space="0" w:color="auto"/>
                    <w:left w:val="none" w:sz="0" w:space="0" w:color="auto"/>
                    <w:bottom w:val="none" w:sz="0" w:space="0" w:color="auto"/>
                    <w:right w:val="none" w:sz="0" w:space="0" w:color="auto"/>
                  </w:divBdr>
                  <w:divsChild>
                    <w:div w:id="756095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8432403">
      <w:bodyDiv w:val="1"/>
      <w:marLeft w:val="0"/>
      <w:marRight w:val="0"/>
      <w:marTop w:val="0"/>
      <w:marBottom w:val="0"/>
      <w:divBdr>
        <w:top w:val="none" w:sz="0" w:space="0" w:color="auto"/>
        <w:left w:val="none" w:sz="0" w:space="0" w:color="auto"/>
        <w:bottom w:val="none" w:sz="0" w:space="0" w:color="auto"/>
        <w:right w:val="none" w:sz="0" w:space="0" w:color="auto"/>
      </w:divBdr>
    </w:div>
    <w:div w:id="1101140636">
      <w:bodyDiv w:val="1"/>
      <w:marLeft w:val="0"/>
      <w:marRight w:val="0"/>
      <w:marTop w:val="0"/>
      <w:marBottom w:val="0"/>
      <w:divBdr>
        <w:top w:val="none" w:sz="0" w:space="0" w:color="auto"/>
        <w:left w:val="none" w:sz="0" w:space="0" w:color="auto"/>
        <w:bottom w:val="none" w:sz="0" w:space="0" w:color="auto"/>
        <w:right w:val="none" w:sz="0" w:space="0" w:color="auto"/>
      </w:divBdr>
    </w:div>
    <w:div w:id="1117987994">
      <w:bodyDiv w:val="1"/>
      <w:marLeft w:val="0"/>
      <w:marRight w:val="0"/>
      <w:marTop w:val="0"/>
      <w:marBottom w:val="0"/>
      <w:divBdr>
        <w:top w:val="none" w:sz="0" w:space="0" w:color="auto"/>
        <w:left w:val="none" w:sz="0" w:space="0" w:color="auto"/>
        <w:bottom w:val="none" w:sz="0" w:space="0" w:color="auto"/>
        <w:right w:val="none" w:sz="0" w:space="0" w:color="auto"/>
      </w:divBdr>
    </w:div>
    <w:div w:id="1129082353">
      <w:bodyDiv w:val="1"/>
      <w:marLeft w:val="0"/>
      <w:marRight w:val="0"/>
      <w:marTop w:val="0"/>
      <w:marBottom w:val="0"/>
      <w:divBdr>
        <w:top w:val="none" w:sz="0" w:space="0" w:color="auto"/>
        <w:left w:val="none" w:sz="0" w:space="0" w:color="auto"/>
        <w:bottom w:val="none" w:sz="0" w:space="0" w:color="auto"/>
        <w:right w:val="none" w:sz="0" w:space="0" w:color="auto"/>
      </w:divBdr>
    </w:div>
    <w:div w:id="1140196613">
      <w:bodyDiv w:val="1"/>
      <w:marLeft w:val="0"/>
      <w:marRight w:val="0"/>
      <w:marTop w:val="0"/>
      <w:marBottom w:val="0"/>
      <w:divBdr>
        <w:top w:val="none" w:sz="0" w:space="0" w:color="auto"/>
        <w:left w:val="none" w:sz="0" w:space="0" w:color="auto"/>
        <w:bottom w:val="none" w:sz="0" w:space="0" w:color="auto"/>
        <w:right w:val="none" w:sz="0" w:space="0" w:color="auto"/>
      </w:divBdr>
      <w:divsChild>
        <w:div w:id="16397160">
          <w:marLeft w:val="0"/>
          <w:marRight w:val="0"/>
          <w:marTop w:val="0"/>
          <w:marBottom w:val="0"/>
          <w:divBdr>
            <w:top w:val="none" w:sz="0" w:space="0" w:color="auto"/>
            <w:left w:val="none" w:sz="0" w:space="0" w:color="auto"/>
            <w:bottom w:val="none" w:sz="0" w:space="0" w:color="auto"/>
            <w:right w:val="none" w:sz="0" w:space="0" w:color="auto"/>
          </w:divBdr>
          <w:divsChild>
            <w:div w:id="48041805">
              <w:marLeft w:val="0"/>
              <w:marRight w:val="0"/>
              <w:marTop w:val="0"/>
              <w:marBottom w:val="0"/>
              <w:divBdr>
                <w:top w:val="none" w:sz="0" w:space="0" w:color="auto"/>
                <w:left w:val="none" w:sz="0" w:space="0" w:color="auto"/>
                <w:bottom w:val="none" w:sz="0" w:space="0" w:color="auto"/>
                <w:right w:val="none" w:sz="0" w:space="0" w:color="auto"/>
              </w:divBdr>
              <w:divsChild>
                <w:div w:id="207566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237230">
      <w:bodyDiv w:val="1"/>
      <w:marLeft w:val="0"/>
      <w:marRight w:val="0"/>
      <w:marTop w:val="0"/>
      <w:marBottom w:val="0"/>
      <w:divBdr>
        <w:top w:val="none" w:sz="0" w:space="0" w:color="auto"/>
        <w:left w:val="none" w:sz="0" w:space="0" w:color="auto"/>
        <w:bottom w:val="none" w:sz="0" w:space="0" w:color="auto"/>
        <w:right w:val="none" w:sz="0" w:space="0" w:color="auto"/>
      </w:divBdr>
    </w:div>
    <w:div w:id="1200243311">
      <w:bodyDiv w:val="1"/>
      <w:marLeft w:val="0"/>
      <w:marRight w:val="0"/>
      <w:marTop w:val="0"/>
      <w:marBottom w:val="0"/>
      <w:divBdr>
        <w:top w:val="none" w:sz="0" w:space="0" w:color="auto"/>
        <w:left w:val="none" w:sz="0" w:space="0" w:color="auto"/>
        <w:bottom w:val="none" w:sz="0" w:space="0" w:color="auto"/>
        <w:right w:val="none" w:sz="0" w:space="0" w:color="auto"/>
      </w:divBdr>
    </w:div>
    <w:div w:id="1203903971">
      <w:bodyDiv w:val="1"/>
      <w:marLeft w:val="0"/>
      <w:marRight w:val="0"/>
      <w:marTop w:val="0"/>
      <w:marBottom w:val="0"/>
      <w:divBdr>
        <w:top w:val="none" w:sz="0" w:space="0" w:color="auto"/>
        <w:left w:val="none" w:sz="0" w:space="0" w:color="auto"/>
        <w:bottom w:val="none" w:sz="0" w:space="0" w:color="auto"/>
        <w:right w:val="none" w:sz="0" w:space="0" w:color="auto"/>
      </w:divBdr>
    </w:div>
    <w:div w:id="1229612743">
      <w:bodyDiv w:val="1"/>
      <w:marLeft w:val="0"/>
      <w:marRight w:val="0"/>
      <w:marTop w:val="0"/>
      <w:marBottom w:val="0"/>
      <w:divBdr>
        <w:top w:val="none" w:sz="0" w:space="0" w:color="auto"/>
        <w:left w:val="none" w:sz="0" w:space="0" w:color="auto"/>
        <w:bottom w:val="none" w:sz="0" w:space="0" w:color="auto"/>
        <w:right w:val="none" w:sz="0" w:space="0" w:color="auto"/>
      </w:divBdr>
    </w:div>
    <w:div w:id="1260987600">
      <w:bodyDiv w:val="1"/>
      <w:marLeft w:val="0"/>
      <w:marRight w:val="0"/>
      <w:marTop w:val="0"/>
      <w:marBottom w:val="0"/>
      <w:divBdr>
        <w:top w:val="none" w:sz="0" w:space="0" w:color="auto"/>
        <w:left w:val="none" w:sz="0" w:space="0" w:color="auto"/>
        <w:bottom w:val="none" w:sz="0" w:space="0" w:color="auto"/>
        <w:right w:val="none" w:sz="0" w:space="0" w:color="auto"/>
      </w:divBdr>
    </w:div>
    <w:div w:id="1274173198">
      <w:bodyDiv w:val="1"/>
      <w:marLeft w:val="0"/>
      <w:marRight w:val="0"/>
      <w:marTop w:val="0"/>
      <w:marBottom w:val="0"/>
      <w:divBdr>
        <w:top w:val="none" w:sz="0" w:space="0" w:color="auto"/>
        <w:left w:val="none" w:sz="0" w:space="0" w:color="auto"/>
        <w:bottom w:val="none" w:sz="0" w:space="0" w:color="auto"/>
        <w:right w:val="none" w:sz="0" w:space="0" w:color="auto"/>
      </w:divBdr>
    </w:div>
    <w:div w:id="1277322889">
      <w:bodyDiv w:val="1"/>
      <w:marLeft w:val="0"/>
      <w:marRight w:val="0"/>
      <w:marTop w:val="0"/>
      <w:marBottom w:val="0"/>
      <w:divBdr>
        <w:top w:val="none" w:sz="0" w:space="0" w:color="auto"/>
        <w:left w:val="none" w:sz="0" w:space="0" w:color="auto"/>
        <w:bottom w:val="none" w:sz="0" w:space="0" w:color="auto"/>
        <w:right w:val="none" w:sz="0" w:space="0" w:color="auto"/>
      </w:divBdr>
      <w:divsChild>
        <w:div w:id="418067068">
          <w:marLeft w:val="0"/>
          <w:marRight w:val="0"/>
          <w:marTop w:val="0"/>
          <w:marBottom w:val="0"/>
          <w:divBdr>
            <w:top w:val="none" w:sz="0" w:space="0" w:color="auto"/>
            <w:left w:val="none" w:sz="0" w:space="0" w:color="auto"/>
            <w:bottom w:val="none" w:sz="0" w:space="0" w:color="auto"/>
            <w:right w:val="none" w:sz="0" w:space="0" w:color="auto"/>
          </w:divBdr>
          <w:divsChild>
            <w:div w:id="1991901338">
              <w:marLeft w:val="0"/>
              <w:marRight w:val="0"/>
              <w:marTop w:val="0"/>
              <w:marBottom w:val="0"/>
              <w:divBdr>
                <w:top w:val="none" w:sz="0" w:space="0" w:color="auto"/>
                <w:left w:val="none" w:sz="0" w:space="0" w:color="auto"/>
                <w:bottom w:val="none" w:sz="0" w:space="0" w:color="auto"/>
                <w:right w:val="none" w:sz="0" w:space="0" w:color="auto"/>
              </w:divBdr>
              <w:divsChild>
                <w:div w:id="107508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293990">
      <w:bodyDiv w:val="1"/>
      <w:marLeft w:val="0"/>
      <w:marRight w:val="0"/>
      <w:marTop w:val="0"/>
      <w:marBottom w:val="0"/>
      <w:divBdr>
        <w:top w:val="none" w:sz="0" w:space="0" w:color="auto"/>
        <w:left w:val="none" w:sz="0" w:space="0" w:color="auto"/>
        <w:bottom w:val="none" w:sz="0" w:space="0" w:color="auto"/>
        <w:right w:val="none" w:sz="0" w:space="0" w:color="auto"/>
      </w:divBdr>
    </w:div>
    <w:div w:id="1314530931">
      <w:bodyDiv w:val="1"/>
      <w:marLeft w:val="0"/>
      <w:marRight w:val="0"/>
      <w:marTop w:val="0"/>
      <w:marBottom w:val="0"/>
      <w:divBdr>
        <w:top w:val="none" w:sz="0" w:space="0" w:color="auto"/>
        <w:left w:val="none" w:sz="0" w:space="0" w:color="auto"/>
        <w:bottom w:val="none" w:sz="0" w:space="0" w:color="auto"/>
        <w:right w:val="none" w:sz="0" w:space="0" w:color="auto"/>
      </w:divBdr>
    </w:div>
    <w:div w:id="1338458217">
      <w:bodyDiv w:val="1"/>
      <w:marLeft w:val="0"/>
      <w:marRight w:val="0"/>
      <w:marTop w:val="0"/>
      <w:marBottom w:val="0"/>
      <w:divBdr>
        <w:top w:val="none" w:sz="0" w:space="0" w:color="auto"/>
        <w:left w:val="none" w:sz="0" w:space="0" w:color="auto"/>
        <w:bottom w:val="none" w:sz="0" w:space="0" w:color="auto"/>
        <w:right w:val="none" w:sz="0" w:space="0" w:color="auto"/>
      </w:divBdr>
    </w:div>
    <w:div w:id="1362244389">
      <w:bodyDiv w:val="1"/>
      <w:marLeft w:val="0"/>
      <w:marRight w:val="0"/>
      <w:marTop w:val="0"/>
      <w:marBottom w:val="0"/>
      <w:divBdr>
        <w:top w:val="none" w:sz="0" w:space="0" w:color="auto"/>
        <w:left w:val="none" w:sz="0" w:space="0" w:color="auto"/>
        <w:bottom w:val="none" w:sz="0" w:space="0" w:color="auto"/>
        <w:right w:val="none" w:sz="0" w:space="0" w:color="auto"/>
      </w:divBdr>
    </w:div>
    <w:div w:id="1464689670">
      <w:bodyDiv w:val="1"/>
      <w:marLeft w:val="0"/>
      <w:marRight w:val="0"/>
      <w:marTop w:val="0"/>
      <w:marBottom w:val="0"/>
      <w:divBdr>
        <w:top w:val="none" w:sz="0" w:space="0" w:color="auto"/>
        <w:left w:val="none" w:sz="0" w:space="0" w:color="auto"/>
        <w:bottom w:val="none" w:sz="0" w:space="0" w:color="auto"/>
        <w:right w:val="none" w:sz="0" w:space="0" w:color="auto"/>
      </w:divBdr>
      <w:divsChild>
        <w:div w:id="110247836">
          <w:marLeft w:val="0"/>
          <w:marRight w:val="0"/>
          <w:marTop w:val="0"/>
          <w:marBottom w:val="0"/>
          <w:divBdr>
            <w:top w:val="none" w:sz="0" w:space="0" w:color="auto"/>
            <w:left w:val="none" w:sz="0" w:space="0" w:color="auto"/>
            <w:bottom w:val="none" w:sz="0" w:space="0" w:color="auto"/>
            <w:right w:val="none" w:sz="0" w:space="0" w:color="auto"/>
          </w:divBdr>
          <w:divsChild>
            <w:div w:id="1708293329">
              <w:marLeft w:val="0"/>
              <w:marRight w:val="0"/>
              <w:marTop w:val="0"/>
              <w:marBottom w:val="0"/>
              <w:divBdr>
                <w:top w:val="none" w:sz="0" w:space="0" w:color="auto"/>
                <w:left w:val="none" w:sz="0" w:space="0" w:color="auto"/>
                <w:bottom w:val="none" w:sz="0" w:space="0" w:color="auto"/>
                <w:right w:val="none" w:sz="0" w:space="0" w:color="auto"/>
              </w:divBdr>
              <w:divsChild>
                <w:div w:id="3277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303970">
      <w:bodyDiv w:val="1"/>
      <w:marLeft w:val="0"/>
      <w:marRight w:val="0"/>
      <w:marTop w:val="0"/>
      <w:marBottom w:val="0"/>
      <w:divBdr>
        <w:top w:val="none" w:sz="0" w:space="0" w:color="auto"/>
        <w:left w:val="none" w:sz="0" w:space="0" w:color="auto"/>
        <w:bottom w:val="none" w:sz="0" w:space="0" w:color="auto"/>
        <w:right w:val="none" w:sz="0" w:space="0" w:color="auto"/>
      </w:divBdr>
    </w:div>
    <w:div w:id="1558053044">
      <w:bodyDiv w:val="1"/>
      <w:marLeft w:val="0"/>
      <w:marRight w:val="0"/>
      <w:marTop w:val="0"/>
      <w:marBottom w:val="0"/>
      <w:divBdr>
        <w:top w:val="none" w:sz="0" w:space="0" w:color="auto"/>
        <w:left w:val="none" w:sz="0" w:space="0" w:color="auto"/>
        <w:bottom w:val="none" w:sz="0" w:space="0" w:color="auto"/>
        <w:right w:val="none" w:sz="0" w:space="0" w:color="auto"/>
      </w:divBdr>
    </w:div>
    <w:div w:id="1582832786">
      <w:bodyDiv w:val="1"/>
      <w:marLeft w:val="0"/>
      <w:marRight w:val="0"/>
      <w:marTop w:val="0"/>
      <w:marBottom w:val="0"/>
      <w:divBdr>
        <w:top w:val="none" w:sz="0" w:space="0" w:color="auto"/>
        <w:left w:val="none" w:sz="0" w:space="0" w:color="auto"/>
        <w:bottom w:val="none" w:sz="0" w:space="0" w:color="auto"/>
        <w:right w:val="none" w:sz="0" w:space="0" w:color="auto"/>
      </w:divBdr>
    </w:div>
    <w:div w:id="1728338841">
      <w:bodyDiv w:val="1"/>
      <w:marLeft w:val="0"/>
      <w:marRight w:val="0"/>
      <w:marTop w:val="0"/>
      <w:marBottom w:val="0"/>
      <w:divBdr>
        <w:top w:val="none" w:sz="0" w:space="0" w:color="auto"/>
        <w:left w:val="none" w:sz="0" w:space="0" w:color="auto"/>
        <w:bottom w:val="none" w:sz="0" w:space="0" w:color="auto"/>
        <w:right w:val="none" w:sz="0" w:space="0" w:color="auto"/>
      </w:divBdr>
    </w:div>
    <w:div w:id="1735741833">
      <w:bodyDiv w:val="1"/>
      <w:marLeft w:val="0"/>
      <w:marRight w:val="0"/>
      <w:marTop w:val="0"/>
      <w:marBottom w:val="0"/>
      <w:divBdr>
        <w:top w:val="none" w:sz="0" w:space="0" w:color="auto"/>
        <w:left w:val="none" w:sz="0" w:space="0" w:color="auto"/>
        <w:bottom w:val="none" w:sz="0" w:space="0" w:color="auto"/>
        <w:right w:val="none" w:sz="0" w:space="0" w:color="auto"/>
      </w:divBdr>
    </w:div>
    <w:div w:id="1803226216">
      <w:bodyDiv w:val="1"/>
      <w:marLeft w:val="0"/>
      <w:marRight w:val="0"/>
      <w:marTop w:val="0"/>
      <w:marBottom w:val="0"/>
      <w:divBdr>
        <w:top w:val="none" w:sz="0" w:space="0" w:color="auto"/>
        <w:left w:val="none" w:sz="0" w:space="0" w:color="auto"/>
        <w:bottom w:val="none" w:sz="0" w:space="0" w:color="auto"/>
        <w:right w:val="none" w:sz="0" w:space="0" w:color="auto"/>
      </w:divBdr>
    </w:div>
    <w:div w:id="1834491322">
      <w:bodyDiv w:val="1"/>
      <w:marLeft w:val="0"/>
      <w:marRight w:val="0"/>
      <w:marTop w:val="0"/>
      <w:marBottom w:val="0"/>
      <w:divBdr>
        <w:top w:val="none" w:sz="0" w:space="0" w:color="auto"/>
        <w:left w:val="none" w:sz="0" w:space="0" w:color="auto"/>
        <w:bottom w:val="none" w:sz="0" w:space="0" w:color="auto"/>
        <w:right w:val="none" w:sz="0" w:space="0" w:color="auto"/>
      </w:divBdr>
      <w:divsChild>
        <w:div w:id="1669018460">
          <w:marLeft w:val="0"/>
          <w:marRight w:val="0"/>
          <w:marTop w:val="0"/>
          <w:marBottom w:val="0"/>
          <w:divBdr>
            <w:top w:val="none" w:sz="0" w:space="0" w:color="auto"/>
            <w:left w:val="none" w:sz="0" w:space="0" w:color="auto"/>
            <w:bottom w:val="none" w:sz="0" w:space="0" w:color="auto"/>
            <w:right w:val="none" w:sz="0" w:space="0" w:color="auto"/>
          </w:divBdr>
          <w:divsChild>
            <w:div w:id="1785347829">
              <w:marLeft w:val="0"/>
              <w:marRight w:val="0"/>
              <w:marTop w:val="0"/>
              <w:marBottom w:val="0"/>
              <w:divBdr>
                <w:top w:val="none" w:sz="0" w:space="0" w:color="auto"/>
                <w:left w:val="none" w:sz="0" w:space="0" w:color="auto"/>
                <w:bottom w:val="none" w:sz="0" w:space="0" w:color="auto"/>
                <w:right w:val="none" w:sz="0" w:space="0" w:color="auto"/>
              </w:divBdr>
              <w:divsChild>
                <w:div w:id="173500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322456">
      <w:bodyDiv w:val="1"/>
      <w:marLeft w:val="0"/>
      <w:marRight w:val="0"/>
      <w:marTop w:val="0"/>
      <w:marBottom w:val="0"/>
      <w:divBdr>
        <w:top w:val="none" w:sz="0" w:space="0" w:color="auto"/>
        <w:left w:val="none" w:sz="0" w:space="0" w:color="auto"/>
        <w:bottom w:val="none" w:sz="0" w:space="0" w:color="auto"/>
        <w:right w:val="none" w:sz="0" w:space="0" w:color="auto"/>
      </w:divBdr>
    </w:div>
    <w:div w:id="1941833117">
      <w:bodyDiv w:val="1"/>
      <w:marLeft w:val="0"/>
      <w:marRight w:val="0"/>
      <w:marTop w:val="0"/>
      <w:marBottom w:val="0"/>
      <w:divBdr>
        <w:top w:val="none" w:sz="0" w:space="0" w:color="auto"/>
        <w:left w:val="none" w:sz="0" w:space="0" w:color="auto"/>
        <w:bottom w:val="none" w:sz="0" w:space="0" w:color="auto"/>
        <w:right w:val="none" w:sz="0" w:space="0" w:color="auto"/>
      </w:divBdr>
    </w:div>
    <w:div w:id="1947500057">
      <w:bodyDiv w:val="1"/>
      <w:marLeft w:val="0"/>
      <w:marRight w:val="0"/>
      <w:marTop w:val="0"/>
      <w:marBottom w:val="0"/>
      <w:divBdr>
        <w:top w:val="none" w:sz="0" w:space="0" w:color="auto"/>
        <w:left w:val="none" w:sz="0" w:space="0" w:color="auto"/>
        <w:bottom w:val="none" w:sz="0" w:space="0" w:color="auto"/>
        <w:right w:val="none" w:sz="0" w:space="0" w:color="auto"/>
      </w:divBdr>
    </w:div>
    <w:div w:id="1950121270">
      <w:bodyDiv w:val="1"/>
      <w:marLeft w:val="0"/>
      <w:marRight w:val="0"/>
      <w:marTop w:val="0"/>
      <w:marBottom w:val="0"/>
      <w:divBdr>
        <w:top w:val="none" w:sz="0" w:space="0" w:color="auto"/>
        <w:left w:val="none" w:sz="0" w:space="0" w:color="auto"/>
        <w:bottom w:val="none" w:sz="0" w:space="0" w:color="auto"/>
        <w:right w:val="none" w:sz="0" w:space="0" w:color="auto"/>
      </w:divBdr>
    </w:div>
    <w:div w:id="2003314027">
      <w:bodyDiv w:val="1"/>
      <w:marLeft w:val="0"/>
      <w:marRight w:val="0"/>
      <w:marTop w:val="0"/>
      <w:marBottom w:val="0"/>
      <w:divBdr>
        <w:top w:val="none" w:sz="0" w:space="0" w:color="auto"/>
        <w:left w:val="none" w:sz="0" w:space="0" w:color="auto"/>
        <w:bottom w:val="none" w:sz="0" w:space="0" w:color="auto"/>
        <w:right w:val="none" w:sz="0" w:space="0" w:color="auto"/>
      </w:divBdr>
    </w:div>
    <w:div w:id="2039578072">
      <w:bodyDiv w:val="1"/>
      <w:marLeft w:val="0"/>
      <w:marRight w:val="0"/>
      <w:marTop w:val="0"/>
      <w:marBottom w:val="0"/>
      <w:divBdr>
        <w:top w:val="none" w:sz="0" w:space="0" w:color="auto"/>
        <w:left w:val="none" w:sz="0" w:space="0" w:color="auto"/>
        <w:bottom w:val="none" w:sz="0" w:space="0" w:color="auto"/>
        <w:right w:val="none" w:sz="0" w:space="0" w:color="auto"/>
      </w:divBdr>
    </w:div>
    <w:div w:id="2067333561">
      <w:bodyDiv w:val="1"/>
      <w:marLeft w:val="0"/>
      <w:marRight w:val="0"/>
      <w:marTop w:val="0"/>
      <w:marBottom w:val="0"/>
      <w:divBdr>
        <w:top w:val="none" w:sz="0" w:space="0" w:color="auto"/>
        <w:left w:val="none" w:sz="0" w:space="0" w:color="auto"/>
        <w:bottom w:val="none" w:sz="0" w:space="0" w:color="auto"/>
        <w:right w:val="none" w:sz="0" w:space="0" w:color="auto"/>
      </w:divBdr>
    </w:div>
    <w:div w:id="2113234738">
      <w:bodyDiv w:val="1"/>
      <w:marLeft w:val="0"/>
      <w:marRight w:val="0"/>
      <w:marTop w:val="0"/>
      <w:marBottom w:val="0"/>
      <w:divBdr>
        <w:top w:val="none" w:sz="0" w:space="0" w:color="auto"/>
        <w:left w:val="none" w:sz="0" w:space="0" w:color="auto"/>
        <w:bottom w:val="none" w:sz="0" w:space="0" w:color="auto"/>
        <w:right w:val="none" w:sz="0" w:space="0" w:color="auto"/>
      </w:divBdr>
    </w:div>
    <w:div w:id="2114130191">
      <w:bodyDiv w:val="1"/>
      <w:marLeft w:val="0"/>
      <w:marRight w:val="0"/>
      <w:marTop w:val="0"/>
      <w:marBottom w:val="0"/>
      <w:divBdr>
        <w:top w:val="none" w:sz="0" w:space="0" w:color="auto"/>
        <w:left w:val="none" w:sz="0" w:space="0" w:color="auto"/>
        <w:bottom w:val="none" w:sz="0" w:space="0" w:color="auto"/>
        <w:right w:val="none" w:sz="0" w:space="0" w:color="auto"/>
      </w:divBdr>
    </w:div>
    <w:div w:id="2137218169">
      <w:bodyDiv w:val="1"/>
      <w:marLeft w:val="0"/>
      <w:marRight w:val="0"/>
      <w:marTop w:val="0"/>
      <w:marBottom w:val="0"/>
      <w:divBdr>
        <w:top w:val="none" w:sz="0" w:space="0" w:color="auto"/>
        <w:left w:val="none" w:sz="0" w:space="0" w:color="auto"/>
        <w:bottom w:val="none" w:sz="0" w:space="0" w:color="auto"/>
        <w:right w:val="none" w:sz="0" w:space="0" w:color="auto"/>
      </w:divBdr>
      <w:divsChild>
        <w:div w:id="591356234">
          <w:marLeft w:val="0"/>
          <w:marRight w:val="0"/>
          <w:marTop w:val="0"/>
          <w:marBottom w:val="0"/>
          <w:divBdr>
            <w:top w:val="none" w:sz="0" w:space="0" w:color="auto"/>
            <w:left w:val="none" w:sz="0" w:space="0" w:color="auto"/>
            <w:bottom w:val="none" w:sz="0" w:space="0" w:color="auto"/>
            <w:right w:val="none" w:sz="0" w:space="0" w:color="auto"/>
          </w:divBdr>
          <w:divsChild>
            <w:div w:id="1316954642">
              <w:marLeft w:val="0"/>
              <w:marRight w:val="0"/>
              <w:marTop w:val="0"/>
              <w:marBottom w:val="0"/>
              <w:divBdr>
                <w:top w:val="none" w:sz="0" w:space="0" w:color="auto"/>
                <w:left w:val="none" w:sz="0" w:space="0" w:color="auto"/>
                <w:bottom w:val="none" w:sz="0" w:space="0" w:color="auto"/>
                <w:right w:val="none" w:sz="0" w:space="0" w:color="auto"/>
              </w:divBdr>
              <w:divsChild>
                <w:div w:id="94157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59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w.ouwerkerk@amc.uva.nl"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B0850F4-C3B4-2C40-98A2-E4E720B13D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32</Pages>
  <Words>44060</Words>
  <Characters>242336</Characters>
  <Application>Microsoft Macintosh Word</Application>
  <DocSecurity>0</DocSecurity>
  <Lines>2019</Lines>
  <Paragraphs>571</Paragraphs>
  <ScaleCrop>false</ScaleCrop>
  <HeadingPairs>
    <vt:vector size="2" baseType="variant">
      <vt:variant>
        <vt:lpstr>Titel</vt:lpstr>
      </vt:variant>
      <vt:variant>
        <vt:i4>1</vt:i4>
      </vt:variant>
    </vt:vector>
  </HeadingPairs>
  <TitlesOfParts>
    <vt:vector size="1" baseType="lpstr">
      <vt:lpstr/>
    </vt:vector>
  </TitlesOfParts>
  <Company>Universitair Medisch Centrum Groningen</Company>
  <LinksUpToDate>false</LinksUpToDate>
  <CharactersWithSpaces>285825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ahzwinderman</dc:creator>
  <cp:keywords/>
  <dc:description/>
  <cp:lastModifiedBy>Wouter Ouwerkerk</cp:lastModifiedBy>
  <cp:revision>7</cp:revision>
  <cp:lastPrinted>2017-02-27T12:00:00Z</cp:lastPrinted>
  <dcterms:created xsi:type="dcterms:W3CDTF">2017-10-30T20:14:00Z</dcterms:created>
  <dcterms:modified xsi:type="dcterms:W3CDTF">2017-11-08T08:49:00Z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Citation Style_1">
    <vt:lpwstr>http://www.zotero.org/styles/journal-of-the-american-college-of-cardiology</vt:lpwstr>
  </property>
  <property fmtid="{D5CDD505-2E9C-101B-9397-08002B2CF9AE}" pid="4" name="Mendeley Unique User Id_1">
    <vt:lpwstr>7d64224c-af1d-39c6-8ca1-edb936c64dad</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16th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http://www.zotero.org/styles/journal-of-the-american-college-of-cardiology</vt:lpwstr>
  </property>
  <property fmtid="{D5CDD505-2E9C-101B-9397-08002B2CF9AE}" pid="20" name="Mendeley Recent Style Name 7_1">
    <vt:lpwstr>Journal of the American College of Cardiology</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http://www.zotero.org/styles/modern-language-association</vt:lpwstr>
  </property>
  <property fmtid="{D5CDD505-2E9C-101B-9397-08002B2CF9AE}" pid="24" name="Mendeley Recent Style Name 9_1">
    <vt:lpwstr>Modern Language Association 8th edition</vt:lpwstr>
  </property>
</Properties>
</file>