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4F" w:rsidRPr="002639AF" w:rsidRDefault="009037F9" w:rsidP="009037F9">
      <w:pPr>
        <w:spacing w:after="0" w:line="480" w:lineRule="auto"/>
        <w:jc w:val="center"/>
        <w:rPr>
          <w:rFonts w:ascii="Times New Roman" w:hAnsi="Times New Roman" w:cs="Times New Roman"/>
          <w:b/>
          <w:sz w:val="28"/>
          <w:szCs w:val="24"/>
          <w:lang w:val="en-US"/>
        </w:rPr>
      </w:pPr>
      <w:bookmarkStart w:id="0" w:name="_GoBack"/>
      <w:bookmarkEnd w:id="0"/>
      <w:r>
        <w:rPr>
          <w:rFonts w:ascii="Times New Roman" w:hAnsi="Times New Roman" w:cs="Times New Roman"/>
          <w:b/>
          <w:sz w:val="28"/>
          <w:szCs w:val="24"/>
          <w:lang w:val="en-US"/>
        </w:rPr>
        <w:t>Limited i</w:t>
      </w:r>
      <w:r w:rsidR="00C7734F" w:rsidRPr="002639AF">
        <w:rPr>
          <w:rFonts w:ascii="Times New Roman" w:hAnsi="Times New Roman" w:cs="Times New Roman"/>
          <w:b/>
          <w:sz w:val="28"/>
          <w:szCs w:val="24"/>
          <w:lang w:val="en-US"/>
        </w:rPr>
        <w:t xml:space="preserve">mpact of adolescent </w:t>
      </w:r>
      <w:r w:rsidR="00C7734F">
        <w:rPr>
          <w:rFonts w:ascii="Times New Roman" w:hAnsi="Times New Roman" w:cs="Times New Roman"/>
          <w:b/>
          <w:sz w:val="28"/>
          <w:szCs w:val="24"/>
          <w:lang w:val="en-US"/>
        </w:rPr>
        <w:t xml:space="preserve">meningococcal ACWY vaccination on </w:t>
      </w:r>
      <w:r w:rsidR="00C7734F" w:rsidRPr="002639AF">
        <w:rPr>
          <w:rFonts w:ascii="Times New Roman" w:hAnsi="Times New Roman" w:cs="Times New Roman"/>
          <w:b/>
          <w:sz w:val="28"/>
          <w:szCs w:val="24"/>
          <w:lang w:val="en-US"/>
        </w:rPr>
        <w:t xml:space="preserve">group W carriage </w:t>
      </w:r>
      <w:r>
        <w:rPr>
          <w:rFonts w:ascii="Times New Roman" w:hAnsi="Times New Roman" w:cs="Times New Roman"/>
          <w:b/>
          <w:sz w:val="28"/>
          <w:szCs w:val="24"/>
          <w:lang w:val="en-US"/>
        </w:rPr>
        <w:t xml:space="preserve">in university students </w:t>
      </w:r>
    </w:p>
    <w:p w:rsidR="00C7734F" w:rsidRPr="00182D43" w:rsidRDefault="00C7734F" w:rsidP="009037F9">
      <w:pPr>
        <w:spacing w:after="0" w:line="480" w:lineRule="auto"/>
        <w:rPr>
          <w:lang w:val="en-US"/>
        </w:rPr>
      </w:pPr>
    </w:p>
    <w:p w:rsidR="00C7734F" w:rsidRPr="00182D43" w:rsidRDefault="00C7734F" w:rsidP="009037F9">
      <w:pPr>
        <w:spacing w:after="0" w:line="480" w:lineRule="auto"/>
        <w:rPr>
          <w:rFonts w:ascii="Times New Roman" w:hAnsi="Times New Roman" w:cs="Times New Roman"/>
          <w:sz w:val="24"/>
          <w:szCs w:val="24"/>
          <w:vertAlign w:val="superscript"/>
          <w:lang w:val="en-US"/>
        </w:rPr>
      </w:pPr>
      <w:r w:rsidRPr="00182D43">
        <w:rPr>
          <w:rFonts w:ascii="Times New Roman" w:hAnsi="Times New Roman" w:cs="Times New Roman"/>
          <w:sz w:val="24"/>
          <w:szCs w:val="24"/>
          <w:lang w:val="en-US"/>
        </w:rPr>
        <w:t>Neil J. Oldfield,</w:t>
      </w:r>
      <w:r w:rsidRPr="00182D43">
        <w:rPr>
          <w:rFonts w:ascii="Times New Roman" w:hAnsi="Times New Roman" w:cs="Times New Roman"/>
          <w:sz w:val="24"/>
          <w:szCs w:val="24"/>
          <w:vertAlign w:val="superscript"/>
          <w:lang w:val="en-US"/>
        </w:rPr>
        <w:t>1</w:t>
      </w:r>
      <w:r w:rsidRPr="00CC1898">
        <w:rPr>
          <w:rFonts w:ascii="Times New Roman" w:hAnsi="Times New Roman" w:cs="Times New Roman"/>
          <w:sz w:val="24"/>
          <w:szCs w:val="24"/>
          <w:vertAlign w:val="superscript"/>
          <w:lang w:val="en-US"/>
        </w:rPr>
        <w:t>,a</w:t>
      </w:r>
      <w:r>
        <w:rPr>
          <w:rFonts w:ascii="Times New Roman" w:hAnsi="Times New Roman" w:cs="Times New Roman"/>
          <w:sz w:val="24"/>
          <w:szCs w:val="24"/>
          <w:vertAlign w:val="superscript"/>
          <w:lang w:val="en-US"/>
        </w:rPr>
        <w:t>,</w:t>
      </w:r>
      <w:r w:rsidRPr="006B2F80">
        <w:rPr>
          <w:rFonts w:ascii="Times New Roman" w:hAnsi="Times New Roman" w:cs="Times New Roman"/>
          <w:sz w:val="24"/>
          <w:szCs w:val="24"/>
          <w:vertAlign w:val="superscript"/>
          <w:lang w:val="en-US"/>
        </w:rPr>
        <w:t>#</w:t>
      </w:r>
      <w:r w:rsidRPr="00182D43">
        <w:rPr>
          <w:rFonts w:ascii="Times New Roman" w:hAnsi="Times New Roman" w:cs="Times New Roman"/>
          <w:sz w:val="24"/>
          <w:szCs w:val="24"/>
          <w:lang w:val="en-US"/>
        </w:rPr>
        <w:t xml:space="preserve"> Luke R. Green,</w:t>
      </w:r>
      <w:r w:rsidRPr="00182D43">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,a</w:t>
      </w:r>
      <w:r w:rsidRPr="00182D43">
        <w:rPr>
          <w:rFonts w:ascii="Times New Roman" w:hAnsi="Times New Roman" w:cs="Times New Roman"/>
          <w:sz w:val="24"/>
          <w:szCs w:val="24"/>
          <w:lang w:val="en-US"/>
        </w:rPr>
        <w:t xml:space="preserve"> Julian Parkhill,</w:t>
      </w:r>
      <w:r w:rsidRPr="00182D43">
        <w:rPr>
          <w:rFonts w:ascii="Times New Roman" w:hAnsi="Times New Roman" w:cs="Times New Roman"/>
          <w:sz w:val="24"/>
          <w:szCs w:val="24"/>
          <w:vertAlign w:val="superscript"/>
          <w:lang w:val="en-US"/>
        </w:rPr>
        <w:t>3</w:t>
      </w:r>
      <w:r w:rsidRPr="00182D43">
        <w:rPr>
          <w:rFonts w:ascii="Times New Roman" w:hAnsi="Times New Roman" w:cs="Times New Roman"/>
          <w:sz w:val="24"/>
          <w:szCs w:val="24"/>
          <w:lang w:val="en-US"/>
        </w:rPr>
        <w:t xml:space="preserve"> Christopher D. Bayliss,</w:t>
      </w:r>
      <w:r w:rsidRPr="00182D43">
        <w:rPr>
          <w:rFonts w:ascii="Times New Roman" w:hAnsi="Times New Roman" w:cs="Times New Roman"/>
          <w:sz w:val="24"/>
          <w:szCs w:val="24"/>
          <w:vertAlign w:val="superscript"/>
          <w:lang w:val="en-US"/>
        </w:rPr>
        <w:t xml:space="preserve">2 </w:t>
      </w:r>
      <w:r w:rsidRPr="00182D43">
        <w:rPr>
          <w:rFonts w:ascii="Times New Roman" w:hAnsi="Times New Roman" w:cs="Times New Roman"/>
          <w:sz w:val="24"/>
          <w:szCs w:val="24"/>
          <w:lang w:val="en-US"/>
        </w:rPr>
        <w:t>and David P. J. Turner</w:t>
      </w:r>
      <w:r w:rsidRPr="00182D43">
        <w:rPr>
          <w:rFonts w:ascii="Times New Roman" w:hAnsi="Times New Roman" w:cs="Times New Roman"/>
          <w:sz w:val="24"/>
          <w:szCs w:val="24"/>
          <w:vertAlign w:val="superscript"/>
          <w:lang w:val="en-US"/>
        </w:rPr>
        <w:t>1</w:t>
      </w:r>
    </w:p>
    <w:p w:rsidR="00C7734F" w:rsidRPr="00182D43"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vertAlign w:val="superscript"/>
          <w:lang w:val="en-US"/>
        </w:rPr>
        <w:t>1</w:t>
      </w:r>
      <w:r w:rsidRPr="00182D43">
        <w:rPr>
          <w:rFonts w:ascii="Times New Roman" w:hAnsi="Times New Roman" w:cs="Times New Roman"/>
          <w:sz w:val="24"/>
          <w:szCs w:val="24"/>
          <w:lang w:val="en-US"/>
        </w:rPr>
        <w:t>School of Life Sciences, University of Nottingham, Nottingham NG7 2RD, UK</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vertAlign w:val="superscript"/>
          <w:lang w:val="en-US"/>
        </w:rPr>
        <w:t>2</w:t>
      </w:r>
      <w:r w:rsidRPr="00182D43">
        <w:rPr>
          <w:rFonts w:ascii="Times New Roman" w:hAnsi="Times New Roman" w:cs="Times New Roman"/>
          <w:sz w:val="24"/>
          <w:szCs w:val="24"/>
          <w:lang w:val="en-US"/>
        </w:rPr>
        <w:t>Department of Genetics</w:t>
      </w:r>
      <w:r>
        <w:rPr>
          <w:rFonts w:ascii="Times New Roman" w:hAnsi="Times New Roman" w:cs="Times New Roman"/>
          <w:sz w:val="24"/>
          <w:szCs w:val="24"/>
          <w:lang w:val="en-US"/>
        </w:rPr>
        <w:t xml:space="preserve"> and Genome Biology</w:t>
      </w:r>
      <w:r w:rsidRPr="00182D43">
        <w:rPr>
          <w:rFonts w:ascii="Times New Roman" w:hAnsi="Times New Roman" w:cs="Times New Roman"/>
          <w:sz w:val="24"/>
          <w:szCs w:val="24"/>
          <w:lang w:val="en-US"/>
        </w:rPr>
        <w:t>, University of Leicester, Leicester LE1 7RH, UK</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vertAlign w:val="superscript"/>
          <w:lang w:val="en-US"/>
        </w:rPr>
        <w:t>3</w:t>
      </w:r>
      <w:r w:rsidRPr="00182D43">
        <w:rPr>
          <w:rFonts w:ascii="Times New Roman" w:hAnsi="Times New Roman" w:cs="Times New Roman"/>
          <w:sz w:val="24"/>
          <w:szCs w:val="24"/>
          <w:lang w:val="en-US"/>
        </w:rPr>
        <w:t>Wellcome Trust Sanger Institute, Hinxton, Cambridge CB10 1SA, UK</w:t>
      </w:r>
    </w:p>
    <w:p w:rsidR="00C7734F" w:rsidRPr="000F16B4"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Running Head: </w:t>
      </w:r>
      <w:r>
        <w:rPr>
          <w:rFonts w:ascii="Times New Roman" w:hAnsi="Times New Roman" w:cs="Times New Roman"/>
          <w:sz w:val="24"/>
          <w:szCs w:val="24"/>
          <w:lang w:val="en-US"/>
        </w:rPr>
        <w:t>Impact of Men</w:t>
      </w:r>
      <w:r w:rsidRPr="001F6D85">
        <w:rPr>
          <w:rFonts w:ascii="Times New Roman" w:hAnsi="Times New Roman" w:cs="Times New Roman"/>
          <w:sz w:val="24"/>
          <w:szCs w:val="24"/>
          <w:lang w:val="en-US"/>
        </w:rPr>
        <w:t>ACWY vaccin</w:t>
      </w:r>
      <w:r>
        <w:rPr>
          <w:rFonts w:ascii="Times New Roman" w:hAnsi="Times New Roman" w:cs="Times New Roman"/>
          <w:sz w:val="24"/>
          <w:szCs w:val="24"/>
          <w:lang w:val="en-US"/>
        </w:rPr>
        <w:t>e on carriage</w:t>
      </w:r>
    </w:p>
    <w:p w:rsidR="00C7734F" w:rsidRPr="00182D43"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Type of article: Major article</w:t>
      </w:r>
    </w:p>
    <w:p w:rsidR="00C7734F" w:rsidRPr="00182D43" w:rsidRDefault="00C7734F" w:rsidP="009037F9">
      <w:pPr>
        <w:spacing w:after="0" w:line="480" w:lineRule="auto"/>
        <w:rPr>
          <w:rFonts w:ascii="Times New Roman" w:hAnsi="Times New Roman" w:cs="Times New Roman"/>
          <w:sz w:val="24"/>
          <w:szCs w:val="24"/>
          <w:lang w:val="en-US"/>
        </w:rPr>
      </w:pPr>
      <w:r w:rsidRPr="00744B1F">
        <w:rPr>
          <w:rFonts w:ascii="Times New Roman" w:hAnsi="Times New Roman" w:cs="Times New Roman"/>
          <w:sz w:val="24"/>
          <w:szCs w:val="24"/>
          <w:lang w:val="en-US"/>
        </w:rPr>
        <w:t xml:space="preserve">Abstract word count: </w:t>
      </w:r>
      <w:r>
        <w:rPr>
          <w:rFonts w:ascii="Times New Roman" w:hAnsi="Times New Roman" w:cs="Times New Roman"/>
          <w:sz w:val="24"/>
          <w:szCs w:val="24"/>
          <w:lang w:val="en-US"/>
        </w:rPr>
        <w:t>194</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Text only word count: </w:t>
      </w:r>
      <w:r>
        <w:rPr>
          <w:rFonts w:ascii="Times New Roman" w:hAnsi="Times New Roman" w:cs="Times New Roman"/>
          <w:sz w:val="24"/>
          <w:szCs w:val="24"/>
          <w:lang w:val="en-US"/>
        </w:rPr>
        <w:t>3034</w:t>
      </w: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References:</w:t>
      </w:r>
      <w:r>
        <w:rPr>
          <w:rFonts w:ascii="Times New Roman" w:hAnsi="Times New Roman" w:cs="Times New Roman"/>
          <w:sz w:val="24"/>
          <w:szCs w:val="24"/>
          <w:lang w:val="en-US"/>
        </w:rPr>
        <w:t xml:space="preserve"> 40</w:t>
      </w:r>
    </w:p>
    <w:p w:rsidR="00C7734F" w:rsidRPr="00182D43"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Tables &amp; Figures: 5</w:t>
      </w:r>
    </w:p>
    <w:p w:rsidR="00C7734F" w:rsidRDefault="00C7734F" w:rsidP="009037F9">
      <w:pPr>
        <w:spacing w:after="0" w:line="480" w:lineRule="auto"/>
        <w:rPr>
          <w:rFonts w:ascii="Times New Roman" w:hAnsi="Times New Roman" w:cs="Times New Roman"/>
          <w:sz w:val="24"/>
          <w:szCs w:val="24"/>
          <w:lang w:val="en-US"/>
        </w:rPr>
      </w:pPr>
    </w:p>
    <w:p w:rsidR="00C7734F"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a </w:t>
      </w:r>
      <w:r>
        <w:rPr>
          <w:rFonts w:ascii="Times New Roman" w:hAnsi="Times New Roman" w:cs="Times New Roman"/>
          <w:sz w:val="24"/>
          <w:szCs w:val="24"/>
          <w:lang w:val="en-US"/>
        </w:rPr>
        <w:t xml:space="preserve">N. J. O. and L. R. G. </w:t>
      </w:r>
      <w:r w:rsidRPr="00040C03">
        <w:rPr>
          <w:rFonts w:ascii="Times New Roman" w:hAnsi="Times New Roman" w:cs="Times New Roman"/>
          <w:sz w:val="24"/>
          <w:szCs w:val="24"/>
          <w:lang w:val="en-US"/>
        </w:rPr>
        <w:t>contributed equally to this report</w:t>
      </w:r>
    </w:p>
    <w:p w:rsidR="00C7734F" w:rsidRPr="00182D43"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6B2F80">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182D43">
        <w:rPr>
          <w:rFonts w:ascii="Times New Roman" w:hAnsi="Times New Roman" w:cs="Times New Roman"/>
          <w:sz w:val="24"/>
          <w:szCs w:val="24"/>
          <w:lang w:val="en-US"/>
        </w:rPr>
        <w:t>Correspond</w:t>
      </w:r>
      <w:r>
        <w:rPr>
          <w:rFonts w:ascii="Times New Roman" w:hAnsi="Times New Roman" w:cs="Times New Roman"/>
          <w:sz w:val="24"/>
          <w:szCs w:val="24"/>
          <w:lang w:val="en-US"/>
        </w:rPr>
        <w:t>ing author</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 J. Oldfield, </w:t>
      </w:r>
      <w:r w:rsidRPr="00182D43">
        <w:rPr>
          <w:rFonts w:ascii="Times New Roman" w:hAnsi="Times New Roman" w:cs="Times New Roman"/>
          <w:sz w:val="24"/>
          <w:szCs w:val="24"/>
          <w:lang w:val="en-US"/>
        </w:rPr>
        <w:t xml:space="preserve">Centre for Biomolecular Sciences, University of Nottingham, Nottingham NG7 2RD, UK. E-mail </w:t>
      </w:r>
      <w:hyperlink r:id="rId7" w:history="1">
        <w:r w:rsidRPr="00182D43">
          <w:rPr>
            <w:rStyle w:val="Hyperlink"/>
            <w:rFonts w:ascii="Times New Roman" w:hAnsi="Times New Roman"/>
            <w:sz w:val="24"/>
            <w:szCs w:val="24"/>
            <w:lang w:val="en-US"/>
          </w:rPr>
          <w:t>neil.oldfield@nottingham.ac.uk</w:t>
        </w:r>
      </w:hyperlink>
      <w:r w:rsidRPr="00182D43">
        <w:rPr>
          <w:rStyle w:val="Hyperlink"/>
          <w:rFonts w:ascii="Times New Roman" w:hAnsi="Times New Roman"/>
          <w:sz w:val="24"/>
          <w:szCs w:val="24"/>
          <w:u w:val="none"/>
          <w:lang w:val="en-US"/>
        </w:rPr>
        <w:t xml:space="preserve">; </w:t>
      </w:r>
      <w:r w:rsidRPr="00182D43">
        <w:rPr>
          <w:rFonts w:ascii="Times New Roman" w:hAnsi="Times New Roman" w:cs="Times New Roman"/>
          <w:sz w:val="24"/>
          <w:szCs w:val="24"/>
          <w:lang w:val="en-US"/>
        </w:rPr>
        <w:t xml:space="preserve">Tel. (+44) 115748 6122; Fax (+44) 115846 8002 </w:t>
      </w:r>
      <w:r w:rsidRPr="00182D43">
        <w:rPr>
          <w:rFonts w:ascii="Times New Roman" w:hAnsi="Times New Roman" w:cs="Times New Roman"/>
          <w:sz w:val="24"/>
          <w:szCs w:val="24"/>
          <w:lang w:val="en-US"/>
        </w:rPr>
        <w:br w:type="page"/>
      </w:r>
    </w:p>
    <w:p w:rsidR="00FF5B85" w:rsidRPr="00FF5B85" w:rsidRDefault="00FF5B85" w:rsidP="00FF5B85">
      <w:pPr>
        <w:spacing w:after="0" w:line="480" w:lineRule="auto"/>
        <w:rPr>
          <w:rFonts w:ascii="Times New Roman" w:hAnsi="Times New Roman" w:cs="Times New Roman"/>
          <w:b/>
          <w:sz w:val="24"/>
          <w:szCs w:val="24"/>
          <w:lang w:val="en-US"/>
        </w:rPr>
      </w:pPr>
      <w:r w:rsidRPr="00FF5B85">
        <w:rPr>
          <w:rFonts w:ascii="Times New Roman" w:hAnsi="Times New Roman" w:cs="Times New Roman"/>
          <w:b/>
          <w:sz w:val="24"/>
          <w:szCs w:val="24"/>
          <w:lang w:val="en-US"/>
        </w:rPr>
        <w:lastRenderedPageBreak/>
        <w:t>S</w:t>
      </w:r>
      <w:r>
        <w:rPr>
          <w:rFonts w:ascii="Times New Roman" w:hAnsi="Times New Roman" w:cs="Times New Roman"/>
          <w:b/>
          <w:sz w:val="24"/>
          <w:szCs w:val="24"/>
          <w:lang w:val="en-US"/>
        </w:rPr>
        <w:t xml:space="preserve">UMMARY </w:t>
      </w:r>
    </w:p>
    <w:p w:rsidR="00FF5B85" w:rsidRPr="00FF5B85" w:rsidRDefault="00FF5B85" w:rsidP="00FF5B85">
      <w:pPr>
        <w:spacing w:after="0" w:line="480" w:lineRule="auto"/>
        <w:rPr>
          <w:rFonts w:ascii="Times New Roman" w:hAnsi="Times New Roman" w:cs="Times New Roman"/>
          <w:sz w:val="24"/>
          <w:szCs w:val="24"/>
          <w:lang w:val="en-US"/>
        </w:rPr>
      </w:pPr>
      <w:r w:rsidRPr="00FF5B85">
        <w:rPr>
          <w:rFonts w:ascii="Times New Roman" w:hAnsi="Times New Roman" w:cs="Times New Roman"/>
          <w:sz w:val="24"/>
          <w:szCs w:val="24"/>
          <w:lang w:val="en-US"/>
        </w:rPr>
        <w:t xml:space="preserve">We investigated the impact of conjugate MenACWY immunization on carriage of </w:t>
      </w:r>
      <w:r w:rsidRPr="00FF5B85">
        <w:rPr>
          <w:rFonts w:ascii="Times New Roman" w:hAnsi="Times New Roman" w:cs="Times New Roman"/>
          <w:i/>
          <w:sz w:val="24"/>
          <w:szCs w:val="24"/>
          <w:lang w:val="en-US"/>
        </w:rPr>
        <w:t>Neisseria meningitidis</w:t>
      </w:r>
      <w:r w:rsidRPr="00FF5B85">
        <w:rPr>
          <w:rFonts w:ascii="Times New Roman" w:hAnsi="Times New Roman" w:cs="Times New Roman"/>
          <w:sz w:val="24"/>
          <w:szCs w:val="24"/>
          <w:lang w:val="en-US"/>
        </w:rPr>
        <w:t xml:space="preserve"> in university students. Expansion of capsule-expressing isolates from the 2013-strain of serogroup W:cc11, but not serogroup Y:cc23 isolates, suggests differential susceptibilities to vaccine-induced immunity.</w:t>
      </w:r>
    </w:p>
    <w:p w:rsidR="00FF5B85" w:rsidRDefault="00FF5B85" w:rsidP="009037F9">
      <w:pPr>
        <w:spacing w:after="0" w:line="480" w:lineRule="auto"/>
        <w:rPr>
          <w:rFonts w:ascii="Times New Roman" w:hAnsi="Times New Roman" w:cs="Times New Roman"/>
          <w:b/>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sz w:val="24"/>
          <w:szCs w:val="24"/>
          <w:lang w:val="en-US"/>
        </w:rPr>
        <w:t xml:space="preserve">ABSTRACT </w:t>
      </w:r>
    </w:p>
    <w:p w:rsidR="00C7734F" w:rsidRPr="00182D43" w:rsidRDefault="00C7734F" w:rsidP="009037F9">
      <w:pPr>
        <w:spacing w:after="0" w:line="480" w:lineRule="auto"/>
        <w:rPr>
          <w:rFonts w:ascii="Times New Roman" w:eastAsia="Times New Roman" w:hAnsi="Times New Roman" w:cs="Times New Roman"/>
          <w:iCs/>
          <w:sz w:val="24"/>
          <w:szCs w:val="24"/>
          <w:lang w:val="en-US" w:eastAsia="ar-SA"/>
        </w:rPr>
      </w:pPr>
      <w:r w:rsidRPr="00182D43">
        <w:rPr>
          <w:rFonts w:ascii="Times New Roman" w:hAnsi="Times New Roman" w:cs="Times New Roman"/>
          <w:b/>
          <w:i/>
          <w:sz w:val="24"/>
          <w:szCs w:val="24"/>
          <w:lang w:val="en-US"/>
        </w:rPr>
        <w:t>Background.</w:t>
      </w:r>
      <w:r w:rsidRPr="00182D43">
        <w:rPr>
          <w:rFonts w:ascii="Times New Roman" w:hAnsi="Times New Roman" w:cs="Times New Roman"/>
          <w:i/>
          <w:sz w:val="24"/>
          <w:szCs w:val="24"/>
          <w:lang w:val="en-US"/>
        </w:rPr>
        <w:t xml:space="preserve"> </w:t>
      </w:r>
      <w:r>
        <w:rPr>
          <w:rFonts w:ascii="Times New Roman" w:hAnsi="Times New Roman" w:cs="Times New Roman"/>
          <w:sz w:val="24"/>
          <w:szCs w:val="24"/>
          <w:lang w:val="en-US"/>
        </w:rPr>
        <w:t>In the UK r</w:t>
      </w:r>
      <w:r>
        <w:rPr>
          <w:rFonts w:ascii="Times New Roman"/>
          <w:sz w:val="24"/>
          <w:szCs w:val="24"/>
          <w:lang w:val="en-US"/>
        </w:rPr>
        <w:t>ising</w:t>
      </w:r>
      <w:r w:rsidRPr="00182D43">
        <w:rPr>
          <w:rFonts w:ascii="Times New Roman"/>
          <w:sz w:val="24"/>
          <w:szCs w:val="24"/>
          <w:lang w:val="en-US"/>
        </w:rPr>
        <w:t xml:space="preserve"> </w:t>
      </w:r>
      <w:r>
        <w:rPr>
          <w:rFonts w:ascii="Times New Roman"/>
          <w:sz w:val="24"/>
          <w:szCs w:val="24"/>
          <w:lang w:val="en-US"/>
        </w:rPr>
        <w:t xml:space="preserve">disease levels due to </w:t>
      </w:r>
      <w:r>
        <w:rPr>
          <w:rFonts w:ascii="Times New Roman"/>
          <w:i/>
          <w:sz w:val="24"/>
          <w:szCs w:val="24"/>
          <w:lang w:val="en-US"/>
        </w:rPr>
        <w:t xml:space="preserve">Neisseria meningitidis </w:t>
      </w:r>
      <w:r>
        <w:rPr>
          <w:rFonts w:ascii="Times New Roman"/>
          <w:sz w:val="24"/>
          <w:szCs w:val="24"/>
          <w:lang w:val="en-US"/>
        </w:rPr>
        <w:t>serogroup W clonal complex ST-11 (</w:t>
      </w:r>
      <w:r w:rsidRPr="00182D43">
        <w:rPr>
          <w:rFonts w:ascii="Times New Roman"/>
          <w:sz w:val="24"/>
          <w:szCs w:val="24"/>
          <w:lang w:val="en-US"/>
        </w:rPr>
        <w:t>MenW:</w:t>
      </w:r>
      <w:r>
        <w:rPr>
          <w:rFonts w:ascii="Times New Roman"/>
          <w:sz w:val="24"/>
          <w:szCs w:val="24"/>
          <w:lang w:val="en-US"/>
        </w:rPr>
        <w:t>cc</w:t>
      </w:r>
      <w:r w:rsidRPr="00182D43">
        <w:rPr>
          <w:rFonts w:ascii="Times New Roman"/>
          <w:sz w:val="24"/>
          <w:szCs w:val="24"/>
          <w:lang w:val="en-US"/>
        </w:rPr>
        <w:t>11</w:t>
      </w:r>
      <w:r>
        <w:rPr>
          <w:rFonts w:ascii="Times New Roman"/>
          <w:sz w:val="24"/>
          <w:szCs w:val="24"/>
          <w:lang w:val="en-US"/>
        </w:rPr>
        <w:t>)</w:t>
      </w:r>
      <w:r w:rsidRPr="00182D43">
        <w:rPr>
          <w:rFonts w:ascii="Times New Roman"/>
          <w:sz w:val="24"/>
          <w:szCs w:val="24"/>
          <w:lang w:val="en-US"/>
        </w:rPr>
        <w:t xml:space="preserve"> </w:t>
      </w:r>
      <w:r>
        <w:rPr>
          <w:rFonts w:ascii="Times New Roman"/>
          <w:sz w:val="24"/>
          <w:szCs w:val="24"/>
          <w:lang w:val="en-US"/>
        </w:rPr>
        <w:t>strains led to</w:t>
      </w:r>
      <w:r w:rsidRPr="00182D43">
        <w:rPr>
          <w:rFonts w:ascii="Times New Roman"/>
          <w:sz w:val="24"/>
          <w:szCs w:val="24"/>
          <w:lang w:val="en-US"/>
        </w:rPr>
        <w:t xml:space="preserve"> introd</w:t>
      </w:r>
      <w:r>
        <w:rPr>
          <w:rFonts w:ascii="Times New Roman"/>
          <w:sz w:val="24"/>
          <w:szCs w:val="24"/>
          <w:lang w:val="en-US"/>
        </w:rPr>
        <w:t>uction of conjugate MenACWY vaccination for</w:t>
      </w:r>
      <w:r w:rsidRPr="00182D43">
        <w:rPr>
          <w:rFonts w:ascii="Times New Roman"/>
          <w:sz w:val="24"/>
          <w:szCs w:val="24"/>
          <w:lang w:val="en-US"/>
        </w:rPr>
        <w:t xml:space="preserve"> teenagers</w:t>
      </w:r>
      <w:r>
        <w:rPr>
          <w:rFonts w:ascii="Times New Roman"/>
          <w:sz w:val="24"/>
          <w:szCs w:val="24"/>
          <w:lang w:val="en-US"/>
        </w:rPr>
        <w:t>.</w:t>
      </w:r>
      <w:r w:rsidRPr="00182D43">
        <w:rPr>
          <w:rFonts w:ascii="Times New Roman"/>
          <w:sz w:val="24"/>
          <w:szCs w:val="24"/>
          <w:lang w:val="en-US"/>
        </w:rPr>
        <w:t xml:space="preserve"> </w:t>
      </w:r>
      <w:r>
        <w:rPr>
          <w:rFonts w:ascii="Times New Roman"/>
          <w:sz w:val="24"/>
          <w:szCs w:val="24"/>
          <w:lang w:val="en-US"/>
        </w:rPr>
        <w:t xml:space="preserve">We investigated the impact of immunization on carriage of targeted meningococci by whole genome sequencing of isolates recovered from a cohort of vaccinated university students. </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eastAsia="Times New Roman" w:hAnsi="Times New Roman" w:cs="Times New Roman"/>
          <w:b/>
          <w:i/>
          <w:iCs/>
          <w:sz w:val="24"/>
          <w:szCs w:val="24"/>
          <w:lang w:val="en-US" w:eastAsia="ar-SA"/>
        </w:rPr>
        <w:t>Methods.</w:t>
      </w:r>
      <w:r w:rsidRPr="00182D43">
        <w:rPr>
          <w:rFonts w:ascii="Times New Roman" w:eastAsia="Times New Roman" w:hAnsi="Times New Roman" w:cs="Times New Roman"/>
          <w:i/>
          <w:iCs/>
          <w:sz w:val="24"/>
          <w:szCs w:val="24"/>
          <w:lang w:val="en-US" w:eastAsia="ar-SA"/>
        </w:rPr>
        <w:t xml:space="preserve"> </w:t>
      </w:r>
      <w:r>
        <w:rPr>
          <w:rFonts w:ascii="Times New Roman" w:hAnsi="Times New Roman" w:cs="Times New Roman"/>
          <w:sz w:val="24"/>
          <w:szCs w:val="24"/>
          <w:lang w:val="en-US"/>
        </w:rPr>
        <w:t>Strain designation data were extracted</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from w</w:t>
      </w:r>
      <w:r w:rsidRPr="00182D43">
        <w:rPr>
          <w:rFonts w:ascii="Times New Roman" w:hAnsi="Times New Roman" w:cs="Times New Roman"/>
          <w:sz w:val="24"/>
          <w:szCs w:val="24"/>
          <w:lang w:val="en-US"/>
        </w:rPr>
        <w:t>hole genome sequence data</w:t>
      </w:r>
      <w:r>
        <w:rPr>
          <w:rFonts w:ascii="Times New Roman" w:hAnsi="Times New Roman" w:cs="Times New Roman"/>
          <w:sz w:val="24"/>
          <w:szCs w:val="24"/>
          <w:lang w:val="en-US"/>
        </w:rPr>
        <w:t>.</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Genomes</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carried and invasive MenW:cc11 </w:t>
      </w:r>
      <w:r w:rsidRPr="00182D43">
        <w:rPr>
          <w:rFonts w:ascii="Times New Roman" w:hAnsi="Times New Roman" w:cs="Times New Roman"/>
          <w:sz w:val="24"/>
          <w:szCs w:val="24"/>
          <w:lang w:val="en-US"/>
        </w:rPr>
        <w:t>were compared using a gene-by-gene approach.</w:t>
      </w:r>
      <w:r>
        <w:rPr>
          <w:rFonts w:ascii="Times New Roman" w:hAnsi="Times New Roman" w:cs="Times New Roman"/>
          <w:sz w:val="24"/>
          <w:szCs w:val="24"/>
          <w:lang w:val="en-US"/>
        </w:rPr>
        <w:t xml:space="preserve"> Serogrouping identified isolates expressing capsule antigens targeted by the </w:t>
      </w:r>
      <w:r w:rsidRPr="00E97AFA">
        <w:rPr>
          <w:rFonts w:ascii="Times New Roman" w:hAnsi="Times New Roman" w:cs="Times New Roman"/>
          <w:sz w:val="24"/>
          <w:szCs w:val="24"/>
          <w:lang w:val="en-US"/>
        </w:rPr>
        <w:t>vaccine</w:t>
      </w:r>
      <w:r>
        <w:rPr>
          <w:rFonts w:ascii="Times New Roman" w:hAnsi="Times New Roman" w:cs="Times New Roman"/>
          <w:sz w:val="24"/>
          <w:szCs w:val="24"/>
          <w:lang w:val="en-US"/>
        </w:rPr>
        <w:t>.</w:t>
      </w:r>
    </w:p>
    <w:p w:rsidR="00C7734F" w:rsidRPr="0060068D"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i/>
          <w:sz w:val="24"/>
          <w:szCs w:val="24"/>
          <w:lang w:val="en-US"/>
        </w:rPr>
        <w:t>Results.</w:t>
      </w:r>
      <w:r w:rsidRPr="00182D43">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Isolates with a </w:t>
      </w:r>
      <w:r w:rsidRPr="00182D43">
        <w:rPr>
          <w:rFonts w:ascii="Times New Roman" w:hAnsi="Times New Roman" w:cs="Times New Roman"/>
          <w:sz w:val="24"/>
          <w:szCs w:val="24"/>
          <w:lang w:val="en-US"/>
        </w:rPr>
        <w:t>W: P1.5,2: F1-1: ST-11 (</w:t>
      </w:r>
      <w:r>
        <w:rPr>
          <w:rFonts w:ascii="Times New Roman" w:hAnsi="Times New Roman" w:cs="Times New Roman"/>
          <w:sz w:val="24"/>
          <w:szCs w:val="24"/>
          <w:lang w:val="en-US"/>
        </w:rPr>
        <w:t>cc</w:t>
      </w:r>
      <w:r w:rsidRPr="00182D43">
        <w:rPr>
          <w:rFonts w:ascii="Times New Roman" w:hAnsi="Times New Roman" w:cs="Times New Roman"/>
          <w:sz w:val="24"/>
          <w:szCs w:val="24"/>
          <w:lang w:val="en-US"/>
        </w:rPr>
        <w:t>11)</w:t>
      </w:r>
      <w:r>
        <w:rPr>
          <w:rFonts w:ascii="Times New Roman" w:hAnsi="Times New Roman" w:cs="Times New Roman"/>
          <w:sz w:val="24"/>
          <w:szCs w:val="24"/>
          <w:lang w:val="en-US"/>
        </w:rPr>
        <w:t xml:space="preserve"> designation, and belonging to the emerging ‘2013-strain’ of the South American-UK MenW:cc11 sub-lineage, were responsible for an increase in carried group W. A multifocal expansion was evident with close transmission networks extending beyond individual dormitories. Carried group Y isolates were predominantly from clonal complex 23, but showed significant heterogeneity and individual strain designations were only sporadically recovered. No shifts towards acapsulate phenotypes were detected in targeted meningococcal populations. </w:t>
      </w:r>
    </w:p>
    <w:p w:rsidR="00C7734F" w:rsidRPr="00E75F12" w:rsidRDefault="00C7734F" w:rsidP="009037F9">
      <w:pPr>
        <w:spacing w:after="0" w:line="480" w:lineRule="auto"/>
        <w:rPr>
          <w:rFonts w:ascii="Times New Roman" w:eastAsia="Times New Roman" w:hAnsi="Times New Roman" w:cs="Times New Roman"/>
          <w:b/>
          <w:bCs/>
          <w:sz w:val="24"/>
          <w:szCs w:val="24"/>
          <w:lang w:val="en-US"/>
        </w:rPr>
      </w:pPr>
      <w:r w:rsidRPr="00182D43">
        <w:rPr>
          <w:rFonts w:ascii="Times New Roman" w:eastAsia="Times New Roman" w:hAnsi="Times New Roman" w:cs="Times New Roman"/>
          <w:b/>
          <w:i/>
          <w:iCs/>
          <w:sz w:val="24"/>
          <w:szCs w:val="24"/>
          <w:lang w:val="en-US" w:eastAsia="ar-SA"/>
        </w:rPr>
        <w:lastRenderedPageBreak/>
        <w:t>Conclusions.</w:t>
      </w:r>
      <w:r>
        <w:rPr>
          <w:rFonts w:ascii="Times New Roman" w:eastAsia="Times New Roman" w:hAnsi="Times New Roman" w:cs="Times New Roman"/>
          <w:b/>
          <w:i/>
          <w:iCs/>
          <w:sz w:val="24"/>
          <w:szCs w:val="24"/>
          <w:lang w:val="en-US" w:eastAsia="ar-SA"/>
        </w:rPr>
        <w:t xml:space="preserve"> </w:t>
      </w:r>
      <w:r>
        <w:rPr>
          <w:rFonts w:ascii="Times New Roman" w:eastAsia="Times New Roman" w:hAnsi="Times New Roman" w:cs="Times New Roman"/>
          <w:iCs/>
          <w:sz w:val="24"/>
          <w:szCs w:val="24"/>
          <w:lang w:val="en-US" w:eastAsia="ar-SA"/>
        </w:rPr>
        <w:t xml:space="preserve">In a setting with high levels of conjugate MenACWY vaccination, expansion </w:t>
      </w:r>
      <w:r w:rsidRPr="00182D43">
        <w:rPr>
          <w:rFonts w:ascii="Times New Roman" w:eastAsia="Times New Roman" w:hAnsi="Times New Roman" w:cs="Times New Roman"/>
          <w:iCs/>
          <w:sz w:val="24"/>
          <w:szCs w:val="24"/>
          <w:lang w:val="en-US" w:eastAsia="ar-SA"/>
        </w:rPr>
        <w:t xml:space="preserve">of </w:t>
      </w:r>
      <w:r>
        <w:rPr>
          <w:rFonts w:ascii="Times New Roman" w:eastAsia="Times New Roman" w:hAnsi="Times New Roman" w:cs="Times New Roman"/>
          <w:iCs/>
          <w:sz w:val="24"/>
          <w:szCs w:val="24"/>
          <w:lang w:val="en-US" w:eastAsia="ar-SA"/>
        </w:rPr>
        <w:t xml:space="preserve">capsule-expressing </w:t>
      </w:r>
      <w:r>
        <w:rPr>
          <w:rFonts w:ascii="Times New Roman" w:hAnsi="Times New Roman" w:cs="Times New Roman"/>
          <w:sz w:val="24"/>
          <w:szCs w:val="24"/>
          <w:lang w:val="en-US"/>
        </w:rPr>
        <w:t>isolates from the 2013-strain of MenW:cc11, but not MenY:cc23 isolates, is indicative of differential susceptibilities to vaccine-induced i</w:t>
      </w:r>
      <w:r>
        <w:rPr>
          <w:rFonts w:ascii="Times New Roman" w:eastAsia="Times New Roman" w:hAnsi="Times New Roman" w:cs="Times New Roman"/>
          <w:iCs/>
          <w:sz w:val="24"/>
          <w:szCs w:val="24"/>
          <w:lang w:val="en-US" w:eastAsia="ar-SA"/>
        </w:rPr>
        <w:t xml:space="preserve">mmunity. </w:t>
      </w:r>
    </w:p>
    <w:p w:rsidR="00C7734F" w:rsidRPr="00182D43"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Keywords: </w:t>
      </w:r>
      <w:r w:rsidRPr="00182D43">
        <w:rPr>
          <w:rFonts w:ascii="Times New Roman" w:hAnsi="Times New Roman" w:cs="Times New Roman"/>
          <w:i/>
          <w:sz w:val="24"/>
          <w:szCs w:val="24"/>
          <w:lang w:val="en-US"/>
        </w:rPr>
        <w:t>Neisseria meningitidis</w:t>
      </w:r>
      <w:r w:rsidRPr="00182D43">
        <w:rPr>
          <w:rFonts w:ascii="Times New Roman" w:hAnsi="Times New Roman" w:cs="Times New Roman"/>
          <w:sz w:val="24"/>
          <w:szCs w:val="24"/>
          <w:lang w:val="en-US"/>
        </w:rPr>
        <w:t xml:space="preserve">; whole genome sequencing; carriage; </w:t>
      </w:r>
      <w:r>
        <w:rPr>
          <w:rFonts w:ascii="Times New Roman" w:hAnsi="Times New Roman" w:cs="Times New Roman"/>
          <w:sz w:val="24"/>
          <w:szCs w:val="24"/>
          <w:lang w:val="en-US"/>
        </w:rPr>
        <w:t>sero</w:t>
      </w:r>
      <w:r w:rsidRPr="00182D43">
        <w:rPr>
          <w:rFonts w:ascii="Times New Roman" w:hAnsi="Times New Roman" w:cs="Times New Roman"/>
          <w:sz w:val="24"/>
          <w:szCs w:val="24"/>
          <w:lang w:val="en-US"/>
        </w:rPr>
        <w:t xml:space="preserve">group W; </w:t>
      </w:r>
      <w:r>
        <w:rPr>
          <w:rFonts w:ascii="Times New Roman" w:hAnsi="Times New Roman" w:cs="Times New Roman"/>
          <w:sz w:val="24"/>
          <w:szCs w:val="24"/>
          <w:lang w:val="en-US"/>
        </w:rPr>
        <w:t>sero</w:t>
      </w:r>
      <w:r w:rsidRPr="00182D43">
        <w:rPr>
          <w:rFonts w:ascii="Times New Roman" w:hAnsi="Times New Roman" w:cs="Times New Roman"/>
          <w:sz w:val="24"/>
          <w:szCs w:val="24"/>
          <w:lang w:val="en-US"/>
        </w:rPr>
        <w:t>group Y; epidemiology; vaccine</w:t>
      </w:r>
      <w:r w:rsidRPr="00182D43">
        <w:rPr>
          <w:rFonts w:ascii="Times New Roman" w:hAnsi="Times New Roman" w:cs="Times New Roman"/>
          <w:sz w:val="24"/>
          <w:szCs w:val="24"/>
          <w:lang w:val="en-US"/>
        </w:rPr>
        <w:br w:type="page"/>
      </w: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lastRenderedPageBreak/>
        <w:t>BACKGROUND</w:t>
      </w:r>
    </w:p>
    <w:p w:rsidR="00C7734F" w:rsidRDefault="00C7734F" w:rsidP="009037F9">
      <w:pPr>
        <w:spacing w:after="0" w:line="480" w:lineRule="auto"/>
        <w:rPr>
          <w:rFonts w:ascii="Times New Roman" w:eastAsia="Times New Roman" w:hAnsi="Times New Roman" w:cs="Times New Roman"/>
          <w:iCs/>
          <w:sz w:val="24"/>
          <w:szCs w:val="24"/>
          <w:lang w:val="en-US" w:eastAsia="ar-SA"/>
        </w:rPr>
      </w:pPr>
      <w:r w:rsidRPr="00182D43">
        <w:rPr>
          <w:rFonts w:ascii="Times New Roman" w:eastAsia="Times New Roman" w:hAnsi="Times New Roman" w:cs="Times New Roman"/>
          <w:i/>
          <w:iCs/>
          <w:sz w:val="24"/>
          <w:szCs w:val="24"/>
          <w:lang w:val="en-US" w:eastAsia="ar-SA"/>
        </w:rPr>
        <w:t>Neisseria meningitidis</w:t>
      </w:r>
      <w:r w:rsidRPr="00182D43">
        <w:rPr>
          <w:rFonts w:ascii="Times New Roman" w:eastAsia="Times New Roman" w:hAnsi="Times New Roman" w:cs="Times New Roman"/>
          <w:iCs/>
          <w:sz w:val="24"/>
          <w:szCs w:val="24"/>
          <w:lang w:val="en-US" w:eastAsia="ar-SA"/>
        </w:rPr>
        <w:t xml:space="preserve"> is a commensal of the human </w:t>
      </w:r>
      <w:r w:rsidR="00412D9E">
        <w:rPr>
          <w:rFonts w:ascii="Times New Roman" w:eastAsia="Times New Roman" w:hAnsi="Times New Roman" w:cs="Times New Roman"/>
          <w:iCs/>
          <w:sz w:val="24"/>
          <w:szCs w:val="24"/>
          <w:lang w:val="en-US" w:eastAsia="ar-SA"/>
        </w:rPr>
        <w:t>oro</w:t>
      </w:r>
      <w:r w:rsidRPr="00182D43">
        <w:rPr>
          <w:rFonts w:ascii="Times New Roman" w:eastAsia="Times New Roman" w:hAnsi="Times New Roman" w:cs="Times New Roman"/>
          <w:iCs/>
          <w:sz w:val="24"/>
          <w:szCs w:val="24"/>
          <w:lang w:val="en-US" w:eastAsia="ar-SA"/>
        </w:rPr>
        <w:t>pharynx which can cause invasive meningococcal disease (IMD)</w:t>
      </w:r>
      <w:r>
        <w:rPr>
          <w:rFonts w:ascii="Times New Roman" w:eastAsia="Times New Roman" w:hAnsi="Times New Roman" w:cs="Times New Roman"/>
          <w:iCs/>
          <w:sz w:val="24"/>
          <w:szCs w:val="24"/>
          <w:lang w:val="en-US" w:eastAsia="ar-SA"/>
        </w:rPr>
        <w:t>,</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principally </w:t>
      </w:r>
      <w:r w:rsidRPr="00182D43">
        <w:rPr>
          <w:rFonts w:ascii="Times New Roman" w:eastAsia="Times New Roman" w:hAnsi="Times New Roman" w:cs="Times New Roman"/>
          <w:iCs/>
          <w:sz w:val="24"/>
          <w:szCs w:val="24"/>
          <w:lang w:val="en-US" w:eastAsia="ar-SA"/>
        </w:rPr>
        <w:t xml:space="preserve">characterized by sepsis and/or meningitis </w:t>
      </w:r>
      <w:r>
        <w:rPr>
          <w:rFonts w:ascii="Times New Roman" w:eastAsia="Times New Roman" w:hAnsi="Times New Roman" w:cs="Times New Roman"/>
          <w:iCs/>
          <w:noProof/>
          <w:sz w:val="24"/>
          <w:szCs w:val="24"/>
          <w:lang w:val="en-US" w:eastAsia="ar-SA"/>
        </w:rPr>
        <w:t>[1]</w:t>
      </w:r>
      <w:r w:rsidRPr="00182D43">
        <w:rPr>
          <w:rFonts w:ascii="Times New Roman" w:eastAsia="Times New Roman" w:hAnsi="Times New Roman" w:cs="Times New Roman"/>
          <w:iCs/>
          <w:sz w:val="24"/>
          <w:szCs w:val="24"/>
          <w:lang w:val="en-US" w:eastAsia="ar-SA"/>
        </w:rPr>
        <w:t>.</w:t>
      </w:r>
      <w:r>
        <w:rPr>
          <w:rFonts w:ascii="Times New Roman" w:eastAsia="Times New Roman" w:hAnsi="Times New Roman" w:cs="Times New Roman"/>
          <w:iCs/>
          <w:sz w:val="24"/>
          <w:szCs w:val="24"/>
          <w:lang w:val="en-US" w:eastAsia="ar-SA"/>
        </w:rPr>
        <w:t xml:space="preserve"> T</w:t>
      </w:r>
      <w:r w:rsidRPr="00182D43">
        <w:rPr>
          <w:rFonts w:ascii="Times New Roman" w:eastAsia="Times New Roman" w:hAnsi="Times New Roman" w:cs="Times New Roman"/>
          <w:iCs/>
          <w:sz w:val="24"/>
          <w:szCs w:val="24"/>
          <w:lang w:val="en-US" w:eastAsia="ar-SA"/>
        </w:rPr>
        <w:t xml:space="preserve">he majority of worldwide IMD is caused by </w:t>
      </w:r>
      <w:r w:rsidRPr="00182D43">
        <w:rPr>
          <w:rFonts w:ascii="Times New Roman" w:hAnsi="Times New Roman" w:cs="Times New Roman"/>
          <w:sz w:val="24"/>
          <w:szCs w:val="24"/>
          <w:lang w:val="en-US"/>
        </w:rPr>
        <w:t>isolates expressing the polysaccharide capsules that define sero</w:t>
      </w:r>
      <w:r w:rsidRPr="00182D43">
        <w:rPr>
          <w:rFonts w:ascii="Times New Roman" w:eastAsia="Times New Roman" w:hAnsi="Times New Roman" w:cs="Times New Roman"/>
          <w:iCs/>
          <w:sz w:val="24"/>
          <w:szCs w:val="24"/>
          <w:lang w:val="en-US" w:eastAsia="ar-SA"/>
        </w:rPr>
        <w:t>groups A, B, C, W, Y, and X</w:t>
      </w:r>
      <w:r>
        <w:rPr>
          <w:rFonts w:ascii="Times New Roman" w:eastAsia="Times New Roman" w:hAnsi="Times New Roman" w:cs="Times New Roman"/>
          <w:iCs/>
          <w:sz w:val="24"/>
          <w:szCs w:val="24"/>
          <w:lang w:val="en-US" w:eastAsia="ar-SA"/>
        </w:rPr>
        <w:t xml:space="preserve">, whilst carriage isolates are frequently acapsulate </w:t>
      </w:r>
      <w:r w:rsidRPr="00C801AF">
        <w:rPr>
          <w:rFonts w:ascii="Times New Roman" w:eastAsia="Times New Roman" w:hAnsi="Times New Roman" w:cs="Times New Roman"/>
          <w:iCs/>
          <w:sz w:val="24"/>
          <w:szCs w:val="24"/>
          <w:lang w:val="en-US" w:eastAsia="ar-SA"/>
        </w:rPr>
        <w:t xml:space="preserve">due to </w:t>
      </w:r>
      <w:r>
        <w:rPr>
          <w:rFonts w:ascii="Times New Roman" w:eastAsia="Times New Roman" w:hAnsi="Times New Roman" w:cs="Times New Roman"/>
          <w:iCs/>
          <w:sz w:val="24"/>
          <w:szCs w:val="24"/>
          <w:lang w:val="en-US" w:eastAsia="ar-SA"/>
        </w:rPr>
        <w:t xml:space="preserve">the inactivation or </w:t>
      </w:r>
      <w:r w:rsidRPr="00C801AF">
        <w:rPr>
          <w:rFonts w:ascii="Times New Roman" w:eastAsia="Times New Roman" w:hAnsi="Times New Roman" w:cs="Times New Roman"/>
          <w:iCs/>
          <w:sz w:val="24"/>
          <w:szCs w:val="24"/>
          <w:lang w:val="en-US" w:eastAsia="ar-SA"/>
        </w:rPr>
        <w:t>absence of genes involved in capsule expression</w:t>
      </w:r>
      <w:r>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noProof/>
          <w:sz w:val="24"/>
          <w:szCs w:val="24"/>
          <w:lang w:val="en-US" w:eastAsia="ar-SA"/>
        </w:rPr>
        <w:t>[2-4]</w:t>
      </w:r>
      <w:r w:rsidRPr="00182D43">
        <w:rPr>
          <w:rFonts w:ascii="Times New Roman" w:eastAsia="Times New Roman" w:hAnsi="Times New Roman" w:cs="Times New Roman"/>
          <w:iCs/>
          <w:sz w:val="24"/>
          <w:szCs w:val="24"/>
          <w:lang w:val="en-US" w:eastAsia="ar-SA"/>
        </w:rPr>
        <w:t xml:space="preserve">. The incidence and contribution of different </w:t>
      </w:r>
      <w:r>
        <w:rPr>
          <w:rFonts w:ascii="Times New Roman" w:hAnsi="Times New Roman" w:cs="Times New Roman"/>
          <w:sz w:val="24"/>
          <w:szCs w:val="24"/>
          <w:lang w:val="en-US"/>
        </w:rPr>
        <w:t>meningococcal lineages</w:t>
      </w:r>
      <w:r w:rsidRPr="00182D43">
        <w:rPr>
          <w:rFonts w:ascii="Times New Roman" w:hAnsi="Times New Roman" w:cs="Times New Roman"/>
          <w:sz w:val="24"/>
          <w:szCs w:val="24"/>
          <w:lang w:val="en-US"/>
        </w:rPr>
        <w:t xml:space="preserve"> </w:t>
      </w:r>
      <w:r>
        <w:rPr>
          <w:rFonts w:ascii="Times New Roman" w:eastAsia="Times New Roman" w:hAnsi="Times New Roman" w:cs="Times New Roman"/>
          <w:iCs/>
          <w:sz w:val="24"/>
          <w:szCs w:val="24"/>
          <w:lang w:val="en-US" w:eastAsia="ar-SA"/>
        </w:rPr>
        <w:t xml:space="preserve">to the overall burden of </w:t>
      </w:r>
      <w:r w:rsidRPr="00182D43">
        <w:rPr>
          <w:rFonts w:ascii="Times New Roman" w:eastAsia="Times New Roman" w:hAnsi="Times New Roman" w:cs="Times New Roman"/>
          <w:iCs/>
          <w:sz w:val="24"/>
          <w:szCs w:val="24"/>
          <w:lang w:val="en-US" w:eastAsia="ar-SA"/>
        </w:rPr>
        <w:t>IMD var</w:t>
      </w:r>
      <w:r>
        <w:rPr>
          <w:rFonts w:ascii="Times New Roman" w:eastAsia="Times New Roman" w:hAnsi="Times New Roman" w:cs="Times New Roman"/>
          <w:iCs/>
          <w:sz w:val="24"/>
          <w:szCs w:val="24"/>
          <w:lang w:val="en-US" w:eastAsia="ar-SA"/>
        </w:rPr>
        <w:t>ies</w:t>
      </w:r>
      <w:r w:rsidRPr="00182D43">
        <w:rPr>
          <w:rFonts w:ascii="Times New Roman" w:eastAsia="Times New Roman" w:hAnsi="Times New Roman" w:cs="Times New Roman"/>
          <w:iCs/>
          <w:sz w:val="24"/>
          <w:szCs w:val="24"/>
          <w:lang w:val="en-US" w:eastAsia="ar-SA"/>
        </w:rPr>
        <w:t xml:space="preserve"> geographically, temporally and by age group</w:t>
      </w:r>
      <w:r>
        <w:rPr>
          <w:rFonts w:ascii="Times New Roman" w:eastAsia="Times New Roman" w:hAnsi="Times New Roman" w:cs="Times New Roman"/>
          <w:iCs/>
          <w:sz w:val="24"/>
          <w:szCs w:val="24"/>
          <w:lang w:val="en-US" w:eastAsia="ar-SA"/>
        </w:rPr>
        <w:t xml:space="preserve">, and can be further influenced by vaccination; capsule polysaccharide-based vaccines are available against serogroups A, C, W and Y, whilst protein-based vaccines are available against serogroup B isolates </w:t>
      </w:r>
      <w:r>
        <w:rPr>
          <w:rFonts w:ascii="Times New Roman" w:eastAsia="Times New Roman" w:hAnsi="Times New Roman" w:cs="Times New Roman"/>
          <w:iCs/>
          <w:noProof/>
          <w:sz w:val="24"/>
          <w:szCs w:val="24"/>
          <w:lang w:val="en-US" w:eastAsia="ar-SA"/>
        </w:rPr>
        <w:t>[5]</w:t>
      </w:r>
      <w:r>
        <w:rPr>
          <w:rFonts w:ascii="Times New Roman" w:eastAsia="Times New Roman" w:hAnsi="Times New Roman" w:cs="Times New Roman"/>
          <w:iCs/>
          <w:sz w:val="24"/>
          <w:szCs w:val="24"/>
          <w:lang w:val="en-US" w:eastAsia="ar-SA"/>
        </w:rPr>
        <w:t xml:space="preserve">. </w:t>
      </w:r>
      <w:r w:rsidRPr="008B34CC">
        <w:rPr>
          <w:rFonts w:ascii="Times New Roman" w:eastAsia="Times New Roman" w:hAnsi="Times New Roman" w:cs="Times New Roman"/>
          <w:iCs/>
          <w:sz w:val="24"/>
          <w:szCs w:val="24"/>
          <w:lang w:val="en-US" w:eastAsia="ar-SA"/>
        </w:rPr>
        <w:t xml:space="preserve">Monitoring trends </w:t>
      </w:r>
      <w:r>
        <w:rPr>
          <w:rFonts w:ascii="Times New Roman" w:eastAsia="Times New Roman" w:hAnsi="Times New Roman" w:cs="Times New Roman"/>
          <w:iCs/>
          <w:sz w:val="24"/>
          <w:szCs w:val="24"/>
          <w:lang w:val="en-US" w:eastAsia="ar-SA"/>
        </w:rPr>
        <w:t>in meningococcal populations r</w:t>
      </w:r>
      <w:r w:rsidRPr="008B34CC">
        <w:rPr>
          <w:rFonts w:ascii="Times New Roman" w:eastAsia="Times New Roman" w:hAnsi="Times New Roman" w:cs="Times New Roman"/>
          <w:iCs/>
          <w:sz w:val="24"/>
          <w:szCs w:val="24"/>
          <w:lang w:val="en-US" w:eastAsia="ar-SA"/>
        </w:rPr>
        <w:t>equires discriminatory typing strategies</w:t>
      </w:r>
      <w:r>
        <w:rPr>
          <w:rFonts w:ascii="Times New Roman" w:eastAsia="Times New Roman" w:hAnsi="Times New Roman" w:cs="Times New Roman"/>
          <w:iCs/>
          <w:sz w:val="24"/>
          <w:szCs w:val="24"/>
          <w:lang w:val="en-US" w:eastAsia="ar-SA"/>
        </w:rPr>
        <w:t xml:space="preserve">. Whole </w:t>
      </w:r>
      <w:r w:rsidRPr="00496270">
        <w:rPr>
          <w:rFonts w:ascii="Times New Roman" w:eastAsia="Times New Roman" w:hAnsi="Times New Roman" w:cs="Times New Roman"/>
          <w:iCs/>
          <w:sz w:val="24"/>
          <w:szCs w:val="24"/>
          <w:lang w:val="en-US" w:eastAsia="ar-SA"/>
        </w:rPr>
        <w:t>genome sequence (WGS) analyses are now routine and enable differentiation of clonal complexes, sequence types and even</w:t>
      </w:r>
      <w:r>
        <w:rPr>
          <w:rFonts w:ascii="Times New Roman" w:eastAsia="Times New Roman" w:hAnsi="Times New Roman" w:cs="Times New Roman"/>
          <w:iCs/>
          <w:sz w:val="24"/>
          <w:szCs w:val="24"/>
          <w:lang w:val="en-US" w:eastAsia="ar-SA"/>
        </w:rPr>
        <w:t xml:space="preserve"> highly-similar clones thereby facilitating detection of population level trends and individual transmission events </w:t>
      </w:r>
      <w:r>
        <w:rPr>
          <w:rFonts w:ascii="Times New Roman" w:eastAsia="Times New Roman" w:hAnsi="Times New Roman" w:cs="Times New Roman"/>
          <w:iCs/>
          <w:noProof/>
          <w:sz w:val="24"/>
          <w:szCs w:val="24"/>
          <w:lang w:val="en-US" w:eastAsia="ar-SA"/>
        </w:rPr>
        <w:t>[6]</w:t>
      </w:r>
      <w:r w:rsidRPr="008B34CC">
        <w:rPr>
          <w:rFonts w:ascii="Times New Roman" w:eastAsia="Times New Roman" w:hAnsi="Times New Roman" w:cs="Times New Roman"/>
          <w:iCs/>
          <w:sz w:val="24"/>
          <w:szCs w:val="24"/>
          <w:lang w:val="en-US" w:eastAsia="ar-SA"/>
        </w:rPr>
        <w:t>.</w:t>
      </w:r>
      <w:r>
        <w:rPr>
          <w:rFonts w:ascii="Times New Roman" w:eastAsia="Times New Roman" w:hAnsi="Times New Roman" w:cs="Times New Roman"/>
          <w:iCs/>
          <w:sz w:val="24"/>
          <w:szCs w:val="24"/>
          <w:lang w:val="en-US" w:eastAsia="ar-SA"/>
        </w:rPr>
        <w:t xml:space="preserve"> </w:t>
      </w:r>
    </w:p>
    <w:p w:rsidR="00C7734F" w:rsidRDefault="00C7734F" w:rsidP="009037F9">
      <w:pPr>
        <w:spacing w:after="0" w:line="480" w:lineRule="auto"/>
        <w:ind w:firstLine="720"/>
        <w:rPr>
          <w:rFonts w:ascii="Times New Roman" w:eastAsia="Times New Roman" w:hAnsi="Times New Roman" w:cs="Times New Roman"/>
          <w:iCs/>
          <w:sz w:val="24"/>
          <w:szCs w:val="24"/>
          <w:lang w:val="en-US" w:eastAsia="ar-SA"/>
        </w:rPr>
      </w:pPr>
      <w:r>
        <w:rPr>
          <w:rFonts w:ascii="Times New Roman" w:eastAsia="Times New Roman" w:hAnsi="Times New Roman" w:cs="Times New Roman"/>
          <w:iCs/>
          <w:sz w:val="24"/>
          <w:szCs w:val="24"/>
          <w:lang w:val="en-US" w:eastAsia="ar-SA"/>
        </w:rPr>
        <w:t xml:space="preserve">Over the last two decades, multiple countries have experienced increases in the incidence of IMD due to </w:t>
      </w:r>
      <w:r w:rsidRPr="00182D43">
        <w:rPr>
          <w:rFonts w:ascii="Times New Roman" w:eastAsia="Times New Roman" w:hAnsi="Times New Roman" w:cs="Times New Roman"/>
          <w:iCs/>
          <w:sz w:val="24"/>
          <w:szCs w:val="24"/>
          <w:lang w:val="en-US" w:eastAsia="ar-SA"/>
        </w:rPr>
        <w:t>serogroup W (MenW) meningococci belonging to the sequence type 11 clonal complex</w:t>
      </w:r>
      <w:r>
        <w:rPr>
          <w:rFonts w:ascii="Times New Roman" w:eastAsia="Times New Roman" w:hAnsi="Times New Roman" w:cs="Times New Roman"/>
          <w:iCs/>
          <w:sz w:val="24"/>
          <w:szCs w:val="24"/>
          <w:lang w:val="en-US" w:eastAsia="ar-SA"/>
        </w:rPr>
        <w:t xml:space="preserve"> (cc11)</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noProof/>
          <w:sz w:val="24"/>
          <w:szCs w:val="24"/>
          <w:lang w:val="en-US" w:eastAsia="ar-SA"/>
        </w:rPr>
        <w:t>[7-11]</w:t>
      </w:r>
      <w:r w:rsidRPr="00182D43">
        <w:rPr>
          <w:rFonts w:ascii="Times New Roman" w:eastAsia="Times New Roman" w:hAnsi="Times New Roman" w:cs="Times New Roman"/>
          <w:iCs/>
          <w:sz w:val="24"/>
          <w:szCs w:val="24"/>
          <w:lang w:val="en-US" w:eastAsia="ar-SA"/>
        </w:rPr>
        <w:t>.</w:t>
      </w:r>
      <w:r>
        <w:rPr>
          <w:rFonts w:ascii="Times New Roman" w:eastAsia="Times New Roman" w:hAnsi="Times New Roman" w:cs="Times New Roman"/>
          <w:iCs/>
          <w:sz w:val="24"/>
          <w:szCs w:val="24"/>
          <w:lang w:val="en-US" w:eastAsia="ar-SA"/>
        </w:rPr>
        <w:t xml:space="preserve"> A</w:t>
      </w:r>
      <w:r w:rsidRPr="00182D43">
        <w:rPr>
          <w:rFonts w:ascii="Times New Roman" w:eastAsia="Times New Roman" w:hAnsi="Times New Roman" w:cs="Times New Roman"/>
          <w:iCs/>
          <w:sz w:val="24"/>
          <w:szCs w:val="24"/>
          <w:lang w:val="en-US" w:eastAsia="ar-SA"/>
        </w:rPr>
        <w:t xml:space="preserve">nalysis of </w:t>
      </w:r>
      <w:r>
        <w:rPr>
          <w:rFonts w:ascii="Times New Roman" w:eastAsia="Times New Roman" w:hAnsi="Times New Roman" w:cs="Times New Roman"/>
          <w:iCs/>
          <w:sz w:val="24"/>
          <w:szCs w:val="24"/>
          <w:lang w:val="en-US" w:eastAsia="ar-SA"/>
        </w:rPr>
        <w:t>WGS</w:t>
      </w:r>
      <w:r w:rsidRPr="00182D43">
        <w:rPr>
          <w:rFonts w:ascii="Times New Roman" w:eastAsia="Times New Roman" w:hAnsi="Times New Roman" w:cs="Times New Roman"/>
          <w:iCs/>
          <w:sz w:val="24"/>
          <w:szCs w:val="24"/>
          <w:lang w:val="en-US" w:eastAsia="ar-SA"/>
        </w:rPr>
        <w:t xml:space="preserve"> data</w:t>
      </w:r>
      <w:r>
        <w:rPr>
          <w:rFonts w:ascii="Times New Roman" w:eastAsia="Times New Roman" w:hAnsi="Times New Roman" w:cs="Times New Roman"/>
          <w:iCs/>
          <w:sz w:val="24"/>
          <w:szCs w:val="24"/>
          <w:lang w:val="en-US" w:eastAsia="ar-SA"/>
        </w:rPr>
        <w:t xml:space="preserve"> has indicated that most MenW:cc11 isolates belong to cc11 lineage 11.1, with</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the </w:t>
      </w:r>
      <w:r w:rsidRPr="00182D43">
        <w:rPr>
          <w:rFonts w:ascii="Times New Roman" w:eastAsia="Times New Roman" w:hAnsi="Times New Roman" w:cs="Times New Roman"/>
          <w:iCs/>
          <w:sz w:val="24"/>
          <w:szCs w:val="24"/>
          <w:lang w:val="en-US" w:eastAsia="ar-SA"/>
        </w:rPr>
        <w:t>global increases in MenW:</w:t>
      </w:r>
      <w:r>
        <w:rPr>
          <w:rFonts w:ascii="Times New Roman" w:eastAsia="Times New Roman" w:hAnsi="Times New Roman" w:cs="Times New Roman"/>
          <w:iCs/>
          <w:sz w:val="24"/>
          <w:szCs w:val="24"/>
          <w:lang w:val="en-US" w:eastAsia="ar-SA"/>
        </w:rPr>
        <w:t>cc</w:t>
      </w:r>
      <w:r w:rsidRPr="00182D43">
        <w:rPr>
          <w:rFonts w:ascii="Times New Roman" w:eastAsia="Times New Roman" w:hAnsi="Times New Roman" w:cs="Times New Roman"/>
          <w:iCs/>
          <w:sz w:val="24"/>
          <w:szCs w:val="24"/>
          <w:lang w:val="en-US" w:eastAsia="ar-SA"/>
        </w:rPr>
        <w:t>11 disease result</w:t>
      </w:r>
      <w:r>
        <w:rPr>
          <w:rFonts w:ascii="Times New Roman" w:eastAsia="Times New Roman" w:hAnsi="Times New Roman" w:cs="Times New Roman"/>
          <w:iCs/>
          <w:sz w:val="24"/>
          <w:szCs w:val="24"/>
          <w:lang w:val="en-US" w:eastAsia="ar-SA"/>
        </w:rPr>
        <w:t xml:space="preserve">ing </w:t>
      </w:r>
      <w:r w:rsidRPr="00182D43">
        <w:rPr>
          <w:rFonts w:ascii="Times New Roman" w:eastAsia="Times New Roman" w:hAnsi="Times New Roman" w:cs="Times New Roman"/>
          <w:iCs/>
          <w:sz w:val="24"/>
          <w:szCs w:val="24"/>
          <w:lang w:val="en-US" w:eastAsia="ar-SA"/>
        </w:rPr>
        <w:t>from emergence of two diversifying sub-lineages</w:t>
      </w:r>
      <w:r>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noProof/>
          <w:sz w:val="24"/>
          <w:szCs w:val="24"/>
          <w:lang w:val="en-US" w:eastAsia="ar-SA"/>
        </w:rPr>
        <w:t>[12]</w:t>
      </w:r>
      <w:r w:rsidRPr="00182D43">
        <w:rPr>
          <w:rFonts w:ascii="Times New Roman" w:eastAsia="Times New Roman" w:hAnsi="Times New Roman" w:cs="Times New Roman"/>
          <w:iCs/>
          <w:sz w:val="24"/>
          <w:szCs w:val="24"/>
          <w:lang w:val="en-US" w:eastAsia="ar-SA"/>
        </w:rPr>
        <w:t xml:space="preserve">. The </w:t>
      </w:r>
      <w:r>
        <w:rPr>
          <w:rFonts w:ascii="Times New Roman" w:eastAsia="Times New Roman" w:hAnsi="Times New Roman" w:cs="Times New Roman"/>
          <w:iCs/>
          <w:sz w:val="24"/>
          <w:szCs w:val="24"/>
          <w:lang w:val="en-US" w:eastAsia="ar-SA"/>
        </w:rPr>
        <w:t>Hajj sub-lineage</w:t>
      </w:r>
      <w:r w:rsidRPr="00182D43">
        <w:rPr>
          <w:rFonts w:ascii="Times New Roman" w:eastAsia="Times New Roman" w:hAnsi="Times New Roman" w:cs="Times New Roman"/>
          <w:iCs/>
          <w:sz w:val="24"/>
          <w:szCs w:val="24"/>
          <w:lang w:val="en-US" w:eastAsia="ar-SA"/>
        </w:rPr>
        <w:t xml:space="preserve"> comprises </w:t>
      </w:r>
      <w:r>
        <w:rPr>
          <w:rFonts w:ascii="Times New Roman" w:eastAsia="Times New Roman" w:hAnsi="Times New Roman" w:cs="Times New Roman"/>
          <w:iCs/>
          <w:sz w:val="24"/>
          <w:szCs w:val="24"/>
          <w:lang w:val="en-US" w:eastAsia="ar-SA"/>
        </w:rPr>
        <w:t xml:space="preserve">three main clusters of isolates (strains) corresponding to the </w:t>
      </w:r>
      <w:r w:rsidRPr="00A9308D">
        <w:rPr>
          <w:rFonts w:ascii="Times New Roman" w:eastAsia="Times New Roman" w:hAnsi="Times New Roman" w:cs="Times New Roman"/>
          <w:iCs/>
          <w:sz w:val="24"/>
          <w:szCs w:val="24"/>
          <w:lang w:val="en-US" w:eastAsia="ar-SA"/>
        </w:rPr>
        <w:t>Hajj outbreak of 2000 onwards (Anglo-French Hajj strain), expansion of endemic disease in South</w:t>
      </w:r>
      <w:r>
        <w:rPr>
          <w:rFonts w:ascii="Times New Roman" w:eastAsia="Times New Roman" w:hAnsi="Times New Roman" w:cs="Times New Roman"/>
          <w:iCs/>
          <w:sz w:val="24"/>
          <w:szCs w:val="24"/>
          <w:lang w:val="en-US" w:eastAsia="ar-SA"/>
        </w:rPr>
        <w:t xml:space="preserve"> </w:t>
      </w:r>
      <w:r w:rsidRPr="00A9308D">
        <w:rPr>
          <w:rFonts w:ascii="Times New Roman" w:eastAsia="Times New Roman" w:hAnsi="Times New Roman" w:cs="Times New Roman"/>
          <w:iCs/>
          <w:sz w:val="24"/>
          <w:szCs w:val="24"/>
          <w:lang w:val="en-US" w:eastAsia="ar-SA"/>
        </w:rPr>
        <w:t xml:space="preserve">Africa from 2003 (endemic South African </w:t>
      </w:r>
      <w:r>
        <w:rPr>
          <w:rFonts w:ascii="Times New Roman" w:eastAsia="Times New Roman" w:hAnsi="Times New Roman" w:cs="Times New Roman"/>
          <w:iCs/>
          <w:sz w:val="24"/>
          <w:szCs w:val="24"/>
          <w:lang w:val="en-US" w:eastAsia="ar-SA"/>
        </w:rPr>
        <w:t>s</w:t>
      </w:r>
      <w:r w:rsidRPr="00A9308D">
        <w:rPr>
          <w:rFonts w:ascii="Times New Roman" w:eastAsia="Times New Roman" w:hAnsi="Times New Roman" w:cs="Times New Roman"/>
          <w:iCs/>
          <w:sz w:val="24"/>
          <w:szCs w:val="24"/>
          <w:lang w:val="en-US" w:eastAsia="ar-SA"/>
        </w:rPr>
        <w:t>train) and epidemics in sub-Saharan Africa (Burkina Faso/North</w:t>
      </w:r>
      <w:r>
        <w:rPr>
          <w:rFonts w:ascii="Times New Roman" w:eastAsia="Times New Roman" w:hAnsi="Times New Roman" w:cs="Times New Roman"/>
          <w:iCs/>
          <w:sz w:val="24"/>
          <w:szCs w:val="24"/>
          <w:lang w:val="en-US" w:eastAsia="ar-SA"/>
        </w:rPr>
        <w:t xml:space="preserve"> </w:t>
      </w:r>
      <w:r w:rsidRPr="00A9308D">
        <w:rPr>
          <w:rFonts w:ascii="Times New Roman" w:eastAsia="Times New Roman" w:hAnsi="Times New Roman" w:cs="Times New Roman"/>
          <w:iCs/>
          <w:sz w:val="24"/>
          <w:szCs w:val="24"/>
          <w:lang w:val="en-US" w:eastAsia="ar-SA"/>
        </w:rPr>
        <w:t xml:space="preserve">African </w:t>
      </w:r>
      <w:r>
        <w:rPr>
          <w:rFonts w:ascii="Times New Roman" w:eastAsia="Times New Roman" w:hAnsi="Times New Roman" w:cs="Times New Roman"/>
          <w:iCs/>
          <w:sz w:val="24"/>
          <w:szCs w:val="24"/>
          <w:lang w:val="en-US" w:eastAsia="ar-SA"/>
        </w:rPr>
        <w:t>s</w:t>
      </w:r>
      <w:r w:rsidRPr="00A9308D">
        <w:rPr>
          <w:rFonts w:ascii="Times New Roman" w:eastAsia="Times New Roman" w:hAnsi="Times New Roman" w:cs="Times New Roman"/>
          <w:iCs/>
          <w:sz w:val="24"/>
          <w:szCs w:val="24"/>
          <w:lang w:val="en-US" w:eastAsia="ar-SA"/>
        </w:rPr>
        <w:t xml:space="preserve">train) </w:t>
      </w:r>
      <w:r>
        <w:rPr>
          <w:rFonts w:ascii="Times New Roman" w:eastAsia="Times New Roman" w:hAnsi="Times New Roman" w:cs="Times New Roman"/>
          <w:iCs/>
          <w:noProof/>
          <w:sz w:val="24"/>
          <w:szCs w:val="24"/>
          <w:lang w:val="en-US" w:eastAsia="ar-SA"/>
        </w:rPr>
        <w:t>[12]</w:t>
      </w:r>
      <w:r w:rsidRPr="00182D43">
        <w:rPr>
          <w:rFonts w:ascii="Times New Roman" w:eastAsia="Times New Roman" w:hAnsi="Times New Roman" w:cs="Times New Roman"/>
          <w:iCs/>
          <w:sz w:val="24"/>
          <w:szCs w:val="24"/>
          <w:lang w:val="en-US" w:eastAsia="ar-SA"/>
        </w:rPr>
        <w:t>. The South American</w:t>
      </w:r>
      <w:r>
        <w:rPr>
          <w:rFonts w:ascii="Times New Roman" w:eastAsia="Times New Roman" w:hAnsi="Times New Roman" w:cs="Times New Roman"/>
          <w:iCs/>
          <w:sz w:val="24"/>
          <w:szCs w:val="24"/>
          <w:lang w:val="en-US" w:eastAsia="ar-SA"/>
        </w:rPr>
        <w:t>-UK</w:t>
      </w:r>
      <w:r w:rsidRPr="00182D43">
        <w:rPr>
          <w:rFonts w:ascii="Times New Roman" w:eastAsia="Times New Roman" w:hAnsi="Times New Roman" w:cs="Times New Roman"/>
          <w:iCs/>
          <w:sz w:val="24"/>
          <w:szCs w:val="24"/>
          <w:lang w:val="en-US" w:eastAsia="ar-SA"/>
        </w:rPr>
        <w:t xml:space="preserve"> sub-lineage comprises MenW:</w:t>
      </w:r>
      <w:r>
        <w:rPr>
          <w:rFonts w:ascii="Times New Roman" w:eastAsia="Times New Roman" w:hAnsi="Times New Roman" w:cs="Times New Roman"/>
          <w:iCs/>
          <w:sz w:val="24"/>
          <w:szCs w:val="24"/>
          <w:lang w:val="en-US" w:eastAsia="ar-SA"/>
        </w:rPr>
        <w:t>cc</w:t>
      </w:r>
      <w:r w:rsidRPr="00182D43">
        <w:rPr>
          <w:rFonts w:ascii="Times New Roman" w:eastAsia="Times New Roman" w:hAnsi="Times New Roman" w:cs="Times New Roman"/>
          <w:iCs/>
          <w:sz w:val="24"/>
          <w:szCs w:val="24"/>
          <w:lang w:val="en-US" w:eastAsia="ar-SA"/>
        </w:rPr>
        <w:t xml:space="preserve">11 that </w:t>
      </w:r>
      <w:r>
        <w:rPr>
          <w:rFonts w:ascii="Times New Roman" w:eastAsia="Times New Roman" w:hAnsi="Times New Roman" w:cs="Times New Roman"/>
          <w:iCs/>
          <w:sz w:val="24"/>
          <w:szCs w:val="24"/>
          <w:lang w:val="en-US" w:eastAsia="ar-SA"/>
        </w:rPr>
        <w:t xml:space="preserve">emerged in South America and subsequently spread </w:t>
      </w:r>
      <w:r w:rsidRPr="00182D43">
        <w:rPr>
          <w:rFonts w:ascii="Times New Roman" w:eastAsia="Times New Roman" w:hAnsi="Times New Roman" w:cs="Times New Roman"/>
          <w:iCs/>
          <w:sz w:val="24"/>
          <w:szCs w:val="24"/>
          <w:lang w:val="en-US" w:eastAsia="ar-SA"/>
        </w:rPr>
        <w:t xml:space="preserve">to the UK and Europe </w:t>
      </w:r>
      <w:r>
        <w:rPr>
          <w:rFonts w:ascii="Times New Roman" w:eastAsia="Times New Roman" w:hAnsi="Times New Roman" w:cs="Times New Roman"/>
          <w:iCs/>
          <w:noProof/>
          <w:sz w:val="24"/>
          <w:szCs w:val="24"/>
          <w:lang w:val="en-US" w:eastAsia="ar-SA"/>
        </w:rPr>
        <w:t>[12]</w:t>
      </w:r>
      <w:r>
        <w:rPr>
          <w:rFonts w:ascii="Times New Roman" w:eastAsia="Times New Roman" w:hAnsi="Times New Roman" w:cs="Times New Roman"/>
          <w:iCs/>
          <w:sz w:val="24"/>
          <w:szCs w:val="24"/>
          <w:lang w:val="en-US" w:eastAsia="ar-SA"/>
        </w:rPr>
        <w:t xml:space="preserve">. This second lineage </w:t>
      </w:r>
      <w:r w:rsidRPr="00182D43">
        <w:rPr>
          <w:rFonts w:ascii="Times New Roman" w:eastAsia="Times New Roman" w:hAnsi="Times New Roman" w:cs="Times New Roman"/>
          <w:iCs/>
          <w:sz w:val="24"/>
          <w:szCs w:val="24"/>
          <w:lang w:val="en-US" w:eastAsia="ar-SA"/>
        </w:rPr>
        <w:t>is associated with atypical clinical presentation</w:t>
      </w:r>
      <w:r>
        <w:rPr>
          <w:rFonts w:ascii="Times New Roman" w:eastAsia="Times New Roman" w:hAnsi="Times New Roman" w:cs="Times New Roman"/>
          <w:iCs/>
          <w:sz w:val="24"/>
          <w:szCs w:val="24"/>
          <w:lang w:val="en-US" w:eastAsia="ar-SA"/>
        </w:rPr>
        <w:t>,</w:t>
      </w:r>
      <w:r w:rsidRPr="00182D43">
        <w:rPr>
          <w:rFonts w:ascii="Times New Roman" w:eastAsia="Times New Roman" w:hAnsi="Times New Roman" w:cs="Times New Roman"/>
          <w:iCs/>
          <w:sz w:val="24"/>
          <w:szCs w:val="24"/>
          <w:lang w:val="en-US" w:eastAsia="ar-SA"/>
        </w:rPr>
        <w:t xml:space="preserve"> including gastrointestinal </w:t>
      </w:r>
      <w:r w:rsidRPr="00182D43">
        <w:rPr>
          <w:rFonts w:ascii="Times New Roman" w:eastAsia="Times New Roman" w:hAnsi="Times New Roman" w:cs="Times New Roman"/>
          <w:iCs/>
          <w:sz w:val="24"/>
          <w:szCs w:val="24"/>
          <w:lang w:val="en-US" w:eastAsia="ar-SA"/>
        </w:rPr>
        <w:lastRenderedPageBreak/>
        <w:t>symptoms</w:t>
      </w:r>
      <w:r>
        <w:rPr>
          <w:rFonts w:ascii="Times New Roman" w:eastAsia="Times New Roman" w:hAnsi="Times New Roman" w:cs="Times New Roman"/>
          <w:iCs/>
          <w:sz w:val="24"/>
          <w:szCs w:val="24"/>
          <w:lang w:val="en-US" w:eastAsia="ar-SA"/>
        </w:rPr>
        <w:t xml:space="preserve">, </w:t>
      </w:r>
      <w:r w:rsidRPr="00E2433F">
        <w:rPr>
          <w:rFonts w:ascii="Times New Roman" w:eastAsia="Times New Roman" w:hAnsi="Times New Roman" w:cs="Times New Roman"/>
          <w:iCs/>
          <w:sz w:val="24"/>
          <w:szCs w:val="24"/>
          <w:lang w:val="en-US" w:eastAsia="ar-SA"/>
        </w:rPr>
        <w:t>a</w:t>
      </w:r>
      <w:r>
        <w:rPr>
          <w:rFonts w:ascii="Times New Roman" w:eastAsia="Times New Roman" w:hAnsi="Times New Roman" w:cs="Times New Roman"/>
          <w:iCs/>
          <w:sz w:val="24"/>
          <w:szCs w:val="24"/>
          <w:lang w:val="en-US" w:eastAsia="ar-SA"/>
        </w:rPr>
        <w:t>nd a</w:t>
      </w:r>
      <w:r w:rsidRPr="00E2433F">
        <w:rPr>
          <w:rFonts w:ascii="Times New Roman" w:eastAsia="Times New Roman" w:hAnsi="Times New Roman" w:cs="Times New Roman"/>
          <w:iCs/>
          <w:sz w:val="24"/>
          <w:szCs w:val="24"/>
          <w:lang w:val="en-US" w:eastAsia="ar-SA"/>
        </w:rPr>
        <w:t xml:space="preserve"> high case-fatality rate</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noProof/>
          <w:sz w:val="24"/>
          <w:szCs w:val="24"/>
          <w:lang w:val="en-US" w:eastAsia="ar-SA"/>
        </w:rPr>
        <w:t>[13, 14]</w:t>
      </w:r>
      <w:r w:rsidRPr="00182D43">
        <w:rPr>
          <w:rFonts w:ascii="Times New Roman" w:eastAsia="Times New Roman" w:hAnsi="Times New Roman" w:cs="Times New Roman"/>
          <w:iCs/>
          <w:sz w:val="24"/>
          <w:szCs w:val="24"/>
          <w:lang w:val="en-US" w:eastAsia="ar-SA"/>
        </w:rPr>
        <w:t xml:space="preserve">. </w:t>
      </w:r>
      <w:r>
        <w:rPr>
          <w:rFonts w:ascii="Times New Roman" w:hAnsi="Times New Roman" w:cs="Times New Roman"/>
          <w:sz w:val="24"/>
          <w:szCs w:val="24"/>
          <w:lang w:val="en-US"/>
        </w:rPr>
        <w:t xml:space="preserve">Ongoing genomic surveillance has revealed further population structure details for the South American-UK MenW:cc11 sub-lineage such as the initial emergence </w:t>
      </w:r>
      <w:r>
        <w:rPr>
          <w:rFonts w:ascii="Times New Roman" w:eastAsia="Times New Roman" w:hAnsi="Times New Roman" w:cs="Times New Roman"/>
          <w:iCs/>
          <w:sz w:val="24"/>
          <w:szCs w:val="24"/>
          <w:lang w:val="en-US" w:eastAsia="ar-SA"/>
        </w:rPr>
        <w:t>of</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the ‘original UK’ strain in 2009, followed by subsequent emergence of the novel ‘2013-strain’ from this original UK strain </w:t>
      </w:r>
      <w:r>
        <w:rPr>
          <w:rFonts w:ascii="Times New Roman" w:eastAsia="Times New Roman" w:hAnsi="Times New Roman" w:cs="Times New Roman"/>
          <w:iCs/>
          <w:noProof/>
          <w:sz w:val="24"/>
          <w:szCs w:val="24"/>
          <w:lang w:val="en-US" w:eastAsia="ar-SA"/>
        </w:rPr>
        <w:t>[15]</w:t>
      </w:r>
      <w:r>
        <w:rPr>
          <w:rFonts w:ascii="Times New Roman" w:eastAsia="Times New Roman" w:hAnsi="Times New Roman" w:cs="Times New Roman"/>
          <w:iCs/>
          <w:sz w:val="24"/>
          <w:szCs w:val="24"/>
          <w:lang w:val="en-US" w:eastAsia="ar-SA"/>
        </w:rPr>
        <w:t>.</w:t>
      </w:r>
    </w:p>
    <w:p w:rsidR="00C7734F" w:rsidRPr="00182D43" w:rsidRDefault="00C7734F" w:rsidP="009037F9">
      <w:pPr>
        <w:spacing w:after="0" w:line="480" w:lineRule="auto"/>
        <w:ind w:firstLine="720"/>
        <w:rPr>
          <w:rFonts w:ascii="Times New Roman" w:eastAsia="Times New Roman" w:hAnsi="Times New Roman" w:cs="Times New Roman"/>
          <w:iCs/>
          <w:sz w:val="24"/>
          <w:szCs w:val="24"/>
          <w:lang w:val="en-US" w:eastAsia="ar-SA"/>
        </w:rPr>
      </w:pPr>
      <w:r w:rsidRPr="00182D43">
        <w:rPr>
          <w:rFonts w:ascii="Times New Roman" w:eastAsia="Times New Roman" w:hAnsi="Times New Roman" w:cs="Times New Roman"/>
          <w:iCs/>
          <w:sz w:val="24"/>
          <w:szCs w:val="24"/>
          <w:lang w:val="en-US" w:eastAsia="ar-SA"/>
        </w:rPr>
        <w:t xml:space="preserve">The </w:t>
      </w:r>
      <w:r>
        <w:rPr>
          <w:rFonts w:ascii="Times New Roman" w:eastAsia="Times New Roman" w:hAnsi="Times New Roman" w:cs="Times New Roman"/>
          <w:iCs/>
          <w:sz w:val="24"/>
          <w:szCs w:val="24"/>
          <w:lang w:val="en-US" w:eastAsia="ar-SA"/>
        </w:rPr>
        <w:t xml:space="preserve">year-on-year </w:t>
      </w:r>
      <w:r w:rsidRPr="00182D43">
        <w:rPr>
          <w:rFonts w:ascii="Times New Roman" w:eastAsia="Times New Roman" w:hAnsi="Times New Roman" w:cs="Times New Roman"/>
          <w:iCs/>
          <w:sz w:val="24"/>
          <w:szCs w:val="24"/>
          <w:lang w:val="en-US" w:eastAsia="ar-SA"/>
        </w:rPr>
        <w:t>increase in MenW</w:t>
      </w:r>
      <w:r>
        <w:rPr>
          <w:rFonts w:ascii="Times New Roman" w:eastAsia="Times New Roman" w:hAnsi="Times New Roman" w:cs="Times New Roman"/>
          <w:iCs/>
          <w:sz w:val="24"/>
          <w:szCs w:val="24"/>
          <w:lang w:val="en-US" w:eastAsia="ar-SA"/>
        </w:rPr>
        <w:t>:cc11</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IMD </w:t>
      </w:r>
      <w:r w:rsidRPr="00182D43">
        <w:rPr>
          <w:rFonts w:ascii="Times New Roman" w:eastAsia="Times New Roman" w:hAnsi="Times New Roman" w:cs="Times New Roman"/>
          <w:iCs/>
          <w:sz w:val="24"/>
          <w:szCs w:val="24"/>
          <w:lang w:val="en-US" w:eastAsia="ar-SA"/>
        </w:rPr>
        <w:t xml:space="preserve">cases </w:t>
      </w:r>
      <w:r>
        <w:rPr>
          <w:rFonts w:ascii="Times New Roman" w:eastAsia="Times New Roman" w:hAnsi="Times New Roman" w:cs="Times New Roman"/>
          <w:iCs/>
          <w:sz w:val="24"/>
          <w:szCs w:val="24"/>
          <w:lang w:val="en-US" w:eastAsia="ar-SA"/>
        </w:rPr>
        <w:t xml:space="preserve">in the UK since 2009 </w:t>
      </w:r>
      <w:r w:rsidRPr="00182D43">
        <w:rPr>
          <w:rFonts w:ascii="Times New Roman" w:eastAsia="Times New Roman" w:hAnsi="Times New Roman" w:cs="Times New Roman"/>
          <w:iCs/>
          <w:sz w:val="24"/>
          <w:szCs w:val="24"/>
          <w:lang w:val="en-US" w:eastAsia="ar-SA"/>
        </w:rPr>
        <w:t xml:space="preserve">led to </w:t>
      </w:r>
      <w:r>
        <w:rPr>
          <w:rFonts w:ascii="Times New Roman" w:eastAsia="Times New Roman" w:hAnsi="Times New Roman" w:cs="Times New Roman"/>
          <w:iCs/>
          <w:sz w:val="24"/>
          <w:szCs w:val="24"/>
          <w:lang w:val="en-US" w:eastAsia="ar-SA"/>
        </w:rPr>
        <w:t>an emergency</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immunization program with meningococcal </w:t>
      </w:r>
      <w:r w:rsidRPr="00182D43">
        <w:rPr>
          <w:rFonts w:ascii="Times New Roman" w:eastAsia="Times New Roman" w:hAnsi="Times New Roman" w:cs="Times New Roman"/>
          <w:iCs/>
          <w:sz w:val="24"/>
          <w:szCs w:val="24"/>
          <w:lang w:val="en-US" w:eastAsia="ar-SA"/>
        </w:rPr>
        <w:t xml:space="preserve">ACWY conjugate vaccine </w:t>
      </w:r>
      <w:r>
        <w:rPr>
          <w:rFonts w:ascii="Times New Roman" w:eastAsia="Times New Roman" w:hAnsi="Times New Roman" w:cs="Times New Roman"/>
          <w:iCs/>
          <w:sz w:val="24"/>
          <w:szCs w:val="24"/>
          <w:lang w:val="en-US" w:eastAsia="ar-SA"/>
        </w:rPr>
        <w:t xml:space="preserve">(MenACWY) being recommended to adolescents. </w:t>
      </w:r>
      <w:r w:rsidRPr="00D9569B">
        <w:rPr>
          <w:rFonts w:ascii="Times New Roman" w:eastAsia="Times New Roman" w:hAnsi="Times New Roman" w:cs="Times New Roman"/>
          <w:iCs/>
          <w:sz w:val="24"/>
          <w:szCs w:val="24"/>
          <w:lang w:val="en-US" w:eastAsia="ar-SA"/>
        </w:rPr>
        <w:t xml:space="preserve">This </w:t>
      </w:r>
      <w:r>
        <w:rPr>
          <w:rFonts w:ascii="Times New Roman" w:eastAsia="Times New Roman" w:hAnsi="Times New Roman" w:cs="Times New Roman"/>
          <w:iCs/>
          <w:sz w:val="24"/>
          <w:szCs w:val="24"/>
          <w:lang w:val="en-US" w:eastAsia="ar-SA"/>
        </w:rPr>
        <w:t>program included a</w:t>
      </w:r>
      <w:r w:rsidRPr="00D9569B">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phased catch-up campaign for individuals 14-</w:t>
      </w:r>
      <w:r w:rsidRPr="00D9569B">
        <w:rPr>
          <w:rFonts w:ascii="Times New Roman" w:eastAsia="Times New Roman" w:hAnsi="Times New Roman" w:cs="Times New Roman"/>
          <w:iCs/>
          <w:sz w:val="24"/>
          <w:szCs w:val="24"/>
          <w:lang w:val="en-US" w:eastAsia="ar-SA"/>
        </w:rPr>
        <w:t>18 years of age</w:t>
      </w:r>
      <w:r>
        <w:rPr>
          <w:rFonts w:ascii="Times New Roman" w:eastAsia="Times New Roman" w:hAnsi="Times New Roman" w:cs="Times New Roman"/>
          <w:iCs/>
          <w:sz w:val="24"/>
          <w:szCs w:val="24"/>
          <w:lang w:val="en-US" w:eastAsia="ar-SA"/>
        </w:rPr>
        <w:t xml:space="preserve"> and began in August 2015 </w:t>
      </w:r>
      <w:r>
        <w:rPr>
          <w:rFonts w:ascii="Times New Roman" w:eastAsia="Times New Roman" w:hAnsi="Times New Roman" w:cs="Times New Roman"/>
          <w:iCs/>
          <w:noProof/>
          <w:sz w:val="24"/>
          <w:szCs w:val="24"/>
          <w:lang w:val="en-US" w:eastAsia="ar-SA"/>
        </w:rPr>
        <w:t>[16]</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O</w:t>
      </w:r>
      <w:r w:rsidRPr="00182D43">
        <w:rPr>
          <w:rFonts w:ascii="Times New Roman" w:eastAsia="Times New Roman" w:hAnsi="Times New Roman" w:cs="Times New Roman"/>
          <w:iCs/>
          <w:sz w:val="24"/>
          <w:szCs w:val="24"/>
          <w:lang w:val="en-US" w:eastAsia="ar-SA"/>
        </w:rPr>
        <w:t>lder adolescent</w:t>
      </w:r>
      <w:r>
        <w:rPr>
          <w:rFonts w:ascii="Times New Roman" w:eastAsia="Times New Roman" w:hAnsi="Times New Roman" w:cs="Times New Roman"/>
          <w:iCs/>
          <w:sz w:val="24"/>
          <w:szCs w:val="24"/>
          <w:lang w:val="en-US" w:eastAsia="ar-SA"/>
        </w:rPr>
        <w:t>s</w:t>
      </w:r>
      <w:r w:rsidRPr="00182D43">
        <w:rPr>
          <w:rFonts w:ascii="Times New Roman" w:eastAsia="Times New Roman" w:hAnsi="Times New Roman" w:cs="Times New Roman"/>
          <w:iCs/>
          <w:sz w:val="24"/>
          <w:szCs w:val="24"/>
          <w:lang w:val="en-US" w:eastAsia="ar-SA"/>
        </w:rPr>
        <w:t xml:space="preserve"> and young adults</w:t>
      </w:r>
      <w:r>
        <w:rPr>
          <w:rFonts w:ascii="Times New Roman" w:eastAsia="Times New Roman" w:hAnsi="Times New Roman" w:cs="Times New Roman"/>
          <w:iCs/>
          <w:sz w:val="24"/>
          <w:szCs w:val="24"/>
          <w:lang w:val="en-US" w:eastAsia="ar-SA"/>
        </w:rPr>
        <w:t xml:space="preserve"> were targeted</w:t>
      </w:r>
      <w:r w:rsidRPr="00182D43">
        <w:rPr>
          <w:rFonts w:ascii="Times New Roman" w:eastAsia="Times New Roman" w:hAnsi="Times New Roman" w:cs="Times New Roman"/>
          <w:iCs/>
          <w:sz w:val="24"/>
          <w:szCs w:val="24"/>
          <w:lang w:val="en-US" w:eastAsia="ar-SA"/>
        </w:rPr>
        <w:t xml:space="preserve"> because </w:t>
      </w:r>
      <w:r>
        <w:rPr>
          <w:rFonts w:ascii="Times New Roman" w:eastAsia="Times New Roman" w:hAnsi="Times New Roman" w:cs="Times New Roman"/>
          <w:iCs/>
          <w:sz w:val="24"/>
          <w:szCs w:val="24"/>
          <w:lang w:val="en-US" w:eastAsia="ar-SA"/>
        </w:rPr>
        <w:t xml:space="preserve">these </w:t>
      </w:r>
      <w:r w:rsidRPr="00182D43">
        <w:rPr>
          <w:rFonts w:ascii="Times New Roman" w:eastAsia="Times New Roman" w:hAnsi="Times New Roman" w:cs="Times New Roman"/>
          <w:iCs/>
          <w:sz w:val="24"/>
          <w:szCs w:val="24"/>
          <w:lang w:val="en-US" w:eastAsia="ar-SA"/>
        </w:rPr>
        <w:t xml:space="preserve">age groups exhibit higher </w:t>
      </w:r>
      <w:r w:rsidR="00412D9E">
        <w:rPr>
          <w:rFonts w:ascii="Times New Roman" w:eastAsia="Times New Roman" w:hAnsi="Times New Roman" w:cs="Times New Roman"/>
          <w:iCs/>
          <w:sz w:val="24"/>
          <w:szCs w:val="24"/>
          <w:lang w:val="en-US" w:eastAsia="ar-SA"/>
        </w:rPr>
        <w:t>oro</w:t>
      </w:r>
      <w:r w:rsidRPr="00182D43">
        <w:rPr>
          <w:rFonts w:ascii="Times New Roman" w:eastAsia="Times New Roman" w:hAnsi="Times New Roman" w:cs="Times New Roman"/>
          <w:iCs/>
          <w:sz w:val="24"/>
          <w:szCs w:val="24"/>
          <w:lang w:val="en-US" w:eastAsia="ar-SA"/>
        </w:rPr>
        <w:t>pharyngeal carriage rates than other</w:t>
      </w:r>
      <w:r>
        <w:rPr>
          <w:rFonts w:ascii="Times New Roman" w:eastAsia="Times New Roman" w:hAnsi="Times New Roman" w:cs="Times New Roman"/>
          <w:iCs/>
          <w:sz w:val="24"/>
          <w:szCs w:val="24"/>
          <w:lang w:val="en-US" w:eastAsia="ar-SA"/>
        </w:rPr>
        <w:t xml:space="preserve"> age groups due to social factors </w:t>
      </w:r>
      <w:r>
        <w:rPr>
          <w:rFonts w:ascii="Times New Roman" w:eastAsia="Times New Roman" w:hAnsi="Times New Roman" w:cs="Times New Roman"/>
          <w:iCs/>
          <w:noProof/>
          <w:sz w:val="24"/>
          <w:szCs w:val="24"/>
          <w:lang w:val="en-US" w:eastAsia="ar-SA"/>
        </w:rPr>
        <w:t>[17, 18]</w:t>
      </w:r>
      <w:r w:rsidRPr="00182D43">
        <w:rPr>
          <w:rFonts w:ascii="Times New Roman" w:eastAsia="Times New Roman" w:hAnsi="Times New Roman" w:cs="Times New Roman"/>
          <w:iCs/>
          <w:sz w:val="24"/>
          <w:szCs w:val="24"/>
          <w:lang w:val="en-US" w:eastAsia="ar-SA"/>
        </w:rPr>
        <w:t>. Particularly high carriage rates are evident in young adult populations residing in semi-closed communities (</w:t>
      </w:r>
      <w:r w:rsidRPr="00182D43">
        <w:rPr>
          <w:rFonts w:ascii="Times New Roman" w:eastAsia="Times New Roman" w:hAnsi="Times New Roman" w:cs="Times New Roman"/>
          <w:i/>
          <w:iCs/>
          <w:sz w:val="24"/>
          <w:szCs w:val="24"/>
          <w:lang w:val="en-US" w:eastAsia="ar-SA"/>
        </w:rPr>
        <w:t xml:space="preserve">e.g. </w:t>
      </w:r>
      <w:r w:rsidRPr="00182D43">
        <w:rPr>
          <w:rFonts w:ascii="Times New Roman" w:eastAsia="Times New Roman" w:hAnsi="Times New Roman" w:cs="Times New Roman"/>
          <w:iCs/>
          <w:sz w:val="24"/>
          <w:szCs w:val="24"/>
          <w:lang w:val="en-US" w:eastAsia="ar-SA"/>
        </w:rPr>
        <w:t>university students)</w:t>
      </w:r>
      <w:r>
        <w:rPr>
          <w:rFonts w:ascii="Times New Roman" w:eastAsia="Times New Roman" w:hAnsi="Times New Roman" w:cs="Times New Roman"/>
          <w:iCs/>
          <w:sz w:val="24"/>
          <w:szCs w:val="24"/>
          <w:lang w:val="en-US" w:eastAsia="ar-SA"/>
        </w:rPr>
        <w:t>,</w:t>
      </w:r>
      <w:r w:rsidRPr="00182D43">
        <w:rPr>
          <w:rFonts w:ascii="Times New Roman" w:eastAsia="Times New Roman" w:hAnsi="Times New Roman" w:cs="Times New Roman"/>
          <w:iCs/>
          <w:sz w:val="24"/>
          <w:szCs w:val="24"/>
          <w:lang w:val="en-US" w:eastAsia="ar-SA"/>
        </w:rPr>
        <w:t xml:space="preserve"> where the potential for person-to-person transmission is especially </w:t>
      </w:r>
      <w:r>
        <w:rPr>
          <w:rFonts w:ascii="Times New Roman" w:eastAsia="Times New Roman" w:hAnsi="Times New Roman" w:cs="Times New Roman"/>
          <w:iCs/>
          <w:sz w:val="24"/>
          <w:szCs w:val="24"/>
          <w:lang w:val="en-US" w:eastAsia="ar-SA"/>
        </w:rPr>
        <w:t>high, and</w:t>
      </w:r>
      <w:r w:rsidRPr="00182D43">
        <w:rPr>
          <w:rFonts w:ascii="Times New Roman" w:eastAsia="Times New Roman" w:hAnsi="Times New Roman" w:cs="Times New Roman"/>
          <w:iCs/>
          <w:sz w:val="24"/>
          <w:szCs w:val="24"/>
          <w:lang w:val="en-US" w:eastAsia="ar-SA"/>
        </w:rPr>
        <w:t xml:space="preserve"> can lead to isolated </w:t>
      </w:r>
      <w:r>
        <w:rPr>
          <w:rFonts w:ascii="Times New Roman" w:eastAsia="Times New Roman" w:hAnsi="Times New Roman" w:cs="Times New Roman"/>
          <w:iCs/>
          <w:sz w:val="24"/>
          <w:szCs w:val="24"/>
          <w:lang w:val="en-US" w:eastAsia="ar-SA"/>
        </w:rPr>
        <w:t xml:space="preserve">clusters or </w:t>
      </w:r>
      <w:r w:rsidRPr="00182D43">
        <w:rPr>
          <w:rFonts w:ascii="Times New Roman" w:eastAsia="Times New Roman" w:hAnsi="Times New Roman" w:cs="Times New Roman"/>
          <w:iCs/>
          <w:sz w:val="24"/>
          <w:szCs w:val="24"/>
          <w:lang w:val="en-US" w:eastAsia="ar-SA"/>
        </w:rPr>
        <w:t xml:space="preserve">outbreaks of meningococcal disease </w:t>
      </w:r>
      <w:r>
        <w:rPr>
          <w:rFonts w:ascii="Times New Roman" w:eastAsia="Times New Roman" w:hAnsi="Times New Roman" w:cs="Times New Roman"/>
          <w:iCs/>
          <w:noProof/>
          <w:sz w:val="24"/>
          <w:szCs w:val="24"/>
          <w:lang w:val="en-US" w:eastAsia="ar-SA"/>
        </w:rPr>
        <w:t>[19-22]</w:t>
      </w:r>
      <w:r>
        <w:rPr>
          <w:rFonts w:ascii="Times New Roman" w:eastAsia="Times New Roman" w:hAnsi="Times New Roman" w:cs="Times New Roman"/>
          <w:iCs/>
          <w:sz w:val="24"/>
          <w:szCs w:val="24"/>
          <w:lang w:val="en-US" w:eastAsia="ar-SA"/>
        </w:rPr>
        <w:t>. Hence, the MenACWY v</w:t>
      </w:r>
      <w:r w:rsidRPr="00D9569B">
        <w:rPr>
          <w:rFonts w:ascii="Times New Roman" w:eastAsia="Times New Roman" w:hAnsi="Times New Roman" w:cs="Times New Roman"/>
          <w:iCs/>
          <w:sz w:val="24"/>
          <w:szCs w:val="24"/>
          <w:lang w:val="en-US" w:eastAsia="ar-SA"/>
        </w:rPr>
        <w:t>accin</w:t>
      </w:r>
      <w:r>
        <w:rPr>
          <w:rFonts w:ascii="Times New Roman" w:eastAsia="Times New Roman" w:hAnsi="Times New Roman" w:cs="Times New Roman"/>
          <w:iCs/>
          <w:sz w:val="24"/>
          <w:szCs w:val="24"/>
          <w:lang w:val="en-US" w:eastAsia="ar-SA"/>
        </w:rPr>
        <w:t>ation</w:t>
      </w:r>
      <w:r w:rsidRPr="00D9569B">
        <w:rPr>
          <w:rFonts w:ascii="Times New Roman" w:eastAsia="Times New Roman" w:hAnsi="Times New Roman" w:cs="Times New Roman"/>
          <w:iCs/>
          <w:sz w:val="24"/>
          <w:szCs w:val="24"/>
          <w:lang w:val="en-US" w:eastAsia="ar-SA"/>
        </w:rPr>
        <w:t xml:space="preserve"> was also offe</w:t>
      </w:r>
      <w:r>
        <w:rPr>
          <w:rFonts w:ascii="Times New Roman" w:eastAsia="Times New Roman" w:hAnsi="Times New Roman" w:cs="Times New Roman"/>
          <w:iCs/>
          <w:sz w:val="24"/>
          <w:szCs w:val="24"/>
          <w:lang w:val="en-US" w:eastAsia="ar-SA"/>
        </w:rPr>
        <w:t>red to new university entrants &lt;</w:t>
      </w:r>
      <w:r w:rsidRPr="00D9569B">
        <w:rPr>
          <w:rFonts w:ascii="Times New Roman" w:eastAsia="Times New Roman" w:hAnsi="Times New Roman" w:cs="Times New Roman"/>
          <w:iCs/>
          <w:sz w:val="24"/>
          <w:szCs w:val="24"/>
          <w:lang w:val="en-US" w:eastAsia="ar-SA"/>
        </w:rPr>
        <w:t>25 years of age</w:t>
      </w:r>
      <w:r w:rsidRPr="00182D43">
        <w:rPr>
          <w:rFonts w:ascii="Times New Roman" w:eastAsia="Times New Roman" w:hAnsi="Times New Roman" w:cs="Times New Roman"/>
          <w:iCs/>
          <w:sz w:val="24"/>
          <w:szCs w:val="24"/>
          <w:lang w:val="en-US" w:eastAsia="ar-SA"/>
        </w:rPr>
        <w:t xml:space="preserve">. </w:t>
      </w:r>
      <w:r>
        <w:rPr>
          <w:rFonts w:ascii="Times New Roman" w:hAnsi="Times New Roman"/>
          <w:sz w:val="24"/>
          <w:szCs w:val="24"/>
        </w:rPr>
        <w:t xml:space="preserve">Furthermore, from previous experience with meningococcal group C conjugate vaccines, targeting adolescents and young adults could result in sustained decreases in disease incidence in all age groups by reducing the acquisition of meningococcal carriage (herd protection) </w:t>
      </w:r>
      <w:r>
        <w:rPr>
          <w:rFonts w:ascii="Times New Roman" w:eastAsia="Times New Roman" w:hAnsi="Times New Roman" w:cs="Times New Roman"/>
          <w:iCs/>
          <w:noProof/>
          <w:sz w:val="24"/>
          <w:szCs w:val="24"/>
          <w:lang w:val="en-US" w:eastAsia="ar-SA"/>
        </w:rPr>
        <w:t>[23]</w:t>
      </w:r>
      <w:r w:rsidRPr="00182D43">
        <w:rPr>
          <w:rFonts w:ascii="Times New Roman" w:eastAsia="Times New Roman" w:hAnsi="Times New Roman" w:cs="Times New Roman"/>
          <w:iCs/>
          <w:sz w:val="24"/>
          <w:szCs w:val="24"/>
          <w:lang w:val="en-US" w:eastAsia="ar-SA"/>
        </w:rPr>
        <w:t xml:space="preserve">. </w:t>
      </w:r>
    </w:p>
    <w:p w:rsidR="00C7734F" w:rsidRPr="00182D43" w:rsidRDefault="00C7734F" w:rsidP="009037F9">
      <w:pPr>
        <w:spacing w:after="0" w:line="480" w:lineRule="auto"/>
        <w:ind w:firstLine="720"/>
        <w:rPr>
          <w:rFonts w:ascii="Times New Roman" w:eastAsia="Times New Roman" w:hAnsi="Times New Roman" w:cs="Times New Roman"/>
          <w:iCs/>
          <w:sz w:val="24"/>
          <w:szCs w:val="24"/>
          <w:lang w:val="en-US" w:eastAsia="ar-SA"/>
        </w:rPr>
      </w:pPr>
      <w:r w:rsidRPr="00182D43">
        <w:rPr>
          <w:rFonts w:ascii="Times New Roman" w:eastAsia="Times New Roman" w:hAnsi="Times New Roman" w:cs="Times New Roman"/>
          <w:iCs/>
          <w:sz w:val="24"/>
          <w:szCs w:val="24"/>
          <w:lang w:val="en-US" w:eastAsia="ar-SA"/>
        </w:rPr>
        <w:t>At the University of Nottingham</w:t>
      </w:r>
      <w:r>
        <w:rPr>
          <w:rFonts w:ascii="Times New Roman" w:eastAsia="Times New Roman" w:hAnsi="Times New Roman" w:cs="Times New Roman"/>
          <w:iCs/>
          <w:sz w:val="24"/>
          <w:szCs w:val="24"/>
          <w:lang w:val="en-US" w:eastAsia="ar-SA"/>
        </w:rPr>
        <w:t xml:space="preserve"> (UoN)</w:t>
      </w:r>
      <w:r w:rsidRPr="00182D43">
        <w:rPr>
          <w:rFonts w:ascii="Times New Roman" w:eastAsia="Times New Roman" w:hAnsi="Times New Roman" w:cs="Times New Roman"/>
          <w:iCs/>
          <w:sz w:val="24"/>
          <w:szCs w:val="24"/>
          <w:lang w:val="en-US" w:eastAsia="ar-SA"/>
        </w:rPr>
        <w:t xml:space="preserve">, UK, a campus-based vaccination campaign targeting freshers </w:t>
      </w:r>
      <w:r>
        <w:rPr>
          <w:rFonts w:ascii="Times New Roman" w:eastAsia="Times New Roman" w:hAnsi="Times New Roman" w:cs="Times New Roman"/>
          <w:iCs/>
          <w:sz w:val="24"/>
          <w:szCs w:val="24"/>
          <w:lang w:val="en-US" w:eastAsia="ar-SA"/>
        </w:rPr>
        <w:t>in September 2015 increased</w:t>
      </w:r>
      <w:r w:rsidRPr="00182D43">
        <w:rPr>
          <w:rFonts w:ascii="Times New Roman" w:eastAsia="Times New Roman" w:hAnsi="Times New Roman" w:cs="Times New Roman"/>
          <w:iCs/>
          <w:sz w:val="24"/>
          <w:szCs w:val="24"/>
          <w:lang w:val="en-US" w:eastAsia="ar-SA"/>
        </w:rPr>
        <w:t xml:space="preserve"> MenACWY vaccination coverage in this specific student population from 31%</w:t>
      </w:r>
      <w:r>
        <w:rPr>
          <w:rFonts w:ascii="Times New Roman" w:eastAsia="Times New Roman" w:hAnsi="Times New Roman" w:cs="Times New Roman"/>
          <w:iCs/>
          <w:sz w:val="24"/>
          <w:szCs w:val="24"/>
          <w:lang w:val="en-US" w:eastAsia="ar-SA"/>
        </w:rPr>
        <w:t xml:space="preserve"> to 71% </w:t>
      </w:r>
      <w:r>
        <w:rPr>
          <w:rFonts w:ascii="Times New Roman" w:eastAsia="Times New Roman" w:hAnsi="Times New Roman" w:cs="Times New Roman"/>
          <w:iCs/>
          <w:noProof/>
          <w:sz w:val="24"/>
          <w:szCs w:val="24"/>
          <w:lang w:val="en-US" w:eastAsia="ar-SA"/>
        </w:rPr>
        <w:t>[24]</w:t>
      </w:r>
      <w:r w:rsidRPr="00182D43">
        <w:rPr>
          <w:rFonts w:ascii="Times New Roman" w:eastAsia="Times New Roman" w:hAnsi="Times New Roman" w:cs="Times New Roman"/>
          <w:iCs/>
          <w:sz w:val="24"/>
          <w:szCs w:val="24"/>
          <w:lang w:val="en-US" w:eastAsia="ar-SA"/>
        </w:rPr>
        <w:t>. To determine the effect of th</w:t>
      </w:r>
      <w:r>
        <w:rPr>
          <w:rFonts w:ascii="Times New Roman" w:eastAsia="Times New Roman" w:hAnsi="Times New Roman" w:cs="Times New Roman"/>
          <w:iCs/>
          <w:sz w:val="24"/>
          <w:szCs w:val="24"/>
          <w:lang w:val="en-US" w:eastAsia="ar-SA"/>
        </w:rPr>
        <w:t xml:space="preserve">is vaccination campaign </w:t>
      </w:r>
      <w:r w:rsidRPr="00182D43">
        <w:rPr>
          <w:rFonts w:ascii="Times New Roman" w:eastAsia="Times New Roman" w:hAnsi="Times New Roman" w:cs="Times New Roman"/>
          <w:iCs/>
          <w:sz w:val="24"/>
          <w:szCs w:val="24"/>
          <w:lang w:val="en-US" w:eastAsia="ar-SA"/>
        </w:rPr>
        <w:t>on meningococcal carriage, we conducte</w:t>
      </w:r>
      <w:r>
        <w:rPr>
          <w:rFonts w:ascii="Times New Roman" w:eastAsia="Times New Roman" w:hAnsi="Times New Roman" w:cs="Times New Roman"/>
          <w:iCs/>
          <w:sz w:val="24"/>
          <w:szCs w:val="24"/>
          <w:lang w:val="en-US" w:eastAsia="ar-SA"/>
        </w:rPr>
        <w:t>d a cross-sectional study at the</w:t>
      </w:r>
      <w:r w:rsidRPr="00182D43">
        <w:rPr>
          <w:rFonts w:ascii="Times New Roman" w:eastAsia="Times New Roman" w:hAnsi="Times New Roman" w:cs="Times New Roman"/>
          <w:iCs/>
          <w:sz w:val="24"/>
          <w:szCs w:val="24"/>
          <w:lang w:val="en-US" w:eastAsia="ar-SA"/>
        </w:rPr>
        <w:t xml:space="preserve"> U</w:t>
      </w:r>
      <w:r>
        <w:rPr>
          <w:rFonts w:ascii="Times New Roman" w:eastAsia="Times New Roman" w:hAnsi="Times New Roman" w:cs="Times New Roman"/>
          <w:iCs/>
          <w:sz w:val="24"/>
          <w:szCs w:val="24"/>
          <w:lang w:val="en-US" w:eastAsia="ar-SA"/>
        </w:rPr>
        <w:t>oN,</w:t>
      </w:r>
      <w:r w:rsidRPr="00182D43">
        <w:rPr>
          <w:rFonts w:ascii="Times New Roman" w:eastAsia="Times New Roman" w:hAnsi="Times New Roman" w:cs="Times New Roman"/>
          <w:iCs/>
          <w:sz w:val="24"/>
          <w:szCs w:val="24"/>
          <w:lang w:val="en-US" w:eastAsia="ar-SA"/>
        </w:rPr>
        <w:t xml:space="preserve"> from September 2015 through to March 2016 </w:t>
      </w:r>
      <w:r>
        <w:rPr>
          <w:rFonts w:ascii="Times New Roman" w:eastAsia="Times New Roman" w:hAnsi="Times New Roman" w:cs="Times New Roman"/>
          <w:iCs/>
          <w:noProof/>
          <w:sz w:val="24"/>
          <w:szCs w:val="24"/>
          <w:lang w:val="en-US" w:eastAsia="ar-SA"/>
        </w:rPr>
        <w:t>[25]</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The overall meningococcal carriage rate increased throughout the study in line with previous university-based carriage studies </w:t>
      </w:r>
      <w:r>
        <w:rPr>
          <w:rFonts w:ascii="Times New Roman" w:eastAsia="Times New Roman" w:hAnsi="Times New Roman" w:cs="Times New Roman"/>
          <w:iCs/>
          <w:noProof/>
          <w:sz w:val="24"/>
          <w:szCs w:val="24"/>
          <w:lang w:val="en-US" w:eastAsia="ar-SA"/>
        </w:rPr>
        <w:t>[26-28]</w:t>
      </w:r>
      <w:r>
        <w:rPr>
          <w:rFonts w:ascii="Times New Roman" w:eastAsia="Times New Roman" w:hAnsi="Times New Roman" w:cs="Times New Roman"/>
          <w:iCs/>
          <w:sz w:val="24"/>
          <w:szCs w:val="24"/>
          <w:lang w:val="en-US" w:eastAsia="ar-SA"/>
        </w:rPr>
        <w:t xml:space="preserve">. </w:t>
      </w:r>
      <w:r w:rsidRPr="00182D43">
        <w:rPr>
          <w:rFonts w:ascii="Times New Roman" w:eastAsia="Times New Roman" w:hAnsi="Times New Roman" w:cs="Times New Roman"/>
          <w:iCs/>
          <w:sz w:val="24"/>
          <w:szCs w:val="24"/>
          <w:lang w:val="en-US" w:eastAsia="ar-SA"/>
        </w:rPr>
        <w:t xml:space="preserve">No significant </w:t>
      </w:r>
      <w:r>
        <w:rPr>
          <w:rFonts w:ascii="Times New Roman" w:eastAsia="Times New Roman" w:hAnsi="Times New Roman" w:cs="Times New Roman"/>
          <w:iCs/>
          <w:sz w:val="24"/>
          <w:szCs w:val="24"/>
          <w:lang w:val="en-US" w:eastAsia="ar-SA"/>
        </w:rPr>
        <w:t xml:space="preserve">change </w:t>
      </w:r>
      <w:r w:rsidRPr="00182D43">
        <w:rPr>
          <w:rFonts w:ascii="Times New Roman" w:eastAsia="Times New Roman" w:hAnsi="Times New Roman" w:cs="Times New Roman"/>
          <w:iCs/>
          <w:sz w:val="24"/>
          <w:szCs w:val="24"/>
          <w:lang w:val="en-US" w:eastAsia="ar-SA"/>
        </w:rPr>
        <w:t>in carriage of MenY organisms occurred</w:t>
      </w:r>
      <w:r>
        <w:rPr>
          <w:rFonts w:ascii="Times New Roman" w:eastAsia="Times New Roman" w:hAnsi="Times New Roman" w:cs="Times New Roman"/>
          <w:iCs/>
          <w:sz w:val="24"/>
          <w:szCs w:val="24"/>
          <w:lang w:val="en-US" w:eastAsia="ar-SA"/>
        </w:rPr>
        <w:t xml:space="preserve">, </w:t>
      </w:r>
      <w:r w:rsidRPr="00182D43">
        <w:rPr>
          <w:rFonts w:ascii="Times New Roman" w:eastAsia="Times New Roman" w:hAnsi="Times New Roman" w:cs="Times New Roman"/>
          <w:iCs/>
          <w:sz w:val="24"/>
          <w:szCs w:val="24"/>
          <w:lang w:val="en-US" w:eastAsia="ar-SA"/>
        </w:rPr>
        <w:t xml:space="preserve">but we detected a rapid </w:t>
      </w:r>
      <w:r>
        <w:rPr>
          <w:rFonts w:ascii="Times New Roman" w:eastAsia="Times New Roman" w:hAnsi="Times New Roman" w:cs="Times New Roman"/>
          <w:iCs/>
          <w:sz w:val="24"/>
          <w:szCs w:val="24"/>
          <w:lang w:val="en-US" w:eastAsia="ar-SA"/>
        </w:rPr>
        <w:lastRenderedPageBreak/>
        <w:t xml:space="preserve">and significant </w:t>
      </w:r>
      <w:r w:rsidRPr="00182D43">
        <w:rPr>
          <w:rFonts w:ascii="Times New Roman" w:eastAsia="Times New Roman" w:hAnsi="Times New Roman" w:cs="Times New Roman"/>
          <w:iCs/>
          <w:sz w:val="24"/>
          <w:szCs w:val="24"/>
          <w:lang w:val="en-US" w:eastAsia="ar-SA"/>
        </w:rPr>
        <w:t>rise in carriage of MenW strains</w:t>
      </w:r>
      <w:r>
        <w:rPr>
          <w:rFonts w:ascii="Times New Roman" w:eastAsia="Times New Roman" w:hAnsi="Times New Roman" w:cs="Times New Roman"/>
          <w:iCs/>
          <w:sz w:val="24"/>
          <w:szCs w:val="24"/>
          <w:lang w:val="en-US" w:eastAsia="ar-SA"/>
        </w:rPr>
        <w:t xml:space="preserve"> with </w:t>
      </w:r>
      <w:r>
        <w:rPr>
          <w:rFonts w:ascii="Times New Roman" w:hAnsi="Times New Roman" w:cs="Times New Roman"/>
          <w:sz w:val="24"/>
          <w:lang w:val="en-US"/>
        </w:rPr>
        <w:t xml:space="preserve">PorB serotypes and </w:t>
      </w:r>
      <w:r>
        <w:rPr>
          <w:rFonts w:ascii="Times New Roman" w:hAnsi="Times New Roman" w:cs="Times New Roman"/>
          <w:i/>
          <w:sz w:val="24"/>
          <w:lang w:val="en-US"/>
        </w:rPr>
        <w:t xml:space="preserve">porA </w:t>
      </w:r>
      <w:r>
        <w:rPr>
          <w:rFonts w:ascii="Times New Roman" w:hAnsi="Times New Roman" w:cs="Times New Roman"/>
          <w:sz w:val="24"/>
          <w:lang w:val="en-US"/>
        </w:rPr>
        <w:t xml:space="preserve">and </w:t>
      </w:r>
      <w:r>
        <w:rPr>
          <w:rFonts w:ascii="Times New Roman" w:hAnsi="Times New Roman" w:cs="Times New Roman"/>
          <w:i/>
          <w:sz w:val="24"/>
          <w:lang w:val="en-US"/>
        </w:rPr>
        <w:t>fHbp</w:t>
      </w:r>
      <w:r>
        <w:rPr>
          <w:rFonts w:ascii="Times New Roman" w:hAnsi="Times New Roman" w:cs="Times New Roman"/>
          <w:sz w:val="24"/>
          <w:lang w:val="en-US"/>
        </w:rPr>
        <w:t xml:space="preserve"> sequence types that matched alleles harbored </w:t>
      </w:r>
      <w:r>
        <w:rPr>
          <w:rFonts w:ascii="Times New Roman" w:eastAsia="Times New Roman" w:hAnsi="Times New Roman" w:cs="Times New Roman"/>
          <w:iCs/>
          <w:sz w:val="24"/>
          <w:szCs w:val="24"/>
          <w:lang w:val="en-US" w:eastAsia="ar-SA"/>
        </w:rPr>
        <w:t>by</w:t>
      </w:r>
      <w:r w:rsidRPr="00182D43">
        <w:rPr>
          <w:rFonts w:ascii="Times New Roman" w:eastAsia="Times New Roman" w:hAnsi="Times New Roman" w:cs="Times New Roman"/>
          <w:iCs/>
          <w:sz w:val="24"/>
          <w:szCs w:val="24"/>
          <w:lang w:val="en-US" w:eastAsia="ar-SA"/>
        </w:rPr>
        <w:t xml:space="preserve"> endemic UK MenW:</w:t>
      </w:r>
      <w:r>
        <w:rPr>
          <w:rFonts w:ascii="Times New Roman" w:eastAsia="Times New Roman" w:hAnsi="Times New Roman" w:cs="Times New Roman"/>
          <w:iCs/>
          <w:sz w:val="24"/>
          <w:szCs w:val="24"/>
          <w:lang w:val="en-US" w:eastAsia="ar-SA"/>
        </w:rPr>
        <w:t>cc</w:t>
      </w:r>
      <w:r w:rsidRPr="00182D43">
        <w:rPr>
          <w:rFonts w:ascii="Times New Roman" w:eastAsia="Times New Roman" w:hAnsi="Times New Roman" w:cs="Times New Roman"/>
          <w:iCs/>
          <w:sz w:val="24"/>
          <w:szCs w:val="24"/>
          <w:lang w:val="en-US" w:eastAsia="ar-SA"/>
        </w:rPr>
        <w:t xml:space="preserve">11 </w:t>
      </w:r>
      <w:r>
        <w:rPr>
          <w:rFonts w:ascii="Times New Roman" w:eastAsia="Times New Roman" w:hAnsi="Times New Roman" w:cs="Times New Roman"/>
          <w:iCs/>
          <w:sz w:val="24"/>
          <w:szCs w:val="24"/>
          <w:lang w:val="en-US" w:eastAsia="ar-SA"/>
        </w:rPr>
        <w:t xml:space="preserve">invasive isolates </w:t>
      </w:r>
      <w:r>
        <w:rPr>
          <w:rFonts w:ascii="Times New Roman" w:eastAsia="Times New Roman" w:hAnsi="Times New Roman" w:cs="Times New Roman"/>
          <w:iCs/>
          <w:noProof/>
          <w:sz w:val="24"/>
          <w:szCs w:val="24"/>
          <w:lang w:val="en-US" w:eastAsia="ar-SA"/>
        </w:rPr>
        <w:t>[25]</w:t>
      </w:r>
      <w:r w:rsidRPr="00182D43">
        <w:rPr>
          <w:rFonts w:ascii="Times New Roman" w:eastAsia="Times New Roman" w:hAnsi="Times New Roman" w:cs="Times New Roman"/>
          <w:iCs/>
          <w:sz w:val="24"/>
          <w:szCs w:val="24"/>
          <w:lang w:val="en-US" w:eastAsia="ar-SA"/>
        </w:rPr>
        <w:t>.</w:t>
      </w:r>
      <w:r>
        <w:rPr>
          <w:rFonts w:ascii="Times New Roman" w:eastAsia="Times New Roman" w:hAnsi="Times New Roman" w:cs="Times New Roman"/>
          <w:iCs/>
          <w:sz w:val="24"/>
          <w:szCs w:val="24"/>
          <w:lang w:val="en-US" w:eastAsia="ar-SA"/>
        </w:rPr>
        <w:t xml:space="preserve"> </w:t>
      </w:r>
      <w:r w:rsidRPr="00F51ADF">
        <w:rPr>
          <w:rFonts w:ascii="Times New Roman" w:eastAsia="Times New Roman" w:hAnsi="Times New Roman" w:cs="Times New Roman"/>
          <w:iCs/>
          <w:sz w:val="24"/>
          <w:szCs w:val="24"/>
          <w:lang w:val="en-US" w:eastAsia="ar-SA"/>
        </w:rPr>
        <w:t xml:space="preserve">Here we analyze whole genome data to define the </w:t>
      </w:r>
      <w:r>
        <w:rPr>
          <w:rFonts w:ascii="Times New Roman" w:eastAsia="Times New Roman" w:hAnsi="Times New Roman" w:cs="Times New Roman"/>
          <w:iCs/>
          <w:sz w:val="24"/>
          <w:szCs w:val="24"/>
          <w:lang w:val="en-US" w:eastAsia="ar-SA"/>
        </w:rPr>
        <w:t xml:space="preserve">specific </w:t>
      </w:r>
      <w:r w:rsidRPr="00F51ADF">
        <w:rPr>
          <w:rFonts w:ascii="Times New Roman" w:eastAsia="Times New Roman" w:hAnsi="Times New Roman" w:cs="Times New Roman"/>
          <w:iCs/>
          <w:sz w:val="24"/>
          <w:szCs w:val="24"/>
          <w:lang w:val="en-US" w:eastAsia="ar-SA"/>
        </w:rPr>
        <w:t xml:space="preserve">MenW, MenY and non-groupable </w:t>
      </w:r>
      <w:r>
        <w:rPr>
          <w:rFonts w:ascii="Times New Roman" w:eastAsia="Times New Roman" w:hAnsi="Times New Roman" w:cs="Times New Roman"/>
          <w:iCs/>
          <w:sz w:val="24"/>
          <w:szCs w:val="24"/>
          <w:lang w:val="en-US" w:eastAsia="ar-SA"/>
        </w:rPr>
        <w:t>lineages present in this</w:t>
      </w:r>
      <w:r w:rsidRPr="00F51ADF">
        <w:rPr>
          <w:rFonts w:ascii="Times New Roman" w:eastAsia="Times New Roman" w:hAnsi="Times New Roman" w:cs="Times New Roman"/>
          <w:iCs/>
          <w:sz w:val="24"/>
          <w:szCs w:val="24"/>
          <w:lang w:val="en-US" w:eastAsia="ar-SA"/>
        </w:rPr>
        <w:t xml:space="preserve"> student cohort, </w:t>
      </w:r>
      <w:r>
        <w:rPr>
          <w:rFonts w:ascii="Times New Roman" w:eastAsia="Times New Roman" w:hAnsi="Times New Roman" w:cs="Times New Roman"/>
          <w:iCs/>
          <w:sz w:val="24"/>
          <w:szCs w:val="24"/>
          <w:lang w:val="en-US" w:eastAsia="ar-SA"/>
        </w:rPr>
        <w:t>investigate</w:t>
      </w:r>
      <w:r w:rsidRPr="00F51ADF">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the </w:t>
      </w:r>
      <w:r w:rsidRPr="00F51ADF">
        <w:rPr>
          <w:rFonts w:ascii="Times New Roman" w:eastAsia="Times New Roman" w:hAnsi="Times New Roman" w:cs="Times New Roman"/>
          <w:iCs/>
          <w:sz w:val="24"/>
          <w:szCs w:val="24"/>
          <w:lang w:val="en-US" w:eastAsia="ar-SA"/>
        </w:rPr>
        <w:t>genetic relatedness of carried MenW:cc11 to contemporary invasive isolates</w:t>
      </w:r>
      <w:r>
        <w:rPr>
          <w:rFonts w:ascii="Times New Roman" w:eastAsia="Times New Roman" w:hAnsi="Times New Roman" w:cs="Times New Roman"/>
          <w:iCs/>
          <w:sz w:val="24"/>
          <w:szCs w:val="24"/>
          <w:lang w:val="en-US" w:eastAsia="ar-SA"/>
        </w:rPr>
        <w:t>,</w:t>
      </w:r>
      <w:r w:rsidRPr="00F51ADF">
        <w:rPr>
          <w:rFonts w:ascii="Times New Roman" w:eastAsia="Times New Roman" w:hAnsi="Times New Roman" w:cs="Times New Roman"/>
          <w:iCs/>
          <w:sz w:val="24"/>
          <w:szCs w:val="24"/>
          <w:lang w:val="en-US" w:eastAsia="ar-SA"/>
        </w:rPr>
        <w:t xml:space="preserve"> </w:t>
      </w:r>
      <w:r w:rsidRPr="00716210">
        <w:rPr>
          <w:rFonts w:ascii="Times New Roman" w:eastAsia="Times New Roman" w:hAnsi="Times New Roman" w:cs="Times New Roman"/>
          <w:iCs/>
          <w:sz w:val="24"/>
          <w:szCs w:val="24"/>
          <w:lang w:val="en-US" w:eastAsia="ar-SA"/>
        </w:rPr>
        <w:t xml:space="preserve">and </w:t>
      </w:r>
      <w:r>
        <w:rPr>
          <w:rFonts w:ascii="Times New Roman" w:eastAsia="Times New Roman" w:hAnsi="Times New Roman" w:cs="Times New Roman"/>
          <w:iCs/>
          <w:sz w:val="24"/>
          <w:szCs w:val="24"/>
          <w:lang w:val="en-US" w:eastAsia="ar-SA"/>
        </w:rPr>
        <w:t xml:space="preserve">consider the potential mechanisms by which vaccine-targeted isolates may escape immune responses elicited by vaccination with the MenACWY capsule-based conjugate vaccine. </w:t>
      </w:r>
    </w:p>
    <w:p w:rsidR="00C7734F" w:rsidRPr="00182D43" w:rsidRDefault="00C7734F" w:rsidP="009037F9">
      <w:pPr>
        <w:spacing w:after="0" w:line="480" w:lineRule="auto"/>
        <w:rPr>
          <w:rFonts w:ascii="Times New Roman" w:hAnsi="Times New Roman" w:cs="Times New Roman"/>
          <w:b/>
          <w:sz w:val="24"/>
          <w:szCs w:val="24"/>
          <w:lang w:val="en-US"/>
        </w:rPr>
      </w:pP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t>METHODS</w:t>
      </w: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t>Carriage Isolates</w:t>
      </w: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A total of 174 meningococcal isolates, all obtained from </w:t>
      </w:r>
      <w:r w:rsidR="00412D9E">
        <w:rPr>
          <w:rFonts w:ascii="Times New Roman" w:hAnsi="Times New Roman" w:cs="Times New Roman"/>
          <w:sz w:val="24"/>
          <w:szCs w:val="24"/>
          <w:lang w:val="en-US"/>
        </w:rPr>
        <w:t>oro</w:t>
      </w:r>
      <w:r w:rsidRPr="00182D43">
        <w:rPr>
          <w:rFonts w:ascii="Times New Roman" w:hAnsi="Times New Roman" w:cs="Times New Roman"/>
          <w:sz w:val="24"/>
          <w:szCs w:val="24"/>
          <w:lang w:val="en-US"/>
        </w:rPr>
        <w:t>pharyngeal carriers in 2015-16 at the U</w:t>
      </w:r>
      <w:r>
        <w:rPr>
          <w:rFonts w:ascii="Times New Roman" w:hAnsi="Times New Roman" w:cs="Times New Roman"/>
          <w:sz w:val="24"/>
          <w:szCs w:val="24"/>
          <w:lang w:val="en-US"/>
        </w:rPr>
        <w:t xml:space="preserve">oN </w:t>
      </w:r>
      <w:r w:rsidRPr="00182D43">
        <w:rPr>
          <w:rFonts w:ascii="Times New Roman" w:hAnsi="Times New Roman" w:cs="Times New Roman"/>
          <w:sz w:val="24"/>
          <w:szCs w:val="24"/>
          <w:lang w:val="en-US"/>
        </w:rPr>
        <w:t xml:space="preserve">(East Midlands), United Kingdom </w:t>
      </w:r>
      <w:r>
        <w:rPr>
          <w:rFonts w:ascii="Times New Roman" w:hAnsi="Times New Roman" w:cs="Times New Roman"/>
          <w:noProof/>
          <w:sz w:val="24"/>
          <w:szCs w:val="24"/>
          <w:lang w:val="en-US"/>
        </w:rPr>
        <w:t>[25]</w:t>
      </w:r>
      <w:r w:rsidRPr="00182D43">
        <w:rPr>
          <w:rFonts w:ascii="Times New Roman" w:hAnsi="Times New Roman" w:cs="Times New Roman"/>
          <w:sz w:val="24"/>
          <w:szCs w:val="24"/>
          <w:lang w:val="en-US"/>
        </w:rPr>
        <w:t xml:space="preserve"> were included in the WGS analysis </w:t>
      </w:r>
      <w:r w:rsidRPr="003125D4">
        <w:rPr>
          <w:rFonts w:ascii="Times New Roman" w:hAnsi="Times New Roman" w:cs="Times New Roman"/>
          <w:sz w:val="24"/>
          <w:szCs w:val="24"/>
          <w:lang w:val="en-US"/>
        </w:rPr>
        <w:t>(Supplementary Table 1).</w:t>
      </w:r>
      <w:r w:rsidRPr="00182D43">
        <w:rPr>
          <w:rFonts w:ascii="Times New Roman" w:hAnsi="Times New Roman" w:cs="Times New Roman"/>
          <w:sz w:val="24"/>
          <w:szCs w:val="24"/>
          <w:lang w:val="en-US"/>
        </w:rPr>
        <w:t xml:space="preserve"> Of these, 49 were </w:t>
      </w:r>
      <w:r>
        <w:rPr>
          <w:rFonts w:ascii="Times New Roman" w:hAnsi="Times New Roman" w:cs="Times New Roman"/>
          <w:sz w:val="24"/>
          <w:szCs w:val="24"/>
          <w:lang w:val="en-US"/>
        </w:rPr>
        <w:t xml:space="preserve">MenW </w:t>
      </w:r>
      <w:r w:rsidRPr="00182D43">
        <w:rPr>
          <w:rFonts w:ascii="Times New Roman" w:hAnsi="Times New Roman" w:cs="Times New Roman"/>
          <w:sz w:val="24"/>
          <w:szCs w:val="24"/>
          <w:lang w:val="en-US"/>
        </w:rPr>
        <w:t xml:space="preserve">and 32 </w:t>
      </w:r>
      <w:r>
        <w:rPr>
          <w:rFonts w:ascii="Times New Roman" w:hAnsi="Times New Roman" w:cs="Times New Roman"/>
          <w:sz w:val="24"/>
          <w:szCs w:val="24"/>
          <w:lang w:val="en-US"/>
        </w:rPr>
        <w:t xml:space="preserve">were MenY, together accounting for </w:t>
      </w:r>
      <w:r>
        <w:rPr>
          <w:rFonts w:ascii="Times New Roman" w:hAnsi="Times New Roman" w:cs="Times New Roman"/>
          <w:i/>
          <w:sz w:val="24"/>
          <w:szCs w:val="24"/>
          <w:lang w:val="en-US"/>
        </w:rPr>
        <w:t xml:space="preserve">ca. </w:t>
      </w:r>
      <w:r>
        <w:rPr>
          <w:rFonts w:ascii="Times New Roman" w:hAnsi="Times New Roman" w:cs="Times New Roman"/>
          <w:sz w:val="24"/>
          <w:szCs w:val="24"/>
          <w:lang w:val="en-US"/>
        </w:rPr>
        <w:t xml:space="preserve">95% of MenW and MenY isolated during the carriage study </w:t>
      </w:r>
      <w:r>
        <w:rPr>
          <w:rFonts w:ascii="Times New Roman" w:hAnsi="Times New Roman" w:cs="Times New Roman"/>
          <w:noProof/>
          <w:sz w:val="24"/>
          <w:szCs w:val="24"/>
          <w:lang w:val="en-US"/>
        </w:rPr>
        <w:t>[25]</w:t>
      </w:r>
      <w:r>
        <w:rPr>
          <w:rFonts w:ascii="Times New Roman" w:hAnsi="Times New Roman" w:cs="Times New Roman"/>
          <w:sz w:val="24"/>
          <w:szCs w:val="24"/>
          <w:lang w:val="en-US"/>
        </w:rPr>
        <w:t xml:space="preserve">. </w:t>
      </w:r>
      <w:r w:rsidRPr="00182D43">
        <w:rPr>
          <w:rFonts w:ascii="Times New Roman" w:hAnsi="Times New Roman" w:cs="Times New Roman"/>
          <w:sz w:val="24"/>
          <w:szCs w:val="24"/>
          <w:lang w:val="en-US"/>
        </w:rPr>
        <w:t>A further 93 isolates were non-groupable (</w:t>
      </w:r>
      <w:r w:rsidRPr="00182D43">
        <w:rPr>
          <w:rFonts w:ascii="Times New Roman" w:hAnsi="Times New Roman" w:cs="Times New Roman"/>
          <w:i/>
          <w:sz w:val="24"/>
          <w:szCs w:val="24"/>
          <w:lang w:val="en-US"/>
        </w:rPr>
        <w:t xml:space="preserve">i.e. </w:t>
      </w:r>
      <w:r w:rsidRPr="00182D43">
        <w:rPr>
          <w:rFonts w:ascii="Times New Roman" w:hAnsi="Times New Roman" w:cs="Times New Roman"/>
          <w:sz w:val="24"/>
          <w:szCs w:val="24"/>
          <w:lang w:val="en-US"/>
        </w:rPr>
        <w:t xml:space="preserve">lacked </w:t>
      </w:r>
      <w:r w:rsidRPr="00182D43">
        <w:rPr>
          <w:rFonts w:ascii="Times New Roman" w:hAnsi="Times New Roman" w:cs="Times New Roman"/>
          <w:i/>
          <w:sz w:val="24"/>
          <w:szCs w:val="24"/>
          <w:lang w:val="en-US"/>
        </w:rPr>
        <w:t xml:space="preserve">ctrA </w:t>
      </w:r>
      <w:r w:rsidRPr="00182D43">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carried the capsule null locus), corresponding to </w:t>
      </w:r>
      <w:r>
        <w:rPr>
          <w:rFonts w:ascii="Times New Roman" w:hAnsi="Times New Roman" w:cs="Times New Roman"/>
          <w:i/>
          <w:sz w:val="24"/>
          <w:szCs w:val="24"/>
          <w:lang w:val="en-US"/>
        </w:rPr>
        <w:t xml:space="preserve">ca. </w:t>
      </w:r>
      <w:r>
        <w:rPr>
          <w:rFonts w:ascii="Times New Roman" w:hAnsi="Times New Roman" w:cs="Times New Roman"/>
          <w:sz w:val="24"/>
          <w:szCs w:val="24"/>
          <w:lang w:val="en-US"/>
        </w:rPr>
        <w:t xml:space="preserve">70% of non-groupable isolates obtained in the 2015-16 UoN study </w:t>
      </w:r>
      <w:r>
        <w:rPr>
          <w:rFonts w:ascii="Times New Roman" w:hAnsi="Times New Roman" w:cs="Times New Roman"/>
          <w:noProof/>
          <w:sz w:val="24"/>
          <w:szCs w:val="24"/>
          <w:lang w:val="en-US"/>
        </w:rPr>
        <w:t>[25]</w:t>
      </w:r>
      <w:r>
        <w:rPr>
          <w:rFonts w:ascii="Times New Roman" w:hAnsi="Times New Roman" w:cs="Times New Roman"/>
          <w:sz w:val="24"/>
          <w:szCs w:val="24"/>
          <w:lang w:val="en-US"/>
        </w:rPr>
        <w:t xml:space="preserve">. </w:t>
      </w:r>
      <w:r w:rsidRPr="00182D43">
        <w:rPr>
          <w:rFonts w:ascii="Times New Roman" w:hAnsi="Times New Roman" w:cs="Times New Roman"/>
          <w:sz w:val="24"/>
          <w:szCs w:val="24"/>
          <w:lang w:val="en-US"/>
        </w:rPr>
        <w:t>All isolates were chosen as known MenW, MenY or non-groupable organisms, based on PCR typing methods, without prior knowledge of their clonal complex. The Meningococcal Reference Unit, Public Health England, Manchester, UK performed serogrouping of MenY carriage isolates using dot-blot ELISA.</w:t>
      </w:r>
      <w:r>
        <w:rPr>
          <w:rFonts w:ascii="Times New Roman" w:hAnsi="Times New Roman" w:cs="Times New Roman"/>
          <w:sz w:val="24"/>
          <w:szCs w:val="24"/>
          <w:lang w:val="en-US"/>
        </w:rPr>
        <w:t xml:space="preserve"> </w:t>
      </w:r>
      <w:r w:rsidRPr="00182D43">
        <w:rPr>
          <w:rFonts w:ascii="Times New Roman" w:hAnsi="Times New Roman" w:cs="Times New Roman"/>
          <w:sz w:val="24"/>
          <w:szCs w:val="24"/>
          <w:lang w:val="en-US"/>
        </w:rPr>
        <w:t>Sero</w:t>
      </w:r>
      <w:r>
        <w:rPr>
          <w:rFonts w:ascii="Times New Roman" w:hAnsi="Times New Roman" w:cs="Times New Roman"/>
          <w:sz w:val="24"/>
          <w:szCs w:val="24"/>
          <w:lang w:val="en-US"/>
        </w:rPr>
        <w:t>grouping of</w:t>
      </w:r>
      <w:r w:rsidRPr="00182D43">
        <w:rPr>
          <w:rFonts w:ascii="Times New Roman" w:hAnsi="Times New Roman" w:cs="Times New Roman"/>
          <w:sz w:val="24"/>
          <w:szCs w:val="24"/>
          <w:lang w:val="en-US"/>
        </w:rPr>
        <w:t xml:space="preserve"> MenW carriage isolates </w:t>
      </w:r>
      <w:r>
        <w:rPr>
          <w:rFonts w:ascii="Times New Roman" w:hAnsi="Times New Roman" w:cs="Times New Roman"/>
          <w:sz w:val="24"/>
          <w:szCs w:val="24"/>
          <w:lang w:val="en-US"/>
        </w:rPr>
        <w:t>w</w:t>
      </w:r>
      <w:r w:rsidRPr="00182D43">
        <w:rPr>
          <w:rFonts w:ascii="Times New Roman" w:hAnsi="Times New Roman" w:cs="Times New Roman"/>
          <w:sz w:val="24"/>
          <w:szCs w:val="24"/>
          <w:lang w:val="en-US"/>
        </w:rPr>
        <w:t xml:space="preserve">as reported previously </w:t>
      </w:r>
      <w:r>
        <w:rPr>
          <w:rFonts w:ascii="Times New Roman" w:hAnsi="Times New Roman" w:cs="Times New Roman"/>
          <w:noProof/>
          <w:sz w:val="24"/>
          <w:szCs w:val="24"/>
          <w:lang w:val="en-US"/>
        </w:rPr>
        <w:t>[25]</w:t>
      </w:r>
      <w:r w:rsidRPr="00182D43">
        <w:rPr>
          <w:rFonts w:ascii="Times New Roman" w:hAnsi="Times New Roman" w:cs="Times New Roman"/>
          <w:sz w:val="24"/>
          <w:szCs w:val="24"/>
          <w:lang w:val="en-US"/>
        </w:rPr>
        <w:t xml:space="preserve">. </w:t>
      </w:r>
      <w:r w:rsidRPr="009A27E8">
        <w:rPr>
          <w:rFonts w:ascii="Times New Roman" w:hAnsi="Times New Roman" w:cs="Times New Roman"/>
          <w:sz w:val="24"/>
          <w:szCs w:val="24"/>
          <w:lang w:val="en-US"/>
        </w:rPr>
        <w:t>Chi-square tests for significance were performed by using STATCALC (Epi Info version 7.2.0.1; Centers for Disease Control and Prevention, Atlanta, GA, USA).</w:t>
      </w:r>
    </w:p>
    <w:p w:rsidR="00C7734F" w:rsidRPr="00182D43"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t>Genomic DNA Extraction, Sequencing, Assembly and Deposition</w:t>
      </w: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lastRenderedPageBreak/>
        <w:t>Meningococci were grown overnight on Columbia agar with chocolated horse blood (Thermo Fisher Scientific) at 37°C in an atmosphere of air plus 5% CO</w:t>
      </w:r>
      <w:r w:rsidRPr="00182D43">
        <w:rPr>
          <w:rFonts w:ascii="Times New Roman" w:hAnsi="Times New Roman" w:cs="Times New Roman"/>
          <w:sz w:val="24"/>
          <w:szCs w:val="24"/>
          <w:vertAlign w:val="subscript"/>
          <w:lang w:val="en-US"/>
        </w:rPr>
        <w:t>2</w:t>
      </w:r>
      <w:r w:rsidRPr="00182D43">
        <w:rPr>
          <w:rFonts w:ascii="Times New Roman" w:hAnsi="Times New Roman" w:cs="Times New Roman"/>
          <w:sz w:val="24"/>
          <w:szCs w:val="24"/>
          <w:lang w:val="en-US"/>
        </w:rPr>
        <w:t xml:space="preserve">. Genomic DNA was extracted using the Wizard Genomic DNA Purification Kit (Promega) according to manufacturer instructions. </w:t>
      </w:r>
      <w:r w:rsidRPr="00B4101E">
        <w:rPr>
          <w:rFonts w:ascii="Times New Roman" w:hAnsi="Times New Roman" w:cs="Times New Roman"/>
          <w:sz w:val="24"/>
          <w:szCs w:val="24"/>
          <w:lang w:val="en-US"/>
        </w:rPr>
        <w:t>Index-tagged Illumina sequencing libraries were generated</w:t>
      </w:r>
      <w:r>
        <w:rPr>
          <w:rFonts w:ascii="Times New Roman" w:hAnsi="Times New Roman" w:cs="Times New Roman"/>
          <w:sz w:val="24"/>
          <w:szCs w:val="24"/>
          <w:lang w:val="en-US"/>
        </w:rPr>
        <w:t xml:space="preserve"> according to the manufacturer</w:t>
      </w:r>
      <w:r w:rsidRPr="00B4101E">
        <w:rPr>
          <w:rFonts w:ascii="Times New Roman" w:hAnsi="Times New Roman" w:cs="Times New Roman"/>
          <w:sz w:val="24"/>
          <w:szCs w:val="24"/>
          <w:lang w:val="en-US"/>
        </w:rPr>
        <w:t xml:space="preserve"> instructions, with an average insert size of 420</w:t>
      </w:r>
      <w:r>
        <w:rPr>
          <w:rFonts w:ascii="Times New Roman" w:hAnsi="Times New Roman" w:cs="Times New Roman"/>
          <w:sz w:val="24"/>
          <w:szCs w:val="24"/>
          <w:lang w:val="en-US"/>
        </w:rPr>
        <w:t xml:space="preserve"> </w:t>
      </w:r>
      <w:r w:rsidRPr="00B4101E">
        <w:rPr>
          <w:rFonts w:ascii="Times New Roman" w:hAnsi="Times New Roman" w:cs="Times New Roman"/>
          <w:sz w:val="24"/>
          <w:szCs w:val="24"/>
          <w:lang w:val="en-US"/>
        </w:rPr>
        <w:t>bp. These were multiplexed and sequenced on Illumina HiSeq 2500 machines to generate 125</w:t>
      </w:r>
      <w:r>
        <w:rPr>
          <w:rFonts w:ascii="Times New Roman" w:hAnsi="Times New Roman" w:cs="Times New Roman"/>
          <w:sz w:val="24"/>
          <w:szCs w:val="24"/>
          <w:lang w:val="en-US"/>
        </w:rPr>
        <w:t xml:space="preserve"> </w:t>
      </w:r>
      <w:r w:rsidRPr="00B4101E">
        <w:rPr>
          <w:rFonts w:ascii="Times New Roman" w:hAnsi="Times New Roman" w:cs="Times New Roman"/>
          <w:sz w:val="24"/>
          <w:szCs w:val="24"/>
          <w:lang w:val="en-US"/>
        </w:rPr>
        <w:t>bp paired-end sequences</w:t>
      </w:r>
      <w:r>
        <w:rPr>
          <w:rFonts w:ascii="Times New Roman" w:hAnsi="Times New Roman" w:cs="Times New Roman"/>
          <w:sz w:val="24"/>
          <w:szCs w:val="24"/>
          <w:lang w:val="en-US"/>
        </w:rPr>
        <w:t xml:space="preserve">. </w:t>
      </w:r>
      <w:r w:rsidRPr="00B4101E">
        <w:rPr>
          <w:rFonts w:ascii="Times New Roman" w:hAnsi="Times New Roman" w:cs="Times New Roman"/>
          <w:sz w:val="24"/>
          <w:szCs w:val="24"/>
          <w:lang w:val="en-US"/>
        </w:rPr>
        <w:t xml:space="preserve">An average of 2,773,968 reads per sample was generated, giving an average 125-fold coverage of the </w:t>
      </w:r>
      <w:r w:rsidRPr="00B4101E">
        <w:rPr>
          <w:rFonts w:ascii="Times New Roman" w:hAnsi="Times New Roman" w:cs="Times New Roman"/>
          <w:i/>
          <w:sz w:val="24"/>
          <w:szCs w:val="24"/>
          <w:lang w:val="en-US"/>
        </w:rPr>
        <w:t>N. meningitidis</w:t>
      </w:r>
      <w:r w:rsidRPr="00B4101E">
        <w:rPr>
          <w:rFonts w:ascii="Times New Roman" w:hAnsi="Times New Roman" w:cs="Times New Roman"/>
          <w:sz w:val="24"/>
          <w:szCs w:val="24"/>
          <w:lang w:val="en-US"/>
        </w:rPr>
        <w:t xml:space="preserve"> genome</w:t>
      </w:r>
      <w:r>
        <w:rPr>
          <w:rFonts w:ascii="Times New Roman" w:hAnsi="Times New Roman" w:cs="Times New Roman"/>
          <w:sz w:val="24"/>
          <w:szCs w:val="24"/>
          <w:lang w:val="en-US"/>
        </w:rPr>
        <w:t>.</w:t>
      </w:r>
      <w:r w:rsidRPr="00182D43">
        <w:rPr>
          <w:rFonts w:ascii="Times New Roman" w:hAnsi="Times New Roman" w:cs="Times New Roman"/>
          <w:sz w:val="24"/>
          <w:szCs w:val="24"/>
          <w:lang w:val="en-US"/>
        </w:rPr>
        <w:t xml:space="preserve"> </w:t>
      </w:r>
      <w:r>
        <w:rPr>
          <w:rFonts w:ascii="Times New Roman" w:hAnsi="Times New Roman"/>
          <w:sz w:val="24"/>
          <w:szCs w:val="24"/>
        </w:rPr>
        <w:t xml:space="preserve">Short read sequences were trimmed with Trimmomatic v0.32 </w:t>
      </w:r>
      <w:r>
        <w:rPr>
          <w:rFonts w:ascii="Times New Roman" w:hAnsi="Times New Roman"/>
          <w:noProof/>
          <w:sz w:val="24"/>
          <w:szCs w:val="24"/>
        </w:rPr>
        <w:t>[29]</w:t>
      </w:r>
      <w:r>
        <w:rPr>
          <w:rFonts w:ascii="Times New Roman" w:hAnsi="Times New Roman"/>
          <w:sz w:val="24"/>
          <w:szCs w:val="24"/>
        </w:rPr>
        <w:t xml:space="preserve"> and assembled with SPAdes v3.9.0 </w:t>
      </w:r>
      <w:r>
        <w:rPr>
          <w:rFonts w:ascii="Times New Roman" w:hAnsi="Times New Roman"/>
          <w:noProof/>
          <w:sz w:val="24"/>
          <w:szCs w:val="24"/>
        </w:rPr>
        <w:t>[30]</w:t>
      </w:r>
      <w:r>
        <w:rPr>
          <w:rFonts w:ascii="Times New Roman" w:hAnsi="Times New Roman"/>
          <w:sz w:val="24"/>
          <w:szCs w:val="24"/>
        </w:rPr>
        <w:t xml:space="preserve"> using the recommended parameters. </w:t>
      </w:r>
      <w:r w:rsidRPr="00182D43">
        <w:rPr>
          <w:rFonts w:ascii="Times New Roman" w:hAnsi="Times New Roman" w:cs="Times New Roman"/>
          <w:sz w:val="24"/>
          <w:szCs w:val="24"/>
          <w:lang w:val="en-US"/>
        </w:rPr>
        <w:t xml:space="preserve">Assemblies were deposited in, and subsequently automatically annotated by, the </w:t>
      </w:r>
      <w:r w:rsidRPr="00182D43">
        <w:rPr>
          <w:rFonts w:ascii="Times New Roman"/>
          <w:sz w:val="24"/>
          <w:szCs w:val="24"/>
          <w:lang w:val="en-US"/>
        </w:rPr>
        <w:t xml:space="preserve">PubMLST.org/neisseria database </w:t>
      </w:r>
      <w:r w:rsidRPr="00182D43">
        <w:rPr>
          <w:rFonts w:ascii="Times New Roman" w:hAnsi="Times New Roman" w:cs="Times New Roman"/>
          <w:sz w:val="24"/>
          <w:szCs w:val="24"/>
          <w:lang w:val="en-US"/>
        </w:rPr>
        <w:t xml:space="preserve">which implements the Bacterial Isolate Genome Sequence (BIGSdb) platform </w:t>
      </w:r>
      <w:r>
        <w:rPr>
          <w:rFonts w:ascii="Times New Roman" w:hAnsi="Times New Roman" w:cs="Times New Roman"/>
          <w:noProof/>
          <w:sz w:val="24"/>
          <w:szCs w:val="24"/>
          <w:lang w:val="en-US"/>
        </w:rPr>
        <w:t>[31]</w:t>
      </w:r>
      <w:r w:rsidRPr="00182D43">
        <w:rPr>
          <w:rFonts w:ascii="Times New Roman" w:hAnsi="Times New Roman" w:cs="Times New Roman"/>
          <w:sz w:val="24"/>
          <w:szCs w:val="24"/>
          <w:lang w:val="en-US"/>
        </w:rPr>
        <w:t xml:space="preserve">. Short-read sequences were also deposited in the </w:t>
      </w:r>
      <w:r w:rsidRPr="001C21B6">
        <w:rPr>
          <w:rFonts w:ascii="Times New Roman" w:hAnsi="Times New Roman" w:cs="Times New Roman"/>
          <w:sz w:val="24"/>
          <w:szCs w:val="24"/>
          <w:lang w:val="en-US"/>
        </w:rPr>
        <w:t>European Nucleotide Archive (ENA) (Supplementary Table 1).</w:t>
      </w:r>
      <w:r w:rsidRPr="00182D43">
        <w:rPr>
          <w:rFonts w:ascii="Times New Roman" w:hAnsi="Times New Roman" w:cs="Times New Roman"/>
          <w:sz w:val="24"/>
          <w:szCs w:val="24"/>
          <w:lang w:val="en-US"/>
        </w:rPr>
        <w:t xml:space="preserve"> </w:t>
      </w:r>
    </w:p>
    <w:p w:rsidR="00C7734F" w:rsidRDefault="00C7734F" w:rsidP="009037F9">
      <w:pPr>
        <w:spacing w:after="0" w:line="480" w:lineRule="auto"/>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t>Genomic Analyses</w:t>
      </w:r>
    </w:p>
    <w:p w:rsidR="00C7734F" w:rsidRPr="00182D43" w:rsidRDefault="00C7734F" w:rsidP="009037F9">
      <w:pPr>
        <w:spacing w:after="0" w:line="480" w:lineRule="auto"/>
        <w:rPr>
          <w:rFonts w:ascii="Times New Roman" w:hAnsi="Times New Roman" w:cs="Times New Roman"/>
          <w:iCs/>
          <w:sz w:val="24"/>
          <w:szCs w:val="24"/>
          <w:lang w:val="en-US"/>
        </w:rPr>
      </w:pPr>
      <w:r w:rsidRPr="00182D43">
        <w:rPr>
          <w:rFonts w:ascii="Times New Roman" w:hAnsi="Times New Roman" w:cs="Times New Roman"/>
          <w:sz w:val="24"/>
          <w:szCs w:val="24"/>
          <w:lang w:val="en-US"/>
        </w:rPr>
        <w:t xml:space="preserve">Isolate capsular </w:t>
      </w:r>
      <w:r>
        <w:rPr>
          <w:rFonts w:ascii="Times New Roman" w:hAnsi="Times New Roman" w:cs="Times New Roman"/>
          <w:sz w:val="24"/>
          <w:szCs w:val="24"/>
          <w:lang w:val="en-US"/>
        </w:rPr>
        <w:t>groups</w:t>
      </w:r>
      <w:r w:rsidRPr="00182D43">
        <w:rPr>
          <w:rFonts w:ascii="Times New Roman" w:hAnsi="Times New Roman" w:cs="Times New Roman"/>
          <w:sz w:val="24"/>
          <w:szCs w:val="24"/>
          <w:lang w:val="en-US"/>
        </w:rPr>
        <w:t xml:space="preserve">, multilocus sequence types, and porin A (PorA) and ferric enterochelin receptor (FetA) types were identified from whole genome data. </w:t>
      </w:r>
      <w:r>
        <w:rPr>
          <w:rFonts w:ascii="Times New Roman" w:hAnsi="Times New Roman" w:cs="Times New Roman"/>
          <w:sz w:val="24"/>
          <w:szCs w:val="24"/>
          <w:lang w:val="en-US"/>
        </w:rPr>
        <w:t xml:space="preserve">For </w:t>
      </w:r>
      <w:r>
        <w:rPr>
          <w:rFonts w:ascii="Times New Roman" w:hAnsi="Times New Roman" w:cs="Times New Roman"/>
          <w:iCs/>
          <w:sz w:val="24"/>
          <w:szCs w:val="24"/>
          <w:lang w:val="en-US"/>
        </w:rPr>
        <w:t>MenW:cc11 carriage isolates, p</w:t>
      </w:r>
      <w:r w:rsidRPr="00182D43">
        <w:rPr>
          <w:rFonts w:ascii="Times New Roman" w:hAnsi="Times New Roman" w:cs="Times New Roman"/>
          <w:sz w:val="24"/>
          <w:szCs w:val="24"/>
          <w:lang w:val="en-US"/>
        </w:rPr>
        <w:t>opulation-wide genomic analyses w</w:t>
      </w:r>
      <w:r>
        <w:rPr>
          <w:rFonts w:ascii="Times New Roman" w:hAnsi="Times New Roman" w:cs="Times New Roman"/>
          <w:sz w:val="24"/>
          <w:szCs w:val="24"/>
          <w:lang w:val="en-US"/>
        </w:rPr>
        <w:t>ere</w:t>
      </w:r>
      <w:r w:rsidRPr="00182D43">
        <w:rPr>
          <w:rFonts w:ascii="Times New Roman" w:hAnsi="Times New Roman" w:cs="Times New Roman"/>
          <w:sz w:val="24"/>
          <w:szCs w:val="24"/>
          <w:lang w:val="en-US"/>
        </w:rPr>
        <w:t xml:space="preserve"> undertaken using the BIGSdb Genome Comparator tool implemented within the </w:t>
      </w:r>
      <w:r w:rsidRPr="00182D43">
        <w:rPr>
          <w:rFonts w:ascii="Times New Roman"/>
          <w:sz w:val="24"/>
          <w:szCs w:val="24"/>
          <w:lang w:val="en-US"/>
        </w:rPr>
        <w:t xml:space="preserve">PubMLST.org/neisseria </w:t>
      </w:r>
      <w:r w:rsidRPr="00182D43">
        <w:rPr>
          <w:rFonts w:ascii="Times New Roman" w:hAnsi="Times New Roman" w:cs="Times New Roman"/>
          <w:sz w:val="24"/>
          <w:szCs w:val="24"/>
          <w:lang w:val="en-US"/>
        </w:rPr>
        <w:t xml:space="preserve">database using the </w:t>
      </w:r>
      <w:r w:rsidRPr="00182D43">
        <w:rPr>
          <w:rFonts w:ascii="Times New Roman" w:hAnsi="Times New Roman" w:cs="Times New Roman"/>
          <w:i/>
          <w:sz w:val="24"/>
          <w:szCs w:val="24"/>
          <w:lang w:val="en-US"/>
        </w:rPr>
        <w:t>N. meningitidis</w:t>
      </w:r>
      <w:r w:rsidRPr="00182D43">
        <w:rPr>
          <w:rFonts w:ascii="Times New Roman" w:hAnsi="Times New Roman" w:cs="Times New Roman"/>
          <w:sz w:val="24"/>
          <w:szCs w:val="24"/>
          <w:lang w:val="en-US"/>
        </w:rPr>
        <w:t xml:space="preserve"> cgMLST v1.0 core genome scheme (1605 loci) </w:t>
      </w:r>
      <w:r>
        <w:rPr>
          <w:rFonts w:ascii="Times New Roman" w:hAnsi="Times New Roman" w:cs="Times New Roman"/>
          <w:sz w:val="24"/>
          <w:szCs w:val="24"/>
          <w:lang w:val="en-US"/>
        </w:rPr>
        <w:t>and</w:t>
      </w:r>
      <w:r w:rsidRPr="00182D43">
        <w:rPr>
          <w:rFonts w:ascii="Times New Roman" w:hAnsi="Times New Roman" w:cs="Times New Roman"/>
          <w:sz w:val="24"/>
          <w:szCs w:val="24"/>
          <w:lang w:val="en-US"/>
        </w:rPr>
        <w:t xml:space="preserve"> default settings </w:t>
      </w:r>
      <w:r>
        <w:rPr>
          <w:rFonts w:ascii="Times New Roman" w:hAnsi="Times New Roman" w:cs="Times New Roman"/>
          <w:noProof/>
          <w:sz w:val="24"/>
          <w:szCs w:val="24"/>
          <w:lang w:val="en-US"/>
        </w:rPr>
        <w:t>[31]</w:t>
      </w:r>
      <w:r w:rsidRPr="00182D43">
        <w:rPr>
          <w:rFonts w:ascii="Times New Roman" w:hAnsi="Times New Roman" w:cs="Times New Roman"/>
          <w:sz w:val="24"/>
          <w:szCs w:val="24"/>
          <w:lang w:val="en-US"/>
        </w:rPr>
        <w:t xml:space="preserve">. </w:t>
      </w:r>
      <w:r w:rsidRPr="00182D43">
        <w:rPr>
          <w:rFonts w:ascii="Times New Roman"/>
          <w:sz w:val="24"/>
          <w:szCs w:val="24"/>
          <w:lang w:val="en-US"/>
        </w:rPr>
        <w:t xml:space="preserve">Output distance matrices (Nexus format) were used to generate NeighborNet </w:t>
      </w:r>
      <w:r>
        <w:rPr>
          <w:rFonts w:ascii="Times New Roman"/>
          <w:sz w:val="24"/>
          <w:szCs w:val="24"/>
          <w:lang w:val="en-US"/>
        </w:rPr>
        <w:t>networks</w:t>
      </w:r>
      <w:r w:rsidRPr="00182D43">
        <w:rPr>
          <w:rFonts w:ascii="Times New Roman"/>
          <w:sz w:val="24"/>
          <w:szCs w:val="24"/>
          <w:lang w:val="en-US"/>
        </w:rPr>
        <w:t xml:space="preserve"> </w:t>
      </w:r>
      <w:r>
        <w:rPr>
          <w:rFonts w:ascii="Times New Roman"/>
          <w:sz w:val="24"/>
          <w:szCs w:val="24"/>
          <w:lang w:val="en-US"/>
        </w:rPr>
        <w:t xml:space="preserve">using </w:t>
      </w:r>
      <w:r w:rsidRPr="00182D43">
        <w:rPr>
          <w:rFonts w:ascii="Times New Roman"/>
          <w:sz w:val="24"/>
          <w:szCs w:val="24"/>
          <w:lang w:val="en-US"/>
        </w:rPr>
        <w:t>SplitsTree4 (v4.14.</w:t>
      </w:r>
      <w:r>
        <w:rPr>
          <w:rFonts w:ascii="Times New Roman"/>
          <w:sz w:val="24"/>
          <w:szCs w:val="24"/>
          <w:lang w:val="en-US"/>
        </w:rPr>
        <w:t>5</w:t>
      </w:r>
      <w:r w:rsidRPr="00182D43">
        <w:rPr>
          <w:rFonts w:ascii="Times New Roman"/>
          <w:sz w:val="24"/>
          <w:szCs w:val="24"/>
          <w:lang w:val="en-US"/>
        </w:rPr>
        <w:t>)</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WGS data from </w:t>
      </w:r>
      <w:r>
        <w:rPr>
          <w:rFonts w:ascii="Times New Roman" w:hAnsi="Times New Roman" w:cs="Times New Roman"/>
          <w:iCs/>
          <w:sz w:val="24"/>
          <w:szCs w:val="24"/>
          <w:lang w:val="en-US"/>
        </w:rPr>
        <w:t xml:space="preserve">MenW:cc11 carriage isolates were analyzed in conjunction with two other WGS data sets: (1) all UK </w:t>
      </w:r>
      <w:r w:rsidRPr="00182D43">
        <w:rPr>
          <w:rFonts w:ascii="Times New Roman" w:hAnsi="Times New Roman" w:cs="Times New Roman"/>
          <w:iCs/>
          <w:sz w:val="24"/>
          <w:szCs w:val="24"/>
          <w:lang w:val="en-US"/>
        </w:rPr>
        <w:t>MenW</w:t>
      </w:r>
      <w:r>
        <w:rPr>
          <w:rFonts w:ascii="Times New Roman" w:hAnsi="Times New Roman" w:cs="Times New Roman"/>
          <w:iCs/>
          <w:sz w:val="24"/>
          <w:szCs w:val="24"/>
          <w:lang w:val="en-US"/>
        </w:rPr>
        <w:t>:cc11</w:t>
      </w:r>
      <w:r w:rsidRPr="00182D4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invasive</w:t>
      </w:r>
      <w:r w:rsidRPr="00182D43">
        <w:rPr>
          <w:rFonts w:ascii="Times New Roman" w:hAnsi="Times New Roman" w:cs="Times New Roman"/>
          <w:iCs/>
          <w:sz w:val="24"/>
          <w:szCs w:val="24"/>
          <w:lang w:val="en-US"/>
        </w:rPr>
        <w:t xml:space="preserve"> isolates for the epidemiological year</w:t>
      </w:r>
      <w:r>
        <w:rPr>
          <w:rFonts w:ascii="Times New Roman" w:hAnsi="Times New Roman" w:cs="Times New Roman"/>
          <w:iCs/>
          <w:sz w:val="24"/>
          <w:szCs w:val="24"/>
          <w:lang w:val="en-US"/>
        </w:rPr>
        <w:t xml:space="preserve"> </w:t>
      </w:r>
      <w:r w:rsidRPr="00182D43">
        <w:rPr>
          <w:rFonts w:ascii="Times New Roman" w:hAnsi="Times New Roman" w:cs="Times New Roman"/>
          <w:iCs/>
          <w:sz w:val="24"/>
          <w:szCs w:val="24"/>
          <w:lang w:val="en-US"/>
        </w:rPr>
        <w:t>2015-16</w:t>
      </w:r>
      <w:r>
        <w:rPr>
          <w:rFonts w:ascii="Times New Roman" w:hAnsi="Times New Roman" w:cs="Times New Roman"/>
          <w:iCs/>
          <w:sz w:val="24"/>
          <w:szCs w:val="24"/>
          <w:lang w:val="en-US"/>
        </w:rPr>
        <w:t xml:space="preserve"> </w:t>
      </w:r>
      <w:r w:rsidRPr="0033602D">
        <w:rPr>
          <w:rFonts w:ascii="Times New Roman" w:hAnsi="Times New Roman" w:cs="Times New Roman"/>
          <w:iCs/>
          <w:sz w:val="24"/>
          <w:szCs w:val="24"/>
          <w:lang w:val="en-US"/>
        </w:rPr>
        <w:t>(</w:t>
      </w:r>
      <w:r w:rsidRPr="0033602D">
        <w:rPr>
          <w:rFonts w:ascii="Times New Roman" w:hAnsi="Times New Roman" w:cs="Times New Roman"/>
          <w:i/>
          <w:iCs/>
          <w:sz w:val="24"/>
          <w:szCs w:val="24"/>
          <w:lang w:val="en-US"/>
        </w:rPr>
        <w:t>n=</w:t>
      </w:r>
      <w:r w:rsidRPr="0033602D">
        <w:rPr>
          <w:rFonts w:ascii="Times New Roman" w:hAnsi="Times New Roman" w:cs="Times New Roman"/>
          <w:iCs/>
          <w:sz w:val="24"/>
          <w:szCs w:val="24"/>
          <w:lang w:val="en-US"/>
        </w:rPr>
        <w:t>190)</w:t>
      </w:r>
      <w:r w:rsidRPr="00485BFC">
        <w:rPr>
          <w:rFonts w:ascii="Times New Roman" w:hAnsi="Times New Roman" w:cs="Times New Roman"/>
          <w:iCs/>
          <w:sz w:val="24"/>
          <w:szCs w:val="24"/>
          <w:lang w:val="en-US"/>
        </w:rPr>
        <w:t xml:space="preserve"> available</w:t>
      </w:r>
      <w:r>
        <w:rPr>
          <w:rFonts w:ascii="Times New Roman" w:hAnsi="Times New Roman" w:cs="Times New Roman"/>
          <w:iCs/>
          <w:sz w:val="24"/>
          <w:szCs w:val="24"/>
          <w:lang w:val="en-US"/>
        </w:rPr>
        <w:t xml:space="preserve"> v</w:t>
      </w:r>
      <w:r w:rsidRPr="00182D43">
        <w:rPr>
          <w:rFonts w:ascii="Times New Roman" w:hAnsi="Times New Roman" w:cs="Times New Roman"/>
          <w:iCs/>
          <w:sz w:val="24"/>
          <w:szCs w:val="24"/>
          <w:lang w:val="en-US"/>
        </w:rPr>
        <w:t>ia the</w:t>
      </w:r>
      <w:r w:rsidRPr="00182D43">
        <w:rPr>
          <w:iCs/>
          <w:lang w:val="en-US"/>
        </w:rPr>
        <w:t xml:space="preserve"> </w:t>
      </w:r>
      <w:r w:rsidRPr="00182D43">
        <w:rPr>
          <w:rFonts w:ascii="Times New Roman" w:hAnsi="Times New Roman" w:cs="Times New Roman"/>
          <w:iCs/>
          <w:sz w:val="24"/>
          <w:szCs w:val="24"/>
          <w:lang w:val="en-US"/>
        </w:rPr>
        <w:t>Meningitis Research Foundation</w:t>
      </w:r>
      <w:r>
        <w:rPr>
          <w:rFonts w:ascii="Times New Roman" w:hAnsi="Times New Roman" w:cs="Times New Roman"/>
          <w:iCs/>
          <w:sz w:val="24"/>
          <w:szCs w:val="24"/>
          <w:lang w:val="en-US"/>
        </w:rPr>
        <w:t xml:space="preserve"> (MRF)</w:t>
      </w:r>
      <w:r w:rsidRPr="00182D43">
        <w:rPr>
          <w:rFonts w:ascii="Times New Roman" w:hAnsi="Times New Roman" w:cs="Times New Roman"/>
          <w:iCs/>
          <w:sz w:val="24"/>
          <w:szCs w:val="24"/>
          <w:lang w:val="en-US"/>
        </w:rPr>
        <w:t xml:space="preserve"> Meningococcus Genome Library database </w:t>
      </w:r>
      <w:r w:rsidRPr="00182D43">
        <w:rPr>
          <w:rFonts w:ascii="Times New Roman" w:hAnsi="Times New Roman" w:cs="Times New Roman"/>
          <w:iCs/>
          <w:sz w:val="24"/>
          <w:szCs w:val="24"/>
          <w:lang w:val="en-US"/>
        </w:rPr>
        <w:lastRenderedPageBreak/>
        <w:t>(</w:t>
      </w:r>
      <w:hyperlink r:id="rId8" w:history="1">
        <w:r w:rsidRPr="00182D43">
          <w:rPr>
            <w:rStyle w:val="Hyperlink"/>
            <w:rFonts w:ascii="Times New Roman" w:hAnsi="Times New Roman" w:cs="Times New Roman"/>
            <w:iCs/>
            <w:sz w:val="24"/>
            <w:szCs w:val="24"/>
            <w:lang w:val="en-US"/>
          </w:rPr>
          <w:t>http://pubmlst.org/perl/bigsdb/bigsdb.pl?db=pubmlst_neisseria_mrfgenomes</w:t>
        </w:r>
      </w:hyperlink>
      <w:r w:rsidRPr="00182D43">
        <w:rPr>
          <w:rFonts w:ascii="Times New Roman" w:hAnsi="Times New Roman" w:cs="Times New Roman"/>
          <w:iCs/>
          <w:sz w:val="24"/>
          <w:szCs w:val="24"/>
          <w:lang w:val="en-US"/>
        </w:rPr>
        <w:t>; accessed Ju</w:t>
      </w:r>
      <w:r>
        <w:rPr>
          <w:rFonts w:ascii="Times New Roman" w:hAnsi="Times New Roman" w:cs="Times New Roman"/>
          <w:iCs/>
          <w:sz w:val="24"/>
          <w:szCs w:val="24"/>
          <w:lang w:val="en-US"/>
        </w:rPr>
        <w:t>ly</w:t>
      </w:r>
      <w:r w:rsidRPr="00182D43">
        <w:rPr>
          <w:rFonts w:ascii="Times New Roman" w:hAnsi="Times New Roman" w:cs="Times New Roman"/>
          <w:iCs/>
          <w:sz w:val="24"/>
          <w:szCs w:val="24"/>
          <w:lang w:val="en-US"/>
        </w:rPr>
        <w:t xml:space="preserve"> 2017</w:t>
      </w:r>
      <w:r>
        <w:rPr>
          <w:rFonts w:ascii="Times New Roman" w:hAnsi="Times New Roman" w:cs="Times New Roman"/>
          <w:iCs/>
          <w:sz w:val="24"/>
          <w:szCs w:val="24"/>
          <w:lang w:val="en-US"/>
        </w:rPr>
        <w:t xml:space="preserve">), and (2) a sub-set of the isolates previously used to define the sub-lineages/strains of lineage 11.1 by core genome analysis </w:t>
      </w:r>
      <w:r>
        <w:rPr>
          <w:rFonts w:ascii="Times New Roman" w:hAnsi="Times New Roman" w:cs="Times New Roman"/>
          <w:iCs/>
          <w:noProof/>
          <w:sz w:val="24"/>
          <w:szCs w:val="24"/>
          <w:lang w:val="en-US"/>
        </w:rPr>
        <w:t>[12, 15]</w:t>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n</w:t>
      </w:r>
      <w:r>
        <w:rPr>
          <w:rFonts w:ascii="Times New Roman" w:hAnsi="Times New Roman" w:cs="Times New Roman"/>
          <w:iCs/>
          <w:sz w:val="24"/>
          <w:szCs w:val="24"/>
          <w:lang w:val="en-US"/>
        </w:rPr>
        <w:t xml:space="preserve">=60; Supplementary Table 2 and available via at </w:t>
      </w:r>
      <w:hyperlink r:id="rId9" w:history="1">
        <w:r w:rsidRPr="00261130">
          <w:rPr>
            <w:rStyle w:val="Hyperlink"/>
            <w:rFonts w:ascii="Times New Roman" w:hAnsi="Times New Roman" w:cs="Times New Roman"/>
            <w:iCs/>
            <w:sz w:val="24"/>
            <w:szCs w:val="24"/>
            <w:lang w:val="en-US"/>
          </w:rPr>
          <w:t>https://pubmlst.org/bigsdb?db=pubmlst_neisseria_isolates</w:t>
        </w:r>
      </w:hyperlink>
      <w:r>
        <w:rPr>
          <w:rFonts w:ascii="Times New Roman" w:hAnsi="Times New Roman" w:cs="Times New Roman"/>
          <w:iCs/>
          <w:sz w:val="24"/>
          <w:szCs w:val="24"/>
          <w:lang w:val="en-US"/>
        </w:rPr>
        <w:t xml:space="preserve">; accessed July 2017). </w:t>
      </w:r>
    </w:p>
    <w:p w:rsidR="00C7734F" w:rsidRDefault="00C7734F" w:rsidP="009037F9">
      <w:pPr>
        <w:spacing w:after="0" w:line="480" w:lineRule="auto"/>
        <w:rPr>
          <w:rFonts w:ascii="Times New Roman" w:hAnsi="Times New Roman" w:cs="Times New Roman"/>
          <w:b/>
          <w:sz w:val="24"/>
          <w:szCs w:val="24"/>
          <w:lang w:val="en-US"/>
        </w:rPr>
      </w:pP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t>RESULTS</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sz w:val="24"/>
          <w:szCs w:val="24"/>
          <w:lang w:val="en-US"/>
        </w:rPr>
        <w:t>Features of Sequenced Carriage Genomes</w:t>
      </w: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After de novo assembly, the </w:t>
      </w:r>
      <w:r w:rsidRPr="00207401">
        <w:rPr>
          <w:rFonts w:ascii="Times New Roman" w:hAnsi="Times New Roman" w:cs="Times New Roman"/>
          <w:sz w:val="24"/>
          <w:szCs w:val="24"/>
          <w:lang w:val="en-US"/>
        </w:rPr>
        <w:t>1</w:t>
      </w:r>
      <w:r>
        <w:rPr>
          <w:rFonts w:ascii="Times New Roman" w:hAnsi="Times New Roman" w:cs="Times New Roman"/>
          <w:sz w:val="24"/>
          <w:szCs w:val="24"/>
          <w:lang w:val="en-US"/>
        </w:rPr>
        <w:t xml:space="preserve">25 </w:t>
      </w:r>
      <w:r w:rsidRPr="00207401">
        <w:rPr>
          <w:rFonts w:ascii="Times New Roman" w:hAnsi="Times New Roman" w:cs="Times New Roman"/>
          <w:sz w:val="24"/>
          <w:szCs w:val="24"/>
          <w:lang w:val="en-US"/>
        </w:rPr>
        <w:t>bp paired</w:t>
      </w:r>
      <w:r w:rsidRPr="00182D43">
        <w:rPr>
          <w:rFonts w:ascii="Times New Roman" w:hAnsi="Times New Roman" w:cs="Times New Roman"/>
          <w:sz w:val="24"/>
          <w:szCs w:val="24"/>
          <w:lang w:val="en-US"/>
        </w:rPr>
        <w:t xml:space="preserve"> Illumina reads from carriage isolates produced contiguous sequences between 2,0</w:t>
      </w:r>
      <w:r>
        <w:rPr>
          <w:rFonts w:ascii="Times New Roman" w:hAnsi="Times New Roman" w:cs="Times New Roman"/>
          <w:sz w:val="24"/>
          <w:szCs w:val="24"/>
          <w:lang w:val="en-US"/>
        </w:rPr>
        <w:t>18</w:t>
      </w:r>
      <w:r w:rsidRPr="00182D43">
        <w:rPr>
          <w:rFonts w:ascii="Times New Roman" w:hAnsi="Times New Roman" w:cs="Times New Roman"/>
          <w:sz w:val="24"/>
          <w:szCs w:val="24"/>
          <w:lang w:val="en-US"/>
        </w:rPr>
        <w:t>,</w:t>
      </w:r>
      <w:r>
        <w:rPr>
          <w:rFonts w:ascii="Times New Roman" w:hAnsi="Times New Roman" w:cs="Times New Roman"/>
          <w:sz w:val="24"/>
          <w:szCs w:val="24"/>
          <w:lang w:val="en-US"/>
        </w:rPr>
        <w:t>737</w:t>
      </w:r>
      <w:r w:rsidRPr="00182D43">
        <w:rPr>
          <w:rFonts w:ascii="Times New Roman" w:hAnsi="Times New Roman" w:cs="Times New Roman"/>
          <w:sz w:val="24"/>
          <w:szCs w:val="24"/>
          <w:lang w:val="en-US"/>
        </w:rPr>
        <w:t xml:space="preserve"> to 2,155,185 bp in size, consistent with expectations for meningococcal genomes (Supplementary Table 1). Genome assemblies were automatically annotated in a ‘gene-by-gene’ approach using the BIGSdb platform and strain designation data extracted (Supplementary Table 1). </w:t>
      </w:r>
      <w:r>
        <w:rPr>
          <w:rFonts w:ascii="Times New Roman" w:hAnsi="Times New Roman" w:cs="Times New Roman"/>
          <w:sz w:val="24"/>
          <w:szCs w:val="24"/>
          <w:lang w:val="en-US"/>
        </w:rPr>
        <w:t>For comparison, i</w:t>
      </w:r>
      <w:r w:rsidRPr="00182D43">
        <w:rPr>
          <w:rFonts w:ascii="Times New Roman" w:hAnsi="Times New Roman" w:cs="Times New Roman"/>
          <w:sz w:val="24"/>
          <w:szCs w:val="24"/>
          <w:lang w:val="en-US"/>
        </w:rPr>
        <w:t xml:space="preserve">dentical typing information was extracted from the WGS data of </w:t>
      </w:r>
      <w:r>
        <w:rPr>
          <w:rFonts w:ascii="Times New Roman" w:hAnsi="Times New Roman" w:cs="Times New Roman"/>
          <w:sz w:val="24"/>
          <w:szCs w:val="24"/>
          <w:lang w:val="en-US"/>
        </w:rPr>
        <w:t xml:space="preserve">all </w:t>
      </w:r>
      <w:r w:rsidRPr="00182D43">
        <w:rPr>
          <w:rFonts w:ascii="Times New Roman" w:hAnsi="Times New Roman" w:cs="Times New Roman"/>
          <w:sz w:val="24"/>
          <w:szCs w:val="24"/>
          <w:lang w:val="en-US"/>
        </w:rPr>
        <w:t>invasive UK MenW (</w:t>
      </w:r>
      <w:r w:rsidRPr="00182D43">
        <w:rPr>
          <w:rFonts w:ascii="Times New Roman" w:hAnsi="Times New Roman" w:cs="Times New Roman"/>
          <w:i/>
          <w:sz w:val="24"/>
          <w:szCs w:val="24"/>
          <w:lang w:val="en-US"/>
        </w:rPr>
        <w:t>n=</w:t>
      </w:r>
      <w:r>
        <w:rPr>
          <w:rFonts w:ascii="Times New Roman" w:hAnsi="Times New Roman" w:cs="Times New Roman"/>
          <w:sz w:val="24"/>
          <w:szCs w:val="24"/>
          <w:lang w:val="en-US"/>
        </w:rPr>
        <w:t>200) and MenY (</w:t>
      </w:r>
      <w:r>
        <w:rPr>
          <w:rFonts w:ascii="Times New Roman" w:hAnsi="Times New Roman" w:cs="Times New Roman"/>
          <w:i/>
          <w:sz w:val="24"/>
          <w:szCs w:val="24"/>
          <w:lang w:val="en-US"/>
        </w:rPr>
        <w:t>n</w:t>
      </w:r>
      <w:r w:rsidRPr="00145510">
        <w:rPr>
          <w:rFonts w:ascii="Times New Roman" w:hAnsi="Times New Roman" w:cs="Times New Roman"/>
          <w:sz w:val="24"/>
          <w:szCs w:val="24"/>
          <w:lang w:val="en-US"/>
        </w:rPr>
        <w:t>=104</w:t>
      </w:r>
      <w:r>
        <w:rPr>
          <w:rFonts w:ascii="Times New Roman" w:hAnsi="Times New Roman" w:cs="Times New Roman"/>
          <w:sz w:val="24"/>
          <w:szCs w:val="24"/>
          <w:lang w:val="en-US"/>
        </w:rPr>
        <w:t xml:space="preserve">) isolates </w:t>
      </w:r>
      <w:r w:rsidRPr="00182D43">
        <w:rPr>
          <w:rFonts w:ascii="Times New Roman" w:hAnsi="Times New Roman" w:cs="Times New Roman"/>
          <w:sz w:val="24"/>
          <w:szCs w:val="24"/>
          <w:lang w:val="en-US"/>
        </w:rPr>
        <w:t xml:space="preserve">recovered during </w:t>
      </w:r>
      <w:r>
        <w:rPr>
          <w:rFonts w:ascii="Times New Roman" w:hAnsi="Times New Roman" w:cs="Times New Roman"/>
          <w:sz w:val="24"/>
          <w:szCs w:val="24"/>
          <w:lang w:val="en-US"/>
        </w:rPr>
        <w:t>the same epidemiological year (2015-2016),</w:t>
      </w:r>
      <w:r w:rsidRPr="00182D43">
        <w:rPr>
          <w:rFonts w:ascii="Times New Roman" w:hAnsi="Times New Roman" w:cs="Times New Roman"/>
          <w:sz w:val="24"/>
          <w:szCs w:val="24"/>
          <w:lang w:val="en-US"/>
        </w:rPr>
        <w:t xml:space="preserve"> and available via the MRF Meningococcus Genome Library </w:t>
      </w:r>
      <w:r w:rsidRPr="00755A5B">
        <w:rPr>
          <w:rFonts w:ascii="Times New Roman" w:hAnsi="Times New Roman" w:cs="Times New Roman"/>
          <w:sz w:val="24"/>
          <w:szCs w:val="24"/>
          <w:lang w:val="en-US"/>
        </w:rPr>
        <w:t xml:space="preserve">database </w:t>
      </w:r>
      <w:r w:rsidRPr="000940EF">
        <w:rPr>
          <w:rFonts w:ascii="Times New Roman" w:hAnsi="Times New Roman" w:cs="Times New Roman"/>
          <w:sz w:val="24"/>
          <w:szCs w:val="24"/>
          <w:lang w:val="en-US"/>
        </w:rPr>
        <w:t>(Supplementary Tables 3 and 4, respectively).</w:t>
      </w:r>
      <w:r>
        <w:rPr>
          <w:rFonts w:ascii="Times New Roman" w:hAnsi="Times New Roman" w:cs="Times New Roman"/>
          <w:sz w:val="24"/>
          <w:szCs w:val="24"/>
          <w:lang w:val="en-US"/>
        </w:rPr>
        <w:t xml:space="preserve"> </w:t>
      </w:r>
    </w:p>
    <w:p w:rsidR="00C7734F" w:rsidRDefault="00C7734F" w:rsidP="009037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For MenW, i</w:t>
      </w:r>
      <w:r w:rsidRPr="00182D43">
        <w:rPr>
          <w:rFonts w:ascii="Times New Roman" w:hAnsi="Times New Roman" w:cs="Times New Roman"/>
          <w:sz w:val="24"/>
          <w:szCs w:val="24"/>
          <w:lang w:val="en-US"/>
        </w:rPr>
        <w:t xml:space="preserve">solates from </w:t>
      </w:r>
      <w:r>
        <w:rPr>
          <w:rFonts w:ascii="Times New Roman" w:hAnsi="Times New Roman" w:cs="Times New Roman"/>
          <w:sz w:val="24"/>
          <w:szCs w:val="24"/>
          <w:lang w:val="en-US"/>
        </w:rPr>
        <w:t>cc</w:t>
      </w:r>
      <w:r w:rsidRPr="00182D43">
        <w:rPr>
          <w:rFonts w:ascii="Times New Roman" w:hAnsi="Times New Roman" w:cs="Times New Roman"/>
          <w:sz w:val="24"/>
          <w:szCs w:val="24"/>
          <w:lang w:val="en-US"/>
        </w:rPr>
        <w:t xml:space="preserve">11 predominated </w:t>
      </w:r>
      <w:r w:rsidRPr="001F319C">
        <w:rPr>
          <w:rFonts w:ascii="Times New Roman" w:hAnsi="Times New Roman" w:cs="Times New Roman"/>
          <w:sz w:val="24"/>
          <w:szCs w:val="24"/>
          <w:lang w:val="en-US"/>
        </w:rPr>
        <w:t>(95%),</w:t>
      </w:r>
      <w:r w:rsidRPr="00182D43">
        <w:rPr>
          <w:rFonts w:ascii="Times New Roman" w:hAnsi="Times New Roman" w:cs="Times New Roman"/>
          <w:sz w:val="24"/>
          <w:szCs w:val="24"/>
          <w:lang w:val="en-US"/>
        </w:rPr>
        <w:t xml:space="preserve"> with the </w:t>
      </w:r>
      <w:r>
        <w:rPr>
          <w:rFonts w:ascii="Times New Roman" w:hAnsi="Times New Roman" w:cs="Times New Roman"/>
          <w:sz w:val="24"/>
          <w:szCs w:val="24"/>
          <w:lang w:val="en-US"/>
        </w:rPr>
        <w:t xml:space="preserve">strain </w:t>
      </w:r>
      <w:r w:rsidRPr="00182D43">
        <w:rPr>
          <w:rFonts w:ascii="Times New Roman" w:hAnsi="Times New Roman" w:cs="Times New Roman"/>
          <w:sz w:val="24"/>
          <w:szCs w:val="24"/>
          <w:lang w:val="en-US"/>
        </w:rPr>
        <w:t>designation W: P1.5,2: F1-1: ST-11 (</w:t>
      </w:r>
      <w:r>
        <w:rPr>
          <w:rFonts w:ascii="Times New Roman" w:hAnsi="Times New Roman" w:cs="Times New Roman"/>
          <w:sz w:val="24"/>
          <w:szCs w:val="24"/>
          <w:lang w:val="en-US"/>
        </w:rPr>
        <w:t>cc</w:t>
      </w:r>
      <w:r w:rsidRPr="00182D43">
        <w:rPr>
          <w:rFonts w:ascii="Times New Roman" w:hAnsi="Times New Roman" w:cs="Times New Roman"/>
          <w:sz w:val="24"/>
          <w:szCs w:val="24"/>
          <w:lang w:val="en-US"/>
        </w:rPr>
        <w:t>11) accounting</w:t>
      </w:r>
      <w:r>
        <w:rPr>
          <w:rFonts w:ascii="Times New Roman" w:hAnsi="Times New Roman" w:cs="Times New Roman"/>
          <w:sz w:val="24"/>
          <w:szCs w:val="24"/>
          <w:lang w:val="en-US"/>
        </w:rPr>
        <w:t xml:space="preserve"> for 88% of all MenW</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carriage, and 72% of all </w:t>
      </w:r>
      <w:r w:rsidRPr="00182D43">
        <w:rPr>
          <w:rFonts w:ascii="Times New Roman" w:hAnsi="Times New Roman" w:cs="Times New Roman"/>
          <w:sz w:val="24"/>
          <w:szCs w:val="24"/>
          <w:lang w:val="en-US"/>
        </w:rPr>
        <w:t>MenW</w:t>
      </w:r>
      <w:r>
        <w:rPr>
          <w:rFonts w:ascii="Times New Roman" w:hAnsi="Times New Roman" w:cs="Times New Roman"/>
          <w:sz w:val="24"/>
          <w:szCs w:val="24"/>
          <w:lang w:val="en-US"/>
        </w:rPr>
        <w:t xml:space="preserve"> invasive isolates, respectively</w:t>
      </w:r>
      <w:r w:rsidRPr="00182D43">
        <w:rPr>
          <w:rFonts w:ascii="Times New Roman" w:hAnsi="Times New Roman" w:cs="Times New Roman"/>
          <w:sz w:val="24"/>
          <w:szCs w:val="24"/>
          <w:lang w:val="en-US"/>
        </w:rPr>
        <w:t xml:space="preserve"> (Table 1). </w:t>
      </w:r>
      <w:r>
        <w:rPr>
          <w:rFonts w:ascii="Times New Roman" w:hAnsi="Times New Roman" w:cs="Times New Roman"/>
          <w:sz w:val="24"/>
          <w:szCs w:val="24"/>
          <w:lang w:val="en-US"/>
        </w:rPr>
        <w:t xml:space="preserve">Breakdown by isolation time-point confirmed that isolates with </w:t>
      </w:r>
      <w:r w:rsidRPr="00182D43">
        <w:rPr>
          <w:rFonts w:ascii="Times New Roman" w:hAnsi="Times New Roman" w:cs="Times New Roman"/>
          <w:sz w:val="24"/>
          <w:szCs w:val="24"/>
          <w:lang w:val="en-US"/>
        </w:rPr>
        <w:t>th</w:t>
      </w:r>
      <w:r>
        <w:rPr>
          <w:rFonts w:ascii="Times New Roman" w:hAnsi="Times New Roman" w:cs="Times New Roman"/>
          <w:sz w:val="24"/>
          <w:szCs w:val="24"/>
          <w:lang w:val="en-US"/>
        </w:rPr>
        <w:t xml:space="preserve">e </w:t>
      </w:r>
      <w:r w:rsidRPr="00182D43">
        <w:rPr>
          <w:rFonts w:ascii="Times New Roman" w:hAnsi="Times New Roman" w:cs="Times New Roman"/>
          <w:sz w:val="24"/>
          <w:szCs w:val="24"/>
          <w:lang w:val="en-US"/>
        </w:rPr>
        <w:t>W: P1.5,2: F1-1: ST-11 (</w:t>
      </w:r>
      <w:r>
        <w:rPr>
          <w:rFonts w:ascii="Times New Roman" w:hAnsi="Times New Roman" w:cs="Times New Roman"/>
          <w:sz w:val="24"/>
          <w:szCs w:val="24"/>
          <w:lang w:val="en-US"/>
        </w:rPr>
        <w:t>cc</w:t>
      </w:r>
      <w:r w:rsidRPr="00182D43">
        <w:rPr>
          <w:rFonts w:ascii="Times New Roman" w:hAnsi="Times New Roman" w:cs="Times New Roman"/>
          <w:sz w:val="24"/>
          <w:szCs w:val="24"/>
          <w:lang w:val="en-US"/>
        </w:rPr>
        <w:t>11)</w:t>
      </w:r>
      <w:r>
        <w:rPr>
          <w:rFonts w:ascii="Times New Roman" w:hAnsi="Times New Roman" w:cs="Times New Roman"/>
          <w:sz w:val="24"/>
          <w:szCs w:val="24"/>
          <w:lang w:val="en-US"/>
        </w:rPr>
        <w:t xml:space="preserve"> designation were responsible for the increase in MenW carriage detected during the course of the 2015-16 carriage study </w:t>
      </w:r>
      <w:r w:rsidRPr="001F319C">
        <w:rPr>
          <w:rFonts w:ascii="Times New Roman" w:hAnsi="Times New Roman" w:cs="Times New Roman"/>
          <w:sz w:val="24"/>
          <w:szCs w:val="24"/>
          <w:lang w:val="en-US"/>
        </w:rPr>
        <w:t>(Table 1).</w:t>
      </w:r>
      <w:r>
        <w:rPr>
          <w:rFonts w:ascii="Times New Roman" w:hAnsi="Times New Roman" w:cs="Times New Roman"/>
          <w:sz w:val="24"/>
          <w:szCs w:val="24"/>
          <w:lang w:val="en-US"/>
        </w:rPr>
        <w:t xml:space="preserve"> </w:t>
      </w:r>
    </w:p>
    <w:p w:rsidR="00C7734F" w:rsidRPr="00182D43" w:rsidRDefault="00C7734F" w:rsidP="009037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For MenY, </w:t>
      </w:r>
      <w:r w:rsidRPr="00182D43">
        <w:rPr>
          <w:rFonts w:ascii="Times New Roman" w:hAnsi="Times New Roman" w:cs="Times New Roman"/>
          <w:sz w:val="24"/>
          <w:szCs w:val="24"/>
          <w:lang w:val="en-US"/>
        </w:rPr>
        <w:t xml:space="preserve">isolates from </w:t>
      </w:r>
      <w:r>
        <w:rPr>
          <w:rFonts w:ascii="Times New Roman" w:hAnsi="Times New Roman" w:cs="Times New Roman"/>
          <w:sz w:val="24"/>
          <w:szCs w:val="24"/>
          <w:lang w:val="en-US"/>
        </w:rPr>
        <w:t>cc</w:t>
      </w:r>
      <w:r w:rsidRPr="00182D43">
        <w:rPr>
          <w:rFonts w:ascii="Times New Roman" w:hAnsi="Times New Roman" w:cs="Times New Roman"/>
          <w:sz w:val="24"/>
          <w:szCs w:val="24"/>
          <w:lang w:val="en-US"/>
        </w:rPr>
        <w:t>23 predominated (</w:t>
      </w:r>
      <w:r>
        <w:rPr>
          <w:rFonts w:ascii="Times New Roman" w:hAnsi="Times New Roman" w:cs="Times New Roman"/>
          <w:sz w:val="24"/>
          <w:szCs w:val="24"/>
          <w:lang w:val="en-US"/>
        </w:rPr>
        <w:t>8</w:t>
      </w:r>
      <w:r w:rsidRPr="00182D43">
        <w:rPr>
          <w:rFonts w:ascii="Times New Roman" w:hAnsi="Times New Roman" w:cs="Times New Roman"/>
          <w:sz w:val="24"/>
          <w:szCs w:val="24"/>
          <w:lang w:val="en-US"/>
        </w:rPr>
        <w:t>7</w:t>
      </w:r>
      <w:r>
        <w:rPr>
          <w:rFonts w:ascii="Times New Roman" w:hAnsi="Times New Roman" w:cs="Times New Roman"/>
          <w:sz w:val="24"/>
          <w:szCs w:val="24"/>
          <w:lang w:val="en-US"/>
        </w:rPr>
        <w:t>%) (Table 2).</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Despite the overall number of MenY isolates being smaller than for MenW, a greater </w:t>
      </w:r>
      <w:r w:rsidRPr="00182D43">
        <w:rPr>
          <w:rFonts w:ascii="Times New Roman" w:hAnsi="Times New Roman" w:cs="Times New Roman"/>
          <w:sz w:val="24"/>
          <w:szCs w:val="24"/>
          <w:lang w:val="en-US"/>
        </w:rPr>
        <w:t xml:space="preserve">diversity was </w:t>
      </w:r>
      <w:r>
        <w:rPr>
          <w:rFonts w:ascii="Times New Roman" w:hAnsi="Times New Roman" w:cs="Times New Roman"/>
          <w:sz w:val="24"/>
          <w:szCs w:val="24"/>
          <w:lang w:val="en-US"/>
        </w:rPr>
        <w:t>evident,</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MenY populations encompassing a larger number of unique strain designations than MenW (39 and 26, respectively). Breakdown by isolation time-point revealed the sporadic recovery </w:t>
      </w:r>
      <w:r>
        <w:rPr>
          <w:rFonts w:ascii="Times New Roman" w:hAnsi="Times New Roman" w:cs="Times New Roman"/>
          <w:sz w:val="24"/>
          <w:szCs w:val="24"/>
          <w:lang w:val="en-US"/>
        </w:rPr>
        <w:lastRenderedPageBreak/>
        <w:t>of isolates from different MenY designations during the carriage study with only one designation, Y: P1.5-1,10-1: F4-1: ST-12176 (</w:t>
      </w:r>
      <w:r w:rsidRPr="00CD5C17">
        <w:rPr>
          <w:rFonts w:ascii="Times New Roman" w:hAnsi="Times New Roman" w:cs="Times New Roman"/>
          <w:sz w:val="24"/>
          <w:szCs w:val="24"/>
          <w:lang w:val="en-US"/>
        </w:rPr>
        <w:t>cc23)</w:t>
      </w:r>
      <w:r>
        <w:rPr>
          <w:rFonts w:ascii="Times New Roman" w:hAnsi="Times New Roman" w:cs="Times New Roman"/>
          <w:sz w:val="24"/>
          <w:szCs w:val="24"/>
          <w:lang w:val="en-US"/>
        </w:rPr>
        <w:t xml:space="preserve">, detected at all isolation time-points. </w:t>
      </w:r>
    </w:p>
    <w:p w:rsidR="00C7734F" w:rsidRPr="00182D43" w:rsidRDefault="00C7734F" w:rsidP="009037F9">
      <w:pPr>
        <w:spacing w:after="0" w:line="480" w:lineRule="auto"/>
        <w:rPr>
          <w:rFonts w:ascii="Times New Roman" w:hAnsi="Times New Roman" w:cs="Times New Roman"/>
          <w:sz w:val="24"/>
          <w:szCs w:val="24"/>
          <w:lang w:val="en-US"/>
        </w:rPr>
      </w:pPr>
    </w:p>
    <w:p w:rsidR="00C7734F" w:rsidRDefault="00C7734F" w:rsidP="009037F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WGS Analysis Resolves MenW:cc11 Carriage Isolates to the 2013-strain of the South American-UK Sub-lineage </w:t>
      </w:r>
    </w:p>
    <w:p w:rsidR="00C7734F" w:rsidRDefault="00C7734F" w:rsidP="009037F9">
      <w:pPr>
        <w:spacing w:after="0" w:line="480" w:lineRule="auto"/>
        <w:rPr>
          <w:rFonts w:ascii="Times New Roman" w:hAnsi="Times New Roman" w:cs="Times New Roman"/>
          <w:sz w:val="24"/>
          <w:szCs w:val="24"/>
          <w:lang w:val="en-US"/>
        </w:rPr>
      </w:pPr>
      <w:r>
        <w:rPr>
          <w:rFonts w:ascii="Times New Roman" w:eastAsia="Times New Roman" w:hAnsi="Times New Roman" w:cs="Times New Roman"/>
          <w:iCs/>
          <w:sz w:val="24"/>
          <w:szCs w:val="24"/>
          <w:lang w:val="en-US" w:eastAsia="ar-SA"/>
        </w:rPr>
        <w:t>H</w:t>
      </w:r>
      <w:r w:rsidRPr="00182D43">
        <w:rPr>
          <w:rFonts w:ascii="Times New Roman" w:eastAsia="Times New Roman" w:hAnsi="Times New Roman" w:cs="Times New Roman"/>
          <w:iCs/>
          <w:sz w:val="24"/>
          <w:szCs w:val="24"/>
          <w:lang w:val="en-US" w:eastAsia="ar-SA"/>
        </w:rPr>
        <w:t xml:space="preserve">igher </w:t>
      </w:r>
      <w:r>
        <w:rPr>
          <w:rFonts w:ascii="Times New Roman" w:eastAsia="Times New Roman" w:hAnsi="Times New Roman" w:cs="Times New Roman"/>
          <w:iCs/>
          <w:sz w:val="24"/>
          <w:szCs w:val="24"/>
          <w:lang w:val="en-US" w:eastAsia="ar-SA"/>
        </w:rPr>
        <w:t xml:space="preserve">resolution genealogical analysis of the MenW:cc11 isolates was realized by </w:t>
      </w:r>
      <w:r w:rsidRPr="00182D43">
        <w:rPr>
          <w:rFonts w:ascii="Times New Roman" w:eastAsia="Times New Roman" w:hAnsi="Times New Roman" w:cs="Times New Roman"/>
          <w:iCs/>
          <w:sz w:val="24"/>
          <w:szCs w:val="24"/>
          <w:lang w:val="en-US" w:eastAsia="ar-SA"/>
        </w:rPr>
        <w:t>compari</w:t>
      </w:r>
      <w:r>
        <w:rPr>
          <w:rFonts w:ascii="Times New Roman" w:eastAsia="Times New Roman" w:hAnsi="Times New Roman" w:cs="Times New Roman"/>
          <w:iCs/>
          <w:sz w:val="24"/>
          <w:szCs w:val="24"/>
          <w:lang w:val="en-US" w:eastAsia="ar-SA"/>
        </w:rPr>
        <w:t xml:space="preserve">ng the core genome sequences of </w:t>
      </w:r>
      <w:r w:rsidRPr="00182D43">
        <w:rPr>
          <w:rFonts w:ascii="Times New Roman" w:hAnsi="Times New Roman" w:cs="Times New Roman"/>
          <w:sz w:val="24"/>
          <w:szCs w:val="24"/>
          <w:lang w:val="en-US"/>
        </w:rPr>
        <w:t xml:space="preserve">carriage and invasive </w:t>
      </w:r>
      <w:r>
        <w:rPr>
          <w:rFonts w:ascii="Times New Roman" w:hAnsi="Times New Roman" w:cs="Times New Roman"/>
          <w:sz w:val="24"/>
          <w:szCs w:val="24"/>
          <w:lang w:val="en-US"/>
        </w:rPr>
        <w:t xml:space="preserve">MenW:cc11 </w:t>
      </w:r>
      <w:r w:rsidRPr="00182D43">
        <w:rPr>
          <w:rFonts w:ascii="Times New Roman" w:hAnsi="Times New Roman" w:cs="Times New Roman"/>
          <w:sz w:val="24"/>
          <w:szCs w:val="24"/>
          <w:lang w:val="en-US"/>
        </w:rPr>
        <w:t xml:space="preserve">isolates </w:t>
      </w:r>
      <w:r w:rsidRPr="0033602D">
        <w:rPr>
          <w:rFonts w:ascii="Times New Roman" w:hAnsi="Times New Roman" w:cs="Times New Roman"/>
          <w:sz w:val="24"/>
          <w:szCs w:val="24"/>
          <w:lang w:val="en-US"/>
        </w:rPr>
        <w:t>(</w:t>
      </w:r>
      <w:r w:rsidRPr="0033602D">
        <w:rPr>
          <w:rFonts w:ascii="Times New Roman" w:hAnsi="Times New Roman" w:cs="Times New Roman"/>
          <w:i/>
          <w:sz w:val="24"/>
          <w:szCs w:val="24"/>
          <w:lang w:val="en-US"/>
        </w:rPr>
        <w:t>n</w:t>
      </w:r>
      <w:r w:rsidRPr="0033602D">
        <w:rPr>
          <w:rFonts w:ascii="Times New Roman" w:hAnsi="Times New Roman" w:cs="Times New Roman"/>
          <w:sz w:val="24"/>
          <w:szCs w:val="24"/>
          <w:lang w:val="en-US"/>
        </w:rPr>
        <w:t>=236</w:t>
      </w:r>
      <w:r>
        <w:rPr>
          <w:rFonts w:ascii="Times New Roman" w:hAnsi="Times New Roman" w:cs="Times New Roman"/>
          <w:sz w:val="24"/>
          <w:szCs w:val="24"/>
          <w:lang w:val="en-US"/>
        </w:rPr>
        <w:t xml:space="preserve">). Identification of lineage 11.1 </w:t>
      </w:r>
      <w:r>
        <w:rPr>
          <w:rFonts w:ascii="Times New Roman" w:eastAsia="Times New Roman" w:hAnsi="Times New Roman" w:cs="Times New Roman"/>
          <w:iCs/>
          <w:sz w:val="24"/>
          <w:szCs w:val="24"/>
          <w:lang w:val="en-US" w:eastAsia="ar-SA"/>
        </w:rPr>
        <w:t xml:space="preserve">sub-lineages and strains was facilitated by inclusion of sixty additional isolates previously assigned by core genome analysis </w:t>
      </w:r>
      <w:r>
        <w:rPr>
          <w:rFonts w:ascii="Times New Roman" w:hAnsi="Times New Roman" w:cs="Times New Roman"/>
          <w:iCs/>
          <w:noProof/>
          <w:sz w:val="24"/>
          <w:szCs w:val="24"/>
          <w:lang w:val="en-US"/>
        </w:rPr>
        <w:t>[12, 15]</w:t>
      </w:r>
      <w:r>
        <w:rPr>
          <w:rFonts w:ascii="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eastAsia="ar-SA"/>
        </w:rPr>
        <w:t xml:space="preserve">Carriage and invasive MenW:cc11 isolates predominantly resolved to the 2013-strain cluster within the South American-UK sub-lineage </w:t>
      </w:r>
      <w:r w:rsidRPr="00946DFD">
        <w:rPr>
          <w:rFonts w:ascii="Times New Roman" w:eastAsia="Times New Roman" w:hAnsi="Times New Roman" w:cs="Times New Roman"/>
          <w:iCs/>
          <w:sz w:val="24"/>
          <w:szCs w:val="24"/>
          <w:lang w:val="en-US" w:eastAsia="ar-SA"/>
        </w:rPr>
        <w:t xml:space="preserve">(83% and </w:t>
      </w:r>
      <w:r w:rsidRPr="008164D9">
        <w:rPr>
          <w:rFonts w:ascii="Times New Roman" w:eastAsia="Times New Roman" w:hAnsi="Times New Roman" w:cs="Times New Roman"/>
          <w:iCs/>
          <w:sz w:val="24"/>
          <w:szCs w:val="24"/>
          <w:lang w:val="en-US" w:eastAsia="ar-SA"/>
        </w:rPr>
        <w:t xml:space="preserve">62%, respectively) </w:t>
      </w:r>
      <w:r w:rsidRPr="008164D9">
        <w:rPr>
          <w:rFonts w:ascii="Times New Roman" w:hAnsi="Times New Roman" w:cs="Times New Roman"/>
          <w:sz w:val="24"/>
          <w:szCs w:val="24"/>
          <w:lang w:val="en-US"/>
        </w:rPr>
        <w:t>(Figure</w:t>
      </w:r>
      <w:r w:rsidRPr="007409A4">
        <w:rPr>
          <w:rFonts w:ascii="Times New Roman" w:hAnsi="Times New Roman" w:cs="Times New Roman"/>
          <w:sz w:val="24"/>
          <w:szCs w:val="24"/>
          <w:lang w:val="en-US"/>
        </w:rPr>
        <w:t xml:space="preserve"> 1 and </w:t>
      </w:r>
      <w:r w:rsidRPr="001D4F0D">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Pr="00182D43">
        <w:rPr>
          <w:rFonts w:ascii="Times New Roman" w:hAnsi="Times New Roman" w:cs="Times New Roman"/>
          <w:sz w:val="24"/>
          <w:szCs w:val="24"/>
          <w:lang w:val="en-US"/>
        </w:rPr>
        <w:t>)</w:t>
      </w:r>
      <w:r>
        <w:rPr>
          <w:rFonts w:ascii="Times New Roman" w:hAnsi="Times New Roman" w:cs="Times New Roman"/>
          <w:sz w:val="24"/>
          <w:szCs w:val="24"/>
          <w:lang w:val="en-US"/>
        </w:rPr>
        <w:t xml:space="preserve">. Core WGS analysis resolved isolates sharing the predominant </w:t>
      </w:r>
      <w:r w:rsidRPr="009D1919">
        <w:rPr>
          <w:rFonts w:ascii="Times New Roman" w:hAnsi="Times New Roman" w:cs="Times New Roman"/>
          <w:sz w:val="24"/>
          <w:szCs w:val="24"/>
          <w:lang w:val="en-US"/>
        </w:rPr>
        <w:t>W: P1.5,2: F1-1: ST-11 (cc11)</w:t>
      </w:r>
      <w:r>
        <w:rPr>
          <w:rFonts w:ascii="Times New Roman" w:hAnsi="Times New Roman" w:cs="Times New Roman"/>
          <w:sz w:val="24"/>
          <w:szCs w:val="24"/>
          <w:lang w:val="en-US"/>
        </w:rPr>
        <w:t xml:space="preserve"> designation to different 11.1 sub-lineages (</w:t>
      </w:r>
      <w:r>
        <w:rPr>
          <w:rFonts w:ascii="Times New Roman" w:hAnsi="Times New Roman" w:cs="Times New Roman"/>
          <w:i/>
          <w:sz w:val="24"/>
          <w:szCs w:val="24"/>
          <w:lang w:val="en-US"/>
        </w:rPr>
        <w:t xml:space="preserve">i.e. </w:t>
      </w:r>
      <w:r>
        <w:rPr>
          <w:rFonts w:ascii="Times New Roman" w:hAnsi="Times New Roman" w:cs="Times New Roman"/>
          <w:sz w:val="24"/>
          <w:szCs w:val="24"/>
          <w:lang w:val="en-US"/>
        </w:rPr>
        <w:t>South American-UK and Hajj, respectively), and within the South American-UK sub-lineage, into different strain types (</w:t>
      </w:r>
      <w:r w:rsidRPr="001D4F0D">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Pr="001D4F0D">
        <w:rPr>
          <w:rFonts w:ascii="Times New Roman" w:hAnsi="Times New Roman" w:cs="Times New Roman"/>
          <w:sz w:val="24"/>
          <w:szCs w:val="24"/>
          <w:lang w:val="en-US"/>
        </w:rPr>
        <w:t>).</w:t>
      </w:r>
      <w:r>
        <w:rPr>
          <w:rFonts w:ascii="Times New Roman" w:hAnsi="Times New Roman" w:cs="Times New Roman"/>
          <w:sz w:val="24"/>
          <w:szCs w:val="24"/>
          <w:lang w:val="en-US"/>
        </w:rPr>
        <w:t xml:space="preserve"> Isolation time-point analysis revealed that although isolates with the </w:t>
      </w:r>
      <w:r w:rsidRPr="009D1919">
        <w:rPr>
          <w:rFonts w:ascii="Times New Roman" w:hAnsi="Times New Roman" w:cs="Times New Roman"/>
          <w:sz w:val="24"/>
          <w:szCs w:val="24"/>
          <w:lang w:val="en-US"/>
        </w:rPr>
        <w:t>W: P1.5,2: F1-1: ST-11 (cc11)</w:t>
      </w:r>
      <w:r>
        <w:rPr>
          <w:rFonts w:ascii="Times New Roman" w:hAnsi="Times New Roman" w:cs="Times New Roman"/>
          <w:sz w:val="24"/>
          <w:szCs w:val="24"/>
          <w:lang w:val="en-US"/>
        </w:rPr>
        <w:t xml:space="preserve"> designation from the original and South American strains were recovered at multiple time-points, the increase in MenW carriage was almost entirely due to </w:t>
      </w:r>
      <w:r w:rsidRPr="009D1919">
        <w:rPr>
          <w:rFonts w:ascii="Times New Roman" w:hAnsi="Times New Roman" w:cs="Times New Roman"/>
          <w:sz w:val="24"/>
          <w:szCs w:val="24"/>
          <w:lang w:val="en-US"/>
        </w:rPr>
        <w:t>W: P1.5,2: F1-1: ST-11 (cc11)</w:t>
      </w:r>
      <w:r>
        <w:rPr>
          <w:rFonts w:ascii="Times New Roman" w:hAnsi="Times New Roman" w:cs="Times New Roman"/>
          <w:sz w:val="24"/>
          <w:szCs w:val="24"/>
          <w:lang w:val="en-US"/>
        </w:rPr>
        <w:t xml:space="preserve"> </w:t>
      </w:r>
      <w:r w:rsidRPr="009D1919">
        <w:rPr>
          <w:rFonts w:ascii="Times New Roman" w:hAnsi="Times New Roman" w:cs="Times New Roman"/>
          <w:sz w:val="24"/>
          <w:szCs w:val="24"/>
          <w:lang w:val="en-US"/>
        </w:rPr>
        <w:t>isolates fr</w:t>
      </w:r>
      <w:r>
        <w:rPr>
          <w:rFonts w:ascii="Times New Roman" w:hAnsi="Times New Roman" w:cs="Times New Roman"/>
          <w:sz w:val="24"/>
          <w:szCs w:val="24"/>
          <w:lang w:val="en-US"/>
        </w:rPr>
        <w:t xml:space="preserve">om the 2013-strain (2, 16 and 19 isolates in September, November and March, respectively) </w:t>
      </w:r>
      <w:r w:rsidRPr="001D4F0D">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Pr="001D4F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7734F" w:rsidRDefault="00C7734F" w:rsidP="009037F9">
      <w:pPr>
        <w:spacing w:after="0" w:line="480" w:lineRule="auto"/>
        <w:ind w:firstLine="720"/>
        <w:rPr>
          <w:rFonts w:ascii="Times New Roman" w:eastAsia="Times New Roman" w:hAnsi="Times New Roman" w:cs="Times New Roman"/>
          <w:iCs/>
          <w:sz w:val="24"/>
          <w:szCs w:val="24"/>
          <w:lang w:val="en-US" w:eastAsia="ar-SA"/>
        </w:rPr>
      </w:pPr>
      <w:r>
        <w:rPr>
          <w:rFonts w:ascii="Times New Roman" w:hAnsi="Times New Roman" w:cs="Times New Roman"/>
          <w:sz w:val="24"/>
          <w:szCs w:val="24"/>
        </w:rPr>
        <w:t>To visualize the relationships among isolates from the 2013-strain type more clearly, a NeighborNet network was generated from a</w:t>
      </w:r>
      <w:r w:rsidRPr="00EE75EE">
        <w:rPr>
          <w:rFonts w:ascii="Times New Roman" w:hAnsi="Times New Roman" w:cs="Times New Roman"/>
          <w:sz w:val="24"/>
          <w:szCs w:val="24"/>
        </w:rPr>
        <w:t xml:space="preserve"> separate </w:t>
      </w:r>
      <w:r>
        <w:rPr>
          <w:rFonts w:ascii="Times New Roman" w:hAnsi="Times New Roman" w:cs="Times New Roman"/>
          <w:sz w:val="24"/>
          <w:szCs w:val="24"/>
        </w:rPr>
        <w:t xml:space="preserve">core genome comparison of the carried </w:t>
      </w:r>
      <w:r w:rsidRPr="00C70005">
        <w:rPr>
          <w:rFonts w:ascii="Times New Roman" w:hAnsi="Times New Roman" w:cs="Times New Roman"/>
          <w:sz w:val="24"/>
          <w:szCs w:val="24"/>
        </w:rPr>
        <w:t>(</w:t>
      </w:r>
      <w:r w:rsidRPr="00C70005">
        <w:rPr>
          <w:rFonts w:ascii="Times New Roman" w:hAnsi="Times New Roman" w:cs="Times New Roman"/>
          <w:i/>
          <w:sz w:val="24"/>
          <w:szCs w:val="24"/>
        </w:rPr>
        <w:t>n=</w:t>
      </w:r>
      <w:r w:rsidRPr="00C70005">
        <w:rPr>
          <w:rFonts w:ascii="Times New Roman" w:hAnsi="Times New Roman" w:cs="Times New Roman"/>
          <w:sz w:val="24"/>
          <w:szCs w:val="24"/>
        </w:rPr>
        <w:t>38)</w:t>
      </w:r>
      <w:r>
        <w:rPr>
          <w:rFonts w:ascii="Times New Roman" w:hAnsi="Times New Roman" w:cs="Times New Roman"/>
          <w:sz w:val="24"/>
          <w:szCs w:val="24"/>
        </w:rPr>
        <w:t xml:space="preserve"> and invasive </w:t>
      </w:r>
      <w:r w:rsidRPr="00C70005">
        <w:rPr>
          <w:rFonts w:ascii="Times New Roman" w:hAnsi="Times New Roman" w:cs="Times New Roman"/>
          <w:sz w:val="24"/>
          <w:szCs w:val="24"/>
        </w:rPr>
        <w:t>(</w:t>
      </w:r>
      <w:r w:rsidRPr="00C70005">
        <w:rPr>
          <w:rFonts w:ascii="Times New Roman" w:hAnsi="Times New Roman" w:cs="Times New Roman"/>
          <w:i/>
          <w:sz w:val="24"/>
          <w:szCs w:val="24"/>
        </w:rPr>
        <w:t>n=</w:t>
      </w:r>
      <w:r w:rsidRPr="00C70005">
        <w:rPr>
          <w:rFonts w:ascii="Times New Roman" w:hAnsi="Times New Roman" w:cs="Times New Roman"/>
          <w:sz w:val="24"/>
          <w:szCs w:val="24"/>
        </w:rPr>
        <w:t>117)</w:t>
      </w:r>
      <w:r>
        <w:rPr>
          <w:rFonts w:ascii="Times New Roman" w:hAnsi="Times New Roman" w:cs="Times New Roman"/>
          <w:sz w:val="24"/>
          <w:szCs w:val="24"/>
        </w:rPr>
        <w:t xml:space="preserve"> 2013-strain isolates, with color-</w:t>
      </w:r>
      <w:r w:rsidRPr="00613305">
        <w:rPr>
          <w:rFonts w:ascii="Times New Roman" w:hAnsi="Times New Roman" w:cs="Times New Roman"/>
          <w:sz w:val="24"/>
          <w:szCs w:val="24"/>
        </w:rPr>
        <w:t xml:space="preserve">coding of </w:t>
      </w:r>
      <w:r>
        <w:rPr>
          <w:rFonts w:ascii="Times New Roman" w:hAnsi="Times New Roman" w:cs="Times New Roman"/>
          <w:sz w:val="24"/>
          <w:szCs w:val="24"/>
        </w:rPr>
        <w:t xml:space="preserve">nodes detailing </w:t>
      </w:r>
      <w:r w:rsidRPr="00613305">
        <w:rPr>
          <w:rFonts w:ascii="Times New Roman" w:hAnsi="Times New Roman" w:cs="Times New Roman"/>
          <w:sz w:val="24"/>
          <w:szCs w:val="24"/>
        </w:rPr>
        <w:t xml:space="preserve">provenance. </w:t>
      </w:r>
      <w:r>
        <w:rPr>
          <w:rFonts w:ascii="Times New Roman" w:hAnsi="Times New Roman" w:cs="Times New Roman"/>
          <w:sz w:val="24"/>
          <w:szCs w:val="24"/>
        </w:rPr>
        <w:t xml:space="preserve">This revealed a </w:t>
      </w:r>
      <w:r w:rsidRPr="00182D43">
        <w:rPr>
          <w:rFonts w:ascii="Times New Roman" w:eastAsia="Times New Roman" w:hAnsi="Times New Roman" w:cs="Times New Roman"/>
          <w:iCs/>
          <w:sz w:val="24"/>
          <w:szCs w:val="24"/>
          <w:lang w:val="en-US" w:eastAsia="ar-SA"/>
        </w:rPr>
        <w:t>multifocal e</w:t>
      </w:r>
      <w:r>
        <w:rPr>
          <w:rFonts w:ascii="Times New Roman" w:eastAsia="Times New Roman" w:hAnsi="Times New Roman" w:cs="Times New Roman"/>
          <w:iCs/>
          <w:sz w:val="24"/>
          <w:szCs w:val="24"/>
          <w:lang w:val="en-US" w:eastAsia="ar-SA"/>
        </w:rPr>
        <w:t xml:space="preserve">xpansion of carriage isolates, with </w:t>
      </w:r>
      <w:r>
        <w:rPr>
          <w:rFonts w:ascii="Times New Roman" w:hAnsi="Times New Roman" w:cs="Times New Roman"/>
          <w:sz w:val="24"/>
          <w:szCs w:val="24"/>
          <w:lang w:val="en-US"/>
        </w:rPr>
        <w:t>97</w:t>
      </w:r>
      <w:r w:rsidRPr="00BD5321">
        <w:rPr>
          <w:rFonts w:ascii="Times New Roman" w:hAnsi="Times New Roman" w:cs="Times New Roman"/>
          <w:sz w:val="24"/>
          <w:szCs w:val="24"/>
          <w:lang w:val="en-US"/>
        </w:rPr>
        <w:t>%</w:t>
      </w:r>
      <w:r w:rsidRPr="00B66107">
        <w:rPr>
          <w:rFonts w:ascii="Times New Roman" w:hAnsi="Times New Roman" w:cs="Times New Roman"/>
          <w:sz w:val="24"/>
          <w:szCs w:val="24"/>
          <w:lang w:val="en-US"/>
        </w:rPr>
        <w:t xml:space="preserve"> of </w:t>
      </w:r>
      <w:r>
        <w:rPr>
          <w:rFonts w:ascii="Times New Roman" w:hAnsi="Times New Roman" w:cs="Times New Roman"/>
          <w:sz w:val="24"/>
          <w:szCs w:val="24"/>
          <w:lang w:val="en-US"/>
        </w:rPr>
        <w:t>the November 2015 and March 2016 isolates resolved</w:t>
      </w:r>
      <w:r w:rsidRPr="00B66107">
        <w:rPr>
          <w:rFonts w:ascii="Times New Roman" w:hAnsi="Times New Roman" w:cs="Times New Roman"/>
          <w:sz w:val="24"/>
          <w:szCs w:val="24"/>
          <w:lang w:val="en-US"/>
        </w:rPr>
        <w:t xml:space="preserve"> to five clusters</w:t>
      </w:r>
      <w:r w:rsidRPr="00315FDE">
        <w:rPr>
          <w:rFonts w:ascii="Times New Roman" w:eastAsia="Times New Roman" w:hAnsi="Times New Roman" w:cs="Times New Roman"/>
          <w:iCs/>
          <w:sz w:val="24"/>
          <w:szCs w:val="24"/>
          <w:lang w:val="en-US" w:eastAsia="ar-SA"/>
        </w:rPr>
        <w:t xml:space="preserve"> </w:t>
      </w:r>
      <w:r w:rsidRPr="00BD5321">
        <w:rPr>
          <w:rFonts w:ascii="Times New Roman" w:hAnsi="Times New Roman" w:cs="Times New Roman"/>
          <w:sz w:val="24"/>
          <w:szCs w:val="24"/>
        </w:rPr>
        <w:t>(Figure 2)</w:t>
      </w:r>
      <w:r w:rsidRPr="00BD5321">
        <w:rPr>
          <w:rFonts w:ascii="Times New Roman" w:eastAsia="Times New Roman" w:hAnsi="Times New Roman" w:cs="Times New Roman"/>
          <w:iCs/>
          <w:sz w:val="24"/>
          <w:szCs w:val="24"/>
          <w:lang w:val="en-US" w:eastAsia="ar-SA"/>
        </w:rPr>
        <w:t>.</w:t>
      </w:r>
      <w:r>
        <w:rPr>
          <w:rFonts w:ascii="Times New Roman" w:eastAsia="Times New Roman" w:hAnsi="Times New Roman" w:cs="Times New Roman"/>
          <w:iCs/>
          <w:sz w:val="24"/>
          <w:szCs w:val="24"/>
          <w:lang w:val="en-US" w:eastAsia="ar-SA"/>
        </w:rPr>
        <w:t xml:space="preserve"> Isolates within each cluster differed at only a small number of core genome loci suggesting </w:t>
      </w:r>
      <w:r>
        <w:rPr>
          <w:rFonts w:ascii="Times New Roman" w:hAnsi="Times New Roman" w:cs="Times New Roman"/>
          <w:sz w:val="24"/>
          <w:szCs w:val="24"/>
          <w:lang w:val="en-US"/>
        </w:rPr>
        <w:t xml:space="preserve">multiple </w:t>
      </w:r>
      <w:r w:rsidRPr="005840AC">
        <w:rPr>
          <w:rFonts w:ascii="Times New Roman" w:hAnsi="Times New Roman" w:cs="Times New Roman"/>
          <w:sz w:val="24"/>
          <w:szCs w:val="24"/>
          <w:lang w:val="en-US"/>
        </w:rPr>
        <w:lastRenderedPageBreak/>
        <w:t>close transmission network</w:t>
      </w:r>
      <w:r>
        <w:rPr>
          <w:rFonts w:ascii="Times New Roman" w:hAnsi="Times New Roman" w:cs="Times New Roman"/>
          <w:sz w:val="24"/>
          <w:szCs w:val="24"/>
          <w:lang w:val="en-US"/>
        </w:rPr>
        <w:t>s.</w:t>
      </w:r>
      <w:r>
        <w:rPr>
          <w:rFonts w:ascii="Times New Roman" w:eastAsia="Times New Roman" w:hAnsi="Times New Roman" w:cs="Times New Roman"/>
          <w:iCs/>
          <w:sz w:val="24"/>
          <w:szCs w:val="24"/>
          <w:lang w:val="en-US" w:eastAsia="ar-SA"/>
        </w:rPr>
        <w:t xml:space="preserve"> The MenACWY coverage rate for clusters A-E ranged from 57%-</w:t>
      </w:r>
      <w:r>
        <w:rPr>
          <w:rFonts w:ascii="Times New Roman" w:hAnsi="Times New Roman" w:cs="Times New Roman"/>
          <w:sz w:val="24"/>
          <w:szCs w:val="24"/>
          <w:lang w:val="en-US"/>
        </w:rPr>
        <w:t>83% confirming that transmission within all five networks was not restricted to unvaccinated individuals (</w:t>
      </w:r>
      <w:r>
        <w:rPr>
          <w:rFonts w:ascii="Times New Roman" w:eastAsia="Times New Roman" w:hAnsi="Times New Roman" w:cs="Times New Roman"/>
          <w:iCs/>
          <w:sz w:val="24"/>
          <w:szCs w:val="24"/>
          <w:lang w:val="en-US" w:eastAsia="ar-SA"/>
        </w:rPr>
        <w:t xml:space="preserve">Figure 2). As sampling of students in November 2015 and March 2016 occurred in five dormitories </w:t>
      </w:r>
      <w:r>
        <w:rPr>
          <w:rFonts w:ascii="Times New Roman" w:eastAsia="Times New Roman" w:hAnsi="Times New Roman" w:cs="Times New Roman"/>
          <w:iCs/>
          <w:noProof/>
          <w:sz w:val="24"/>
          <w:szCs w:val="24"/>
          <w:lang w:val="en-US" w:eastAsia="ar-SA"/>
        </w:rPr>
        <w:t>[25]</w:t>
      </w:r>
      <w:r>
        <w:rPr>
          <w:rFonts w:ascii="Times New Roman" w:eastAsia="Times New Roman" w:hAnsi="Times New Roman" w:cs="Times New Roman"/>
          <w:iCs/>
          <w:sz w:val="24"/>
          <w:szCs w:val="24"/>
          <w:lang w:val="en-US" w:eastAsia="ar-SA"/>
        </w:rPr>
        <w:t>,</w:t>
      </w:r>
      <w:r w:rsidRPr="00397B3A">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 xml:space="preserve">we examined whether 2013-strain isolate clusters correlated with dormitory of isolation. Each cluster contained isolates recovered from at least three different sampling sites suggesting that transmission networks extended beyond individual dormitories (Supplementary Figure 1). </w:t>
      </w:r>
    </w:p>
    <w:p w:rsidR="00C7734F" w:rsidRDefault="00C7734F" w:rsidP="009037F9">
      <w:pPr>
        <w:spacing w:after="0" w:line="480" w:lineRule="auto"/>
        <w:ind w:firstLine="720"/>
        <w:rPr>
          <w:rFonts w:ascii="Times New Roman" w:hAnsi="Times New Roman" w:cs="Times New Roman"/>
          <w:sz w:val="24"/>
          <w:szCs w:val="24"/>
          <w:lang w:val="en-US"/>
        </w:rPr>
      </w:pPr>
    </w:p>
    <w:p w:rsidR="00C7734F" w:rsidRPr="00984CBD" w:rsidRDefault="00C7734F" w:rsidP="009037F9">
      <w:pPr>
        <w:spacing w:after="0" w:line="480" w:lineRule="auto"/>
        <w:rPr>
          <w:rFonts w:ascii="Times New Roman" w:hAnsi="Times New Roman" w:cs="Times New Roman"/>
          <w:b/>
          <w:sz w:val="24"/>
          <w:szCs w:val="24"/>
          <w:lang w:val="en-US"/>
        </w:rPr>
      </w:pPr>
      <w:r w:rsidRPr="00984CBD">
        <w:rPr>
          <w:rFonts w:ascii="Times New Roman" w:hAnsi="Times New Roman" w:cs="Times New Roman"/>
          <w:b/>
          <w:sz w:val="24"/>
          <w:szCs w:val="24"/>
          <w:lang w:val="en-US"/>
        </w:rPr>
        <w:t>Effect of MenACWY Vaccination on Group W and Y Capsule Expression</w:t>
      </w:r>
    </w:p>
    <w:p w:rsidR="00C7734F" w:rsidRDefault="00C7734F" w:rsidP="009037F9">
      <w:pPr>
        <w:spacing w:after="0" w:line="480" w:lineRule="auto"/>
        <w:rPr>
          <w:rFonts w:ascii="Times New Roman" w:hAnsi="Times New Roman" w:cs="Times New Roman"/>
          <w:sz w:val="24"/>
          <w:szCs w:val="24"/>
          <w:lang w:val="en-US"/>
        </w:rPr>
      </w:pPr>
      <w:r w:rsidRPr="00984CBD">
        <w:rPr>
          <w:rFonts w:ascii="Times New Roman" w:hAnsi="Times New Roman" w:cs="Times New Roman"/>
          <w:sz w:val="24"/>
          <w:szCs w:val="24"/>
          <w:lang w:val="en-US"/>
        </w:rPr>
        <w:t>Mucosal immune responses elicited by MenACWY vaccination have the potential to influence capsule expression in target serogroups. We determined whether circulating MenW and MenY shifted towards a non-serogroupable (</w:t>
      </w:r>
      <w:r w:rsidRPr="00984CBD">
        <w:rPr>
          <w:rFonts w:ascii="Times New Roman" w:hAnsi="Times New Roman" w:cs="Times New Roman"/>
          <w:i/>
          <w:sz w:val="24"/>
          <w:szCs w:val="24"/>
          <w:lang w:val="en-US"/>
        </w:rPr>
        <w:t xml:space="preserve">i.e. </w:t>
      </w:r>
      <w:r w:rsidRPr="00984CBD">
        <w:rPr>
          <w:rFonts w:ascii="Times New Roman" w:hAnsi="Times New Roman" w:cs="Times New Roman"/>
          <w:sz w:val="24"/>
          <w:szCs w:val="24"/>
          <w:lang w:val="en-US"/>
        </w:rPr>
        <w:t>acapsulate) phenotype, however no significant changes were detected in the proportions of MenW:cc11 original strain, MenW:cc11 2013-strain, other MenW, MenY:cc23 or other MenY isolates expressing capsule between time-points (Table 3). Likewise the specific incidences of encapsulated or acapsulate MenY:cc23 (or other MenY) in the population showed no significant changes during the study</w:t>
      </w:r>
      <w:r w:rsidRPr="004A34EC">
        <w:rPr>
          <w:rFonts w:ascii="Times New Roman" w:hAnsi="Times New Roman" w:cs="Times New Roman"/>
          <w:sz w:val="24"/>
          <w:szCs w:val="24"/>
          <w:lang w:val="en-US"/>
        </w:rPr>
        <w:t xml:space="preserve">. For MenW, the increasing incidence of carriage was driven by significant increases in both encapsulated and non-capsulated MenW:cc11 2013-strain isolates (Table 3). Notably 85% of MenW:cc11 2013-strain isolates recovered in March 2016 expressed capsule, with </w:t>
      </w:r>
      <w:r w:rsidRPr="004A34EC">
        <w:rPr>
          <w:rFonts w:ascii="Times New Roman" w:hAnsi="Times New Roman" w:cs="Times New Roman"/>
          <w:sz w:val="24"/>
          <w:szCs w:val="24"/>
        </w:rPr>
        <w:t xml:space="preserve">82% of individuals carrying the encapsulated </w:t>
      </w:r>
      <w:r w:rsidRPr="004A34EC">
        <w:rPr>
          <w:rFonts w:ascii="Times New Roman" w:hAnsi="Times New Roman" w:cs="Times New Roman"/>
          <w:sz w:val="24"/>
          <w:szCs w:val="24"/>
          <w:lang w:val="en-US"/>
        </w:rPr>
        <w:t xml:space="preserve">2013-strain isolates at this time-point having </w:t>
      </w:r>
      <w:r w:rsidRPr="004A34EC">
        <w:rPr>
          <w:rFonts w:ascii="Times New Roman" w:hAnsi="Times New Roman" w:cs="Times New Roman"/>
          <w:sz w:val="24"/>
          <w:szCs w:val="24"/>
        </w:rPr>
        <w:t xml:space="preserve">received MenACWY vaccine before or during September 2015 </w:t>
      </w:r>
      <w:r w:rsidRPr="004A34EC">
        <w:rPr>
          <w:rFonts w:ascii="Times New Roman" w:hAnsi="Times New Roman" w:cs="Times New Roman"/>
          <w:sz w:val="24"/>
          <w:szCs w:val="24"/>
          <w:lang w:val="en-US"/>
        </w:rPr>
        <w:t>(Table 3)</w:t>
      </w:r>
      <w:r w:rsidRPr="004A34EC">
        <w:rPr>
          <w:rFonts w:ascii="Times New Roman" w:hAnsi="Times New Roman" w:cs="Times New Roman"/>
          <w:sz w:val="24"/>
          <w:szCs w:val="24"/>
        </w:rPr>
        <w:t>.</w:t>
      </w:r>
      <w:r w:rsidRPr="00FC5905">
        <w:rPr>
          <w:rFonts w:ascii="Times New Roman" w:hAnsi="Times New Roman" w:cs="Times New Roman"/>
          <w:sz w:val="24"/>
          <w:szCs w:val="24"/>
          <w:lang w:val="en-US"/>
        </w:rPr>
        <w:t xml:space="preserve"> </w:t>
      </w:r>
    </w:p>
    <w:p w:rsidR="00C7734F" w:rsidRDefault="00C7734F" w:rsidP="009037F9">
      <w:pPr>
        <w:spacing w:after="0" w:line="480" w:lineRule="auto"/>
        <w:rPr>
          <w:rFonts w:ascii="Times New Roman" w:hAnsi="Times New Roman" w:cs="Times New Roman"/>
          <w:sz w:val="24"/>
          <w:szCs w:val="24"/>
          <w:lang w:val="en-US"/>
        </w:rPr>
      </w:pPr>
    </w:p>
    <w:p w:rsidR="00C7734F"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Absence of Isolates From cc11 and cc23 Amongst Non-groupable Carriage Isolates</w:t>
      </w:r>
    </w:p>
    <w:p w:rsidR="00C7734F"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We obtained WGS data for</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additional 93 </w:t>
      </w:r>
      <w:r w:rsidRPr="00182D43">
        <w:rPr>
          <w:rFonts w:ascii="Times New Roman" w:hAnsi="Times New Roman" w:cs="Times New Roman"/>
          <w:sz w:val="24"/>
          <w:szCs w:val="24"/>
          <w:lang w:val="en-US"/>
        </w:rPr>
        <w:t>non-groupable</w:t>
      </w:r>
      <w:r>
        <w:rPr>
          <w:rFonts w:ascii="Times New Roman" w:hAnsi="Times New Roman" w:cs="Times New Roman"/>
          <w:sz w:val="24"/>
          <w:szCs w:val="24"/>
          <w:lang w:val="en-US"/>
        </w:rPr>
        <w:t xml:space="preserve"> </w:t>
      </w:r>
      <w:r w:rsidRPr="00182D43">
        <w:rPr>
          <w:rFonts w:ascii="Times New Roman" w:hAnsi="Times New Roman" w:cs="Times New Roman"/>
          <w:sz w:val="24"/>
          <w:szCs w:val="24"/>
          <w:lang w:val="en-US"/>
        </w:rPr>
        <w:t>(</w:t>
      </w:r>
      <w:r w:rsidRPr="00182D43">
        <w:rPr>
          <w:rFonts w:ascii="Times New Roman" w:hAnsi="Times New Roman" w:cs="Times New Roman"/>
          <w:i/>
          <w:sz w:val="24"/>
          <w:szCs w:val="24"/>
          <w:lang w:val="en-US"/>
        </w:rPr>
        <w:t xml:space="preserve">i.e. </w:t>
      </w:r>
      <w:r>
        <w:rPr>
          <w:rFonts w:ascii="Times New Roman" w:hAnsi="Times New Roman" w:cs="Times New Roman"/>
          <w:sz w:val="24"/>
          <w:szCs w:val="24"/>
          <w:lang w:val="en-US"/>
        </w:rPr>
        <w:t xml:space="preserve">isolates </w:t>
      </w:r>
      <w:r w:rsidRPr="00182D43">
        <w:rPr>
          <w:rFonts w:ascii="Times New Roman" w:hAnsi="Times New Roman" w:cs="Times New Roman"/>
          <w:sz w:val="24"/>
          <w:szCs w:val="24"/>
          <w:lang w:val="en-US"/>
        </w:rPr>
        <w:t>lack</w:t>
      </w:r>
      <w:r>
        <w:rPr>
          <w:rFonts w:ascii="Times New Roman" w:hAnsi="Times New Roman" w:cs="Times New Roman"/>
          <w:sz w:val="24"/>
          <w:szCs w:val="24"/>
          <w:lang w:val="en-US"/>
        </w:rPr>
        <w:t xml:space="preserve">ing </w:t>
      </w:r>
      <w:r w:rsidRPr="00182D43">
        <w:rPr>
          <w:rFonts w:ascii="Times New Roman" w:hAnsi="Times New Roman" w:cs="Times New Roman"/>
          <w:i/>
          <w:sz w:val="24"/>
          <w:szCs w:val="24"/>
          <w:lang w:val="en-US"/>
        </w:rPr>
        <w:t xml:space="preserve">ctrA </w:t>
      </w:r>
      <w:r w:rsidRPr="00182D43">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carrying the capsule null locus) carriage isolates. Extracted strain designations showed that </w:t>
      </w:r>
      <w:r>
        <w:rPr>
          <w:rFonts w:ascii="Times New Roman" w:hAnsi="Times New Roman" w:cs="Times New Roman"/>
          <w:sz w:val="24"/>
          <w:szCs w:val="24"/>
          <w:lang w:val="en-US"/>
        </w:rPr>
        <w:lastRenderedPageBreak/>
        <w:t>isolates from cc198 were most prevalent (35%)</w:t>
      </w:r>
      <w:r w:rsidRPr="007F03EE">
        <w:rPr>
          <w:rFonts w:ascii="Times New Roman" w:hAnsi="Times New Roman" w:cs="Times New Roman"/>
          <w:sz w:val="24"/>
          <w:szCs w:val="24"/>
          <w:lang w:val="en-US"/>
        </w:rPr>
        <w:t>, followed</w:t>
      </w:r>
      <w:r>
        <w:rPr>
          <w:rFonts w:ascii="Times New Roman" w:hAnsi="Times New Roman" w:cs="Times New Roman"/>
          <w:sz w:val="24"/>
          <w:szCs w:val="24"/>
          <w:lang w:val="en-US"/>
        </w:rPr>
        <w:t xml:space="preserve"> by cc53</w:t>
      </w:r>
      <w:r w:rsidRPr="007F03EE">
        <w:rPr>
          <w:rFonts w:ascii="Times New Roman" w:hAnsi="Times New Roman" w:cs="Times New Roman"/>
          <w:sz w:val="24"/>
          <w:szCs w:val="24"/>
          <w:lang w:val="en-US"/>
        </w:rPr>
        <w:t xml:space="preserve"> (</w:t>
      </w:r>
      <w:r>
        <w:rPr>
          <w:rFonts w:ascii="Times New Roman" w:hAnsi="Times New Roman" w:cs="Times New Roman"/>
          <w:sz w:val="24"/>
          <w:szCs w:val="24"/>
          <w:lang w:val="en-US"/>
        </w:rPr>
        <w:t>26</w:t>
      </w:r>
      <w:r w:rsidRPr="007F03EE">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7F03EE">
        <w:rPr>
          <w:rFonts w:ascii="Times New Roman" w:hAnsi="Times New Roman" w:cs="Times New Roman"/>
          <w:sz w:val="24"/>
          <w:szCs w:val="24"/>
          <w:lang w:val="en-US"/>
        </w:rPr>
        <w:t xml:space="preserve"> </w:t>
      </w:r>
      <w:r>
        <w:rPr>
          <w:rFonts w:ascii="Times New Roman" w:hAnsi="Times New Roman" w:cs="Times New Roman"/>
          <w:sz w:val="24"/>
          <w:szCs w:val="24"/>
          <w:lang w:val="en-US"/>
        </w:rPr>
        <w:t>cc865 (9%). Importantly, no isolates from</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the relevant IMD-associated MenW and MenY clonal complexes (cc</w:t>
      </w:r>
      <w:r w:rsidRPr="00182D43">
        <w:rPr>
          <w:rFonts w:ascii="Times New Roman" w:hAnsi="Times New Roman" w:cs="Times New Roman"/>
          <w:sz w:val="24"/>
          <w:szCs w:val="24"/>
          <w:lang w:val="en-US"/>
        </w:rPr>
        <w:t>11</w:t>
      </w:r>
      <w:r>
        <w:rPr>
          <w:rFonts w:ascii="Times New Roman" w:hAnsi="Times New Roman" w:cs="Times New Roman"/>
          <w:sz w:val="24"/>
          <w:szCs w:val="24"/>
          <w:lang w:val="en-US"/>
        </w:rPr>
        <w:t xml:space="preserve"> and cc</w:t>
      </w:r>
      <w:r w:rsidRPr="00182D43">
        <w:rPr>
          <w:rFonts w:ascii="Times New Roman" w:hAnsi="Times New Roman" w:cs="Times New Roman"/>
          <w:sz w:val="24"/>
          <w:szCs w:val="24"/>
          <w:lang w:val="en-US"/>
        </w:rPr>
        <w:t>23</w:t>
      </w:r>
      <w:r>
        <w:rPr>
          <w:rFonts w:ascii="Times New Roman" w:hAnsi="Times New Roman" w:cs="Times New Roman"/>
          <w:sz w:val="24"/>
          <w:szCs w:val="24"/>
          <w:lang w:val="en-US"/>
        </w:rPr>
        <w:t>, respectively) were detected, suggesting that deletion of part, or all, of the capsule locus by isolates of these lineages to avoid vaccine-induced immune responses had not occurred.</w:t>
      </w:r>
    </w:p>
    <w:p w:rsidR="00C7734F" w:rsidRDefault="00C7734F" w:rsidP="009037F9">
      <w:pPr>
        <w:spacing w:after="0" w:line="480" w:lineRule="auto"/>
        <w:rPr>
          <w:rFonts w:ascii="Times New Roman" w:hAnsi="Times New Roman" w:cs="Times New Roman"/>
          <w:b/>
          <w:sz w:val="24"/>
          <w:szCs w:val="24"/>
          <w:lang w:val="en-US"/>
        </w:rPr>
      </w:pPr>
    </w:p>
    <w:p w:rsidR="00C7734F" w:rsidRPr="00346CD3" w:rsidRDefault="00C7734F" w:rsidP="009037F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eastAsia="Times New Roman" w:hAnsi="Times New Roman" w:cs="Times New Roman"/>
          <w:iCs/>
          <w:sz w:val="24"/>
          <w:szCs w:val="24"/>
          <w:lang w:val="en-US" w:eastAsia="ar-SA"/>
        </w:rPr>
        <w:t xml:space="preserve">Since its </w:t>
      </w:r>
      <w:r>
        <w:rPr>
          <w:rFonts w:ascii="Times New Roman" w:eastAsia="Times New Roman" w:hAnsi="Times New Roman" w:cs="Times New Roman"/>
          <w:iCs/>
          <w:sz w:val="24"/>
          <w:szCs w:val="24"/>
          <w:lang w:val="en-US" w:eastAsia="ar-SA"/>
        </w:rPr>
        <w:t>appearance</w:t>
      </w:r>
      <w:r w:rsidRPr="00182D43">
        <w:rPr>
          <w:rFonts w:ascii="Times New Roman" w:eastAsia="Times New Roman" w:hAnsi="Times New Roman" w:cs="Times New Roman"/>
          <w:iCs/>
          <w:sz w:val="24"/>
          <w:szCs w:val="24"/>
          <w:lang w:val="en-US" w:eastAsia="ar-SA"/>
        </w:rPr>
        <w:t xml:space="preserve"> in </w:t>
      </w:r>
      <w:r>
        <w:rPr>
          <w:rFonts w:ascii="Times New Roman" w:eastAsia="Times New Roman" w:hAnsi="Times New Roman" w:cs="Times New Roman"/>
          <w:iCs/>
          <w:sz w:val="24"/>
          <w:szCs w:val="24"/>
          <w:lang w:val="en-US" w:eastAsia="ar-SA"/>
        </w:rPr>
        <w:t>2013</w:t>
      </w:r>
      <w:r w:rsidRPr="00182D43">
        <w:rPr>
          <w:rFonts w:ascii="Times New Roman" w:eastAsia="Times New Roman" w:hAnsi="Times New Roman" w:cs="Times New Roman"/>
          <w:iCs/>
          <w:sz w:val="24"/>
          <w:szCs w:val="24"/>
          <w:lang w:val="en-US" w:eastAsia="ar-SA"/>
        </w:rPr>
        <w:t xml:space="preserve">, cases </w:t>
      </w:r>
      <w:r>
        <w:rPr>
          <w:rFonts w:ascii="Times New Roman" w:eastAsia="Times New Roman" w:hAnsi="Times New Roman" w:cs="Times New Roman"/>
          <w:iCs/>
          <w:sz w:val="24"/>
          <w:szCs w:val="24"/>
          <w:lang w:val="en-US" w:eastAsia="ar-SA"/>
        </w:rPr>
        <w:t xml:space="preserve">of IMD in the UK </w:t>
      </w:r>
      <w:r w:rsidRPr="00182D43">
        <w:rPr>
          <w:rFonts w:ascii="Times New Roman" w:eastAsia="Times New Roman" w:hAnsi="Times New Roman" w:cs="Times New Roman"/>
          <w:iCs/>
          <w:sz w:val="24"/>
          <w:szCs w:val="24"/>
          <w:lang w:val="en-US" w:eastAsia="ar-SA"/>
        </w:rPr>
        <w:t>due to th</w:t>
      </w:r>
      <w:r>
        <w:rPr>
          <w:rFonts w:ascii="Times New Roman" w:eastAsia="Times New Roman" w:hAnsi="Times New Roman" w:cs="Times New Roman"/>
          <w:iCs/>
          <w:sz w:val="24"/>
          <w:szCs w:val="24"/>
          <w:lang w:val="en-US" w:eastAsia="ar-SA"/>
        </w:rPr>
        <w:t>e 2013-</w:t>
      </w:r>
      <w:r w:rsidRPr="00182D43">
        <w:rPr>
          <w:rFonts w:ascii="Times New Roman" w:eastAsia="Times New Roman" w:hAnsi="Times New Roman" w:cs="Times New Roman"/>
          <w:iCs/>
          <w:sz w:val="24"/>
          <w:szCs w:val="24"/>
          <w:lang w:val="en-US" w:eastAsia="ar-SA"/>
        </w:rPr>
        <w:t xml:space="preserve">strain </w:t>
      </w:r>
      <w:r>
        <w:rPr>
          <w:rFonts w:ascii="Times New Roman" w:eastAsia="Times New Roman" w:hAnsi="Times New Roman" w:cs="Times New Roman"/>
          <w:iCs/>
          <w:sz w:val="24"/>
          <w:szCs w:val="24"/>
          <w:lang w:val="en-US" w:eastAsia="ar-SA"/>
        </w:rPr>
        <w:t xml:space="preserve">of the South American-UK sub-lineage of MenW:cc11 </w:t>
      </w:r>
      <w:r w:rsidRPr="00182D43">
        <w:rPr>
          <w:rFonts w:ascii="Times New Roman" w:eastAsia="Times New Roman" w:hAnsi="Times New Roman" w:cs="Times New Roman"/>
          <w:iCs/>
          <w:sz w:val="24"/>
          <w:szCs w:val="24"/>
          <w:lang w:val="en-US" w:eastAsia="ar-SA"/>
        </w:rPr>
        <w:t>have approximately doubled year-on-year</w:t>
      </w:r>
      <w:r>
        <w:rPr>
          <w:rFonts w:ascii="Times New Roman" w:eastAsia="Times New Roman" w:hAnsi="Times New Roman" w:cs="Times New Roman"/>
          <w:iCs/>
          <w:sz w:val="24"/>
          <w:szCs w:val="24"/>
          <w:lang w:val="en-US" w:eastAsia="ar-SA"/>
        </w:rPr>
        <w:t xml:space="preserve">, while expansion of the </w:t>
      </w:r>
      <w:r w:rsidRPr="00182D43">
        <w:rPr>
          <w:rFonts w:ascii="Times New Roman" w:eastAsia="Times New Roman" w:hAnsi="Times New Roman" w:cs="Times New Roman"/>
          <w:iCs/>
          <w:sz w:val="24"/>
          <w:szCs w:val="24"/>
          <w:lang w:val="en-US" w:eastAsia="ar-SA"/>
        </w:rPr>
        <w:t xml:space="preserve">original strain has slowed </w:t>
      </w:r>
      <w:r>
        <w:rPr>
          <w:rFonts w:ascii="Times New Roman" w:eastAsia="Times New Roman" w:hAnsi="Times New Roman" w:cs="Times New Roman"/>
          <w:iCs/>
          <w:noProof/>
          <w:sz w:val="24"/>
          <w:szCs w:val="24"/>
          <w:lang w:val="en-US" w:eastAsia="ar-SA"/>
        </w:rPr>
        <w:t>[15]</w:t>
      </w:r>
      <w:r w:rsidRPr="00182D43">
        <w:rPr>
          <w:rFonts w:ascii="Times New Roman" w:eastAsia="Times New Roman" w:hAnsi="Times New Roman" w:cs="Times New Roman"/>
          <w:iCs/>
          <w:sz w:val="24"/>
          <w:szCs w:val="24"/>
          <w:lang w:val="en-US" w:eastAsia="ar-SA"/>
        </w:rPr>
        <w:t xml:space="preserve">. </w:t>
      </w:r>
      <w:r>
        <w:rPr>
          <w:rFonts w:ascii="Times New Roman" w:eastAsia="Times New Roman" w:hAnsi="Times New Roman" w:cs="Times New Roman"/>
          <w:iCs/>
          <w:sz w:val="24"/>
          <w:szCs w:val="24"/>
          <w:lang w:val="en-US" w:eastAsia="ar-SA"/>
        </w:rPr>
        <w:t>Here we show that t</w:t>
      </w:r>
      <w:r>
        <w:rPr>
          <w:rFonts w:ascii="Times New Roman" w:hAnsi="Times New Roman" w:cs="Times New Roman"/>
          <w:sz w:val="24"/>
          <w:szCs w:val="24"/>
          <w:lang w:val="en-US"/>
        </w:rPr>
        <w:t xml:space="preserve">he increase in carried MenW detected at a UK university during 2015-16 </w:t>
      </w:r>
      <w:r>
        <w:rPr>
          <w:rFonts w:ascii="Times New Roman" w:hAnsi="Times New Roman" w:cs="Times New Roman"/>
          <w:noProof/>
          <w:sz w:val="24"/>
          <w:szCs w:val="24"/>
          <w:lang w:val="en-US"/>
        </w:rPr>
        <w:t>[25]</w:t>
      </w:r>
      <w:r>
        <w:rPr>
          <w:rFonts w:ascii="Times New Roman" w:hAnsi="Times New Roman" w:cs="Times New Roman"/>
          <w:sz w:val="24"/>
          <w:szCs w:val="24"/>
          <w:lang w:val="en-US"/>
        </w:rPr>
        <w:t xml:space="preserve"> was also due to expansion of the </w:t>
      </w:r>
      <w:r>
        <w:rPr>
          <w:rFonts w:ascii="Times New Roman" w:eastAsia="Times New Roman" w:hAnsi="Times New Roman" w:cs="Times New Roman"/>
          <w:iCs/>
          <w:sz w:val="24"/>
          <w:szCs w:val="24"/>
          <w:lang w:val="en-US" w:eastAsia="ar-SA"/>
        </w:rPr>
        <w:t>2013-</w:t>
      </w:r>
      <w:r w:rsidRPr="00182D43">
        <w:rPr>
          <w:rFonts w:ascii="Times New Roman" w:eastAsia="Times New Roman" w:hAnsi="Times New Roman" w:cs="Times New Roman"/>
          <w:iCs/>
          <w:sz w:val="24"/>
          <w:szCs w:val="24"/>
          <w:lang w:val="en-US" w:eastAsia="ar-SA"/>
        </w:rPr>
        <w:t>strain</w:t>
      </w:r>
      <w:r>
        <w:rPr>
          <w:rFonts w:ascii="Times New Roman" w:eastAsia="Times New Roman" w:hAnsi="Times New Roman" w:cs="Times New Roman"/>
          <w:iCs/>
          <w:sz w:val="24"/>
          <w:szCs w:val="24"/>
          <w:lang w:val="en-US" w:eastAsia="ar-SA"/>
        </w:rPr>
        <w:t>, a finding that was reliant</w:t>
      </w:r>
      <w:r>
        <w:rPr>
          <w:rFonts w:ascii="Times New Roman" w:hAnsi="Times New Roman" w:cs="Times New Roman"/>
          <w:sz w:val="24"/>
          <w:szCs w:val="24"/>
          <w:lang w:val="en-US"/>
        </w:rPr>
        <w:t xml:space="preserve"> on the ability of core genome analysis to </w:t>
      </w:r>
      <w:r w:rsidRPr="00D54508">
        <w:rPr>
          <w:rFonts w:ascii="Times New Roman" w:hAnsi="Times New Roman" w:cs="Times New Roman"/>
          <w:sz w:val="24"/>
          <w:szCs w:val="24"/>
          <w:lang w:val="en-US"/>
        </w:rPr>
        <w:t>re</w:t>
      </w:r>
      <w:r>
        <w:rPr>
          <w:rFonts w:ascii="Times New Roman" w:hAnsi="Times New Roman" w:cs="Times New Roman"/>
          <w:sz w:val="24"/>
          <w:szCs w:val="24"/>
          <w:lang w:val="en-US"/>
        </w:rPr>
        <w:t xml:space="preserve">solve apparently indistinguishable isolates </w:t>
      </w:r>
      <w:r w:rsidRPr="002F4992">
        <w:rPr>
          <w:rFonts w:ascii="Times New Roman" w:hAnsi="Times New Roman" w:cs="Times New Roman"/>
          <w:sz w:val="24"/>
          <w:szCs w:val="28"/>
          <w:lang w:val="en-US"/>
        </w:rPr>
        <w:t xml:space="preserve">sharing the designation </w:t>
      </w:r>
      <w:r w:rsidRPr="00D54508">
        <w:rPr>
          <w:rFonts w:ascii="Times New Roman" w:hAnsi="Times New Roman" w:cs="Times New Roman"/>
          <w:sz w:val="24"/>
          <w:szCs w:val="24"/>
          <w:lang w:val="en-US"/>
        </w:rPr>
        <w:t>W: P1.5,2: F1-1: ST-11 (cc11)</w:t>
      </w:r>
      <w:r>
        <w:rPr>
          <w:rFonts w:ascii="Times New Roman" w:hAnsi="Times New Roman" w:cs="Times New Roman"/>
          <w:sz w:val="24"/>
          <w:szCs w:val="24"/>
          <w:lang w:val="en-US"/>
        </w:rPr>
        <w:t xml:space="preserve">. Importantly, both the original and the 2013-strain MenW:cc11 strains were carried by in-coming students, yet only the 2013-strain expanded. This suggests differences in strain transmissibility and/or host susceptibility to </w:t>
      </w:r>
      <w:r w:rsidR="00412D9E">
        <w:rPr>
          <w:rFonts w:ascii="Times New Roman" w:hAnsi="Times New Roman" w:cs="Times New Roman"/>
          <w:sz w:val="24"/>
          <w:szCs w:val="24"/>
          <w:lang w:val="en-US"/>
        </w:rPr>
        <w:t>oro</w:t>
      </w:r>
      <w:r>
        <w:rPr>
          <w:rFonts w:ascii="Times New Roman" w:hAnsi="Times New Roman" w:cs="Times New Roman"/>
          <w:sz w:val="24"/>
          <w:szCs w:val="24"/>
          <w:lang w:val="en-US"/>
        </w:rPr>
        <w:t xml:space="preserve">pharyngeal carriage in this population. </w:t>
      </w:r>
      <w:r w:rsidRPr="00DA62AB">
        <w:rPr>
          <w:rFonts w:ascii="Times New Roman" w:hAnsi="Times New Roman" w:cs="Times New Roman"/>
          <w:sz w:val="24"/>
          <w:szCs w:val="24"/>
          <w:lang w:val="en-US"/>
        </w:rPr>
        <w:t xml:space="preserve">Further </w:t>
      </w:r>
      <w:r>
        <w:rPr>
          <w:rFonts w:ascii="Times New Roman" w:hAnsi="Times New Roman" w:cs="Times New Roman"/>
          <w:sz w:val="24"/>
          <w:szCs w:val="24"/>
          <w:lang w:val="en-US"/>
        </w:rPr>
        <w:t xml:space="preserve">studies may indicate whether the differential expansion relates to the previously determined </w:t>
      </w:r>
      <w:r w:rsidRPr="00575843">
        <w:rPr>
          <w:rFonts w:ascii="Times New Roman" w:hAnsi="Times New Roman" w:cs="Times New Roman"/>
          <w:sz w:val="24"/>
          <w:szCs w:val="24"/>
          <w:lang w:val="en-US"/>
        </w:rPr>
        <w:t xml:space="preserve">four point mutations and three </w:t>
      </w:r>
      <w:r>
        <w:rPr>
          <w:rFonts w:ascii="Times New Roman" w:hAnsi="Times New Roman" w:cs="Times New Roman"/>
          <w:sz w:val="24"/>
          <w:szCs w:val="24"/>
          <w:lang w:val="en-US"/>
        </w:rPr>
        <w:t xml:space="preserve">distinct </w:t>
      </w:r>
      <w:r w:rsidRPr="00575843">
        <w:rPr>
          <w:rFonts w:ascii="Times New Roman" w:hAnsi="Times New Roman" w:cs="Times New Roman"/>
          <w:sz w:val="24"/>
          <w:szCs w:val="24"/>
          <w:lang w:val="en-US"/>
        </w:rPr>
        <w:t xml:space="preserve">recombination events </w:t>
      </w:r>
      <w:r>
        <w:rPr>
          <w:rFonts w:ascii="Times New Roman" w:eastAsia="Times New Roman" w:hAnsi="Times New Roman" w:cs="Times New Roman"/>
          <w:iCs/>
          <w:sz w:val="24"/>
          <w:szCs w:val="24"/>
          <w:lang w:val="en-US" w:eastAsia="ar-SA"/>
        </w:rPr>
        <w:t xml:space="preserve">which distinguish the strains </w:t>
      </w:r>
      <w:r>
        <w:rPr>
          <w:rFonts w:ascii="Times New Roman" w:eastAsia="Times New Roman" w:hAnsi="Times New Roman" w:cs="Times New Roman"/>
          <w:iCs/>
          <w:noProof/>
          <w:sz w:val="24"/>
          <w:szCs w:val="24"/>
          <w:lang w:val="en-US" w:eastAsia="ar-SA"/>
        </w:rPr>
        <w:t>[15]</w:t>
      </w:r>
      <w:r>
        <w:rPr>
          <w:rFonts w:ascii="Times New Roman" w:eastAsia="Times New Roman" w:hAnsi="Times New Roman" w:cs="Times New Roman"/>
          <w:iCs/>
          <w:sz w:val="24"/>
          <w:szCs w:val="24"/>
          <w:lang w:val="en-US" w:eastAsia="ar-SA"/>
        </w:rPr>
        <w:t xml:space="preserve"> or other, as yet undetermined genetic differences.</w:t>
      </w:r>
      <w:r w:rsidRPr="005758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being a highly virulent strain with a notable tendency for atypical clinical presentation and a high case-fatality rate </w:t>
      </w:r>
      <w:r>
        <w:rPr>
          <w:rFonts w:ascii="Times New Roman" w:hAnsi="Times New Roman" w:cs="Times New Roman"/>
          <w:noProof/>
          <w:sz w:val="24"/>
          <w:szCs w:val="24"/>
          <w:lang w:val="en-US"/>
        </w:rPr>
        <w:t>[13-15]</w:t>
      </w:r>
      <w:r>
        <w:rPr>
          <w:rFonts w:ascii="Times New Roman" w:hAnsi="Times New Roman" w:cs="Times New Roman"/>
          <w:sz w:val="24"/>
          <w:szCs w:val="24"/>
          <w:lang w:val="en-US"/>
        </w:rPr>
        <w:t xml:space="preserve">, </w:t>
      </w:r>
      <w:r>
        <w:rPr>
          <w:rFonts w:ascii="Times New Roman" w:eastAsia="Times New Roman" w:hAnsi="Times New Roman" w:cs="Times New Roman"/>
          <w:iCs/>
          <w:sz w:val="24"/>
          <w:szCs w:val="24"/>
          <w:lang w:val="en-US" w:eastAsia="ar-SA"/>
        </w:rPr>
        <w:t>o</w:t>
      </w:r>
      <w:r>
        <w:rPr>
          <w:rFonts w:ascii="Times New Roman" w:hAnsi="Times New Roman" w:cs="Times New Roman"/>
          <w:sz w:val="24"/>
          <w:szCs w:val="24"/>
          <w:lang w:val="en-US"/>
        </w:rPr>
        <w:t xml:space="preserve">ur findings suggest that the 2013-strain may result in relatively high levels of carriage in semi-closed communities of young adults, a phenomenon not previously detected for the original strain or MenC:cc11 </w:t>
      </w:r>
      <w:r>
        <w:rPr>
          <w:rFonts w:ascii="Times New Roman" w:hAnsi="Times New Roman" w:cs="Times New Roman"/>
          <w:noProof/>
          <w:sz w:val="24"/>
          <w:szCs w:val="24"/>
          <w:lang w:val="en-US"/>
        </w:rPr>
        <w:t>[32]</w:t>
      </w:r>
      <w:r>
        <w:rPr>
          <w:rFonts w:ascii="Times New Roman" w:hAnsi="Times New Roman" w:cs="Times New Roman"/>
          <w:sz w:val="24"/>
          <w:szCs w:val="24"/>
          <w:lang w:val="en-US"/>
        </w:rPr>
        <w:t xml:space="preserve">. Such settings may act as a reservoir for the 2013-strain, leading to case-clusters or outbreaks of disease in susceptible students </w:t>
      </w:r>
      <w:r>
        <w:rPr>
          <w:rFonts w:ascii="Times New Roman" w:hAnsi="Times New Roman" w:cs="Times New Roman"/>
          <w:noProof/>
          <w:sz w:val="24"/>
          <w:szCs w:val="24"/>
          <w:lang w:val="en-US"/>
        </w:rPr>
        <w:t>[22]</w:t>
      </w:r>
      <w:r>
        <w:rPr>
          <w:rFonts w:ascii="Times New Roman" w:hAnsi="Times New Roman" w:cs="Times New Roman"/>
          <w:sz w:val="24"/>
          <w:szCs w:val="24"/>
          <w:lang w:val="en-US"/>
        </w:rPr>
        <w:t xml:space="preserve"> and onward transmission to unvaccinated cohorts in the wider population. </w:t>
      </w:r>
    </w:p>
    <w:p w:rsidR="00C7734F" w:rsidRDefault="00C7734F" w:rsidP="009037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Of concern, the expansion of the 2013-strain occurred in the context of a student population which had, for the most part, received conjugate MenACWY vaccination. This vaccination had been introduced specifically because of the rapid and sustained increase in MenW:cc11 IMD in the UK </w:t>
      </w:r>
      <w:r>
        <w:rPr>
          <w:rFonts w:ascii="Times New Roman" w:eastAsia="Times New Roman" w:hAnsi="Times New Roman" w:cs="Times New Roman"/>
          <w:iCs/>
          <w:noProof/>
          <w:sz w:val="24"/>
          <w:szCs w:val="24"/>
          <w:lang w:val="en-US" w:eastAsia="ar-SA"/>
        </w:rPr>
        <w:t>[16]</w:t>
      </w:r>
      <w:r>
        <w:rPr>
          <w:rFonts w:ascii="Times New Roman" w:hAnsi="Times New Roman" w:cs="Times New Roman"/>
          <w:sz w:val="24"/>
          <w:szCs w:val="24"/>
          <w:lang w:val="en-US"/>
        </w:rPr>
        <w:t xml:space="preserve"> and led to a reduction</w:t>
      </w:r>
      <w:r w:rsidRPr="00911A2A">
        <w:rPr>
          <w:rFonts w:ascii="Times New Roman" w:hAnsi="Times New Roman" w:cs="Times New Roman"/>
          <w:sz w:val="24"/>
          <w:szCs w:val="24"/>
          <w:lang w:val="en-US"/>
        </w:rPr>
        <w:t xml:space="preserve"> in MenW cases </w:t>
      </w:r>
      <w:r>
        <w:rPr>
          <w:rFonts w:ascii="Times New Roman" w:hAnsi="Times New Roman" w:cs="Times New Roman"/>
          <w:sz w:val="24"/>
          <w:szCs w:val="24"/>
          <w:lang w:val="en-US"/>
        </w:rPr>
        <w:t xml:space="preserve">in the first vaccine-targeted UK cohort who entered university </w:t>
      </w:r>
      <w:r>
        <w:rPr>
          <w:rFonts w:ascii="Times New Roman" w:hAnsi="Times New Roman" w:cs="Times New Roman"/>
          <w:noProof/>
          <w:sz w:val="24"/>
          <w:szCs w:val="24"/>
          <w:lang w:val="en-US"/>
        </w:rPr>
        <w:t>[33]</w:t>
      </w:r>
      <w:r>
        <w:rPr>
          <w:rFonts w:ascii="Times New Roman" w:hAnsi="Times New Roman" w:cs="Times New Roman"/>
          <w:sz w:val="24"/>
          <w:szCs w:val="24"/>
          <w:lang w:val="en-US"/>
        </w:rPr>
        <w:t xml:space="preserve">. Vaccination </w:t>
      </w:r>
      <w:r w:rsidRPr="00BA09B2">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targeted </w:t>
      </w:r>
      <w:r w:rsidRPr="00BA09B2">
        <w:rPr>
          <w:rFonts w:ascii="Times New Roman" w:hAnsi="Times New Roman" w:cs="Times New Roman"/>
          <w:sz w:val="24"/>
          <w:szCs w:val="24"/>
          <w:lang w:val="en-US"/>
        </w:rPr>
        <w:t xml:space="preserve">at older adolescent and young adults </w:t>
      </w:r>
      <w:r>
        <w:rPr>
          <w:rFonts w:ascii="Times New Roman" w:hAnsi="Times New Roman" w:cs="Times New Roman"/>
          <w:sz w:val="24"/>
          <w:szCs w:val="24"/>
          <w:lang w:val="en-US"/>
        </w:rPr>
        <w:t xml:space="preserve">in order to provide direct protection to these age groups but also to generate indirect ‘herd’ protection as observed for the </w:t>
      </w:r>
      <w:r w:rsidRPr="00BA09B2">
        <w:rPr>
          <w:rFonts w:ascii="Times New Roman" w:hAnsi="Times New Roman" w:cs="Times New Roman"/>
          <w:sz w:val="24"/>
          <w:szCs w:val="24"/>
          <w:lang w:val="en-US"/>
        </w:rPr>
        <w:t xml:space="preserve">MenC </w:t>
      </w:r>
      <w:r>
        <w:rPr>
          <w:rFonts w:ascii="Times New Roman" w:hAnsi="Times New Roman" w:cs="Times New Roman"/>
          <w:sz w:val="24"/>
          <w:szCs w:val="24"/>
          <w:lang w:val="en-US"/>
        </w:rPr>
        <w:t xml:space="preserve">and MenA </w:t>
      </w:r>
      <w:r w:rsidRPr="00BA09B2">
        <w:rPr>
          <w:rFonts w:ascii="Times New Roman" w:hAnsi="Times New Roman" w:cs="Times New Roman"/>
          <w:sz w:val="24"/>
          <w:szCs w:val="24"/>
          <w:lang w:val="en-US"/>
        </w:rPr>
        <w:t>monovalent conjugate vaccine</w:t>
      </w:r>
      <w:r>
        <w:rPr>
          <w:rFonts w:ascii="Times New Roman" w:hAnsi="Times New Roman" w:cs="Times New Roman"/>
          <w:sz w:val="24"/>
          <w:szCs w:val="24"/>
          <w:lang w:val="en-US"/>
        </w:rPr>
        <w:t xml:space="preserve">s where </w:t>
      </w:r>
      <w:r w:rsidRPr="0076351D">
        <w:rPr>
          <w:rFonts w:ascii="Times New Roman" w:hAnsi="Times New Roman" w:cs="Times New Roman"/>
          <w:sz w:val="24"/>
          <w:szCs w:val="24"/>
          <w:lang w:val="en-US"/>
        </w:rPr>
        <w:t>high vaccine coverage in the</w:t>
      </w:r>
      <w:r>
        <w:rPr>
          <w:rFonts w:ascii="Times New Roman" w:hAnsi="Times New Roman" w:cs="Times New Roman"/>
          <w:sz w:val="24"/>
          <w:szCs w:val="24"/>
          <w:lang w:val="en-US"/>
        </w:rPr>
        <w:t>se</w:t>
      </w:r>
      <w:r w:rsidRPr="0076351D">
        <w:rPr>
          <w:rFonts w:ascii="Times New Roman" w:hAnsi="Times New Roman" w:cs="Times New Roman"/>
          <w:sz w:val="24"/>
          <w:szCs w:val="24"/>
          <w:lang w:val="en-US"/>
        </w:rPr>
        <w:t xml:space="preserve"> age groups </w:t>
      </w:r>
      <w:r>
        <w:rPr>
          <w:rFonts w:ascii="Times New Roman" w:hAnsi="Times New Roman" w:cs="Times New Roman"/>
          <w:sz w:val="24"/>
          <w:szCs w:val="24"/>
          <w:lang w:val="en-US"/>
        </w:rPr>
        <w:t>reduced</w:t>
      </w:r>
      <w:r w:rsidRPr="00483E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serogroup-specific </w:t>
      </w:r>
      <w:r w:rsidRPr="00483E62">
        <w:rPr>
          <w:rFonts w:ascii="Times New Roman" w:hAnsi="Times New Roman" w:cs="Times New Roman"/>
          <w:sz w:val="24"/>
          <w:szCs w:val="24"/>
          <w:lang w:val="en-US"/>
        </w:rPr>
        <w:t>carriage</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[32, 34]</w:t>
      </w:r>
      <w:r>
        <w:rPr>
          <w:rFonts w:ascii="Times New Roman" w:hAnsi="Times New Roman" w:cs="Times New Roman"/>
          <w:sz w:val="24"/>
          <w:szCs w:val="24"/>
          <w:lang w:val="en-US"/>
        </w:rPr>
        <w:t>. Evidence supporting a</w:t>
      </w:r>
      <w:r w:rsidRPr="006C08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comparable </w:t>
      </w:r>
      <w:r w:rsidRPr="006C0863">
        <w:rPr>
          <w:rFonts w:ascii="Times New Roman" w:hAnsi="Times New Roman" w:cs="Times New Roman"/>
          <w:sz w:val="24"/>
          <w:szCs w:val="24"/>
          <w:lang w:val="en-US"/>
        </w:rPr>
        <w:t xml:space="preserve">impact of quadrivalent MenACWY </w:t>
      </w:r>
      <w:r>
        <w:rPr>
          <w:rFonts w:ascii="Times New Roman" w:hAnsi="Times New Roman" w:cs="Times New Roman"/>
          <w:sz w:val="24"/>
          <w:szCs w:val="24"/>
          <w:lang w:val="en-US"/>
        </w:rPr>
        <w:t xml:space="preserve">conjugate </w:t>
      </w:r>
      <w:r w:rsidRPr="006C0863">
        <w:rPr>
          <w:rFonts w:ascii="Times New Roman" w:hAnsi="Times New Roman" w:cs="Times New Roman"/>
          <w:sz w:val="24"/>
          <w:szCs w:val="24"/>
          <w:lang w:val="en-US"/>
        </w:rPr>
        <w:t xml:space="preserve">vaccines on </w:t>
      </w:r>
      <w:r>
        <w:rPr>
          <w:rFonts w:ascii="Times New Roman" w:hAnsi="Times New Roman" w:cs="Times New Roman"/>
          <w:sz w:val="24"/>
          <w:szCs w:val="24"/>
          <w:lang w:val="en-US"/>
        </w:rPr>
        <w:t xml:space="preserve">carriage </w:t>
      </w:r>
      <w:r w:rsidRPr="006C0863">
        <w:rPr>
          <w:rFonts w:ascii="Times New Roman" w:hAnsi="Times New Roman" w:cs="Times New Roman"/>
          <w:sz w:val="24"/>
          <w:szCs w:val="24"/>
          <w:lang w:val="en-US"/>
        </w:rPr>
        <w:t xml:space="preserve">is currently lacking, albeit two studies </w:t>
      </w:r>
      <w:r>
        <w:rPr>
          <w:rFonts w:ascii="Times New Roman" w:hAnsi="Times New Roman" w:cs="Times New Roman"/>
          <w:sz w:val="24"/>
          <w:szCs w:val="24"/>
          <w:lang w:val="en-US"/>
        </w:rPr>
        <w:t xml:space="preserve">in different populations </w:t>
      </w:r>
      <w:r w:rsidRPr="006C0863">
        <w:rPr>
          <w:rFonts w:ascii="Times New Roman" w:hAnsi="Times New Roman" w:cs="Times New Roman"/>
          <w:sz w:val="24"/>
          <w:szCs w:val="24"/>
          <w:lang w:val="en-US"/>
        </w:rPr>
        <w:t xml:space="preserve">have shown MenACWY vaccination elicited a modest impact on meningococcal carriage </w:t>
      </w:r>
      <w:r>
        <w:rPr>
          <w:rFonts w:ascii="Times New Roman" w:hAnsi="Times New Roman" w:cs="Times New Roman"/>
          <w:sz w:val="24"/>
          <w:szCs w:val="24"/>
          <w:lang w:val="en-US"/>
        </w:rPr>
        <w:t>in v</w:t>
      </w:r>
      <w:r w:rsidRPr="006C0863">
        <w:rPr>
          <w:rFonts w:ascii="Times New Roman" w:hAnsi="Times New Roman" w:cs="Times New Roman"/>
          <w:sz w:val="24"/>
          <w:szCs w:val="24"/>
          <w:lang w:val="en-US"/>
        </w:rPr>
        <w:t>accinated individuals</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[35, 36]</w:t>
      </w:r>
      <w:r w:rsidRPr="006C08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D7382">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 study involving UK </w:t>
      </w:r>
      <w:r w:rsidRPr="00CD7382">
        <w:rPr>
          <w:rFonts w:ascii="Times New Roman" w:hAnsi="Times New Roman" w:cs="Times New Roman"/>
          <w:sz w:val="24"/>
          <w:szCs w:val="24"/>
          <w:lang w:val="en-US"/>
        </w:rPr>
        <w:t xml:space="preserve">university students, carriage </w:t>
      </w:r>
      <w:r>
        <w:rPr>
          <w:rFonts w:ascii="Times New Roman" w:hAnsi="Times New Roman" w:cs="Times New Roman"/>
          <w:sz w:val="24"/>
          <w:szCs w:val="24"/>
          <w:lang w:val="en-US"/>
        </w:rPr>
        <w:t xml:space="preserve">rates </w:t>
      </w:r>
      <w:r w:rsidRPr="00CD7382">
        <w:rPr>
          <w:rFonts w:ascii="Times New Roman" w:hAnsi="Times New Roman" w:cs="Times New Roman"/>
          <w:sz w:val="24"/>
          <w:szCs w:val="24"/>
          <w:lang w:val="en-US"/>
        </w:rPr>
        <w:t xml:space="preserve">of </w:t>
      </w:r>
      <w:r>
        <w:rPr>
          <w:rFonts w:ascii="Times New Roman" w:hAnsi="Times New Roman" w:cs="Times New Roman"/>
          <w:sz w:val="24"/>
          <w:szCs w:val="24"/>
          <w:lang w:val="en-US"/>
        </w:rPr>
        <w:t>serogroup Y</w:t>
      </w:r>
      <w:r w:rsidRPr="00CD738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CD7382">
        <w:rPr>
          <w:rFonts w:ascii="Times New Roman" w:hAnsi="Times New Roman" w:cs="Times New Roman"/>
          <w:sz w:val="24"/>
          <w:szCs w:val="24"/>
          <w:lang w:val="en-US"/>
        </w:rPr>
        <w:t xml:space="preserve">combined serogroups CWY </w:t>
      </w:r>
      <w:r>
        <w:rPr>
          <w:rFonts w:ascii="Times New Roman" w:hAnsi="Times New Roman" w:cs="Times New Roman"/>
          <w:sz w:val="24"/>
          <w:szCs w:val="24"/>
          <w:lang w:val="en-US"/>
        </w:rPr>
        <w:t xml:space="preserve">were significantly lower </w:t>
      </w:r>
      <w:r w:rsidRPr="00CD7382">
        <w:rPr>
          <w:rFonts w:ascii="Times New Roman" w:hAnsi="Times New Roman" w:cs="Times New Roman"/>
          <w:sz w:val="24"/>
          <w:szCs w:val="24"/>
          <w:lang w:val="en-US"/>
        </w:rPr>
        <w:t>two months af</w:t>
      </w:r>
      <w:r>
        <w:rPr>
          <w:rFonts w:ascii="Times New Roman" w:hAnsi="Times New Roman" w:cs="Times New Roman"/>
          <w:sz w:val="24"/>
          <w:szCs w:val="24"/>
          <w:lang w:val="en-US"/>
        </w:rPr>
        <w:t xml:space="preserve">ter vaccination with MenACWY </w:t>
      </w:r>
      <w:r>
        <w:rPr>
          <w:rFonts w:ascii="Times New Roman" w:hAnsi="Times New Roman" w:cs="Times New Roman"/>
          <w:noProof/>
          <w:sz w:val="24"/>
          <w:szCs w:val="24"/>
          <w:lang w:val="en-US"/>
        </w:rPr>
        <w:t>[35]</w:t>
      </w:r>
      <w:r>
        <w:rPr>
          <w:rFonts w:ascii="Times New Roman" w:hAnsi="Times New Roman" w:cs="Times New Roman"/>
          <w:sz w:val="24"/>
          <w:szCs w:val="24"/>
          <w:lang w:val="en-US"/>
        </w:rPr>
        <w:t>, whilst</w:t>
      </w:r>
      <w:r w:rsidRPr="00CD7382">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CD7382">
        <w:rPr>
          <w:rFonts w:ascii="Times New Roman" w:hAnsi="Times New Roman" w:cs="Times New Roman"/>
          <w:sz w:val="24"/>
          <w:szCs w:val="24"/>
          <w:lang w:val="en-US"/>
        </w:rPr>
        <w:t xml:space="preserve">n </w:t>
      </w:r>
      <w:r>
        <w:rPr>
          <w:rFonts w:ascii="Times New Roman" w:hAnsi="Times New Roman" w:cs="Times New Roman"/>
          <w:sz w:val="24"/>
          <w:szCs w:val="24"/>
          <w:lang w:val="en-US"/>
        </w:rPr>
        <w:t>Polish</w:t>
      </w:r>
      <w:r w:rsidRPr="00CD7382">
        <w:rPr>
          <w:rFonts w:ascii="Times New Roman" w:hAnsi="Times New Roman" w:cs="Times New Roman"/>
          <w:sz w:val="24"/>
          <w:szCs w:val="24"/>
          <w:lang w:val="en-US"/>
        </w:rPr>
        <w:t xml:space="preserve"> soldiers meningococcal</w:t>
      </w:r>
      <w:r>
        <w:rPr>
          <w:rFonts w:ascii="Times New Roman" w:hAnsi="Times New Roman" w:cs="Times New Roman"/>
          <w:sz w:val="24"/>
          <w:szCs w:val="24"/>
          <w:lang w:val="en-US"/>
        </w:rPr>
        <w:t xml:space="preserve"> </w:t>
      </w:r>
      <w:r w:rsidRPr="00CD7382">
        <w:rPr>
          <w:rFonts w:ascii="Times New Roman" w:hAnsi="Times New Roman" w:cs="Times New Roman"/>
          <w:sz w:val="24"/>
          <w:szCs w:val="24"/>
          <w:lang w:val="en-US"/>
        </w:rPr>
        <w:t>carriage was 9.6% in unva</w:t>
      </w:r>
      <w:r>
        <w:rPr>
          <w:rFonts w:ascii="Times New Roman" w:hAnsi="Times New Roman" w:cs="Times New Roman"/>
          <w:sz w:val="24"/>
          <w:szCs w:val="24"/>
          <w:lang w:val="en-US"/>
        </w:rPr>
        <w:t xml:space="preserve">ccinated individuals and </w:t>
      </w:r>
      <w:r w:rsidRPr="00CD7382">
        <w:rPr>
          <w:rFonts w:ascii="Times New Roman" w:hAnsi="Times New Roman" w:cs="Times New Roman"/>
          <w:sz w:val="24"/>
          <w:szCs w:val="24"/>
          <w:lang w:val="en-US"/>
        </w:rPr>
        <w:t xml:space="preserve">1.2% in individuals </w:t>
      </w:r>
      <w:r>
        <w:rPr>
          <w:rFonts w:ascii="Times New Roman" w:hAnsi="Times New Roman" w:cs="Times New Roman"/>
          <w:sz w:val="24"/>
          <w:szCs w:val="24"/>
          <w:lang w:val="en-US"/>
        </w:rPr>
        <w:t xml:space="preserve">vaccinated 1-3 years previously </w:t>
      </w:r>
      <w:r w:rsidRPr="00CD7382">
        <w:rPr>
          <w:rFonts w:ascii="Times New Roman" w:hAnsi="Times New Roman" w:cs="Times New Roman"/>
          <w:sz w:val="24"/>
          <w:szCs w:val="24"/>
          <w:lang w:val="en-US"/>
        </w:rPr>
        <w:t>with MenACWY vaccine</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[36]</w:t>
      </w:r>
      <w:r>
        <w:rPr>
          <w:rFonts w:ascii="Times New Roman" w:hAnsi="Times New Roman" w:cs="Times New Roman"/>
          <w:sz w:val="24"/>
          <w:szCs w:val="24"/>
          <w:lang w:val="en-US"/>
        </w:rPr>
        <w:t>. Of note, however, prior to vaccination serogroup Y carriage predominated over serogroup C and W carriage in the former study, and serogroup Y and C carriage were dominant in the latter study, suggesting that the observed effects of MenACWY vaccination on carriage were predominantly due to reductions in carriage of serogroup Y, or Y and C strains, respectively.</w:t>
      </w:r>
    </w:p>
    <w:p w:rsidR="00C7734F" w:rsidRDefault="00C7734F" w:rsidP="009037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data suggest that the MenW component of conjugate MenACWY vaccines does not impact significantly on MenW carriage or does so at a lower level as compared to the MenY component. Thus the sporadic and limited recovery of MenY designations, particularly cc23 isolates, during this carriage study, is indicative of an absence of transmission events in this cohort. This is in marked contrast to the findings of previous </w:t>
      </w:r>
      <w:r>
        <w:rPr>
          <w:rFonts w:ascii="Times New Roman" w:hAnsi="Times New Roman" w:cs="Times New Roman"/>
          <w:sz w:val="24"/>
          <w:szCs w:val="24"/>
          <w:lang w:val="en-US"/>
        </w:rPr>
        <w:lastRenderedPageBreak/>
        <w:t xml:space="preserve">studies of meningococcal carriage in university students, where MenY strains of similar clonal complexes expanded significantly and persisted in unvaccinated populations </w:t>
      </w:r>
      <w:r>
        <w:rPr>
          <w:rFonts w:ascii="Times New Roman" w:hAnsi="Times New Roman" w:cs="Times New Roman"/>
          <w:noProof/>
          <w:sz w:val="24"/>
          <w:szCs w:val="24"/>
          <w:lang w:val="en-US"/>
        </w:rPr>
        <w:t>[27, 28, 37, 38]</w:t>
      </w:r>
      <w:r>
        <w:rPr>
          <w:rFonts w:ascii="Times New Roman" w:hAnsi="Times New Roman" w:cs="Times New Roman"/>
          <w:sz w:val="24"/>
          <w:szCs w:val="24"/>
          <w:lang w:val="en-US"/>
        </w:rPr>
        <w:t xml:space="preserve">. Furthermore, the finding that the vast majority of the isolates of the 2013-strain were expressing the W capsule at the March time-point is consistent with the hypothesis that the capsular polysaccharide antigen was not under significant selective pressure from the introduction of the MenACWY vaccine in this population. In contrast, in a study examining the impact of MenC monovalent conjugate vaccination on carriage, Maiden and colleagues detected a significant reduction in both the prevalence of MenC:cc11 and in the proportion of recovered MenC:cc11 isolates expressing capsule (81% in 1999 and 43% in 2001, respectively) </w:t>
      </w:r>
      <w:r>
        <w:rPr>
          <w:rFonts w:ascii="Times New Roman" w:hAnsi="Times New Roman" w:cs="Times New Roman"/>
          <w:noProof/>
          <w:sz w:val="24"/>
          <w:szCs w:val="24"/>
          <w:lang w:val="en-US"/>
        </w:rPr>
        <w:t>[32]</w:t>
      </w:r>
      <w:r>
        <w:rPr>
          <w:rFonts w:ascii="Times New Roman" w:hAnsi="Times New Roman" w:cs="Times New Roman"/>
          <w:sz w:val="24"/>
          <w:szCs w:val="24"/>
          <w:lang w:val="en-US"/>
        </w:rPr>
        <w:t xml:space="preserve">. A </w:t>
      </w:r>
      <w:r>
        <w:rPr>
          <w:rFonts w:ascii="Times New Roman" w:hAnsi="Times New Roman"/>
          <w:sz w:val="24"/>
          <w:szCs w:val="24"/>
        </w:rPr>
        <w:t xml:space="preserve">caveat is that the majority of MenW:cc11 transmission events may have occurred in students immunized in September and during the early part of the academic year, </w:t>
      </w:r>
      <w:r w:rsidRPr="00C165D3">
        <w:rPr>
          <w:rFonts w:ascii="Times New Roman" w:hAnsi="Times New Roman" w:cs="Times New Roman"/>
          <w:sz w:val="24"/>
          <w:szCs w:val="24"/>
          <w:lang w:val="en-US"/>
        </w:rPr>
        <w:t>a period known to coincide with rapid meningococcal transmission and carriage acquis</w:t>
      </w:r>
      <w:r>
        <w:rPr>
          <w:rFonts w:ascii="Times New Roman" w:hAnsi="Times New Roman" w:cs="Times New Roman"/>
          <w:sz w:val="24"/>
          <w:szCs w:val="24"/>
          <w:lang w:val="en-US"/>
        </w:rPr>
        <w:t xml:space="preserve">ition in first-year students </w:t>
      </w:r>
      <w:r>
        <w:rPr>
          <w:rFonts w:ascii="Times New Roman" w:hAnsi="Times New Roman" w:cs="Times New Roman"/>
          <w:noProof/>
          <w:sz w:val="24"/>
          <w:szCs w:val="24"/>
          <w:lang w:val="en-US"/>
        </w:rPr>
        <w:t>[19]</w:t>
      </w:r>
      <w:r>
        <w:rPr>
          <w:rFonts w:ascii="Times New Roman" w:hAnsi="Times New Roman" w:cs="Times New Roman"/>
          <w:sz w:val="24"/>
          <w:szCs w:val="24"/>
          <w:lang w:val="en-US"/>
        </w:rPr>
        <w:t>.</w:t>
      </w:r>
      <w:r w:rsidRPr="007758B7">
        <w:rPr>
          <w:rFonts w:ascii="Times New Roman" w:hAnsi="Times New Roman"/>
          <w:sz w:val="24"/>
          <w:szCs w:val="24"/>
        </w:rPr>
        <w:t xml:space="preserve"> </w:t>
      </w:r>
      <w:r>
        <w:rPr>
          <w:rFonts w:ascii="Times New Roman" w:hAnsi="Times New Roman"/>
          <w:sz w:val="24"/>
          <w:szCs w:val="24"/>
        </w:rPr>
        <w:t>Thus, vaccine-elicited immune responses may have developed too slowly</w:t>
      </w:r>
      <w:r>
        <w:rPr>
          <w:rFonts w:ascii="Times New Roman" w:hAnsi="Times New Roman" w:cs="Times New Roman"/>
          <w:sz w:val="24"/>
          <w:szCs w:val="24"/>
          <w:lang w:val="en-US"/>
        </w:rPr>
        <w:t xml:space="preserve"> </w:t>
      </w:r>
      <w:r w:rsidRPr="00C165D3">
        <w:rPr>
          <w:rFonts w:ascii="Times New Roman" w:hAnsi="Times New Roman" w:cs="Times New Roman"/>
          <w:sz w:val="24"/>
          <w:szCs w:val="24"/>
          <w:lang w:val="en-US"/>
        </w:rPr>
        <w:t xml:space="preserve">to impact on </w:t>
      </w:r>
      <w:r>
        <w:rPr>
          <w:rFonts w:ascii="Times New Roman" w:hAnsi="Times New Roman" w:cs="Times New Roman"/>
          <w:sz w:val="24"/>
          <w:szCs w:val="24"/>
          <w:lang w:val="en-US"/>
        </w:rPr>
        <w:t xml:space="preserve">the </w:t>
      </w:r>
      <w:r w:rsidRPr="00C165D3">
        <w:rPr>
          <w:rFonts w:ascii="Times New Roman" w:hAnsi="Times New Roman" w:cs="Times New Roman"/>
          <w:sz w:val="24"/>
          <w:szCs w:val="24"/>
          <w:lang w:val="en-US"/>
        </w:rPr>
        <w:t>acquisition</w:t>
      </w:r>
      <w:r>
        <w:rPr>
          <w:rFonts w:ascii="Times New Roman" w:hAnsi="Times New Roman" w:cs="Times New Roman"/>
          <w:sz w:val="24"/>
          <w:szCs w:val="24"/>
          <w:lang w:val="en-US"/>
        </w:rPr>
        <w:t xml:space="preserve"> of MenW:cc11 but not MenY:cc23 strains</w:t>
      </w:r>
      <w:r w:rsidRPr="00C165D3">
        <w:rPr>
          <w:rFonts w:ascii="Times New Roman" w:hAnsi="Times New Roman" w:cs="Times New Roman"/>
          <w:sz w:val="24"/>
          <w:szCs w:val="24"/>
          <w:lang w:val="en-US"/>
        </w:rPr>
        <w:t>.</w:t>
      </w:r>
      <w:r>
        <w:rPr>
          <w:rFonts w:ascii="Times New Roman" w:hAnsi="Times New Roman" w:cs="Times New Roman"/>
          <w:sz w:val="24"/>
          <w:szCs w:val="24"/>
          <w:lang w:val="en-US"/>
        </w:rPr>
        <w:t xml:space="preserve"> Vaccinating adolescents earlier and achieving higher coverage (</w:t>
      </w:r>
      <w:r>
        <w:rPr>
          <w:rFonts w:ascii="Times New Roman" w:hAnsi="Times New Roman" w:cs="Times New Roman"/>
          <w:i/>
          <w:sz w:val="24"/>
          <w:szCs w:val="24"/>
          <w:lang w:val="en-US"/>
        </w:rPr>
        <w:t xml:space="preserve">i.e. </w:t>
      </w:r>
      <w:r>
        <w:rPr>
          <w:rFonts w:ascii="Times New Roman" w:hAnsi="Times New Roman" w:cs="Times New Roman"/>
          <w:sz w:val="24"/>
          <w:szCs w:val="24"/>
          <w:lang w:val="en-US"/>
        </w:rPr>
        <w:t>the aim of the routine adolescent schools program where p</w:t>
      </w:r>
      <w:r w:rsidRPr="00FE33E3">
        <w:rPr>
          <w:rFonts w:ascii="Times New Roman" w:hAnsi="Times New Roman" w:cs="Times New Roman"/>
          <w:sz w:val="24"/>
          <w:szCs w:val="24"/>
          <w:lang w:val="en-US"/>
        </w:rPr>
        <w:t xml:space="preserve">reliminary coverage </w:t>
      </w:r>
      <w:r>
        <w:rPr>
          <w:rFonts w:ascii="Times New Roman" w:hAnsi="Times New Roman" w:cs="Times New Roman"/>
          <w:sz w:val="24"/>
          <w:szCs w:val="24"/>
          <w:lang w:val="en-US"/>
        </w:rPr>
        <w:t xml:space="preserve">was &gt;77% </w:t>
      </w:r>
      <w:r>
        <w:rPr>
          <w:rFonts w:ascii="Times New Roman" w:hAnsi="Times New Roman" w:cs="Times New Roman"/>
          <w:noProof/>
          <w:sz w:val="24"/>
          <w:szCs w:val="24"/>
          <w:lang w:val="en-US"/>
        </w:rPr>
        <w:t>[39]</w:t>
      </w:r>
      <w:r>
        <w:rPr>
          <w:rFonts w:ascii="Times New Roman" w:hAnsi="Times New Roman" w:cs="Times New Roman"/>
          <w:sz w:val="24"/>
          <w:szCs w:val="24"/>
          <w:lang w:val="en-US"/>
        </w:rPr>
        <w:t xml:space="preserve">) may reduce MenW:cc11 acquisition and carriage and eventually lead to population-wide herd immunity. Ongoing surveillance will be needed to establish whether MenW:cc11 carriage declines as these cohorts enter the university population. </w:t>
      </w:r>
    </w:p>
    <w:p w:rsidR="00C7734F" w:rsidRDefault="00C7734F" w:rsidP="009037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cross-sectional study precluded comment on the duration of carriage of the 2013-MenW:cc11 strains in individuals. </w:t>
      </w:r>
      <w:r>
        <w:rPr>
          <w:rFonts w:ascii="Times New Roman" w:hAnsi="Times New Roman"/>
          <w:sz w:val="24"/>
          <w:szCs w:val="24"/>
        </w:rPr>
        <w:t xml:space="preserve">However prolonged carriage of these strains in MenACWY-vaccinated individuals could be critically important due to the potential for spread to </w:t>
      </w:r>
      <w:r>
        <w:rPr>
          <w:rFonts w:ascii="Times New Roman" w:hAnsi="Times New Roman" w:cs="Times New Roman"/>
          <w:sz w:val="24"/>
          <w:szCs w:val="24"/>
          <w:lang w:val="en-US"/>
        </w:rPr>
        <w:t xml:space="preserve">non-vaccinated individuals in the population. A longitudinal study is required to determine whether there are differences in MenW/Y carriage duration in vaccinated individuals as implied by our current study. Additionally, an examination of the impact of </w:t>
      </w:r>
      <w:r>
        <w:rPr>
          <w:rFonts w:ascii="Times New Roman" w:hAnsi="Times New Roman" w:cs="Times New Roman"/>
          <w:sz w:val="24"/>
          <w:szCs w:val="24"/>
          <w:lang w:val="en-US"/>
        </w:rPr>
        <w:lastRenderedPageBreak/>
        <w:t xml:space="preserve">MenACWY vaccination on the density of meningococcal carriage is required. In a recent study, Finn and colleagues utilized quantitative PCR to assess the density of meningococcal carriage and observed temporal and individual variation of several orders of magnitude </w:t>
      </w:r>
      <w:r>
        <w:rPr>
          <w:rFonts w:ascii="Times New Roman" w:hAnsi="Times New Roman" w:cs="Times New Roman"/>
          <w:noProof/>
          <w:sz w:val="24"/>
          <w:szCs w:val="24"/>
          <w:lang w:val="en-US"/>
        </w:rPr>
        <w:t>[40]</w:t>
      </w:r>
      <w:r>
        <w:rPr>
          <w:rFonts w:ascii="Times New Roman" w:hAnsi="Times New Roman" w:cs="Times New Roman"/>
          <w:sz w:val="24"/>
          <w:szCs w:val="24"/>
          <w:lang w:val="en-US"/>
        </w:rPr>
        <w:t xml:space="preserve">. Our study cannot exclude the possibility of an effect of MenACWY immunization on carriage density in vaccinated as compared to unvaccinated individuals. </w:t>
      </w:r>
    </w:p>
    <w:p w:rsidR="00C7734F" w:rsidRPr="00E75F12" w:rsidRDefault="00C7734F" w:rsidP="009037F9">
      <w:pPr>
        <w:spacing w:after="0" w:line="480" w:lineRule="auto"/>
        <w:ind w:firstLine="720"/>
        <w:rPr>
          <w:rFonts w:ascii="Times New Roman" w:eastAsia="Times New Roman" w:hAnsi="Times New Roman" w:cs="Times New Roman"/>
          <w:b/>
          <w:bCs/>
          <w:sz w:val="24"/>
          <w:szCs w:val="24"/>
          <w:lang w:val="en-US"/>
        </w:rPr>
      </w:pPr>
      <w:r>
        <w:rPr>
          <w:rFonts w:ascii="Times New Roman" w:hAnsi="Times New Roman" w:cs="Times New Roman"/>
          <w:sz w:val="24"/>
          <w:szCs w:val="24"/>
          <w:lang w:val="en-US"/>
        </w:rPr>
        <w:t xml:space="preserve">In conclusion, we show that the hyper-virulent 2013-strain of the South American-UK MenW:cc11 sub-lineage was responsible for an increase in group W carriage reported at a UK university. Analysis of WGS data revealed close transmission networks that extended beyond individual dormitories. Furthermore, on-campus </w:t>
      </w:r>
      <w:r w:rsidRPr="00EC5DE7">
        <w:rPr>
          <w:rFonts w:ascii="Times New Roman" w:eastAsia="Times New Roman" w:hAnsi="Times New Roman" w:cs="Times New Roman"/>
          <w:iCs/>
          <w:sz w:val="24"/>
          <w:szCs w:val="24"/>
          <w:lang w:val="en-US" w:eastAsia="ar-SA"/>
        </w:rPr>
        <w:t>MenACWY v</w:t>
      </w:r>
      <w:r>
        <w:rPr>
          <w:rFonts w:ascii="Times New Roman" w:eastAsia="Times New Roman" w:hAnsi="Times New Roman" w:cs="Times New Roman"/>
          <w:iCs/>
          <w:sz w:val="24"/>
          <w:szCs w:val="24"/>
          <w:lang w:val="en-US" w:eastAsia="ar-SA"/>
        </w:rPr>
        <w:t xml:space="preserve">accination </w:t>
      </w:r>
      <w:r w:rsidRPr="00182D43">
        <w:rPr>
          <w:rFonts w:ascii="Times New Roman" w:eastAsia="Times New Roman" w:hAnsi="Times New Roman" w:cs="Times New Roman"/>
          <w:iCs/>
          <w:sz w:val="24"/>
          <w:szCs w:val="24"/>
          <w:lang w:val="en-US" w:eastAsia="ar-SA"/>
        </w:rPr>
        <w:t>d</w:t>
      </w:r>
      <w:r>
        <w:rPr>
          <w:rFonts w:ascii="Times New Roman" w:eastAsia="Times New Roman" w:hAnsi="Times New Roman" w:cs="Times New Roman"/>
          <w:iCs/>
          <w:sz w:val="24"/>
          <w:szCs w:val="24"/>
          <w:lang w:val="en-US" w:eastAsia="ar-SA"/>
        </w:rPr>
        <w:t xml:space="preserve">id </w:t>
      </w:r>
      <w:r w:rsidRPr="00182D43">
        <w:rPr>
          <w:rFonts w:ascii="Times New Roman" w:eastAsia="Times New Roman" w:hAnsi="Times New Roman" w:cs="Times New Roman"/>
          <w:iCs/>
          <w:sz w:val="24"/>
          <w:szCs w:val="24"/>
          <w:lang w:val="en-US" w:eastAsia="ar-SA"/>
        </w:rPr>
        <w:t xml:space="preserve">not prevent </w:t>
      </w:r>
      <w:r>
        <w:rPr>
          <w:rFonts w:ascii="Times New Roman" w:eastAsia="Times New Roman" w:hAnsi="Times New Roman" w:cs="Times New Roman"/>
          <w:iCs/>
          <w:sz w:val="24"/>
          <w:szCs w:val="24"/>
          <w:lang w:val="en-US" w:eastAsia="ar-SA"/>
        </w:rPr>
        <w:t xml:space="preserve">expansion </w:t>
      </w:r>
      <w:r w:rsidRPr="00182D43">
        <w:rPr>
          <w:rFonts w:ascii="Times New Roman" w:eastAsia="Times New Roman" w:hAnsi="Times New Roman" w:cs="Times New Roman"/>
          <w:iCs/>
          <w:sz w:val="24"/>
          <w:szCs w:val="24"/>
          <w:lang w:val="en-US" w:eastAsia="ar-SA"/>
        </w:rPr>
        <w:t xml:space="preserve">of </w:t>
      </w:r>
      <w:r>
        <w:rPr>
          <w:rFonts w:ascii="Times New Roman" w:eastAsia="Times New Roman" w:hAnsi="Times New Roman" w:cs="Times New Roman"/>
          <w:iCs/>
          <w:sz w:val="24"/>
          <w:szCs w:val="24"/>
          <w:lang w:val="en-US" w:eastAsia="ar-SA"/>
        </w:rPr>
        <w:t xml:space="preserve">capsule-expressing </w:t>
      </w:r>
      <w:r>
        <w:rPr>
          <w:rFonts w:ascii="Times New Roman" w:hAnsi="Times New Roman" w:cs="Times New Roman"/>
          <w:sz w:val="24"/>
          <w:szCs w:val="24"/>
          <w:lang w:val="en-US"/>
        </w:rPr>
        <w:t xml:space="preserve">isolates from the 2013-strain of MenW:cc11. These findings are important for predicting the rate of development of population-wide </w:t>
      </w:r>
      <w:r>
        <w:rPr>
          <w:rFonts w:ascii="Times New Roman" w:eastAsia="Times New Roman" w:hAnsi="Times New Roman" w:cs="Times New Roman"/>
          <w:iCs/>
          <w:sz w:val="24"/>
          <w:szCs w:val="24"/>
          <w:lang w:val="en-US" w:eastAsia="ar-SA"/>
        </w:rPr>
        <w:t>h</w:t>
      </w:r>
      <w:r w:rsidRPr="005D60C4">
        <w:rPr>
          <w:rFonts w:ascii="Times New Roman" w:eastAsia="Times New Roman" w:hAnsi="Times New Roman" w:cs="Times New Roman"/>
          <w:iCs/>
          <w:sz w:val="24"/>
          <w:szCs w:val="24"/>
          <w:lang w:val="en-US" w:eastAsia="ar-SA"/>
        </w:rPr>
        <w:t xml:space="preserve">erd </w:t>
      </w:r>
      <w:r>
        <w:rPr>
          <w:rFonts w:ascii="Times New Roman" w:eastAsia="Times New Roman" w:hAnsi="Times New Roman" w:cs="Times New Roman"/>
          <w:iCs/>
          <w:sz w:val="24"/>
          <w:szCs w:val="24"/>
          <w:lang w:val="en-US" w:eastAsia="ar-SA"/>
        </w:rPr>
        <w:t xml:space="preserve">immunity in the UK and for protecting older unvaccinated cohorts. In the period January through March 2017, there were 51 cases of MenW IMD in individuals aged &gt;45 years in England </w:t>
      </w:r>
      <w:r>
        <w:rPr>
          <w:rFonts w:ascii="Times New Roman" w:eastAsia="Times New Roman" w:hAnsi="Times New Roman" w:cs="Times New Roman"/>
          <w:iCs/>
          <w:noProof/>
          <w:sz w:val="24"/>
          <w:szCs w:val="24"/>
          <w:lang w:val="en-US" w:eastAsia="ar-SA"/>
        </w:rPr>
        <w:t>[39]</w:t>
      </w:r>
      <w:r w:rsidRPr="009B028C">
        <w:rPr>
          <w:rFonts w:ascii="Times New Roman" w:eastAsia="Times New Roman" w:hAnsi="Times New Roman" w:cs="Times New Roman"/>
          <w:iCs/>
          <w:sz w:val="24"/>
          <w:szCs w:val="24"/>
          <w:lang w:val="en-US" w:eastAsia="ar-SA"/>
        </w:rPr>
        <w:t>. Finally</w:t>
      </w:r>
      <w:r>
        <w:rPr>
          <w:rFonts w:ascii="Times New Roman" w:eastAsia="Times New Roman" w:hAnsi="Times New Roman" w:cs="Times New Roman"/>
          <w:iCs/>
          <w:sz w:val="24"/>
          <w:szCs w:val="24"/>
          <w:lang w:val="en-US" w:eastAsia="ar-SA"/>
        </w:rPr>
        <w:t xml:space="preserve">, further studies are required to determine whether carriage of the 2013-strain is increasing in the wider population of older adolescents and young adults in UK, and in other countries where there are similar increases in IMD due to this emerging strain. </w:t>
      </w:r>
    </w:p>
    <w:p w:rsidR="00C7734F" w:rsidRPr="0091224A" w:rsidRDefault="00C7734F" w:rsidP="009037F9">
      <w:pPr>
        <w:spacing w:after="0" w:line="480" w:lineRule="auto"/>
        <w:rPr>
          <w:rFonts w:ascii="Times New Roman" w:hAnsi="Times New Roman" w:cs="Times New Roman"/>
          <w:sz w:val="24"/>
          <w:szCs w:val="24"/>
          <w:lang w:val="en-US"/>
        </w:rPr>
      </w:pP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caps/>
          <w:sz w:val="24"/>
          <w:szCs w:val="24"/>
          <w:lang w:val="en-US"/>
        </w:rPr>
        <w:t>Potential conflicts of interest</w:t>
      </w:r>
    </w:p>
    <w:p w:rsidR="00C7734F" w:rsidRPr="00182D43"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N. J. O. and L. R. G. have n</w:t>
      </w:r>
      <w:r w:rsidRPr="00AB363D">
        <w:rPr>
          <w:rFonts w:ascii="Times New Roman" w:hAnsi="Times New Roman" w:cs="Times New Roman"/>
          <w:sz w:val="24"/>
          <w:szCs w:val="24"/>
          <w:lang w:val="en-US"/>
        </w:rPr>
        <w:t xml:space="preserve">o </w:t>
      </w:r>
      <w:r>
        <w:rPr>
          <w:rFonts w:ascii="Times New Roman" w:hAnsi="Times New Roman" w:cs="Times New Roman"/>
          <w:sz w:val="24"/>
          <w:szCs w:val="24"/>
          <w:lang w:val="en-US"/>
        </w:rPr>
        <w:t xml:space="preserve">potential </w:t>
      </w:r>
      <w:r w:rsidRPr="00AB363D">
        <w:rPr>
          <w:rFonts w:ascii="Times New Roman" w:hAnsi="Times New Roman" w:cs="Times New Roman"/>
          <w:sz w:val="24"/>
          <w:szCs w:val="24"/>
          <w:lang w:val="en-US"/>
        </w:rPr>
        <w:t>conflicts</w:t>
      </w:r>
      <w:r>
        <w:rPr>
          <w:rFonts w:ascii="Times New Roman" w:hAnsi="Times New Roman" w:cs="Times New Roman"/>
          <w:sz w:val="24"/>
          <w:szCs w:val="24"/>
          <w:lang w:val="en-US"/>
        </w:rPr>
        <w:t>. J. P</w:t>
      </w:r>
      <w:r w:rsidRPr="002C1A11">
        <w:rPr>
          <w:rFonts w:ascii="Times New Roman" w:hAnsi="Times New Roman" w:cs="Times New Roman"/>
          <w:sz w:val="24"/>
          <w:szCs w:val="24"/>
          <w:lang w:val="en-US"/>
        </w:rPr>
        <w:t xml:space="preserve">. has been a consultant to </w:t>
      </w:r>
      <w:r>
        <w:rPr>
          <w:rFonts w:ascii="Times New Roman" w:hAnsi="Times New Roman" w:cs="Times New Roman"/>
          <w:sz w:val="24"/>
          <w:szCs w:val="24"/>
          <w:lang w:val="en-US"/>
        </w:rPr>
        <w:t>Specific Technologies and</w:t>
      </w:r>
      <w:r w:rsidRPr="002C1A11">
        <w:rPr>
          <w:rFonts w:ascii="Times New Roman" w:hAnsi="Times New Roman" w:cs="Times New Roman"/>
          <w:sz w:val="24"/>
          <w:szCs w:val="24"/>
          <w:lang w:val="en-US"/>
        </w:rPr>
        <w:t xml:space="preserve"> has received research funding from Pfizer</w:t>
      </w:r>
      <w:r>
        <w:rPr>
          <w:rFonts w:ascii="Times New Roman" w:hAnsi="Times New Roman" w:cs="Times New Roman"/>
          <w:sz w:val="24"/>
          <w:szCs w:val="24"/>
          <w:lang w:val="en-US"/>
        </w:rPr>
        <w:t xml:space="preserve">. C. D. B. collaborates with </w:t>
      </w:r>
      <w:r w:rsidRPr="00140212">
        <w:rPr>
          <w:rFonts w:ascii="Times New Roman" w:hAnsi="Times New Roman" w:cs="Times New Roman"/>
          <w:sz w:val="24"/>
          <w:szCs w:val="24"/>
          <w:lang w:val="en-US"/>
        </w:rPr>
        <w:t>GlaxoSmithKline</w:t>
      </w:r>
      <w:r>
        <w:rPr>
          <w:rFonts w:ascii="Times New Roman" w:hAnsi="Times New Roman" w:cs="Times New Roman"/>
          <w:sz w:val="24"/>
          <w:szCs w:val="24"/>
          <w:lang w:val="en-US"/>
        </w:rPr>
        <w:t>.</w:t>
      </w:r>
      <w:r w:rsidRPr="00035C56">
        <w:t xml:space="preserve"> </w:t>
      </w:r>
      <w:r w:rsidRPr="00035C56">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035C56">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035C56">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r w:rsidRPr="00035C56">
        <w:rPr>
          <w:rFonts w:ascii="Times New Roman" w:hAnsi="Times New Roman" w:cs="Times New Roman"/>
          <w:sz w:val="24"/>
          <w:szCs w:val="24"/>
          <w:lang w:val="en-US"/>
        </w:rPr>
        <w:t>T</w:t>
      </w:r>
      <w:r>
        <w:rPr>
          <w:rFonts w:ascii="Times New Roman" w:hAnsi="Times New Roman" w:cs="Times New Roman"/>
          <w:sz w:val="24"/>
          <w:szCs w:val="24"/>
          <w:lang w:val="en-US"/>
        </w:rPr>
        <w:t>.</w:t>
      </w:r>
      <w:r w:rsidRPr="00035C56">
        <w:rPr>
          <w:rFonts w:ascii="Times New Roman" w:hAnsi="Times New Roman" w:cs="Times New Roman"/>
          <w:sz w:val="24"/>
          <w:szCs w:val="24"/>
          <w:lang w:val="en-US"/>
        </w:rPr>
        <w:t xml:space="preserve"> has received support from Novartis Vaccines (now a part of </w:t>
      </w:r>
      <w:r w:rsidRPr="00140212">
        <w:rPr>
          <w:rFonts w:ascii="Times New Roman" w:hAnsi="Times New Roman" w:cs="Times New Roman"/>
          <w:sz w:val="24"/>
          <w:szCs w:val="24"/>
          <w:lang w:val="en-US"/>
        </w:rPr>
        <w:t>GlaxoSmithKline</w:t>
      </w:r>
      <w:r w:rsidRPr="00035C56">
        <w:rPr>
          <w:rFonts w:ascii="Times New Roman" w:hAnsi="Times New Roman" w:cs="Times New Roman"/>
          <w:sz w:val="24"/>
          <w:szCs w:val="24"/>
          <w:lang w:val="en-US"/>
        </w:rPr>
        <w:t xml:space="preserve">), Sanofi Pasteur and </w:t>
      </w:r>
      <w:r w:rsidRPr="00140212">
        <w:rPr>
          <w:rFonts w:ascii="Times New Roman" w:hAnsi="Times New Roman" w:cs="Times New Roman"/>
          <w:sz w:val="24"/>
          <w:szCs w:val="24"/>
          <w:lang w:val="en-US"/>
        </w:rPr>
        <w:t>GlaxoSmithKline</w:t>
      </w:r>
      <w:r w:rsidRPr="00035C56">
        <w:rPr>
          <w:rFonts w:ascii="Times New Roman" w:hAnsi="Times New Roman" w:cs="Times New Roman"/>
          <w:sz w:val="24"/>
          <w:szCs w:val="24"/>
          <w:lang w:val="en-US"/>
        </w:rPr>
        <w:t xml:space="preserve">, including honoraria, grants and travel </w:t>
      </w:r>
      <w:r>
        <w:rPr>
          <w:rFonts w:ascii="Times New Roman" w:hAnsi="Times New Roman" w:cs="Times New Roman"/>
          <w:sz w:val="24"/>
          <w:szCs w:val="24"/>
          <w:lang w:val="en-US"/>
        </w:rPr>
        <w:t>assistance for conferences.</w:t>
      </w:r>
    </w:p>
    <w:p w:rsidR="00C7734F" w:rsidRPr="00182D43" w:rsidRDefault="00C7734F" w:rsidP="009037F9">
      <w:pPr>
        <w:spacing w:after="0" w:line="480" w:lineRule="auto"/>
        <w:ind w:firstLine="720"/>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caps/>
          <w:sz w:val="24"/>
          <w:szCs w:val="24"/>
          <w:lang w:val="en-US"/>
        </w:rPr>
        <w:t>Funding</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lastRenderedPageBreak/>
        <w:t>This work was supported by the University of Nottingham</w:t>
      </w:r>
      <w:r>
        <w:rPr>
          <w:rFonts w:ascii="Times New Roman" w:hAnsi="Times New Roman" w:cs="Times New Roman"/>
          <w:sz w:val="24"/>
          <w:szCs w:val="24"/>
          <w:lang w:val="en-US"/>
        </w:rPr>
        <w:t xml:space="preserve">, </w:t>
      </w:r>
      <w:r w:rsidRPr="005028AB">
        <w:rPr>
          <w:rFonts w:ascii="Times New Roman" w:hAnsi="Times New Roman" w:cs="Times New Roman"/>
          <w:sz w:val="24"/>
          <w:szCs w:val="24"/>
          <w:lang w:val="en-US"/>
        </w:rPr>
        <w:t>the Medical Research Council, UK</w:t>
      </w:r>
      <w:r>
        <w:rPr>
          <w:rFonts w:ascii="Times New Roman" w:hAnsi="Times New Roman" w:cs="Times New Roman"/>
          <w:sz w:val="24"/>
          <w:szCs w:val="24"/>
          <w:lang w:val="en-US"/>
        </w:rPr>
        <w:t xml:space="preserve"> (grant number </w:t>
      </w:r>
      <w:r w:rsidRPr="005028AB">
        <w:rPr>
          <w:rFonts w:ascii="Times New Roman" w:hAnsi="Times New Roman" w:cs="Times New Roman"/>
          <w:sz w:val="24"/>
          <w:szCs w:val="24"/>
          <w:lang w:val="en-US"/>
        </w:rPr>
        <w:t>MR/M020193/1</w:t>
      </w:r>
      <w:r>
        <w:rPr>
          <w:rFonts w:ascii="Times New Roman" w:hAnsi="Times New Roman" w:cs="Times New Roman"/>
          <w:sz w:val="24"/>
          <w:szCs w:val="24"/>
          <w:lang w:val="en-US"/>
        </w:rPr>
        <w:t xml:space="preserve"> to C. D. B.) and the Wellcome Trust (grant number 098051)</w:t>
      </w:r>
      <w:r w:rsidRPr="00182D43">
        <w:rPr>
          <w:rFonts w:ascii="Times New Roman" w:hAnsi="Times New Roman" w:cs="Times New Roman"/>
          <w:sz w:val="24"/>
          <w:szCs w:val="24"/>
          <w:lang w:val="en-US"/>
        </w:rPr>
        <w:t xml:space="preserve">. </w:t>
      </w:r>
      <w:r w:rsidRPr="00182D43">
        <w:rPr>
          <w:rFonts w:ascii="Times New Roman" w:eastAsia="Times New Roman" w:hAnsi="Times New Roman" w:cs="Times New Roman"/>
          <w:sz w:val="24"/>
          <w:szCs w:val="24"/>
          <w:lang w:val="en-US" w:eastAsia="en-GB"/>
        </w:rPr>
        <w:t>The funder</w:t>
      </w:r>
      <w:r>
        <w:rPr>
          <w:rFonts w:ascii="Times New Roman" w:eastAsia="Times New Roman" w:hAnsi="Times New Roman" w:cs="Times New Roman"/>
          <w:sz w:val="24"/>
          <w:szCs w:val="24"/>
          <w:lang w:val="en-US" w:eastAsia="en-GB"/>
        </w:rPr>
        <w:t>s</w:t>
      </w:r>
      <w:r w:rsidRPr="00182D43">
        <w:rPr>
          <w:rFonts w:ascii="Times New Roman" w:eastAsia="Times New Roman" w:hAnsi="Times New Roman" w:cs="Times New Roman"/>
          <w:sz w:val="24"/>
          <w:szCs w:val="24"/>
          <w:lang w:val="en-US" w:eastAsia="en-GB"/>
        </w:rPr>
        <w:t xml:space="preserve"> had no involvement in the design of the study or the preparation of the article.</w:t>
      </w:r>
    </w:p>
    <w:p w:rsidR="00C7734F" w:rsidRPr="00182D43" w:rsidRDefault="00C7734F" w:rsidP="009037F9">
      <w:pPr>
        <w:spacing w:after="0" w:line="480" w:lineRule="auto"/>
        <w:ind w:firstLine="720"/>
        <w:rPr>
          <w:rFonts w:ascii="Times New Roman" w:hAnsi="Times New Roman" w:cs="Times New Roman"/>
          <w:sz w:val="24"/>
          <w:szCs w:val="24"/>
          <w:lang w:val="en-US"/>
        </w:rPr>
      </w:pP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caps/>
          <w:sz w:val="24"/>
          <w:szCs w:val="24"/>
          <w:lang w:val="en-US"/>
        </w:rPr>
        <w:t>Corresponding author contact information</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Neil Oldfield, Centre for Biomolecular Sciences, University of Nottingham, Nottingham NG7 2RD, UK. E-mail: </w:t>
      </w:r>
      <w:hyperlink r:id="rId10" w:history="1">
        <w:r w:rsidRPr="00182D43">
          <w:rPr>
            <w:rStyle w:val="Hyperlink"/>
            <w:rFonts w:ascii="Times New Roman" w:hAnsi="Times New Roman" w:cs="Times New Roman"/>
            <w:sz w:val="24"/>
            <w:szCs w:val="24"/>
            <w:lang w:val="en-US"/>
          </w:rPr>
          <w:t>neil.oldfield@nottingham.ac.uk</w:t>
        </w:r>
      </w:hyperlink>
      <w:r w:rsidRPr="00182D43">
        <w:rPr>
          <w:rFonts w:ascii="Times New Roman" w:hAnsi="Times New Roman" w:cs="Times New Roman"/>
          <w:sz w:val="24"/>
          <w:szCs w:val="24"/>
          <w:lang w:val="en-US"/>
        </w:rPr>
        <w:t>. Tel: (+44) 115748 6122. Fax: (+44) 115846 8002.</w:t>
      </w:r>
    </w:p>
    <w:p w:rsidR="00C7734F" w:rsidRPr="00182D43" w:rsidRDefault="00C7734F" w:rsidP="009037F9">
      <w:pPr>
        <w:spacing w:after="0" w:line="480" w:lineRule="auto"/>
        <w:rPr>
          <w:rFonts w:ascii="Times New Roman" w:hAnsi="Times New Roman" w:cs="Times New Roman"/>
          <w:b/>
          <w:sz w:val="24"/>
          <w:szCs w:val="24"/>
          <w:lang w:val="en-US"/>
        </w:rPr>
      </w:pPr>
    </w:p>
    <w:p w:rsidR="00C7734F" w:rsidRPr="00182D43" w:rsidRDefault="00C7734F" w:rsidP="009037F9">
      <w:pPr>
        <w:spacing w:after="0" w:line="480" w:lineRule="auto"/>
        <w:rPr>
          <w:rFonts w:ascii="Times New Roman" w:hAnsi="Times New Roman" w:cs="Times New Roman"/>
          <w:b/>
          <w:sz w:val="24"/>
          <w:szCs w:val="24"/>
          <w:lang w:val="en-US"/>
        </w:rPr>
      </w:pPr>
      <w:r w:rsidRPr="00182D43">
        <w:rPr>
          <w:rFonts w:ascii="Times New Roman" w:hAnsi="Times New Roman" w:cs="Times New Roman"/>
          <w:b/>
          <w:sz w:val="24"/>
          <w:szCs w:val="24"/>
          <w:lang w:val="en-US"/>
        </w:rPr>
        <w:t>ACKNOWLEDGMENTS</w:t>
      </w:r>
    </w:p>
    <w:p w:rsidR="00C7734F" w:rsidRDefault="00C7734F" w:rsidP="009037F9">
      <w:pPr>
        <w:spacing w:after="0" w:line="480" w:lineRule="auto"/>
        <w:rPr>
          <w:rFonts w:ascii="Times New Roman" w:hAnsi="Times New Roman" w:cs="Times New Roman"/>
          <w:sz w:val="24"/>
          <w:szCs w:val="24"/>
          <w:shd w:val="clear" w:color="auto" w:fill="FFFFFF"/>
          <w:lang w:val="en-US"/>
        </w:rPr>
      </w:pPr>
      <w:r w:rsidRPr="00182D43">
        <w:rPr>
          <w:rFonts w:ascii="Times New Roman" w:eastAsia="Times New Roman" w:hAnsi="Times New Roman" w:cs="Times New Roman"/>
          <w:sz w:val="24"/>
          <w:szCs w:val="24"/>
          <w:lang w:val="en-US" w:eastAsia="en-GB"/>
        </w:rPr>
        <w:t xml:space="preserve">We thank </w:t>
      </w:r>
      <w:r>
        <w:rPr>
          <w:rFonts w:ascii="Times New Roman" w:eastAsia="Times New Roman" w:hAnsi="Times New Roman" w:cs="Times New Roman"/>
          <w:sz w:val="24"/>
          <w:szCs w:val="24"/>
          <w:lang w:val="en-US" w:eastAsia="en-GB"/>
        </w:rPr>
        <w:t xml:space="preserve">Ray Borrow, </w:t>
      </w:r>
      <w:r w:rsidRPr="00182D43">
        <w:rPr>
          <w:rFonts w:ascii="Times New Roman" w:eastAsia="Times New Roman" w:hAnsi="Times New Roman" w:cs="Times New Roman"/>
          <w:sz w:val="24"/>
          <w:szCs w:val="24"/>
          <w:lang w:val="en-US" w:eastAsia="en-GB"/>
        </w:rPr>
        <w:t xml:space="preserve">Steve Gray and Anthony Carr from the Meningococcal Reference Unit, Public Health England, Manchester, UK, for serogrouping meningococcal isolates. </w:t>
      </w:r>
      <w:r w:rsidRPr="00182D43">
        <w:rPr>
          <w:rFonts w:ascii="Times New Roman" w:hAnsi="Times New Roman" w:cs="Times New Roman"/>
          <w:sz w:val="24"/>
          <w:szCs w:val="24"/>
          <w:shd w:val="clear" w:color="auto" w:fill="FFFFFF"/>
          <w:lang w:val="en-US"/>
        </w:rPr>
        <w:t>This publication made use of the Meningitis Research Foundation Meningococcus Genome Library (</w:t>
      </w:r>
      <w:hyperlink r:id="rId11" w:history="1">
        <w:r w:rsidRPr="00182D43">
          <w:rPr>
            <w:rStyle w:val="Hyperlink"/>
            <w:rFonts w:ascii="Times New Roman" w:hAnsi="Times New Roman" w:cs="Times New Roman"/>
            <w:color w:val="3C63AF"/>
            <w:sz w:val="24"/>
            <w:szCs w:val="24"/>
            <w:shd w:val="clear" w:color="auto" w:fill="FFFFFF"/>
            <w:lang w:val="en-US"/>
          </w:rPr>
          <w:t>http://www.meningitis.org/research/genom​e</w:t>
        </w:r>
      </w:hyperlink>
      <w:r w:rsidRPr="00182D43">
        <w:rPr>
          <w:rFonts w:ascii="Times New Roman" w:hAnsi="Times New Roman" w:cs="Times New Roman"/>
          <w:sz w:val="24"/>
          <w:szCs w:val="24"/>
          <w:shd w:val="clear" w:color="auto" w:fill="FFFFFF"/>
          <w:lang w:val="en-US"/>
        </w:rPr>
        <w:t>) developed by Public Health England, the Wellcome Trust Sanger Institute and the University of Oxford as a collaboration. The project is funded by Meningitis Research Foundation.</w:t>
      </w:r>
    </w:p>
    <w:p w:rsidR="00C7734F" w:rsidRPr="00182D43" w:rsidRDefault="00C7734F" w:rsidP="009037F9">
      <w:pPr>
        <w:spacing w:after="0" w:line="480" w:lineRule="auto"/>
        <w:rPr>
          <w:rFonts w:ascii="Times New Roman" w:hAnsi="Times New Roman" w:cs="Times New Roman"/>
          <w:sz w:val="24"/>
          <w:szCs w:val="24"/>
          <w:shd w:val="clear" w:color="auto" w:fill="FFFFFF"/>
          <w:lang w:val="en-US"/>
        </w:rPr>
      </w:pPr>
    </w:p>
    <w:p w:rsidR="00C7734F" w:rsidRPr="00182D43" w:rsidRDefault="00C7734F" w:rsidP="009037F9">
      <w:pPr>
        <w:spacing w:after="0" w:line="480" w:lineRule="auto"/>
        <w:ind w:left="720" w:hanging="720"/>
        <w:rPr>
          <w:rFonts w:ascii="Times New Roman" w:hAnsi="Times New Roman" w:cs="Times New Roman"/>
          <w:b/>
          <w:sz w:val="24"/>
          <w:szCs w:val="24"/>
          <w:lang w:val="en-US"/>
        </w:rPr>
      </w:pPr>
      <w:r w:rsidRPr="00182D43">
        <w:rPr>
          <w:rFonts w:ascii="Times New Roman" w:hAnsi="Times New Roman" w:cs="Times New Roman"/>
          <w:b/>
          <w:sz w:val="24"/>
          <w:szCs w:val="24"/>
          <w:lang w:val="en-US"/>
        </w:rPr>
        <w:t>REFERENCES</w:t>
      </w:r>
    </w:p>
    <w:p w:rsidR="00C7734F" w:rsidRPr="00144F68" w:rsidRDefault="00C7734F" w:rsidP="009037F9">
      <w:pPr>
        <w:pStyle w:val="EndNoteBibliography"/>
        <w:spacing w:after="0"/>
      </w:pPr>
      <w:r w:rsidRPr="00144F68">
        <w:t xml:space="preserve">1. Stephens DS. Biology and pathogenesis of the evolutionarily successful, obligate human bacterium </w:t>
      </w:r>
      <w:r w:rsidRPr="00144F68">
        <w:rPr>
          <w:i/>
        </w:rPr>
        <w:t>Neisseria meningitidis</w:t>
      </w:r>
      <w:r w:rsidRPr="00144F68">
        <w:t xml:space="preserve">. Vaccine </w:t>
      </w:r>
      <w:r w:rsidRPr="00144F68">
        <w:rPr>
          <w:b/>
        </w:rPr>
        <w:t>2009</w:t>
      </w:r>
      <w:r w:rsidRPr="00144F68">
        <w:t>; 27:B71-7.</w:t>
      </w:r>
    </w:p>
    <w:p w:rsidR="00C7734F" w:rsidRPr="00144F68" w:rsidRDefault="00C7734F" w:rsidP="009037F9">
      <w:pPr>
        <w:pStyle w:val="EndNoteBibliography"/>
        <w:spacing w:after="0"/>
      </w:pPr>
      <w:r w:rsidRPr="00144F68">
        <w:t xml:space="preserve">2. Harrison LH, Trotter CL, Ramsay ME. Global epidemiology of meningococcal disease. Vaccine </w:t>
      </w:r>
      <w:r w:rsidRPr="00144F68">
        <w:rPr>
          <w:b/>
        </w:rPr>
        <w:t>2009</w:t>
      </w:r>
      <w:r w:rsidRPr="00144F68">
        <w:t>; 27:B51-B63.</w:t>
      </w:r>
    </w:p>
    <w:p w:rsidR="00C7734F" w:rsidRPr="00144F68" w:rsidRDefault="00C7734F" w:rsidP="009037F9">
      <w:pPr>
        <w:pStyle w:val="EndNoteBibliography"/>
        <w:spacing w:after="0"/>
      </w:pPr>
      <w:r w:rsidRPr="00144F68">
        <w:t xml:space="preserve">3. Caugant DA, Maiden MCJ. Meningococcal carriage and disease - population biology and evolution. Vaccine </w:t>
      </w:r>
      <w:r w:rsidRPr="00144F68">
        <w:rPr>
          <w:b/>
        </w:rPr>
        <w:t>2009</w:t>
      </w:r>
      <w:r w:rsidRPr="00144F68">
        <w:t>; 27:B64-B70.</w:t>
      </w:r>
    </w:p>
    <w:p w:rsidR="00C7734F" w:rsidRPr="00144F68" w:rsidRDefault="00C7734F" w:rsidP="009037F9">
      <w:pPr>
        <w:pStyle w:val="EndNoteBibliography"/>
        <w:spacing w:after="0"/>
      </w:pPr>
      <w:r w:rsidRPr="00144F68">
        <w:lastRenderedPageBreak/>
        <w:t xml:space="preserve">4. Weber MV, Claus H, Maiden MC, Frosch M, Vogel U. Genetic mechanisms for loss of encapsulation in polysialyltransferase-gene-positive meningococci isolated from healthy carriers. Int J Med Microbiol </w:t>
      </w:r>
      <w:r w:rsidRPr="00144F68">
        <w:rPr>
          <w:b/>
        </w:rPr>
        <w:t>2006</w:t>
      </w:r>
      <w:r w:rsidRPr="00144F68">
        <w:t>; 296:475-84.</w:t>
      </w:r>
    </w:p>
    <w:p w:rsidR="00C7734F" w:rsidRPr="00144F68" w:rsidRDefault="00C7734F" w:rsidP="009037F9">
      <w:pPr>
        <w:pStyle w:val="EndNoteBibliography"/>
        <w:spacing w:after="0"/>
      </w:pPr>
      <w:r w:rsidRPr="00144F68">
        <w:t xml:space="preserve">5. Crum-Cianflone N, Sullivan E. Meningococcal Vaccinations. Infect Dis Ther </w:t>
      </w:r>
      <w:r w:rsidRPr="00144F68">
        <w:rPr>
          <w:b/>
        </w:rPr>
        <w:t>2016</w:t>
      </w:r>
      <w:r w:rsidRPr="00144F68">
        <w:t>; 5:89-112.</w:t>
      </w:r>
    </w:p>
    <w:p w:rsidR="00C7734F" w:rsidRPr="00144F68" w:rsidRDefault="00C7734F" w:rsidP="009037F9">
      <w:pPr>
        <w:pStyle w:val="EndNoteBibliography"/>
        <w:spacing w:after="0"/>
      </w:pPr>
      <w:r w:rsidRPr="00144F68">
        <w:t xml:space="preserve">6. Maiden MC, Jansen van Rensburg MJ, Bray JE, et al. MLST revisited: the gene-by-gene approach to bacterial genomics. Nat Rev Microbiol </w:t>
      </w:r>
      <w:r w:rsidRPr="00144F68">
        <w:rPr>
          <w:b/>
        </w:rPr>
        <w:t>2013</w:t>
      </w:r>
      <w:r w:rsidRPr="00144F68">
        <w:t>; 11:728-36.</w:t>
      </w:r>
    </w:p>
    <w:p w:rsidR="00C7734F" w:rsidRPr="00144F68" w:rsidRDefault="00C7734F" w:rsidP="009037F9">
      <w:pPr>
        <w:pStyle w:val="EndNoteBibliography"/>
        <w:spacing w:after="0"/>
      </w:pPr>
      <w:r w:rsidRPr="00144F68">
        <w:t xml:space="preserve">7. von Gottberg A, du Plessis M, Cohen C, et al. Emergence of endemic serogroup W135 meningococcal disease associated with a high mortality rate in South Africa. Clin Infect Dis </w:t>
      </w:r>
      <w:r w:rsidRPr="00144F68">
        <w:rPr>
          <w:b/>
        </w:rPr>
        <w:t>2008</w:t>
      </w:r>
      <w:r w:rsidRPr="00144F68">
        <w:t>; 46:377 - 86.</w:t>
      </w:r>
    </w:p>
    <w:p w:rsidR="00C7734F" w:rsidRPr="00144F68" w:rsidRDefault="00C7734F" w:rsidP="009037F9">
      <w:pPr>
        <w:pStyle w:val="EndNoteBibliography"/>
        <w:spacing w:after="0"/>
      </w:pPr>
      <w:r w:rsidRPr="00144F68">
        <w:t xml:space="preserve">8. Abad R, Lopez EL, Debbag R, Vazquez JA. Serogroup W meningococcal disease: global spread and current affect on the Southern Cone in Latin America. Epidemiol Infect </w:t>
      </w:r>
      <w:r w:rsidRPr="00144F68">
        <w:rPr>
          <w:b/>
        </w:rPr>
        <w:t>2014</w:t>
      </w:r>
      <w:r w:rsidRPr="00144F68">
        <w:t>; 142:2461-70.</w:t>
      </w:r>
    </w:p>
    <w:p w:rsidR="00C7734F" w:rsidRPr="00144F68" w:rsidRDefault="00C7734F" w:rsidP="009037F9">
      <w:pPr>
        <w:pStyle w:val="EndNoteBibliography"/>
        <w:spacing w:after="0"/>
      </w:pPr>
      <w:r w:rsidRPr="00144F68">
        <w:t xml:space="preserve">9. Ladhani SN, Beebeejaun K, Lucidarme J, et al. Increase in endemic </w:t>
      </w:r>
      <w:r w:rsidRPr="00144F68">
        <w:rPr>
          <w:i/>
        </w:rPr>
        <w:t xml:space="preserve">Neisseria meningitidis </w:t>
      </w:r>
      <w:r w:rsidRPr="00144F68">
        <w:t xml:space="preserve">capsular group W sequence type 11 complex associated with severe invasive disease in England and Wales. Clin Infect Dis </w:t>
      </w:r>
      <w:r w:rsidRPr="00144F68">
        <w:rPr>
          <w:b/>
        </w:rPr>
        <w:t>2015</w:t>
      </w:r>
      <w:r w:rsidRPr="00144F68">
        <w:t>; 60:578-85.</w:t>
      </w:r>
    </w:p>
    <w:p w:rsidR="00C7734F" w:rsidRPr="00144F68" w:rsidRDefault="00C7734F" w:rsidP="009037F9">
      <w:pPr>
        <w:pStyle w:val="EndNoteBibliography"/>
        <w:spacing w:after="0"/>
      </w:pPr>
      <w:r w:rsidRPr="00144F68">
        <w:t xml:space="preserve">10. Lahra MM, Enriquez RP, National Neisseria N. Australian Meningococcal Surveillance Programme annual report, 2015. Commun Dis Intell Q Rep </w:t>
      </w:r>
      <w:r w:rsidRPr="00144F68">
        <w:rPr>
          <w:b/>
        </w:rPr>
        <w:t>2016</w:t>
      </w:r>
      <w:r w:rsidRPr="00144F68">
        <w:t>; 40:E503-E11.</w:t>
      </w:r>
    </w:p>
    <w:p w:rsidR="00C7734F" w:rsidRPr="00144F68" w:rsidRDefault="00C7734F" w:rsidP="009037F9">
      <w:pPr>
        <w:pStyle w:val="EndNoteBibliography"/>
        <w:spacing w:after="0"/>
      </w:pPr>
      <w:r w:rsidRPr="00144F68">
        <w:t xml:space="preserve">11. Mustapha MM, Marsh JW, Harrison LH. Global epidemiology of capsular group W meningococcal disease (1970-2015): Multifocal emergence and persistence of hypervirulent sequence type (ST)-11 clonal complex. Vaccine </w:t>
      </w:r>
      <w:r w:rsidRPr="00144F68">
        <w:rPr>
          <w:b/>
        </w:rPr>
        <w:t>2016</w:t>
      </w:r>
      <w:r w:rsidRPr="00144F68">
        <w:t>; 34:1515-23.</w:t>
      </w:r>
    </w:p>
    <w:p w:rsidR="00C7734F" w:rsidRPr="00144F68" w:rsidRDefault="00C7734F" w:rsidP="009037F9">
      <w:pPr>
        <w:pStyle w:val="EndNoteBibliography"/>
        <w:spacing w:after="0"/>
      </w:pPr>
      <w:r w:rsidRPr="00144F68">
        <w:t xml:space="preserve">12. Lucidarme J, Hill DM, Bratcher HB, et al. Genomic resolution of an aggressive, widespread, diverse and expanding meningococcal serogroup B, C and W lineage. J Infect </w:t>
      </w:r>
      <w:r w:rsidRPr="00144F68">
        <w:rPr>
          <w:b/>
        </w:rPr>
        <w:t>2015</w:t>
      </w:r>
      <w:r w:rsidRPr="00144F68">
        <w:t>; 71:544-52.</w:t>
      </w:r>
    </w:p>
    <w:p w:rsidR="00C7734F" w:rsidRPr="00144F68" w:rsidRDefault="00C7734F" w:rsidP="009037F9">
      <w:pPr>
        <w:pStyle w:val="EndNoteBibliography"/>
        <w:spacing w:after="0"/>
      </w:pPr>
      <w:r w:rsidRPr="00144F68">
        <w:lastRenderedPageBreak/>
        <w:t xml:space="preserve">13. Campbell H, Parikh SR, Borrow R, Kaczmarski E, Ramsay ME, Ladhani SN. Presentation with gastrointestinal symptoms and high case fatality associated with group W meningococcal disease (MenW) in teenagers, England, July 2015 to January 2016. </w:t>
      </w:r>
      <w:r w:rsidR="00DB4314" w:rsidRPr="00DB4314">
        <w:t>Euro Surveill</w:t>
      </w:r>
      <w:r w:rsidR="00DB4314">
        <w:t xml:space="preserve"> </w:t>
      </w:r>
      <w:r w:rsidRPr="00144F68">
        <w:rPr>
          <w:b/>
        </w:rPr>
        <w:t>2016</w:t>
      </w:r>
      <w:r w:rsidRPr="00144F68">
        <w:t>; 21:30175.</w:t>
      </w:r>
    </w:p>
    <w:p w:rsidR="00C7734F" w:rsidRPr="00144F68" w:rsidRDefault="00C7734F" w:rsidP="009037F9">
      <w:pPr>
        <w:pStyle w:val="EndNoteBibliography"/>
        <w:spacing w:after="0"/>
      </w:pPr>
      <w:r w:rsidRPr="00144F68">
        <w:t xml:space="preserve">14. Moreno G, Lopez D, Vergara N, Gallegos D, Advis MF, Loayza S. [Clinical characterization of cases with meningococcal disease by W135 group in Chile, 2012]. Rev Chilena Infectol </w:t>
      </w:r>
      <w:r w:rsidRPr="00144F68">
        <w:rPr>
          <w:b/>
        </w:rPr>
        <w:t>2013</w:t>
      </w:r>
      <w:r w:rsidRPr="00144F68">
        <w:t>; 30:350-60.</w:t>
      </w:r>
    </w:p>
    <w:p w:rsidR="00C7734F" w:rsidRPr="00144F68" w:rsidRDefault="00C7734F" w:rsidP="009037F9">
      <w:pPr>
        <w:pStyle w:val="EndNoteBibliography"/>
        <w:spacing w:after="0"/>
      </w:pPr>
      <w:r w:rsidRPr="00144F68">
        <w:t xml:space="preserve">15. Lucidarme J, Scott KJ, Ure R, et al. An international invasive meningococcal disease outbreak due to a novel and rapidly expanding serogroup W strain, Scotland and Sweden, July to August 2015. </w:t>
      </w:r>
      <w:r w:rsidR="00DB4314" w:rsidRPr="00DB4314">
        <w:t>Euro Surveill</w:t>
      </w:r>
      <w:r w:rsidR="00DB4314" w:rsidRPr="00144F68">
        <w:rPr>
          <w:b/>
        </w:rPr>
        <w:t xml:space="preserve"> </w:t>
      </w:r>
      <w:r w:rsidRPr="00144F68">
        <w:rPr>
          <w:b/>
        </w:rPr>
        <w:t>2016</w:t>
      </w:r>
      <w:r w:rsidRPr="00144F68">
        <w:t>; 21:30395.</w:t>
      </w:r>
    </w:p>
    <w:p w:rsidR="00C7734F" w:rsidRPr="00144F68" w:rsidRDefault="00C7734F" w:rsidP="009037F9">
      <w:pPr>
        <w:pStyle w:val="EndNoteBibliography"/>
        <w:spacing w:after="0"/>
      </w:pPr>
      <w:r w:rsidRPr="00144F68">
        <w:t xml:space="preserve">16. Campbell H, Saliba V, Borrow R, Ramsay M, Ladhani SN. Targeted vaccination of teenagers following continued rapid endemic expansion of a single meningococcal group W clone (sequence type 11 clonal complex), United Kingdom 2015. </w:t>
      </w:r>
      <w:r w:rsidR="00DB4314" w:rsidRPr="00DB4314">
        <w:t>Euro Surveill</w:t>
      </w:r>
      <w:r w:rsidR="00DB4314" w:rsidRPr="00144F68">
        <w:rPr>
          <w:b/>
        </w:rPr>
        <w:t xml:space="preserve"> </w:t>
      </w:r>
      <w:r w:rsidRPr="00144F68">
        <w:rPr>
          <w:b/>
        </w:rPr>
        <w:t>2015</w:t>
      </w:r>
      <w:r w:rsidRPr="00144F68">
        <w:t>; 20:21188.</w:t>
      </w:r>
    </w:p>
    <w:p w:rsidR="00C7734F" w:rsidRPr="00144F68" w:rsidRDefault="00C7734F" w:rsidP="009037F9">
      <w:pPr>
        <w:pStyle w:val="EndNoteBibliography"/>
        <w:spacing w:after="0"/>
      </w:pPr>
      <w:r w:rsidRPr="00144F68">
        <w:t xml:space="preserve">17. Christensen H, May M, Bowen L, Hickman M, Trotter CL. Meningococcal carriage by age: a systematic review and meta-analysis. Lancet Infect Dis </w:t>
      </w:r>
      <w:r w:rsidRPr="00144F68">
        <w:rPr>
          <w:b/>
        </w:rPr>
        <w:t>2010</w:t>
      </w:r>
      <w:r w:rsidRPr="00144F68">
        <w:t>; 10:853-61.</w:t>
      </w:r>
    </w:p>
    <w:p w:rsidR="00C7734F" w:rsidRPr="00144F68" w:rsidRDefault="00C7734F" w:rsidP="009037F9">
      <w:pPr>
        <w:pStyle w:val="EndNoteBibliography"/>
        <w:spacing w:after="0"/>
      </w:pPr>
      <w:r w:rsidRPr="00144F68">
        <w:t xml:space="preserve">18. Soriano-Gabarro M, Wolter J, Hogea C, Vyse A. Carriage of </w:t>
      </w:r>
      <w:r w:rsidRPr="00144F68">
        <w:rPr>
          <w:i/>
        </w:rPr>
        <w:t>Neisseria meningitidis</w:t>
      </w:r>
      <w:r w:rsidRPr="00144F68">
        <w:t xml:space="preserve"> in Europe: a review of studies undertaken in the region. Expert Rev Anti Infect Ther </w:t>
      </w:r>
      <w:r w:rsidRPr="00144F68">
        <w:rPr>
          <w:b/>
        </w:rPr>
        <w:t>2011</w:t>
      </w:r>
      <w:r w:rsidRPr="00144F68">
        <w:t>; 9:761-74.</w:t>
      </w:r>
    </w:p>
    <w:p w:rsidR="00C7734F" w:rsidRPr="00144F68" w:rsidRDefault="00C7734F" w:rsidP="009037F9">
      <w:pPr>
        <w:pStyle w:val="EndNoteBibliography"/>
        <w:spacing w:after="0"/>
      </w:pPr>
      <w:r w:rsidRPr="00144F68">
        <w:t xml:space="preserve">19. Neal KR, Nguyen-Van-Tam JS, Jeffrey N, et al. Changing carriage rate of </w:t>
      </w:r>
      <w:r w:rsidRPr="00144F68">
        <w:rPr>
          <w:i/>
        </w:rPr>
        <w:t>Neisseria meningitidis</w:t>
      </w:r>
      <w:r w:rsidRPr="00144F68">
        <w:t xml:space="preserve"> among university students during the first week of term: cross sectional study. BMJ </w:t>
      </w:r>
      <w:r w:rsidRPr="00144F68">
        <w:rPr>
          <w:b/>
        </w:rPr>
        <w:t>2000</w:t>
      </w:r>
      <w:r w:rsidRPr="00144F68">
        <w:t>; 320:846-9.</w:t>
      </w:r>
    </w:p>
    <w:p w:rsidR="00C7734F" w:rsidRPr="00144F68" w:rsidRDefault="00C7734F" w:rsidP="009037F9">
      <w:pPr>
        <w:pStyle w:val="EndNoteBibliography"/>
        <w:spacing w:after="0"/>
      </w:pPr>
      <w:r w:rsidRPr="00144F68">
        <w:t xml:space="preserve">20. Biswas HH, Han GS, Wendorf K, et al. Notes from the field: outbreak of serogroup B meningococcal disease at a university - California, 2016. MMWR Morb Mortal Wkly Rep </w:t>
      </w:r>
      <w:r w:rsidRPr="00144F68">
        <w:rPr>
          <w:b/>
        </w:rPr>
        <w:t>2016</w:t>
      </w:r>
      <w:r w:rsidRPr="00144F68">
        <w:t>; 65:520-1.</w:t>
      </w:r>
    </w:p>
    <w:p w:rsidR="00C7734F" w:rsidRPr="00144F68" w:rsidRDefault="00C7734F" w:rsidP="009037F9">
      <w:pPr>
        <w:pStyle w:val="EndNoteBibliography"/>
        <w:spacing w:after="0"/>
      </w:pPr>
      <w:r w:rsidRPr="00144F68">
        <w:lastRenderedPageBreak/>
        <w:t xml:space="preserve">21. Soeters HM, McNamara LA, Whaley M, et al. Serogroup B meningococcal disease outbreak and carriage evaluation at a college - Rhode Island, 2015. MMWR Morb Mortal Wkly Rep </w:t>
      </w:r>
      <w:r w:rsidRPr="00144F68">
        <w:rPr>
          <w:b/>
        </w:rPr>
        <w:t>2015</w:t>
      </w:r>
      <w:r w:rsidRPr="00144F68">
        <w:t>; 64:606-7.</w:t>
      </w:r>
    </w:p>
    <w:p w:rsidR="00C7734F" w:rsidRPr="00144F68" w:rsidRDefault="00C7734F" w:rsidP="009037F9">
      <w:pPr>
        <w:pStyle w:val="EndNoteBibliography"/>
        <w:spacing w:after="0"/>
      </w:pPr>
      <w:r w:rsidRPr="00144F68">
        <w:t xml:space="preserve">22. Bassi C, Taha M, Merle C, et al. A cluster of invasive meningococcal disease (IMD) caused by </w:t>
      </w:r>
      <w:r w:rsidRPr="00144F68">
        <w:rPr>
          <w:i/>
        </w:rPr>
        <w:t>Neisseria meningitidis</w:t>
      </w:r>
      <w:r w:rsidRPr="00144F68">
        <w:t xml:space="preserve"> serogroup W among university students, France, February to May 2017. </w:t>
      </w:r>
      <w:r w:rsidR="00DB4314" w:rsidRPr="00DB4314">
        <w:t>Euro Surveill</w:t>
      </w:r>
      <w:r w:rsidR="00DB4314" w:rsidRPr="00144F68">
        <w:rPr>
          <w:b/>
        </w:rPr>
        <w:t xml:space="preserve"> </w:t>
      </w:r>
      <w:r w:rsidRPr="00144F68">
        <w:rPr>
          <w:b/>
        </w:rPr>
        <w:t>2017</w:t>
      </w:r>
      <w:r w:rsidRPr="00144F68">
        <w:t>; 22:30574.</w:t>
      </w:r>
    </w:p>
    <w:p w:rsidR="00C7734F" w:rsidRPr="00144F68" w:rsidRDefault="00C7734F" w:rsidP="009037F9">
      <w:pPr>
        <w:pStyle w:val="EndNoteBibliography"/>
        <w:spacing w:after="0"/>
      </w:pPr>
      <w:r w:rsidRPr="00144F68">
        <w:t xml:space="preserve">23. Trotter CL, Maiden MC. Meningococcal vaccines and herd immunity: lessons learned from serogroup C conjugate vaccination programs. Expert </w:t>
      </w:r>
      <w:r w:rsidR="00DB4314">
        <w:t>Rev</w:t>
      </w:r>
      <w:r w:rsidRPr="00144F68">
        <w:t xml:space="preserve"> </w:t>
      </w:r>
      <w:r w:rsidR="00DB4314">
        <w:t>V</w:t>
      </w:r>
      <w:r w:rsidRPr="00144F68">
        <w:t xml:space="preserve">accines </w:t>
      </w:r>
      <w:r w:rsidRPr="00144F68">
        <w:rPr>
          <w:b/>
        </w:rPr>
        <w:t>2009</w:t>
      </w:r>
      <w:r w:rsidRPr="00144F68">
        <w:t>; 8:851-61.</w:t>
      </w:r>
    </w:p>
    <w:p w:rsidR="00C7734F" w:rsidRPr="00144F68" w:rsidRDefault="00C7734F" w:rsidP="009037F9">
      <w:pPr>
        <w:pStyle w:val="EndNoteBibliography"/>
        <w:spacing w:after="0"/>
      </w:pPr>
      <w:r w:rsidRPr="00144F68">
        <w:t xml:space="preserve">24. Turner DP, Oldfield NJ, Bayliss CD. University vaccine campaign increases meningococcal ACWY vaccine coverage. Public Health </w:t>
      </w:r>
      <w:r w:rsidRPr="00144F68">
        <w:rPr>
          <w:b/>
        </w:rPr>
        <w:t>2017</w:t>
      </w:r>
      <w:r w:rsidRPr="00144F68">
        <w:t>; 145:1-3.</w:t>
      </w:r>
    </w:p>
    <w:p w:rsidR="00C7734F" w:rsidRPr="00144F68" w:rsidRDefault="00C7734F" w:rsidP="009037F9">
      <w:pPr>
        <w:pStyle w:val="EndNoteBibliography"/>
        <w:spacing w:after="0"/>
      </w:pPr>
      <w:r w:rsidRPr="00144F68">
        <w:t xml:space="preserve">25. Oldfield NJ, Cayrou C, AlJannat MAK, et al. Rise in group W meningococcal carriage in university students, United Kingdom. Emerg Infect Dis </w:t>
      </w:r>
      <w:r w:rsidRPr="00144F68">
        <w:rPr>
          <w:b/>
        </w:rPr>
        <w:t>2017</w:t>
      </w:r>
      <w:r w:rsidRPr="00144F68">
        <w:t>; 23:1009-11.</w:t>
      </w:r>
    </w:p>
    <w:p w:rsidR="00C7734F" w:rsidRPr="00144F68" w:rsidRDefault="00C7734F" w:rsidP="009037F9">
      <w:pPr>
        <w:pStyle w:val="EndNoteBibliography"/>
        <w:spacing w:after="0"/>
      </w:pPr>
      <w:r w:rsidRPr="00144F68">
        <w:t xml:space="preserve">26. Ala'Aldeen DAA, Neal KR, Ait-Tahar K, et al. Dynamics of meningococcal long-term carriage among university students and their implications for mass vaccination. J Clin Microbiol </w:t>
      </w:r>
      <w:r w:rsidRPr="00144F68">
        <w:rPr>
          <w:b/>
        </w:rPr>
        <w:t>2000</w:t>
      </w:r>
      <w:r w:rsidRPr="00144F68">
        <w:t>; 38:2311-6.</w:t>
      </w:r>
    </w:p>
    <w:p w:rsidR="00C7734F" w:rsidRPr="00144F68" w:rsidRDefault="00C7734F" w:rsidP="009037F9">
      <w:pPr>
        <w:pStyle w:val="EndNoteBibliography"/>
        <w:spacing w:after="0"/>
      </w:pPr>
      <w:r w:rsidRPr="00144F68">
        <w:t xml:space="preserve">27. Bidmos FA, Neal KR, Oldfield NJ, Turner DPJ, Ala’Aldeen DAA, Bayliss CD. Rapid clonal expansion, persistence and clonal replacement of meningococcal carriage isolates in a 2008 university student cohort. J Clin Microbiol </w:t>
      </w:r>
      <w:r w:rsidRPr="00144F68">
        <w:rPr>
          <w:b/>
        </w:rPr>
        <w:t>2011</w:t>
      </w:r>
      <w:r w:rsidRPr="00144F68">
        <w:t>; 49:506-12.</w:t>
      </w:r>
    </w:p>
    <w:p w:rsidR="00C7734F" w:rsidRPr="00144F68" w:rsidRDefault="00C7734F" w:rsidP="009037F9">
      <w:pPr>
        <w:pStyle w:val="EndNoteBibliography"/>
        <w:spacing w:after="0"/>
      </w:pPr>
      <w:r w:rsidRPr="00144F68">
        <w:t xml:space="preserve">28. Ala’Aldeen DAA, Oldfield NJ, Bidmos FA, et al. Carriage of meningococci by university students, United Kingdom. Emerg Infect Dis </w:t>
      </w:r>
      <w:r w:rsidRPr="00144F68">
        <w:rPr>
          <w:b/>
        </w:rPr>
        <w:t>2011</w:t>
      </w:r>
      <w:r w:rsidRPr="00144F68">
        <w:t>; 17:1761-3.</w:t>
      </w:r>
    </w:p>
    <w:p w:rsidR="00C7734F" w:rsidRPr="00144F68" w:rsidRDefault="00C7734F" w:rsidP="009037F9">
      <w:pPr>
        <w:pStyle w:val="EndNoteBibliography"/>
        <w:spacing w:after="0"/>
      </w:pPr>
      <w:r w:rsidRPr="00144F68">
        <w:t xml:space="preserve">29. Bolger AM, Lohse M, Usadel B. Trimmomatic: a flexible trimmer for Illumina sequence data. Bioinformatics </w:t>
      </w:r>
      <w:r w:rsidRPr="00144F68">
        <w:rPr>
          <w:b/>
        </w:rPr>
        <w:t>2014</w:t>
      </w:r>
      <w:r w:rsidRPr="00144F68">
        <w:t>; 30:2114-20.</w:t>
      </w:r>
    </w:p>
    <w:p w:rsidR="00C7734F" w:rsidRPr="00144F68" w:rsidRDefault="00C7734F" w:rsidP="009037F9">
      <w:pPr>
        <w:pStyle w:val="EndNoteBibliography"/>
        <w:spacing w:after="0"/>
      </w:pPr>
      <w:r w:rsidRPr="00144F68">
        <w:t xml:space="preserve">30. Bankevich A, Nurk S, Antipov D, et al. SPAdes: a new genome assembly algorithm and its applications to single-cell sequencing. </w:t>
      </w:r>
      <w:r w:rsidR="00DB4314" w:rsidRPr="00DB4314">
        <w:t>J Comput Biol</w:t>
      </w:r>
      <w:r w:rsidRPr="00144F68">
        <w:t xml:space="preserve"> </w:t>
      </w:r>
      <w:r w:rsidRPr="00144F68">
        <w:rPr>
          <w:b/>
        </w:rPr>
        <w:t>2012</w:t>
      </w:r>
      <w:r w:rsidRPr="00144F68">
        <w:t>; 19:455-77.</w:t>
      </w:r>
    </w:p>
    <w:p w:rsidR="00C7734F" w:rsidRPr="00144F68" w:rsidRDefault="00C7734F" w:rsidP="009037F9">
      <w:pPr>
        <w:pStyle w:val="EndNoteBibliography"/>
        <w:spacing w:after="0"/>
      </w:pPr>
      <w:r w:rsidRPr="00144F68">
        <w:lastRenderedPageBreak/>
        <w:t xml:space="preserve">31. Bratcher HB, Corton C, Jolley KA, Parkhill J, Maiden MC. A gene-by-gene population genomics platform: </w:t>
      </w:r>
      <w:r w:rsidRPr="00144F68">
        <w:rPr>
          <w:i/>
        </w:rPr>
        <w:t>de novo</w:t>
      </w:r>
      <w:r w:rsidRPr="00144F68">
        <w:t xml:space="preserve"> assembly, annotation and genealogical analysis of 108 representative </w:t>
      </w:r>
      <w:r w:rsidRPr="00144F68">
        <w:rPr>
          <w:i/>
        </w:rPr>
        <w:t>Neisseria meningitidis</w:t>
      </w:r>
      <w:r w:rsidRPr="00144F68">
        <w:t xml:space="preserve"> genomes. BMC </w:t>
      </w:r>
      <w:r w:rsidR="00DB4314">
        <w:t>G</w:t>
      </w:r>
      <w:r w:rsidRPr="00144F68">
        <w:t xml:space="preserve">enomics </w:t>
      </w:r>
      <w:r w:rsidRPr="00144F68">
        <w:rPr>
          <w:b/>
        </w:rPr>
        <w:t>2014</w:t>
      </w:r>
      <w:r w:rsidRPr="00144F68">
        <w:t>; 15:1138.</w:t>
      </w:r>
    </w:p>
    <w:p w:rsidR="00C7734F" w:rsidRPr="00144F68" w:rsidRDefault="00C7734F" w:rsidP="009037F9">
      <w:pPr>
        <w:pStyle w:val="EndNoteBibliography"/>
        <w:spacing w:after="0"/>
      </w:pPr>
      <w:r w:rsidRPr="00144F68">
        <w:t xml:space="preserve">32. Maiden MCJ, Ibarz-Pavón AB, Urwin R, et al. Impact of meningococcal serogroup C conjugate vaccines on carriage and herd immunity. J Infect Dis </w:t>
      </w:r>
      <w:r w:rsidRPr="00144F68">
        <w:rPr>
          <w:b/>
        </w:rPr>
        <w:t>2008</w:t>
      </w:r>
      <w:r w:rsidRPr="00144F68">
        <w:t>; 197:737-43.</w:t>
      </w:r>
    </w:p>
    <w:p w:rsidR="00C7734F" w:rsidRPr="00144F68" w:rsidRDefault="00C7734F" w:rsidP="009037F9">
      <w:pPr>
        <w:pStyle w:val="EndNoteBibliography"/>
        <w:spacing w:after="0"/>
      </w:pPr>
      <w:r w:rsidRPr="00144F68">
        <w:t xml:space="preserve">33. Campbell H, Edelstein M, Andrews N, Borrow R, Ramsay M, Ladhani S. Emergency meningococcal ACWY vaccination program for teenagers to control group W meningococcal disease, England, 2015-2016. Emerg Infect Dis </w:t>
      </w:r>
      <w:r w:rsidRPr="00144F68">
        <w:rPr>
          <w:b/>
        </w:rPr>
        <w:t>2017</w:t>
      </w:r>
      <w:r w:rsidRPr="00144F68">
        <w:t>; 23:1184-7.</w:t>
      </w:r>
    </w:p>
    <w:p w:rsidR="00C7734F" w:rsidRPr="00144F68" w:rsidRDefault="00C7734F" w:rsidP="009037F9">
      <w:pPr>
        <w:pStyle w:val="EndNoteBibliography"/>
        <w:spacing w:after="0"/>
      </w:pPr>
      <w:r w:rsidRPr="00144F68">
        <w:t xml:space="preserve">34. Kristiansen PA, Diomandé F, Ba AK, et al. Impact of the serogroup A meningococcal conjugate vaccine, MenAfriVac, on carriage and herd immunity. Clin Infect Dis </w:t>
      </w:r>
      <w:r w:rsidRPr="00144F68">
        <w:rPr>
          <w:b/>
        </w:rPr>
        <w:t>2013</w:t>
      </w:r>
      <w:r w:rsidRPr="00144F68">
        <w:t>; 56:354-63.</w:t>
      </w:r>
    </w:p>
    <w:p w:rsidR="00C7734F" w:rsidRPr="00144F68" w:rsidRDefault="00C7734F" w:rsidP="009037F9">
      <w:pPr>
        <w:pStyle w:val="EndNoteBibliography"/>
        <w:spacing w:after="0"/>
      </w:pPr>
      <w:r w:rsidRPr="00144F68">
        <w:t xml:space="preserve">35. Read RC, Baxter D, Chadwick DR, et al. Effect of a quadrivalent meningococcal ACWY glycoconjugate or a serogroup B meningococcal vaccine on meningococcal carriage: an observer-blind, phase 3 randomised clinical trial. Lancet </w:t>
      </w:r>
      <w:r w:rsidRPr="00144F68">
        <w:rPr>
          <w:b/>
        </w:rPr>
        <w:t>2014</w:t>
      </w:r>
      <w:r w:rsidRPr="00144F68">
        <w:t>; 384:2123-31.</w:t>
      </w:r>
    </w:p>
    <w:p w:rsidR="00C7734F" w:rsidRPr="00144F68" w:rsidRDefault="00C7734F" w:rsidP="009037F9">
      <w:pPr>
        <w:pStyle w:val="EndNoteBibliography"/>
        <w:spacing w:after="0"/>
      </w:pPr>
      <w:r w:rsidRPr="00144F68">
        <w:t xml:space="preserve">36. Korzeniewski K, Skoczynska A, Guzek A, et al. Effectiveness of immunoprophylaxis in suppressing carriage of </w:t>
      </w:r>
      <w:r w:rsidRPr="00144F68">
        <w:rPr>
          <w:i/>
        </w:rPr>
        <w:t>Neisseria meningitidis</w:t>
      </w:r>
      <w:r w:rsidRPr="00144F68">
        <w:t xml:space="preserve"> in the military environment. Adv Exp Med Biol </w:t>
      </w:r>
      <w:r w:rsidRPr="00144F68">
        <w:rPr>
          <w:b/>
        </w:rPr>
        <w:t>2015</w:t>
      </w:r>
      <w:r w:rsidRPr="00144F68">
        <w:t>; 836:19-28.</w:t>
      </w:r>
    </w:p>
    <w:p w:rsidR="00C7734F" w:rsidRPr="00144F68" w:rsidRDefault="00C7734F" w:rsidP="009037F9">
      <w:pPr>
        <w:pStyle w:val="EndNoteBibliography"/>
        <w:spacing w:after="0"/>
      </w:pPr>
      <w:r w:rsidRPr="00144F68">
        <w:t xml:space="preserve">37. Oldfield NJ, Harrison OB, Bayliss CD, Maiden MCJ, Ala' Aldeen DAA, Turner DPJ. Genomic analysis of serogroup Y </w:t>
      </w:r>
      <w:r w:rsidRPr="00144F68">
        <w:rPr>
          <w:i/>
        </w:rPr>
        <w:t>Neisseria meningitidis</w:t>
      </w:r>
      <w:r w:rsidRPr="00144F68">
        <w:t xml:space="preserve"> isolates reveals extensive similarities between carriage and disease-associated organisms. J Infect Dis </w:t>
      </w:r>
      <w:r w:rsidRPr="00144F68">
        <w:rPr>
          <w:b/>
        </w:rPr>
        <w:t>2016</w:t>
      </w:r>
      <w:r w:rsidRPr="00144F68">
        <w:t>; 213:1777-85.</w:t>
      </w:r>
    </w:p>
    <w:p w:rsidR="00C7734F" w:rsidRPr="00144F68" w:rsidRDefault="00C7734F" w:rsidP="009037F9">
      <w:pPr>
        <w:pStyle w:val="EndNoteBibliography"/>
        <w:spacing w:after="0"/>
      </w:pPr>
      <w:r w:rsidRPr="00144F68">
        <w:t xml:space="preserve">38. Deasy AM, Guccione E, Dale AP, et al. Nasal inoculation of the commensal </w:t>
      </w:r>
      <w:r w:rsidRPr="00144F68">
        <w:rPr>
          <w:i/>
        </w:rPr>
        <w:t>Neisseria lactamica</w:t>
      </w:r>
      <w:r w:rsidRPr="00144F68">
        <w:t xml:space="preserve"> inhibits carriage of </w:t>
      </w:r>
      <w:r w:rsidRPr="00144F68">
        <w:rPr>
          <w:i/>
        </w:rPr>
        <w:t>Neisseria meningitidis</w:t>
      </w:r>
      <w:r w:rsidRPr="00144F68">
        <w:t xml:space="preserve"> by young adults: a controlled human infection study. Clin Infect Dis </w:t>
      </w:r>
      <w:r w:rsidRPr="00144F68">
        <w:rPr>
          <w:b/>
        </w:rPr>
        <w:t>2015</w:t>
      </w:r>
      <w:r w:rsidRPr="00144F68">
        <w:t>; 60:1512-20.</w:t>
      </w:r>
    </w:p>
    <w:p w:rsidR="00C7734F" w:rsidRPr="00144F68" w:rsidRDefault="00C7734F" w:rsidP="009037F9">
      <w:pPr>
        <w:pStyle w:val="EndNoteBibliography"/>
        <w:spacing w:after="0"/>
      </w:pPr>
      <w:r w:rsidRPr="00144F68">
        <w:t xml:space="preserve">39. </w:t>
      </w:r>
      <w:r w:rsidR="00DB4314">
        <w:t>Public Health England.</w:t>
      </w:r>
      <w:r w:rsidRPr="00144F68">
        <w:t xml:space="preserve"> Health Protection Report 2017. 11 (23).</w:t>
      </w:r>
    </w:p>
    <w:p w:rsidR="00C7734F" w:rsidRDefault="00C7734F" w:rsidP="00C7734F">
      <w:pPr>
        <w:pStyle w:val="EndNoteBibliography"/>
        <w:rPr>
          <w:b/>
          <w:szCs w:val="24"/>
        </w:rPr>
      </w:pPr>
      <w:r w:rsidRPr="00144F68">
        <w:lastRenderedPageBreak/>
        <w:t xml:space="preserve">40. Finn A, Morales-Aza B, Sikora P, et al. Density distribution of pharyngeal carriage of meningococcus in healthy young adults: new approaches to studying the epidemiology of colonization and vaccine indirect effects. Pediatr Infect Dis J </w:t>
      </w:r>
      <w:r w:rsidRPr="00144F68">
        <w:rPr>
          <w:b/>
        </w:rPr>
        <w:t>2016</w:t>
      </w:r>
      <w:r w:rsidRPr="00144F68">
        <w:t>; 35:1080-5.</w:t>
      </w:r>
      <w:r>
        <w:rPr>
          <w:b/>
          <w:szCs w:val="24"/>
        </w:rPr>
        <w:br w:type="page"/>
      </w:r>
    </w:p>
    <w:p w:rsidR="00C7734F" w:rsidRPr="00182D43" w:rsidRDefault="00C7734F" w:rsidP="009037F9">
      <w:pPr>
        <w:pStyle w:val="EndNoteBibliography"/>
        <w:spacing w:after="0"/>
        <w:rPr>
          <w:b/>
          <w:szCs w:val="24"/>
        </w:rPr>
      </w:pPr>
      <w:r w:rsidRPr="00182D43">
        <w:rPr>
          <w:b/>
          <w:szCs w:val="24"/>
        </w:rPr>
        <w:lastRenderedPageBreak/>
        <w:t>FIGURE LEGENDS</w:t>
      </w:r>
    </w:p>
    <w:p w:rsidR="00C7734F" w:rsidRDefault="00C7734F" w:rsidP="009037F9">
      <w:pPr>
        <w:spacing w:after="0" w:line="480" w:lineRule="auto"/>
        <w:rPr>
          <w:rFonts w:ascii="Times New Roman" w:hAnsi="Times New Roman" w:cs="Times New Roman"/>
          <w:sz w:val="24"/>
          <w:szCs w:val="24"/>
          <w:lang w:val="en-US"/>
        </w:rPr>
      </w:pPr>
      <w:r w:rsidRPr="00034B80">
        <w:rPr>
          <w:rFonts w:ascii="Times New Roman" w:hAnsi="Times New Roman" w:cs="Times New Roman"/>
          <w:b/>
          <w:sz w:val="24"/>
          <w:szCs w:val="24"/>
          <w:lang w:val="en-US"/>
        </w:rPr>
        <w:t xml:space="preserve">Figure 1. </w:t>
      </w:r>
      <w:r w:rsidRPr="00182D43">
        <w:rPr>
          <w:rFonts w:ascii="Times New Roman" w:hAnsi="Times New Roman" w:cs="Times New Roman"/>
          <w:sz w:val="24"/>
          <w:szCs w:val="24"/>
          <w:lang w:val="en-US"/>
        </w:rPr>
        <w:t xml:space="preserve">NeighborNet </w:t>
      </w:r>
      <w:r>
        <w:rPr>
          <w:rFonts w:ascii="Times New Roman" w:hAnsi="Times New Roman" w:cs="Times New Roman"/>
          <w:sz w:val="24"/>
          <w:szCs w:val="24"/>
          <w:lang w:val="en-US"/>
        </w:rPr>
        <w:t>network based on the comparison of 1605 core genome loci amongst lineage 11.1 genomes (</w:t>
      </w:r>
      <w:r w:rsidRPr="003838C2">
        <w:rPr>
          <w:rFonts w:ascii="Times New Roman" w:hAnsi="Times New Roman" w:cs="Times New Roman"/>
          <w:i/>
          <w:sz w:val="24"/>
          <w:szCs w:val="24"/>
          <w:lang w:val="en-US"/>
        </w:rPr>
        <w:t>n</w:t>
      </w:r>
      <w:r>
        <w:rPr>
          <w:rFonts w:ascii="Times New Roman" w:hAnsi="Times New Roman" w:cs="Times New Roman"/>
          <w:sz w:val="24"/>
          <w:szCs w:val="24"/>
          <w:lang w:val="en-US"/>
        </w:rPr>
        <w:t>=296)</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Three sets of isolates were included: (1) MenW:cc11 UK carriage isolates (</w:t>
      </w:r>
      <w:r w:rsidRPr="00785621">
        <w:rPr>
          <w:rFonts w:ascii="Times New Roman" w:hAnsi="Times New Roman" w:cs="Times New Roman"/>
          <w:i/>
          <w:sz w:val="24"/>
          <w:szCs w:val="24"/>
          <w:lang w:val="en-US"/>
        </w:rPr>
        <w:t>n</w:t>
      </w:r>
      <w:r>
        <w:rPr>
          <w:rFonts w:ascii="Times New Roman" w:hAnsi="Times New Roman" w:cs="Times New Roman"/>
          <w:sz w:val="24"/>
          <w:szCs w:val="24"/>
          <w:lang w:val="en-US"/>
        </w:rPr>
        <w:t>=46); (2) MenW:cc11 UK 2015-16 invasive isolates (</w:t>
      </w:r>
      <w:r w:rsidRPr="00785621">
        <w:rPr>
          <w:rFonts w:ascii="Times New Roman" w:hAnsi="Times New Roman" w:cs="Times New Roman"/>
          <w:i/>
          <w:sz w:val="24"/>
          <w:szCs w:val="24"/>
          <w:lang w:val="en-US"/>
        </w:rPr>
        <w:t>n</w:t>
      </w:r>
      <w:r>
        <w:rPr>
          <w:rFonts w:ascii="Times New Roman" w:hAnsi="Times New Roman" w:cs="Times New Roman"/>
          <w:sz w:val="24"/>
          <w:szCs w:val="24"/>
          <w:lang w:val="en-US"/>
        </w:rPr>
        <w:t>=190), and (3) previously assigned MenW:cc11 isolates (</w:t>
      </w:r>
      <w:r w:rsidRPr="00785621">
        <w:rPr>
          <w:rFonts w:ascii="Times New Roman" w:hAnsi="Times New Roman" w:cs="Times New Roman"/>
          <w:i/>
          <w:sz w:val="24"/>
          <w:szCs w:val="24"/>
          <w:lang w:val="en-US"/>
        </w:rPr>
        <w:t>n</w:t>
      </w:r>
      <w:r>
        <w:rPr>
          <w:rFonts w:ascii="Times New Roman" w:hAnsi="Times New Roman" w:cs="Times New Roman"/>
          <w:sz w:val="24"/>
          <w:szCs w:val="24"/>
          <w:lang w:val="en-US"/>
        </w:rPr>
        <w:t xml:space="preserve">=60). </w:t>
      </w:r>
      <w:r w:rsidR="000F6F34">
        <w:rPr>
          <w:rFonts w:ascii="Times New Roman" w:hAnsi="Times New Roman" w:cs="Times New Roman"/>
          <w:sz w:val="24"/>
          <w:szCs w:val="24"/>
          <w:lang w:val="en-US"/>
        </w:rPr>
        <w:t xml:space="preserve">Thirty eight </w:t>
      </w:r>
      <w:r>
        <w:rPr>
          <w:rFonts w:ascii="Times New Roman" w:hAnsi="Times New Roman" w:cs="Times New Roman"/>
          <w:sz w:val="24"/>
          <w:szCs w:val="24"/>
          <w:lang w:val="en-US"/>
        </w:rPr>
        <w:t>carriage isolates localized to the 2013-strain of the South American-UK sub-lineage</w:t>
      </w:r>
      <w:r w:rsidR="000F6F34">
        <w:rPr>
          <w:rFonts w:ascii="Times New Roman" w:hAnsi="Times New Roman" w:cs="Times New Roman"/>
          <w:sz w:val="24"/>
          <w:szCs w:val="24"/>
          <w:lang w:val="en-US"/>
        </w:rPr>
        <w:t>, whilst four carriage isolates resolved</w:t>
      </w:r>
      <w:r w:rsidR="00166529">
        <w:rPr>
          <w:rFonts w:ascii="Times New Roman" w:hAnsi="Times New Roman" w:cs="Times New Roman"/>
          <w:sz w:val="24"/>
          <w:szCs w:val="24"/>
          <w:lang w:val="en-US"/>
        </w:rPr>
        <w:t xml:space="preserve"> </w:t>
      </w:r>
      <w:r w:rsidR="000F6F34">
        <w:rPr>
          <w:rFonts w:ascii="Times New Roman" w:hAnsi="Times New Roman" w:cs="Times New Roman"/>
          <w:sz w:val="24"/>
          <w:szCs w:val="24"/>
          <w:lang w:val="en-US"/>
        </w:rPr>
        <w:t xml:space="preserve">to each of the </w:t>
      </w:r>
      <w:r w:rsidR="00D56D15">
        <w:rPr>
          <w:rFonts w:ascii="Times New Roman" w:hAnsi="Times New Roman" w:cs="Times New Roman"/>
          <w:sz w:val="24"/>
          <w:szCs w:val="24"/>
          <w:lang w:val="en-US"/>
        </w:rPr>
        <w:t>o</w:t>
      </w:r>
      <w:r w:rsidR="000F6F34">
        <w:rPr>
          <w:rFonts w:ascii="Times New Roman" w:hAnsi="Times New Roman" w:cs="Times New Roman"/>
          <w:sz w:val="24"/>
          <w:szCs w:val="24"/>
          <w:lang w:val="en-US"/>
        </w:rPr>
        <w:t xml:space="preserve">riginal and South American strain clusters, respectively. </w:t>
      </w:r>
      <w:r>
        <w:rPr>
          <w:rFonts w:ascii="Times New Roman" w:hAnsi="Times New Roman" w:cs="Times New Roman"/>
          <w:sz w:val="24"/>
          <w:szCs w:val="24"/>
          <w:lang w:val="en-US"/>
        </w:rPr>
        <w:t xml:space="preserve">Thirty previously assigned isolates and </w:t>
      </w:r>
      <w:r w:rsidRPr="00F00945">
        <w:rPr>
          <w:rFonts w:ascii="Times New Roman" w:hAnsi="Times New Roman" w:cs="Times New Roman"/>
          <w:sz w:val="24"/>
          <w:szCs w:val="24"/>
          <w:lang w:val="en-US"/>
        </w:rPr>
        <w:t>two</w:t>
      </w:r>
      <w:r>
        <w:rPr>
          <w:rFonts w:ascii="Times New Roman" w:hAnsi="Times New Roman" w:cs="Times New Roman"/>
          <w:sz w:val="24"/>
          <w:szCs w:val="24"/>
          <w:lang w:val="en-US"/>
        </w:rPr>
        <w:t xml:space="preserve"> MenW:cc11 UK 2015-16 invasive isolates resolved to the Hajj sub-lineage (‘to Hajj sub-lineage’). Nodes are color coded: carriage isolates in red; invasive isolates in black; previously assigned isolates in blue. </w:t>
      </w:r>
      <w:r w:rsidRPr="00182D43">
        <w:rPr>
          <w:rFonts w:ascii="Times New Roman" w:hAnsi="Times New Roman" w:cs="Times New Roman"/>
          <w:sz w:val="24"/>
          <w:szCs w:val="24"/>
          <w:lang w:val="en-US"/>
        </w:rPr>
        <w:t>Scale bar =</w:t>
      </w:r>
      <w:r>
        <w:rPr>
          <w:rFonts w:ascii="Times New Roman" w:hAnsi="Times New Roman" w:cs="Times New Roman"/>
          <w:sz w:val="24"/>
          <w:szCs w:val="24"/>
          <w:lang w:val="en-US"/>
        </w:rPr>
        <w:t xml:space="preserve"> number of allelic differences.</w:t>
      </w:r>
    </w:p>
    <w:p w:rsidR="00C7734F" w:rsidRDefault="00C7734F" w:rsidP="009037F9">
      <w:pPr>
        <w:spacing w:after="0" w:line="480" w:lineRule="auto"/>
        <w:rPr>
          <w:rFonts w:ascii="Times New Roman" w:hAnsi="Times New Roman" w:cs="Times New Roman"/>
          <w:sz w:val="24"/>
          <w:szCs w:val="24"/>
          <w:lang w:val="en-US"/>
        </w:rPr>
      </w:pPr>
    </w:p>
    <w:p w:rsidR="00C7734F" w:rsidRPr="0071059B" w:rsidRDefault="00C7734F" w:rsidP="009037F9">
      <w:pPr>
        <w:spacing w:after="0" w:line="480" w:lineRule="auto"/>
        <w:rPr>
          <w:rFonts w:ascii="Times New Roman" w:hAnsi="Times New Roman" w:cs="Times New Roman"/>
          <w:sz w:val="24"/>
          <w:szCs w:val="24"/>
          <w:lang w:val="en-US"/>
        </w:rPr>
        <w:sectPr w:rsidR="00C7734F" w:rsidRPr="0071059B" w:rsidSect="00C7734F">
          <w:footerReference w:type="default" r:id="rId12"/>
          <w:pgSz w:w="11906" w:h="16838"/>
          <w:pgMar w:top="1440" w:right="1440" w:bottom="1440" w:left="1440" w:header="708" w:footer="708" w:gutter="0"/>
          <w:lnNumType w:countBy="1" w:restart="continuous"/>
          <w:cols w:space="708"/>
          <w:docGrid w:linePitch="360"/>
        </w:sectPr>
      </w:pPr>
      <w:r w:rsidRPr="00034B80">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2</w:t>
      </w:r>
      <w:r w:rsidRPr="00034B80">
        <w:rPr>
          <w:rFonts w:ascii="Times New Roman" w:hAnsi="Times New Roman" w:cs="Times New Roman"/>
          <w:b/>
          <w:sz w:val="24"/>
          <w:szCs w:val="24"/>
          <w:lang w:val="en-US"/>
        </w:rPr>
        <w:t xml:space="preserve">. </w:t>
      </w:r>
      <w:r w:rsidRPr="00182D43">
        <w:rPr>
          <w:rFonts w:ascii="Times New Roman" w:hAnsi="Times New Roman" w:cs="Times New Roman"/>
          <w:sz w:val="24"/>
          <w:szCs w:val="24"/>
          <w:lang w:val="en-US"/>
        </w:rPr>
        <w:t xml:space="preserve">NeighborNet </w:t>
      </w:r>
      <w:r>
        <w:rPr>
          <w:rFonts w:ascii="Times New Roman" w:hAnsi="Times New Roman" w:cs="Times New Roman"/>
          <w:sz w:val="24"/>
          <w:szCs w:val="24"/>
          <w:lang w:val="en-US"/>
        </w:rPr>
        <w:t>network based on the comparison of 1605 core genome loci amongst 2013-strain isolates</w:t>
      </w: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Two sets of isolates were included: (1) 2013-strain MenW:cc11 UK carriage isolates </w:t>
      </w:r>
      <w:r w:rsidRPr="00B8222B">
        <w:rPr>
          <w:rFonts w:ascii="Times New Roman" w:hAnsi="Times New Roman" w:cs="Times New Roman"/>
          <w:sz w:val="24"/>
          <w:szCs w:val="24"/>
          <w:lang w:val="en-US"/>
        </w:rPr>
        <w:t>(</w:t>
      </w:r>
      <w:r w:rsidRPr="00B8222B">
        <w:rPr>
          <w:rFonts w:ascii="Times New Roman" w:hAnsi="Times New Roman" w:cs="Times New Roman"/>
          <w:i/>
          <w:sz w:val="24"/>
          <w:szCs w:val="24"/>
          <w:lang w:val="en-US"/>
        </w:rPr>
        <w:t>n</w:t>
      </w:r>
      <w:r w:rsidRPr="00B8222B">
        <w:rPr>
          <w:rFonts w:ascii="Times New Roman" w:hAnsi="Times New Roman" w:cs="Times New Roman"/>
          <w:sz w:val="24"/>
          <w:szCs w:val="24"/>
          <w:lang w:val="en-US"/>
        </w:rPr>
        <w:t>=38)</w:t>
      </w:r>
      <w:r>
        <w:rPr>
          <w:rFonts w:ascii="Times New Roman" w:hAnsi="Times New Roman" w:cs="Times New Roman"/>
          <w:sz w:val="24"/>
          <w:szCs w:val="24"/>
          <w:lang w:val="en-US"/>
        </w:rPr>
        <w:t xml:space="preserve"> and (2) 2013-strain MenW:cc11 UK 2015-16 invasive isolates </w:t>
      </w:r>
      <w:r w:rsidRPr="00B8222B">
        <w:rPr>
          <w:rFonts w:ascii="Times New Roman" w:hAnsi="Times New Roman" w:cs="Times New Roman"/>
          <w:sz w:val="24"/>
          <w:szCs w:val="24"/>
          <w:lang w:val="en-US"/>
        </w:rPr>
        <w:t>(</w:t>
      </w:r>
      <w:r w:rsidRPr="00B8222B">
        <w:rPr>
          <w:rFonts w:ascii="Times New Roman" w:hAnsi="Times New Roman" w:cs="Times New Roman"/>
          <w:i/>
          <w:sz w:val="24"/>
          <w:szCs w:val="24"/>
          <w:lang w:val="en-US"/>
        </w:rPr>
        <w:t>n</w:t>
      </w:r>
      <w:r w:rsidRPr="00B8222B">
        <w:rPr>
          <w:rFonts w:ascii="Times New Roman" w:hAnsi="Times New Roman" w:cs="Times New Roman"/>
          <w:sz w:val="24"/>
          <w:szCs w:val="24"/>
          <w:lang w:val="en-US"/>
        </w:rPr>
        <w:t>=117).</w:t>
      </w:r>
      <w:r>
        <w:rPr>
          <w:rFonts w:ascii="Times New Roman" w:hAnsi="Times New Roman" w:cs="Times New Roman"/>
          <w:sz w:val="24"/>
          <w:szCs w:val="24"/>
          <w:lang w:val="en-US"/>
        </w:rPr>
        <w:t xml:space="preserve"> Nodes are color coded: invasive isolates in black; September 2015 carriage isolates in red; November 2015 carriage isolates in green; March 2016 carriage isolates in blue. 97</w:t>
      </w:r>
      <w:r w:rsidRPr="00BD5321">
        <w:rPr>
          <w:rFonts w:ascii="Times New Roman" w:hAnsi="Times New Roman" w:cs="Times New Roman"/>
          <w:sz w:val="24"/>
          <w:szCs w:val="24"/>
          <w:lang w:val="en-US"/>
        </w:rPr>
        <w:t>%</w:t>
      </w:r>
      <w:r w:rsidRPr="00B66107">
        <w:rPr>
          <w:rFonts w:ascii="Times New Roman" w:hAnsi="Times New Roman" w:cs="Times New Roman"/>
          <w:sz w:val="24"/>
          <w:szCs w:val="24"/>
          <w:lang w:val="en-US"/>
        </w:rPr>
        <w:t xml:space="preserve"> of </w:t>
      </w:r>
      <w:r>
        <w:rPr>
          <w:rFonts w:ascii="Times New Roman" w:hAnsi="Times New Roman" w:cs="Times New Roman"/>
          <w:sz w:val="24"/>
          <w:szCs w:val="24"/>
          <w:lang w:val="en-US"/>
        </w:rPr>
        <w:t>the November 2015 and March 2016 carriage isolates resolved</w:t>
      </w:r>
      <w:r w:rsidRPr="00B66107">
        <w:rPr>
          <w:rFonts w:ascii="Times New Roman" w:hAnsi="Times New Roman" w:cs="Times New Roman"/>
          <w:sz w:val="24"/>
          <w:szCs w:val="24"/>
          <w:lang w:val="en-US"/>
        </w:rPr>
        <w:t xml:space="preserve"> to five clusters (</w:t>
      </w:r>
      <w:r>
        <w:rPr>
          <w:rFonts w:ascii="Times New Roman" w:hAnsi="Times New Roman" w:cs="Times New Roman"/>
          <w:sz w:val="24"/>
          <w:szCs w:val="24"/>
          <w:lang w:val="en-US"/>
        </w:rPr>
        <w:t>labelled A-E</w:t>
      </w:r>
      <w:r w:rsidRPr="00B66107">
        <w:rPr>
          <w:rFonts w:ascii="Times New Roman" w:hAnsi="Times New Roman" w:cs="Times New Roman"/>
          <w:sz w:val="24"/>
          <w:szCs w:val="24"/>
          <w:lang w:val="en-US"/>
        </w:rPr>
        <w:t>)</w:t>
      </w:r>
      <w:r>
        <w:rPr>
          <w:rFonts w:ascii="Times New Roman" w:hAnsi="Times New Roman" w:cs="Times New Roman"/>
          <w:sz w:val="24"/>
          <w:szCs w:val="24"/>
          <w:lang w:val="en-US"/>
        </w:rPr>
        <w:t>, with i</w:t>
      </w:r>
      <w:r w:rsidRPr="00B66107">
        <w:rPr>
          <w:rFonts w:ascii="Times New Roman" w:hAnsi="Times New Roman" w:cs="Times New Roman"/>
          <w:sz w:val="24"/>
          <w:szCs w:val="24"/>
          <w:lang w:val="en-US"/>
        </w:rPr>
        <w:t xml:space="preserve">solates within each cluster </w:t>
      </w:r>
      <w:r>
        <w:rPr>
          <w:rFonts w:ascii="Times New Roman" w:hAnsi="Times New Roman" w:cs="Times New Roman"/>
          <w:sz w:val="24"/>
          <w:szCs w:val="24"/>
          <w:lang w:val="en-US"/>
        </w:rPr>
        <w:t xml:space="preserve">being </w:t>
      </w:r>
      <w:r w:rsidRPr="00B66107">
        <w:rPr>
          <w:rFonts w:ascii="Times New Roman" w:hAnsi="Times New Roman" w:cs="Times New Roman"/>
          <w:sz w:val="24"/>
          <w:szCs w:val="24"/>
          <w:lang w:val="en-US"/>
        </w:rPr>
        <w:t>highly similar</w:t>
      </w:r>
      <w:r>
        <w:rPr>
          <w:rFonts w:ascii="Times New Roman" w:hAnsi="Times New Roman" w:cs="Times New Roman"/>
          <w:sz w:val="24"/>
          <w:szCs w:val="24"/>
          <w:lang w:val="en-US"/>
        </w:rPr>
        <w:t xml:space="preserve"> (cg diff. = core genome differences). 82%, 60%, 83%, 57% and 80% of carriers harboring the isolates in clusters A-E, respectively, </w:t>
      </w:r>
      <w:r>
        <w:rPr>
          <w:rFonts w:ascii="Times New Roman" w:hAnsi="Times New Roman" w:cs="Times New Roman"/>
          <w:sz w:val="24"/>
          <w:szCs w:val="24"/>
        </w:rPr>
        <w:t xml:space="preserve">had </w:t>
      </w:r>
      <w:r w:rsidRPr="00747A9D">
        <w:rPr>
          <w:rFonts w:ascii="Times New Roman" w:hAnsi="Times New Roman" w:cs="Times New Roman"/>
          <w:sz w:val="24"/>
          <w:szCs w:val="24"/>
        </w:rPr>
        <w:t>received MenACWY vaccine before or during registration (September 2015)</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182D43">
        <w:rPr>
          <w:rFonts w:ascii="Times New Roman" w:hAnsi="Times New Roman" w:cs="Times New Roman"/>
          <w:sz w:val="24"/>
          <w:szCs w:val="24"/>
          <w:lang w:val="en-US"/>
        </w:rPr>
        <w:t>Scale bar =</w:t>
      </w:r>
      <w:r>
        <w:rPr>
          <w:rFonts w:ascii="Times New Roman" w:hAnsi="Times New Roman" w:cs="Times New Roman"/>
          <w:sz w:val="24"/>
          <w:szCs w:val="24"/>
          <w:lang w:val="en-US"/>
        </w:rPr>
        <w:t xml:space="preserve"> number of allelic differences. </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
          <w:sz w:val="24"/>
          <w:szCs w:val="24"/>
          <w:lang w:val="en-US"/>
        </w:rPr>
        <w:lastRenderedPageBreak/>
        <w:t xml:space="preserve">Table 1. </w:t>
      </w:r>
      <w:r>
        <w:rPr>
          <w:rFonts w:ascii="Times New Roman" w:hAnsi="Times New Roman" w:cs="Times New Roman"/>
          <w:b/>
          <w:sz w:val="24"/>
          <w:szCs w:val="24"/>
          <w:lang w:val="en-US"/>
        </w:rPr>
        <w:t xml:space="preserve">Breakdown of </w:t>
      </w:r>
      <w:r w:rsidRPr="00182D43">
        <w:rPr>
          <w:rFonts w:ascii="Times New Roman" w:hAnsi="Times New Roman" w:cs="Times New Roman"/>
          <w:b/>
          <w:sz w:val="24"/>
          <w:szCs w:val="24"/>
          <w:lang w:val="en-US"/>
        </w:rPr>
        <w:t xml:space="preserve">MenW Carriage </w:t>
      </w:r>
      <w:r>
        <w:rPr>
          <w:rFonts w:ascii="Times New Roman" w:hAnsi="Times New Roman" w:cs="Times New Roman"/>
          <w:b/>
          <w:sz w:val="24"/>
          <w:szCs w:val="24"/>
          <w:lang w:val="en-US"/>
        </w:rPr>
        <w:t>and Invasive Isolates</w:t>
      </w:r>
      <w:r w:rsidRPr="00182D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by Strain </w:t>
      </w:r>
      <w:r w:rsidRPr="00182D43">
        <w:rPr>
          <w:rFonts w:ascii="Times New Roman" w:hAnsi="Times New Roman" w:cs="Times New Roman"/>
          <w:b/>
          <w:sz w:val="24"/>
          <w:szCs w:val="24"/>
          <w:lang w:val="en-US"/>
        </w:rPr>
        <w:t>Designation</w:t>
      </w:r>
      <w:r>
        <w:rPr>
          <w:rFonts w:ascii="Times New Roman" w:hAnsi="Times New Roman" w:cs="Times New Roman"/>
          <w:b/>
          <w:sz w:val="24"/>
          <w:szCs w:val="24"/>
          <w:lang w:val="en-US"/>
        </w:rPr>
        <w:t>, 11.1</w:t>
      </w:r>
      <w:r w:rsidRPr="0004715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Sub-lineage and S</w:t>
      </w:r>
      <w:r w:rsidRPr="00593BB0">
        <w:rPr>
          <w:rFonts w:ascii="Times New Roman" w:hAnsi="Times New Roman" w:cs="Times New Roman"/>
          <w:b/>
          <w:sz w:val="24"/>
          <w:szCs w:val="24"/>
          <w:lang w:val="en-US"/>
        </w:rPr>
        <w:t xml:space="preserve">train </w:t>
      </w:r>
      <w:r>
        <w:rPr>
          <w:rFonts w:ascii="Times New Roman" w:hAnsi="Times New Roman" w:cs="Times New Roman"/>
          <w:b/>
          <w:sz w:val="24"/>
          <w:szCs w:val="24"/>
          <w:lang w:val="en-US"/>
        </w:rPr>
        <w:t>Type, and Isolation Time-Point</w:t>
      </w:r>
    </w:p>
    <w:tbl>
      <w:tblPr>
        <w:tblW w:w="12822" w:type="dxa"/>
        <w:tblLayout w:type="fixed"/>
        <w:tblCellMar>
          <w:left w:w="0" w:type="dxa"/>
          <w:right w:w="0" w:type="dxa"/>
        </w:tblCellMar>
        <w:tblLook w:val="04A0" w:firstRow="1" w:lastRow="0" w:firstColumn="1" w:lastColumn="0" w:noHBand="0" w:noVBand="1"/>
      </w:tblPr>
      <w:tblGrid>
        <w:gridCol w:w="3427"/>
        <w:gridCol w:w="2102"/>
        <w:gridCol w:w="1758"/>
        <w:gridCol w:w="737"/>
        <w:gridCol w:w="738"/>
        <w:gridCol w:w="738"/>
        <w:gridCol w:w="882"/>
        <w:gridCol w:w="922"/>
        <w:gridCol w:w="1518"/>
      </w:tblGrid>
      <w:tr w:rsidR="00C7734F" w:rsidRPr="00241425" w:rsidTr="009037F9">
        <w:trPr>
          <w:trHeight w:val="255"/>
        </w:trPr>
        <w:tc>
          <w:tcPr>
            <w:tcW w:w="3427"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bCs/>
                <w:sz w:val="24"/>
                <w:szCs w:val="24"/>
                <w:lang w:val="en-US"/>
              </w:rPr>
            </w:pPr>
            <w:r w:rsidRPr="00241425">
              <w:rPr>
                <w:rFonts w:ascii="Times New Roman" w:hAnsi="Times New Roman" w:cs="Times New Roman"/>
                <w:bCs/>
                <w:sz w:val="24"/>
                <w:szCs w:val="24"/>
                <w:lang w:val="en-US"/>
              </w:rPr>
              <w:t>Strain designation</w:t>
            </w:r>
            <w:r w:rsidRPr="00241425">
              <w:rPr>
                <w:rFonts w:ascii="Times New Roman" w:hAnsi="Times New Roman" w:cs="Times New Roman"/>
                <w:bCs/>
                <w:sz w:val="24"/>
                <w:szCs w:val="24"/>
                <w:vertAlign w:val="superscript"/>
                <w:lang w:val="en-US"/>
              </w:rPr>
              <w:t>a</w:t>
            </w:r>
          </w:p>
        </w:tc>
        <w:tc>
          <w:tcPr>
            <w:tcW w:w="2102" w:type="dxa"/>
            <w:vMerge w:val="restart"/>
            <w:tcBorders>
              <w:top w:val="single" w:sz="4" w:space="0" w:color="auto"/>
              <w:left w:val="nil"/>
              <w:right w:val="nil"/>
            </w:tcBorders>
            <w:vAlign w:val="center"/>
          </w:tcPr>
          <w:p w:rsidR="00C7734F" w:rsidRPr="00241425" w:rsidRDefault="00C7734F" w:rsidP="009037F9">
            <w:pPr>
              <w:spacing w:after="0" w:line="240" w:lineRule="auto"/>
              <w:rPr>
                <w:rFonts w:ascii="Times New Roman" w:hAnsi="Times New Roman" w:cs="Times New Roman"/>
                <w:bCs/>
                <w:sz w:val="24"/>
                <w:szCs w:val="24"/>
                <w:lang w:val="en-US"/>
              </w:rPr>
            </w:pPr>
            <w:r w:rsidRPr="00241425">
              <w:rPr>
                <w:rFonts w:ascii="Times New Roman" w:hAnsi="Times New Roman" w:cs="Times New Roman"/>
                <w:sz w:val="24"/>
                <w:szCs w:val="24"/>
                <w:lang w:val="en-US"/>
              </w:rPr>
              <w:t>11.1 sub-lineage</w:t>
            </w:r>
            <w:r w:rsidRPr="00241425">
              <w:rPr>
                <w:rFonts w:ascii="Times New Roman" w:hAnsi="Times New Roman" w:cs="Times New Roman"/>
                <w:bCs/>
                <w:sz w:val="24"/>
                <w:szCs w:val="24"/>
                <w:vertAlign w:val="superscript"/>
                <w:lang w:val="en-US"/>
              </w:rPr>
              <w:t>b</w:t>
            </w:r>
          </w:p>
        </w:tc>
        <w:tc>
          <w:tcPr>
            <w:tcW w:w="1758" w:type="dxa"/>
            <w:vMerge w:val="restart"/>
            <w:tcBorders>
              <w:top w:val="single" w:sz="4" w:space="0" w:color="auto"/>
              <w:left w:val="nil"/>
              <w:right w:val="nil"/>
            </w:tcBorders>
            <w:vAlign w:val="center"/>
          </w:tcPr>
          <w:p w:rsidR="00C7734F" w:rsidRPr="00241425" w:rsidRDefault="00C7734F" w:rsidP="009037F9">
            <w:pPr>
              <w:spacing w:after="0" w:line="240" w:lineRule="auto"/>
              <w:rPr>
                <w:rFonts w:ascii="Times New Roman" w:hAnsi="Times New Roman" w:cs="Times New Roman"/>
                <w:bCs/>
                <w:sz w:val="24"/>
                <w:szCs w:val="24"/>
                <w:lang w:val="en-US"/>
              </w:rPr>
            </w:pPr>
            <w:r w:rsidRPr="00241425">
              <w:rPr>
                <w:rFonts w:ascii="Times New Roman" w:hAnsi="Times New Roman" w:cs="Times New Roman"/>
                <w:sz w:val="24"/>
                <w:szCs w:val="24"/>
                <w:lang w:val="en-US"/>
              </w:rPr>
              <w:t>Strain type</w:t>
            </w:r>
            <w:r w:rsidRPr="00241425">
              <w:rPr>
                <w:rFonts w:ascii="Times New Roman" w:hAnsi="Times New Roman" w:cs="Times New Roman"/>
                <w:bCs/>
                <w:sz w:val="24"/>
                <w:szCs w:val="24"/>
                <w:vertAlign w:val="superscript"/>
                <w:lang w:val="en-US"/>
              </w:rPr>
              <w:t>b</w:t>
            </w:r>
          </w:p>
        </w:tc>
        <w:tc>
          <w:tcPr>
            <w:tcW w:w="2213" w:type="dxa"/>
            <w:gridSpan w:val="3"/>
            <w:tcBorders>
              <w:top w:val="single" w:sz="4" w:space="0" w:color="auto"/>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Isolation time-point</w:t>
            </w:r>
          </w:p>
        </w:tc>
        <w:tc>
          <w:tcPr>
            <w:tcW w:w="882" w:type="dxa"/>
            <w:vMerge w:val="restart"/>
            <w:tcBorders>
              <w:top w:val="single" w:sz="4" w:space="0" w:color="auto"/>
              <w:left w:val="nil"/>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Total</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carriage</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=49)</w:t>
            </w:r>
          </w:p>
        </w:tc>
        <w:tc>
          <w:tcPr>
            <w:tcW w:w="922"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Invasive</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2015-16</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=200)</w:t>
            </w:r>
          </w:p>
        </w:tc>
        <w:tc>
          <w:tcPr>
            <w:tcW w:w="1518"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Total carriage and invasive</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249)</w:t>
            </w:r>
          </w:p>
        </w:tc>
      </w:tr>
      <w:tr w:rsidR="00C7734F" w:rsidRPr="00241425" w:rsidTr="009037F9">
        <w:trPr>
          <w:trHeight w:val="255"/>
        </w:trPr>
        <w:tc>
          <w:tcPr>
            <w:tcW w:w="3427" w:type="dxa"/>
            <w:vMerge/>
            <w:tcBorders>
              <w:left w:val="nil"/>
              <w:bottom w:val="single" w:sz="4" w:space="0" w:color="auto"/>
              <w:right w:val="nil"/>
            </w:tcBorders>
            <w:shd w:val="clear" w:color="auto" w:fill="auto"/>
            <w:noWrap/>
            <w:tcMar>
              <w:top w:w="15" w:type="dxa"/>
              <w:left w:w="15" w:type="dxa"/>
              <w:bottom w:w="0" w:type="dxa"/>
              <w:right w:w="15" w:type="dxa"/>
            </w:tcMar>
            <w:vAlign w:val="center"/>
            <w:hideMark/>
          </w:tcPr>
          <w:p w:rsidR="00C7734F" w:rsidRPr="00241425" w:rsidRDefault="00C7734F" w:rsidP="009037F9">
            <w:pPr>
              <w:spacing w:after="0" w:line="240" w:lineRule="auto"/>
              <w:jc w:val="center"/>
              <w:rPr>
                <w:rFonts w:ascii="Times New Roman" w:hAnsi="Times New Roman" w:cs="Times New Roman"/>
                <w:bCs/>
                <w:sz w:val="24"/>
                <w:szCs w:val="24"/>
                <w:lang w:val="en-US"/>
              </w:rPr>
            </w:pPr>
          </w:p>
        </w:tc>
        <w:tc>
          <w:tcPr>
            <w:tcW w:w="2102" w:type="dxa"/>
            <w:vMerge/>
            <w:tcBorders>
              <w:left w:val="nil"/>
              <w:bottom w:val="single" w:sz="4" w:space="0" w:color="auto"/>
              <w:right w:val="nil"/>
            </w:tcBorders>
          </w:tcPr>
          <w:p w:rsidR="00C7734F" w:rsidRPr="00241425" w:rsidRDefault="00C7734F" w:rsidP="009037F9">
            <w:pPr>
              <w:spacing w:after="0" w:line="240" w:lineRule="auto"/>
              <w:rPr>
                <w:rFonts w:ascii="Times New Roman" w:hAnsi="Times New Roman" w:cs="Times New Roman"/>
                <w:bCs/>
                <w:sz w:val="24"/>
                <w:szCs w:val="24"/>
                <w:lang w:val="en-US"/>
              </w:rPr>
            </w:pPr>
          </w:p>
        </w:tc>
        <w:tc>
          <w:tcPr>
            <w:tcW w:w="1758" w:type="dxa"/>
            <w:vMerge/>
            <w:tcBorders>
              <w:left w:val="nil"/>
              <w:bottom w:val="single" w:sz="4" w:space="0" w:color="auto"/>
              <w:right w:val="nil"/>
            </w:tcBorders>
          </w:tcPr>
          <w:p w:rsidR="00C7734F" w:rsidRPr="00241425" w:rsidRDefault="00C7734F" w:rsidP="009037F9">
            <w:pPr>
              <w:spacing w:after="0" w:line="240" w:lineRule="auto"/>
              <w:rPr>
                <w:rFonts w:ascii="Times New Roman" w:hAnsi="Times New Roman" w:cs="Times New Roman"/>
                <w:bCs/>
                <w:sz w:val="24"/>
                <w:szCs w:val="24"/>
                <w:lang w:val="en-US"/>
              </w:rPr>
            </w:pPr>
          </w:p>
        </w:tc>
        <w:tc>
          <w:tcPr>
            <w:tcW w:w="737" w:type="dxa"/>
            <w:tcBorders>
              <w:top w:val="single" w:sz="4" w:space="0" w:color="auto"/>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Sep 2015</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5)</w:t>
            </w:r>
          </w:p>
        </w:tc>
        <w:tc>
          <w:tcPr>
            <w:tcW w:w="738" w:type="dxa"/>
            <w:tcBorders>
              <w:top w:val="single" w:sz="4" w:space="0" w:color="auto"/>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Nov 2015</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20)</w:t>
            </w:r>
          </w:p>
        </w:tc>
        <w:tc>
          <w:tcPr>
            <w:tcW w:w="738"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Mar 2016</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24)</w:t>
            </w:r>
          </w:p>
        </w:tc>
        <w:tc>
          <w:tcPr>
            <w:tcW w:w="882" w:type="dxa"/>
            <w:vMerge/>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p>
        </w:tc>
        <w:tc>
          <w:tcPr>
            <w:tcW w:w="922" w:type="dxa"/>
            <w:vMerge/>
            <w:tcBorders>
              <w:left w:val="nil"/>
              <w:bottom w:val="single" w:sz="4" w:space="0" w:color="auto"/>
              <w:right w:val="nil"/>
            </w:tcBorders>
            <w:shd w:val="clear" w:color="auto" w:fill="auto"/>
            <w:noWrap/>
            <w:tcMar>
              <w:top w:w="15" w:type="dxa"/>
              <w:left w:w="15" w:type="dxa"/>
              <w:bottom w:w="0" w:type="dxa"/>
              <w:right w:w="15" w:type="dxa"/>
            </w:tcMar>
            <w:vAlign w:val="center"/>
            <w:hideMark/>
          </w:tcPr>
          <w:p w:rsidR="00C7734F" w:rsidRPr="00241425" w:rsidRDefault="00C7734F" w:rsidP="009037F9">
            <w:pPr>
              <w:spacing w:after="0" w:line="240" w:lineRule="auto"/>
              <w:jc w:val="center"/>
              <w:rPr>
                <w:rFonts w:ascii="Times New Roman" w:hAnsi="Times New Roman" w:cs="Times New Roman"/>
                <w:bCs/>
                <w:sz w:val="24"/>
                <w:szCs w:val="24"/>
                <w:lang w:val="en-US"/>
              </w:rPr>
            </w:pPr>
          </w:p>
        </w:tc>
        <w:tc>
          <w:tcPr>
            <w:tcW w:w="1518" w:type="dxa"/>
            <w:vMerge/>
            <w:tcBorders>
              <w:left w:val="nil"/>
              <w:bottom w:val="single" w:sz="4" w:space="0" w:color="auto"/>
              <w:right w:val="nil"/>
            </w:tcBorders>
            <w:shd w:val="clear" w:color="auto" w:fill="auto"/>
            <w:noWrap/>
            <w:tcMar>
              <w:top w:w="15" w:type="dxa"/>
              <w:left w:w="15" w:type="dxa"/>
              <w:bottom w:w="0" w:type="dxa"/>
              <w:right w:w="15" w:type="dxa"/>
            </w:tcMar>
            <w:vAlign w:val="center"/>
            <w:hideMark/>
          </w:tcPr>
          <w:p w:rsidR="00C7734F" w:rsidRPr="00241425" w:rsidRDefault="00C7734F" w:rsidP="009037F9">
            <w:pPr>
              <w:spacing w:after="0" w:line="240" w:lineRule="auto"/>
              <w:jc w:val="center"/>
              <w:rPr>
                <w:rFonts w:ascii="Times New Roman" w:hAnsi="Times New Roman" w:cs="Times New Roman"/>
                <w:bCs/>
                <w:sz w:val="24"/>
                <w:szCs w:val="24"/>
                <w:lang w:val="en-US"/>
              </w:rPr>
            </w:pP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W: P1.5,2: F1-1: ST-11 (cc11)</w:t>
            </w: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South American-UK</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2013</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16</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19</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37</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101</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138</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Original</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40</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42</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South American</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 xml:space="preserve">Hajj </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ND</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W: P1.5,2: F1-1: ST-ND (cc11)</w:t>
            </w: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 xml:space="preserve">South American-UK </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2013</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15</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16</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Original</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6</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6</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W: P1.5,2: F1-1: ST-10651 (cc11)</w:t>
            </w: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 xml:space="preserve">South American-UK </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Original</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8</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10</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W: P1.5,2: F1-146: ST-11 (cc11)</w:t>
            </w: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 xml:space="preserve">South American-UK </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Original</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8</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8</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W: P1.5,2: F1-146: ST-ND (cc11)</w:t>
            </w: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 xml:space="preserve">South American-UK </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Original</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76"/>
        </w:trPr>
        <w:tc>
          <w:tcPr>
            <w:tcW w:w="3427"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Other cc11</w:t>
            </w:r>
            <w:r w:rsidRPr="00241425">
              <w:rPr>
                <w:rFonts w:ascii="Times New Roman" w:hAnsi="Times New Roman" w:cs="Times New Roman"/>
                <w:sz w:val="24"/>
                <w:szCs w:val="24"/>
                <w:vertAlign w:val="superscript"/>
                <w:lang w:val="en-US"/>
              </w:rPr>
              <w:t>c</w:t>
            </w:r>
          </w:p>
        </w:tc>
        <w:tc>
          <w:tcPr>
            <w:tcW w:w="2102"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 xml:space="preserve">South American-UK </w:t>
            </w:r>
          </w:p>
        </w:tc>
        <w:tc>
          <w:tcPr>
            <w:tcW w:w="1758"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2013</w:t>
            </w:r>
          </w:p>
        </w:tc>
        <w:tc>
          <w:tcPr>
            <w:tcW w:w="737"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518"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r>
      <w:tr w:rsidR="00C7734F" w:rsidRPr="00241425" w:rsidTr="009037F9">
        <w:trPr>
          <w:trHeight w:val="276"/>
        </w:trPr>
        <w:tc>
          <w:tcPr>
            <w:tcW w:w="3427" w:type="dxa"/>
            <w:tcBorders>
              <w:top w:val="nil"/>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top w:val="nil"/>
              <w:left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top w:val="nil"/>
              <w:left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Original</w:t>
            </w:r>
          </w:p>
        </w:tc>
        <w:tc>
          <w:tcPr>
            <w:tcW w:w="737" w:type="dxa"/>
            <w:tcBorders>
              <w:top w:val="nil"/>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top w:val="nil"/>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7</w:t>
            </w:r>
          </w:p>
        </w:tc>
        <w:tc>
          <w:tcPr>
            <w:tcW w:w="1518" w:type="dxa"/>
            <w:tcBorders>
              <w:top w:val="nil"/>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7</w:t>
            </w:r>
          </w:p>
        </w:tc>
      </w:tr>
      <w:tr w:rsidR="00C7734F" w:rsidRPr="00241425" w:rsidTr="009037F9">
        <w:trPr>
          <w:trHeight w:val="276"/>
        </w:trPr>
        <w:tc>
          <w:tcPr>
            <w:tcW w:w="3427" w:type="dxa"/>
            <w:tcBorders>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2102" w:type="dxa"/>
            <w:tcBorders>
              <w:left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1758" w:type="dxa"/>
            <w:tcBorders>
              <w:left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p>
        </w:tc>
        <w:tc>
          <w:tcPr>
            <w:tcW w:w="737"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738"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518"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76"/>
        </w:trPr>
        <w:tc>
          <w:tcPr>
            <w:tcW w:w="3427" w:type="dxa"/>
            <w:tcBorders>
              <w:left w:val="nil"/>
              <w:bottom w:val="single" w:sz="4" w:space="0" w:color="auto"/>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Other non-cc11</w:t>
            </w:r>
            <w:r w:rsidRPr="00241425">
              <w:rPr>
                <w:rFonts w:ascii="Times New Roman" w:hAnsi="Times New Roman" w:cs="Times New Roman"/>
                <w:sz w:val="24"/>
                <w:szCs w:val="24"/>
                <w:vertAlign w:val="superscript"/>
                <w:lang w:val="en-US"/>
              </w:rPr>
              <w:t>d</w:t>
            </w:r>
          </w:p>
        </w:tc>
        <w:tc>
          <w:tcPr>
            <w:tcW w:w="2102" w:type="dxa"/>
            <w:tcBorders>
              <w:left w:val="nil"/>
              <w:bottom w:val="single" w:sz="4" w:space="0" w:color="auto"/>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NA</w:t>
            </w:r>
          </w:p>
        </w:tc>
        <w:tc>
          <w:tcPr>
            <w:tcW w:w="1758" w:type="dxa"/>
            <w:tcBorders>
              <w:left w:val="nil"/>
              <w:bottom w:val="single" w:sz="4" w:space="0" w:color="auto"/>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NA</w:t>
            </w:r>
          </w:p>
        </w:tc>
        <w:tc>
          <w:tcPr>
            <w:tcW w:w="737"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738"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738"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882"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c>
          <w:tcPr>
            <w:tcW w:w="922"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10</w:t>
            </w:r>
          </w:p>
        </w:tc>
        <w:tc>
          <w:tcPr>
            <w:tcW w:w="1518"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13</w:t>
            </w:r>
          </w:p>
        </w:tc>
      </w:tr>
    </w:tbl>
    <w:p w:rsidR="00C7734F" w:rsidRPr="00182D43" w:rsidRDefault="00C7734F" w:rsidP="009037F9">
      <w:pPr>
        <w:tabs>
          <w:tab w:val="left" w:pos="6630"/>
        </w:tabs>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rsidR="00C7734F" w:rsidRDefault="00C7734F" w:rsidP="009037F9">
      <w:pPr>
        <w:spacing w:after="0" w:line="480" w:lineRule="auto"/>
        <w:rPr>
          <w:rFonts w:ascii="Times New Roman" w:hAnsi="Times New Roman" w:cs="Times New Roman"/>
          <w:bCs/>
          <w:sz w:val="24"/>
          <w:szCs w:val="24"/>
          <w:lang w:val="en-US"/>
        </w:rPr>
      </w:pPr>
      <w:r w:rsidRPr="00182D43">
        <w:rPr>
          <w:rFonts w:ascii="Times New Roman" w:hAnsi="Times New Roman" w:cs="Times New Roman"/>
          <w:bCs/>
          <w:sz w:val="24"/>
          <w:szCs w:val="24"/>
          <w:vertAlign w:val="superscript"/>
          <w:lang w:val="en-US"/>
        </w:rPr>
        <w:t>a</w:t>
      </w:r>
      <w:r w:rsidRPr="00182D43">
        <w:rPr>
          <w:rFonts w:ascii="Times New Roman" w:hAnsi="Times New Roman" w:cs="Times New Roman"/>
          <w:bCs/>
          <w:sz w:val="24"/>
          <w:szCs w:val="24"/>
          <w:lang w:val="en-US"/>
        </w:rPr>
        <w:t xml:space="preserve"> Derived from genome sequence data</w:t>
      </w:r>
    </w:p>
    <w:p w:rsidR="00C7734F" w:rsidRDefault="00C7734F" w:rsidP="009037F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vertAlign w:val="superscript"/>
          <w:lang w:val="en-US"/>
        </w:rPr>
        <w:t>b</w:t>
      </w:r>
      <w:r>
        <w:rPr>
          <w:rFonts w:ascii="Times New Roman" w:hAnsi="Times New Roman" w:cs="Times New Roman"/>
          <w:bCs/>
          <w:sz w:val="24"/>
          <w:szCs w:val="24"/>
          <w:lang w:val="en-US"/>
        </w:rPr>
        <w:t xml:space="preserve"> </w:t>
      </w:r>
      <w:r w:rsidRPr="00194759">
        <w:rPr>
          <w:rFonts w:ascii="Times New Roman" w:hAnsi="Times New Roman" w:cs="Times New Roman"/>
          <w:bCs/>
          <w:sz w:val="24"/>
          <w:szCs w:val="24"/>
          <w:lang w:val="en-US"/>
        </w:rPr>
        <w:t>As assigned by core genome analysis (shown in Figure 1)</w:t>
      </w:r>
    </w:p>
    <w:p w:rsidR="00C7734F" w:rsidRDefault="00C7734F" w:rsidP="009037F9">
      <w:pPr>
        <w:spacing w:after="0" w:line="480" w:lineRule="auto"/>
        <w:rPr>
          <w:rFonts w:ascii="Times New Roman" w:hAnsi="Times New Roman" w:cs="Times New Roman"/>
          <w:sz w:val="24"/>
          <w:szCs w:val="24"/>
        </w:rPr>
      </w:pPr>
      <w:r w:rsidRPr="00521B5C">
        <w:rPr>
          <w:rFonts w:ascii="Times New Roman" w:hAnsi="Times New Roman" w:cs="Times New Roman"/>
          <w:bCs/>
          <w:sz w:val="24"/>
          <w:szCs w:val="24"/>
          <w:vertAlign w:val="superscript"/>
          <w:lang w:val="en-US"/>
        </w:rPr>
        <w:lastRenderedPageBreak/>
        <w:t>c</w:t>
      </w:r>
      <w:r>
        <w:rPr>
          <w:rFonts w:ascii="Times New Roman" w:hAnsi="Times New Roman" w:cs="Times New Roman"/>
          <w:sz w:val="24"/>
          <w:szCs w:val="24"/>
        </w:rPr>
        <w:t xml:space="preserve"> Includes all cc11 strain designations occurring only once</w:t>
      </w:r>
    </w:p>
    <w:p w:rsidR="00C7734F"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d</w:t>
      </w:r>
      <w:r w:rsidRPr="00182D43">
        <w:rPr>
          <w:rFonts w:ascii="Times New Roman" w:hAnsi="Times New Roman" w:cs="Times New Roman"/>
          <w:sz w:val="24"/>
          <w:szCs w:val="24"/>
          <w:vertAlign w:val="superscript"/>
          <w:lang w:val="en-US"/>
        </w:rPr>
        <w:t xml:space="preserve"> </w:t>
      </w:r>
      <w:r w:rsidRPr="00182D43">
        <w:rPr>
          <w:rFonts w:ascii="Times New Roman" w:hAnsi="Times New Roman" w:cs="Times New Roman"/>
          <w:sz w:val="24"/>
          <w:szCs w:val="24"/>
          <w:lang w:val="en-US"/>
        </w:rPr>
        <w:t xml:space="preserve">Includes all </w:t>
      </w:r>
      <w:r>
        <w:rPr>
          <w:rFonts w:ascii="Times New Roman" w:hAnsi="Times New Roman" w:cs="Times New Roman"/>
          <w:sz w:val="24"/>
          <w:szCs w:val="24"/>
          <w:lang w:val="en-US"/>
        </w:rPr>
        <w:t xml:space="preserve">non-cc11 </w:t>
      </w:r>
      <w:r w:rsidRPr="00182D43">
        <w:rPr>
          <w:rFonts w:ascii="Times New Roman" w:hAnsi="Times New Roman" w:cs="Times New Roman"/>
          <w:sz w:val="24"/>
          <w:szCs w:val="24"/>
          <w:lang w:val="en-US"/>
        </w:rPr>
        <w:t>strain d</w:t>
      </w:r>
      <w:r>
        <w:rPr>
          <w:rFonts w:ascii="Times New Roman" w:hAnsi="Times New Roman" w:cs="Times New Roman"/>
          <w:sz w:val="24"/>
          <w:szCs w:val="24"/>
          <w:lang w:val="en-US"/>
        </w:rPr>
        <w:t xml:space="preserve">esignations </w:t>
      </w:r>
    </w:p>
    <w:p w:rsidR="00C7734F"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ND = not determined; NA = not applicable</w:t>
      </w:r>
      <w:r>
        <w:rPr>
          <w:rFonts w:ascii="Times New Roman" w:hAnsi="Times New Roman" w:cs="Times New Roman"/>
          <w:sz w:val="24"/>
          <w:szCs w:val="24"/>
          <w:lang w:val="en-US"/>
        </w:rPr>
        <w:br w:type="page"/>
      </w:r>
    </w:p>
    <w:p w:rsidR="00C7734F" w:rsidRPr="00575DAD" w:rsidRDefault="00C7734F" w:rsidP="009037F9">
      <w:pPr>
        <w:spacing w:after="0" w:line="480" w:lineRule="auto"/>
        <w:rPr>
          <w:rFonts w:ascii="Times New Roman" w:hAnsi="Times New Roman" w:cs="Times New Roman"/>
          <w:sz w:val="24"/>
          <w:szCs w:val="24"/>
        </w:rPr>
      </w:pPr>
      <w:r w:rsidRPr="00182D43">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2</w:t>
      </w:r>
      <w:r w:rsidRPr="00182D43">
        <w:rPr>
          <w:rFonts w:ascii="Times New Roman" w:hAnsi="Times New Roman" w:cs="Times New Roman"/>
          <w:b/>
          <w:sz w:val="24"/>
          <w:szCs w:val="24"/>
          <w:lang w:val="en-US"/>
        </w:rPr>
        <w:t>. Frequency of Strain Designations in the MenY Carriage and Invasive Collections</w:t>
      </w:r>
      <w:r w:rsidRPr="00182D43">
        <w:rPr>
          <w:rFonts w:ascii="Times New Roman" w:hAnsi="Times New Roman" w:cs="Times New Roman"/>
          <w:sz w:val="24"/>
          <w:szCs w:val="24"/>
          <w:lang w:val="en-US"/>
        </w:rPr>
        <w:t xml:space="preserve"> </w:t>
      </w:r>
    </w:p>
    <w:tbl>
      <w:tblPr>
        <w:tblW w:w="12876" w:type="dxa"/>
        <w:tblLayout w:type="fixed"/>
        <w:tblCellMar>
          <w:left w:w="0" w:type="dxa"/>
          <w:right w:w="0" w:type="dxa"/>
        </w:tblCellMar>
        <w:tblLook w:val="04A0" w:firstRow="1" w:lastRow="0" w:firstColumn="1" w:lastColumn="0" w:noHBand="0" w:noVBand="1"/>
      </w:tblPr>
      <w:tblGrid>
        <w:gridCol w:w="2453"/>
        <w:gridCol w:w="4013"/>
        <w:gridCol w:w="1009"/>
        <w:gridCol w:w="1063"/>
        <w:gridCol w:w="1049"/>
        <w:gridCol w:w="882"/>
        <w:gridCol w:w="922"/>
        <w:gridCol w:w="1485"/>
      </w:tblGrid>
      <w:tr w:rsidR="00C7734F" w:rsidRPr="00241425" w:rsidTr="009037F9">
        <w:trPr>
          <w:trHeight w:val="255"/>
        </w:trPr>
        <w:tc>
          <w:tcPr>
            <w:tcW w:w="2453" w:type="dxa"/>
            <w:vMerge w:val="restart"/>
            <w:tcBorders>
              <w:top w:val="single" w:sz="4" w:space="0" w:color="auto"/>
              <w:left w:val="nil"/>
              <w:right w:val="nil"/>
            </w:tcBorders>
            <w:shd w:val="clear" w:color="auto" w:fill="auto"/>
            <w:noWrap/>
            <w:tcMar>
              <w:top w:w="15" w:type="dxa"/>
              <w:left w:w="15" w:type="dxa"/>
              <w:bottom w:w="0" w:type="dxa"/>
              <w:right w:w="15" w:type="dxa"/>
            </w:tcMar>
            <w:vAlign w:val="bottom"/>
          </w:tcPr>
          <w:p w:rsidR="00C7734F" w:rsidRPr="00241425" w:rsidRDefault="00C7734F" w:rsidP="009037F9">
            <w:pPr>
              <w:spacing w:after="0" w:line="240" w:lineRule="auto"/>
              <w:rPr>
                <w:rFonts w:ascii="Times New Roman" w:hAnsi="Times New Roman" w:cs="Times New Roman"/>
                <w:bCs/>
                <w:sz w:val="24"/>
                <w:szCs w:val="24"/>
                <w:lang w:val="en-US"/>
              </w:rPr>
            </w:pPr>
            <w:r w:rsidRPr="00241425">
              <w:rPr>
                <w:rFonts w:ascii="Times New Roman" w:hAnsi="Times New Roman" w:cs="Times New Roman"/>
                <w:bCs/>
                <w:sz w:val="24"/>
                <w:szCs w:val="24"/>
                <w:lang w:val="en-US"/>
              </w:rPr>
              <w:t>Clonal complex</w:t>
            </w:r>
            <w:r w:rsidRPr="00241425">
              <w:rPr>
                <w:rFonts w:ascii="Times New Roman" w:hAnsi="Times New Roman" w:cs="Times New Roman"/>
                <w:bCs/>
                <w:sz w:val="24"/>
                <w:szCs w:val="24"/>
                <w:vertAlign w:val="superscript"/>
                <w:lang w:val="en-US"/>
              </w:rPr>
              <w:t>a</w:t>
            </w:r>
          </w:p>
        </w:tc>
        <w:tc>
          <w:tcPr>
            <w:tcW w:w="4013" w:type="dxa"/>
            <w:vMerge w:val="restart"/>
            <w:tcBorders>
              <w:top w:val="single" w:sz="4" w:space="0" w:color="auto"/>
              <w:left w:val="nil"/>
              <w:right w:val="nil"/>
            </w:tcBorders>
            <w:vAlign w:val="bottom"/>
          </w:tcPr>
          <w:p w:rsidR="00C7734F" w:rsidRPr="00241425" w:rsidRDefault="00C7734F" w:rsidP="009037F9">
            <w:pPr>
              <w:spacing w:after="0" w:line="240" w:lineRule="auto"/>
              <w:rPr>
                <w:rFonts w:ascii="Times New Roman" w:hAnsi="Times New Roman" w:cs="Times New Roman"/>
                <w:bCs/>
                <w:sz w:val="24"/>
                <w:szCs w:val="24"/>
                <w:lang w:val="en-US"/>
              </w:rPr>
            </w:pPr>
            <w:r w:rsidRPr="00241425">
              <w:rPr>
                <w:rFonts w:ascii="Times New Roman" w:hAnsi="Times New Roman" w:cs="Times New Roman"/>
                <w:bCs/>
                <w:sz w:val="24"/>
                <w:szCs w:val="24"/>
                <w:lang w:val="en-US"/>
              </w:rPr>
              <w:t>Strain designation</w:t>
            </w:r>
            <w:r w:rsidRPr="00241425">
              <w:rPr>
                <w:rFonts w:ascii="Times New Roman" w:hAnsi="Times New Roman" w:cs="Times New Roman"/>
                <w:bCs/>
                <w:sz w:val="24"/>
                <w:szCs w:val="24"/>
                <w:vertAlign w:val="superscript"/>
                <w:lang w:val="en-US"/>
              </w:rPr>
              <w:t>a</w:t>
            </w:r>
          </w:p>
        </w:tc>
        <w:tc>
          <w:tcPr>
            <w:tcW w:w="3121" w:type="dxa"/>
            <w:gridSpan w:val="3"/>
            <w:tcBorders>
              <w:top w:val="single" w:sz="4" w:space="0" w:color="auto"/>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Isolation time-point</w:t>
            </w:r>
          </w:p>
        </w:tc>
        <w:tc>
          <w:tcPr>
            <w:tcW w:w="882" w:type="dxa"/>
            <w:vMerge w:val="restart"/>
            <w:tcBorders>
              <w:top w:val="single" w:sz="4" w:space="0" w:color="auto"/>
              <w:left w:val="nil"/>
              <w:right w:val="nil"/>
            </w:tcBorders>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Total</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carriage</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=32)</w:t>
            </w:r>
          </w:p>
        </w:tc>
        <w:tc>
          <w:tcPr>
            <w:tcW w:w="922"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Invasive</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2015-16</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=104)</w:t>
            </w:r>
          </w:p>
        </w:tc>
        <w:tc>
          <w:tcPr>
            <w:tcW w:w="1485"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Total carriage and invasive</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136)</w:t>
            </w:r>
          </w:p>
        </w:tc>
      </w:tr>
      <w:tr w:rsidR="00C7734F" w:rsidRPr="00241425" w:rsidTr="009037F9">
        <w:trPr>
          <w:trHeight w:val="255"/>
        </w:trPr>
        <w:tc>
          <w:tcPr>
            <w:tcW w:w="2453"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rsidR="00C7734F" w:rsidRPr="00241425" w:rsidRDefault="00C7734F" w:rsidP="009037F9">
            <w:pPr>
              <w:spacing w:after="0" w:line="240" w:lineRule="auto"/>
              <w:rPr>
                <w:rFonts w:ascii="Times New Roman" w:hAnsi="Times New Roman" w:cs="Times New Roman"/>
                <w:bCs/>
                <w:sz w:val="24"/>
                <w:szCs w:val="24"/>
                <w:lang w:val="en-US"/>
              </w:rPr>
            </w:pPr>
          </w:p>
        </w:tc>
        <w:tc>
          <w:tcPr>
            <w:tcW w:w="4013" w:type="dxa"/>
            <w:vMerge/>
            <w:tcBorders>
              <w:left w:val="nil"/>
              <w:bottom w:val="single" w:sz="4" w:space="0" w:color="auto"/>
              <w:right w:val="nil"/>
            </w:tcBorders>
          </w:tcPr>
          <w:p w:rsidR="00C7734F" w:rsidRPr="00241425" w:rsidRDefault="00C7734F" w:rsidP="009037F9">
            <w:pPr>
              <w:spacing w:after="0" w:line="240" w:lineRule="auto"/>
              <w:jc w:val="center"/>
              <w:rPr>
                <w:rFonts w:ascii="Times New Roman" w:hAnsi="Times New Roman" w:cs="Times New Roman"/>
                <w:bCs/>
                <w:sz w:val="24"/>
                <w:szCs w:val="24"/>
                <w:lang w:val="en-US"/>
              </w:rPr>
            </w:pPr>
          </w:p>
        </w:tc>
        <w:tc>
          <w:tcPr>
            <w:tcW w:w="1009" w:type="dxa"/>
            <w:tcBorders>
              <w:top w:val="single" w:sz="4" w:space="0" w:color="auto"/>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Sep 2015</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14)</w:t>
            </w:r>
          </w:p>
        </w:tc>
        <w:tc>
          <w:tcPr>
            <w:tcW w:w="1063" w:type="dxa"/>
            <w:tcBorders>
              <w:top w:val="single" w:sz="4" w:space="0" w:color="auto"/>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Nov 2015</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8)</w:t>
            </w:r>
          </w:p>
        </w:tc>
        <w:tc>
          <w:tcPr>
            <w:tcW w:w="1049" w:type="dxa"/>
            <w:tcBorders>
              <w:left w:val="nil"/>
              <w:bottom w:val="single" w:sz="4" w:space="0" w:color="auto"/>
              <w:right w:val="nil"/>
            </w:tcBorders>
          </w:tcPr>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Mar 2016</w:t>
            </w:r>
          </w:p>
          <w:p w:rsidR="00C7734F" w:rsidRPr="00241425" w:rsidRDefault="00C7734F" w:rsidP="009037F9">
            <w:pPr>
              <w:spacing w:after="0" w:line="240" w:lineRule="auto"/>
              <w:jc w:val="center"/>
              <w:rPr>
                <w:rFonts w:ascii="Times New Roman" w:hAnsi="Times New Roman" w:cs="Times New Roman"/>
                <w:bCs/>
                <w:sz w:val="24"/>
                <w:szCs w:val="24"/>
                <w:lang w:val="en-US"/>
              </w:rPr>
            </w:pPr>
            <w:r w:rsidRPr="00241425">
              <w:rPr>
                <w:rFonts w:ascii="Times New Roman" w:hAnsi="Times New Roman" w:cs="Times New Roman"/>
                <w:bCs/>
                <w:sz w:val="24"/>
                <w:szCs w:val="24"/>
                <w:lang w:val="en-US"/>
              </w:rPr>
              <w:t>(</w:t>
            </w:r>
            <w:r w:rsidRPr="00241425">
              <w:rPr>
                <w:rFonts w:ascii="Times New Roman" w:hAnsi="Times New Roman" w:cs="Times New Roman"/>
                <w:bCs/>
                <w:i/>
                <w:sz w:val="24"/>
                <w:szCs w:val="24"/>
                <w:lang w:val="en-US"/>
              </w:rPr>
              <w:t>n=</w:t>
            </w:r>
            <w:r w:rsidRPr="00241425">
              <w:rPr>
                <w:rFonts w:ascii="Times New Roman" w:hAnsi="Times New Roman" w:cs="Times New Roman"/>
                <w:bCs/>
                <w:sz w:val="24"/>
                <w:szCs w:val="24"/>
                <w:lang w:val="en-US"/>
              </w:rPr>
              <w:t>10)</w:t>
            </w:r>
          </w:p>
        </w:tc>
        <w:tc>
          <w:tcPr>
            <w:tcW w:w="882" w:type="dxa"/>
            <w:vMerge/>
            <w:tcBorders>
              <w:left w:val="nil"/>
              <w:bottom w:val="single" w:sz="4" w:space="0" w:color="auto"/>
              <w:right w:val="nil"/>
            </w:tcBorders>
          </w:tcPr>
          <w:p w:rsidR="00C7734F" w:rsidRPr="00241425" w:rsidRDefault="00C7734F" w:rsidP="009037F9">
            <w:pPr>
              <w:spacing w:after="0" w:line="240" w:lineRule="auto"/>
              <w:jc w:val="center"/>
              <w:rPr>
                <w:rFonts w:ascii="Times New Roman" w:hAnsi="Times New Roman" w:cs="Times New Roman"/>
                <w:bCs/>
                <w:sz w:val="24"/>
                <w:szCs w:val="24"/>
                <w:lang w:val="en-US"/>
              </w:rPr>
            </w:pPr>
          </w:p>
        </w:tc>
        <w:tc>
          <w:tcPr>
            <w:tcW w:w="922" w:type="dxa"/>
            <w:vMerge/>
            <w:tcBorders>
              <w:left w:val="nil"/>
              <w:bottom w:val="single" w:sz="4" w:space="0" w:color="auto"/>
              <w:right w:val="nil"/>
            </w:tcBorders>
            <w:shd w:val="clear" w:color="auto" w:fill="auto"/>
            <w:noWrap/>
            <w:tcMar>
              <w:top w:w="15" w:type="dxa"/>
              <w:left w:w="15" w:type="dxa"/>
              <w:bottom w:w="0" w:type="dxa"/>
              <w:right w:w="15" w:type="dxa"/>
            </w:tcMar>
            <w:hideMark/>
          </w:tcPr>
          <w:p w:rsidR="00C7734F" w:rsidRPr="00241425" w:rsidRDefault="00C7734F" w:rsidP="009037F9">
            <w:pPr>
              <w:spacing w:after="0" w:line="240" w:lineRule="auto"/>
              <w:jc w:val="center"/>
              <w:rPr>
                <w:rFonts w:ascii="Times New Roman" w:hAnsi="Times New Roman" w:cs="Times New Roman"/>
                <w:bCs/>
                <w:sz w:val="24"/>
                <w:szCs w:val="24"/>
                <w:lang w:val="en-US"/>
              </w:rPr>
            </w:pPr>
          </w:p>
        </w:tc>
        <w:tc>
          <w:tcPr>
            <w:tcW w:w="1485" w:type="dxa"/>
            <w:vMerge/>
            <w:tcBorders>
              <w:left w:val="nil"/>
              <w:bottom w:val="single" w:sz="4" w:space="0" w:color="auto"/>
              <w:right w:val="nil"/>
            </w:tcBorders>
            <w:shd w:val="clear" w:color="auto" w:fill="auto"/>
            <w:noWrap/>
            <w:tcMar>
              <w:top w:w="15" w:type="dxa"/>
              <w:left w:w="15" w:type="dxa"/>
              <w:bottom w:w="0" w:type="dxa"/>
              <w:right w:w="15" w:type="dxa"/>
            </w:tcMar>
            <w:hideMark/>
          </w:tcPr>
          <w:p w:rsidR="00C7734F" w:rsidRPr="00241425" w:rsidRDefault="00C7734F" w:rsidP="009037F9">
            <w:pPr>
              <w:spacing w:after="0" w:line="240" w:lineRule="auto"/>
              <w:jc w:val="center"/>
              <w:rPr>
                <w:rFonts w:ascii="Times New Roman" w:hAnsi="Times New Roman" w:cs="Times New Roman"/>
                <w:bCs/>
                <w:sz w:val="24"/>
                <w:szCs w:val="24"/>
                <w:lang w:val="en-US"/>
              </w:rPr>
            </w:pP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cc23</w:t>
            </w: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P1.5-1,10-1: F4-1: ST-1655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5</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40</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45</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P1.5-1,10-4: F4-1: ST-23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5</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7</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12</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P1.5-1,10-1: F4-1: ST-ND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12</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12</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P1.5-2,10-1: F4-1: ST-23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9</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9</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P1.5-1,10-4: F4-1: ST-1655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4</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7</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P1.5-1,10-1: F4-1: ST-12176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1</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5</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P1.5-1,10-4: F4-1: ST-ND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highlight w:val="yellow"/>
                <w:lang w:val="en-US"/>
              </w:rPr>
            </w:pPr>
            <w:r w:rsidRPr="00241425">
              <w:rPr>
                <w:rFonts w:ascii="Times New Roman" w:hAnsi="Times New Roman" w:cs="Times New Roman"/>
                <w:sz w:val="24"/>
                <w:szCs w:val="24"/>
                <w:lang w:val="en-US"/>
              </w:rPr>
              <w:t>5</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5</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P1.5-1,10-1: F4-1: ST-11754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P1.5-1,10-10: F4-1: ST-1655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P1.5-1,10-8: F4-1: ST-1655 (cc23)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Other</w:t>
            </w:r>
            <w:r w:rsidRPr="00241425">
              <w:rPr>
                <w:rFonts w:ascii="Times New Roman" w:hAnsi="Times New Roman" w:cs="Times New Roman"/>
                <w:sz w:val="24"/>
                <w:szCs w:val="24"/>
                <w:vertAlign w:val="superscript"/>
                <w:lang w:val="en-US"/>
              </w:rPr>
              <w:t>b</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049" w:type="dxa"/>
            <w:tcBorders>
              <w:top w:val="nil"/>
              <w:left w:val="nil"/>
              <w:bottom w:val="nil"/>
              <w:right w:val="nil"/>
            </w:tcBorders>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12</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16</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Non-cc23</w:t>
            </w: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P1.21,16: F3-7: ST-1466 (cc174)</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3</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P1.18-7,9: F3-9: ST-ND (cc103)</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55"/>
        </w:trPr>
        <w:tc>
          <w:tcPr>
            <w:tcW w:w="2453"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top w:val="nil"/>
              <w:left w:val="nil"/>
              <w:bottom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P1.5-1,10-4: F3-4: ST-10730 (cc167)</w:t>
            </w:r>
          </w:p>
        </w:tc>
        <w:tc>
          <w:tcPr>
            <w:tcW w:w="100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top w:val="nil"/>
              <w:left w:val="nil"/>
              <w:bottom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485" w:type="dxa"/>
            <w:tcBorders>
              <w:top w:val="nil"/>
              <w:left w:val="nil"/>
              <w:bottom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55"/>
        </w:trPr>
        <w:tc>
          <w:tcPr>
            <w:tcW w:w="2453" w:type="dxa"/>
            <w:tcBorders>
              <w:top w:val="nil"/>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left w:val="nil"/>
              <w:right w:val="nil"/>
            </w:tcBorders>
            <w:vAlign w:val="center"/>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Y: P1.5-1,10-22: F5-1: ST-ND (cc22)</w:t>
            </w:r>
          </w:p>
        </w:tc>
        <w:tc>
          <w:tcPr>
            <w:tcW w:w="1009"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63"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1049"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882" w:type="dxa"/>
            <w:tcBorders>
              <w:left w:val="nil"/>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0</w:t>
            </w:r>
          </w:p>
        </w:tc>
        <w:tc>
          <w:tcPr>
            <w:tcW w:w="922" w:type="dxa"/>
            <w:tcBorders>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485" w:type="dxa"/>
            <w:tcBorders>
              <w:left w:val="nil"/>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r>
      <w:tr w:rsidR="00C7734F" w:rsidRPr="00241425" w:rsidTr="009037F9">
        <w:trPr>
          <w:trHeight w:val="255"/>
        </w:trPr>
        <w:tc>
          <w:tcPr>
            <w:tcW w:w="245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rPr>
                <w:rFonts w:ascii="Times New Roman" w:hAnsi="Times New Roman" w:cs="Times New Roman"/>
                <w:sz w:val="24"/>
                <w:szCs w:val="24"/>
                <w:lang w:val="en-US"/>
              </w:rPr>
            </w:pPr>
          </w:p>
        </w:tc>
        <w:tc>
          <w:tcPr>
            <w:tcW w:w="4013" w:type="dxa"/>
            <w:tcBorders>
              <w:left w:val="nil"/>
              <w:bottom w:val="single" w:sz="4" w:space="0" w:color="auto"/>
              <w:right w:val="nil"/>
            </w:tcBorders>
          </w:tcPr>
          <w:p w:rsidR="00C7734F" w:rsidRPr="00241425" w:rsidRDefault="00C7734F" w:rsidP="009037F9">
            <w:pPr>
              <w:spacing w:after="0" w:line="240" w:lineRule="auto"/>
              <w:rPr>
                <w:rFonts w:ascii="Times New Roman" w:hAnsi="Times New Roman" w:cs="Times New Roman"/>
                <w:sz w:val="24"/>
                <w:szCs w:val="24"/>
                <w:lang w:val="en-US"/>
              </w:rPr>
            </w:pPr>
            <w:r w:rsidRPr="00241425">
              <w:rPr>
                <w:rFonts w:ascii="Times New Roman" w:hAnsi="Times New Roman" w:cs="Times New Roman"/>
                <w:sz w:val="24"/>
                <w:szCs w:val="24"/>
                <w:lang w:val="en-US"/>
              </w:rPr>
              <w:t>Other</w:t>
            </w:r>
            <w:r w:rsidRPr="00241425">
              <w:rPr>
                <w:rFonts w:ascii="Times New Roman" w:hAnsi="Times New Roman" w:cs="Times New Roman"/>
                <w:sz w:val="24"/>
                <w:szCs w:val="24"/>
                <w:vertAlign w:val="superscript"/>
                <w:lang w:val="en-US"/>
              </w:rPr>
              <w:t>c</w:t>
            </w:r>
          </w:p>
        </w:tc>
        <w:tc>
          <w:tcPr>
            <w:tcW w:w="1009"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1063"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1</w:t>
            </w:r>
          </w:p>
        </w:tc>
        <w:tc>
          <w:tcPr>
            <w:tcW w:w="1049" w:type="dxa"/>
            <w:tcBorders>
              <w:left w:val="nil"/>
              <w:bottom w:val="single" w:sz="4" w:space="0" w:color="auto"/>
              <w:right w:val="nil"/>
            </w:tcBorders>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2</w:t>
            </w:r>
          </w:p>
        </w:tc>
        <w:tc>
          <w:tcPr>
            <w:tcW w:w="882" w:type="dxa"/>
            <w:tcBorders>
              <w:left w:val="nil"/>
              <w:bottom w:val="single" w:sz="4" w:space="0" w:color="auto"/>
              <w:right w:val="nil"/>
            </w:tcBorders>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5</w:t>
            </w:r>
          </w:p>
        </w:tc>
        <w:tc>
          <w:tcPr>
            <w:tcW w:w="922" w:type="dxa"/>
            <w:tcBorders>
              <w:left w:val="nil"/>
              <w:bottom w:val="single" w:sz="4" w:space="0" w:color="auto"/>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4</w:t>
            </w:r>
          </w:p>
        </w:tc>
        <w:tc>
          <w:tcPr>
            <w:tcW w:w="148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C7734F" w:rsidRPr="00241425" w:rsidRDefault="00C7734F" w:rsidP="009037F9">
            <w:pPr>
              <w:spacing w:after="0" w:line="240" w:lineRule="auto"/>
              <w:jc w:val="center"/>
              <w:rPr>
                <w:rFonts w:ascii="Times New Roman" w:hAnsi="Times New Roman" w:cs="Times New Roman"/>
                <w:sz w:val="24"/>
                <w:szCs w:val="24"/>
                <w:lang w:val="en-US"/>
              </w:rPr>
            </w:pPr>
            <w:r w:rsidRPr="00241425">
              <w:rPr>
                <w:rFonts w:ascii="Times New Roman" w:hAnsi="Times New Roman" w:cs="Times New Roman"/>
                <w:sz w:val="24"/>
                <w:szCs w:val="24"/>
                <w:lang w:val="en-US"/>
              </w:rPr>
              <w:t>9</w:t>
            </w:r>
          </w:p>
        </w:tc>
      </w:tr>
    </w:tbl>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lang w:val="en-US"/>
        </w:rPr>
        <w:t xml:space="preserve"> </w:t>
      </w:r>
    </w:p>
    <w:p w:rsidR="00C7734F" w:rsidRPr="00182D43"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bCs/>
          <w:sz w:val="24"/>
          <w:szCs w:val="24"/>
          <w:vertAlign w:val="superscript"/>
          <w:lang w:val="en-US"/>
        </w:rPr>
        <w:t>a</w:t>
      </w:r>
      <w:r w:rsidRPr="00182D43">
        <w:rPr>
          <w:rFonts w:ascii="Times New Roman" w:hAnsi="Times New Roman" w:cs="Times New Roman"/>
          <w:bCs/>
          <w:sz w:val="24"/>
          <w:szCs w:val="24"/>
          <w:lang w:val="en-US"/>
        </w:rPr>
        <w:t xml:space="preserve"> Derived from genome sequence data</w:t>
      </w:r>
    </w:p>
    <w:p w:rsidR="00C7734F" w:rsidRDefault="00C7734F" w:rsidP="009037F9">
      <w:pPr>
        <w:spacing w:after="0" w:line="480" w:lineRule="auto"/>
        <w:rPr>
          <w:rFonts w:ascii="Times New Roman" w:hAnsi="Times New Roman" w:cs="Times New Roman"/>
          <w:sz w:val="24"/>
          <w:szCs w:val="24"/>
          <w:lang w:val="en-US"/>
        </w:rPr>
      </w:pPr>
      <w:r w:rsidRPr="00182D43">
        <w:rPr>
          <w:rFonts w:ascii="Times New Roman" w:hAnsi="Times New Roman" w:cs="Times New Roman"/>
          <w:sz w:val="24"/>
          <w:szCs w:val="24"/>
          <w:vertAlign w:val="superscript"/>
          <w:lang w:val="en-US"/>
        </w:rPr>
        <w:t xml:space="preserve">b </w:t>
      </w:r>
      <w:r w:rsidRPr="00182D43">
        <w:rPr>
          <w:rFonts w:ascii="Times New Roman" w:hAnsi="Times New Roman" w:cs="Times New Roman"/>
          <w:sz w:val="24"/>
          <w:szCs w:val="24"/>
          <w:lang w:val="en-US"/>
        </w:rPr>
        <w:t xml:space="preserve">Includes all </w:t>
      </w:r>
      <w:r>
        <w:rPr>
          <w:rFonts w:ascii="Times New Roman" w:hAnsi="Times New Roman" w:cs="Times New Roman"/>
          <w:sz w:val="24"/>
          <w:szCs w:val="24"/>
          <w:lang w:val="en-US"/>
        </w:rPr>
        <w:t xml:space="preserve">cc23 </w:t>
      </w:r>
      <w:r w:rsidRPr="00182D43">
        <w:rPr>
          <w:rFonts w:ascii="Times New Roman" w:hAnsi="Times New Roman" w:cs="Times New Roman"/>
          <w:sz w:val="24"/>
          <w:szCs w:val="24"/>
          <w:lang w:val="en-US"/>
        </w:rPr>
        <w:t>strain d</w:t>
      </w:r>
      <w:r>
        <w:rPr>
          <w:rFonts w:ascii="Times New Roman" w:hAnsi="Times New Roman" w:cs="Times New Roman"/>
          <w:sz w:val="24"/>
          <w:szCs w:val="24"/>
          <w:lang w:val="en-US"/>
        </w:rPr>
        <w:t>esignations occurring only once</w:t>
      </w:r>
    </w:p>
    <w:p w:rsidR="00C7734F" w:rsidRDefault="00C7734F" w:rsidP="009037F9">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c</w:t>
      </w:r>
      <w:r w:rsidRPr="00182D43">
        <w:rPr>
          <w:rFonts w:ascii="Times New Roman" w:hAnsi="Times New Roman" w:cs="Times New Roman"/>
          <w:sz w:val="24"/>
          <w:szCs w:val="24"/>
          <w:vertAlign w:val="superscript"/>
          <w:lang w:val="en-US"/>
        </w:rPr>
        <w:t xml:space="preserve"> </w:t>
      </w:r>
      <w:r w:rsidRPr="00182D43">
        <w:rPr>
          <w:rFonts w:ascii="Times New Roman" w:hAnsi="Times New Roman" w:cs="Times New Roman"/>
          <w:sz w:val="24"/>
          <w:szCs w:val="24"/>
          <w:lang w:val="en-US"/>
        </w:rPr>
        <w:t xml:space="preserve">Includes all </w:t>
      </w:r>
      <w:r>
        <w:rPr>
          <w:rFonts w:ascii="Times New Roman" w:hAnsi="Times New Roman" w:cs="Times New Roman"/>
          <w:sz w:val="24"/>
          <w:szCs w:val="24"/>
          <w:lang w:val="en-US"/>
        </w:rPr>
        <w:t xml:space="preserve">non-cc23 </w:t>
      </w:r>
      <w:r w:rsidRPr="00182D43">
        <w:rPr>
          <w:rFonts w:ascii="Times New Roman" w:hAnsi="Times New Roman" w:cs="Times New Roman"/>
          <w:sz w:val="24"/>
          <w:szCs w:val="24"/>
          <w:lang w:val="en-US"/>
        </w:rPr>
        <w:t>strain d</w:t>
      </w:r>
      <w:r>
        <w:rPr>
          <w:rFonts w:ascii="Times New Roman" w:hAnsi="Times New Roman" w:cs="Times New Roman"/>
          <w:sz w:val="24"/>
          <w:szCs w:val="24"/>
          <w:lang w:val="en-US"/>
        </w:rPr>
        <w:t>esignations occurring only once</w:t>
      </w:r>
      <w:r>
        <w:rPr>
          <w:rFonts w:ascii="Times New Roman" w:hAnsi="Times New Roman" w:cs="Times New Roman"/>
          <w:sz w:val="24"/>
          <w:szCs w:val="24"/>
          <w:lang w:val="en-US"/>
        </w:rPr>
        <w:br w:type="page"/>
      </w:r>
    </w:p>
    <w:p w:rsidR="00C7734F" w:rsidRPr="004631FC" w:rsidRDefault="00C7734F" w:rsidP="009037F9">
      <w:pPr>
        <w:spacing w:after="0" w:line="480" w:lineRule="auto"/>
        <w:rPr>
          <w:rFonts w:ascii="Times New Roman" w:hAnsi="Times New Roman" w:cs="Times New Roman"/>
          <w:sz w:val="24"/>
        </w:rPr>
      </w:pPr>
      <w:r w:rsidRPr="006020C7">
        <w:rPr>
          <w:rFonts w:ascii="Times New Roman" w:hAnsi="Times New Roman" w:cs="Times New Roman"/>
          <w:b/>
          <w:sz w:val="24"/>
        </w:rPr>
        <w:lastRenderedPageBreak/>
        <w:t>T</w:t>
      </w:r>
      <w:r>
        <w:rPr>
          <w:rFonts w:ascii="Times New Roman" w:hAnsi="Times New Roman" w:cs="Times New Roman"/>
          <w:b/>
          <w:sz w:val="24"/>
        </w:rPr>
        <w:t>able 3</w:t>
      </w:r>
      <w:r w:rsidRPr="006020C7">
        <w:rPr>
          <w:rFonts w:ascii="Times New Roman" w:hAnsi="Times New Roman" w:cs="Times New Roman"/>
          <w:b/>
          <w:sz w:val="24"/>
        </w:rPr>
        <w:t xml:space="preserve">. </w:t>
      </w:r>
      <w:r>
        <w:rPr>
          <w:rFonts w:ascii="Times New Roman" w:hAnsi="Times New Roman" w:cs="Times New Roman"/>
          <w:b/>
          <w:sz w:val="24"/>
        </w:rPr>
        <w:t>Prevalence of C</w:t>
      </w:r>
      <w:r w:rsidRPr="006020C7">
        <w:rPr>
          <w:rFonts w:ascii="Times New Roman" w:hAnsi="Times New Roman" w:cs="Times New Roman"/>
          <w:b/>
          <w:sz w:val="24"/>
        </w:rPr>
        <w:t>apsule</w:t>
      </w:r>
      <w:r>
        <w:rPr>
          <w:rFonts w:ascii="Times New Roman" w:hAnsi="Times New Roman" w:cs="Times New Roman"/>
          <w:b/>
          <w:sz w:val="24"/>
        </w:rPr>
        <w:t>-E</w:t>
      </w:r>
      <w:r w:rsidRPr="006020C7">
        <w:rPr>
          <w:rFonts w:ascii="Times New Roman" w:hAnsi="Times New Roman" w:cs="Times New Roman"/>
          <w:b/>
          <w:sz w:val="24"/>
        </w:rPr>
        <w:t>xpressi</w:t>
      </w:r>
      <w:r>
        <w:rPr>
          <w:rFonts w:ascii="Times New Roman" w:hAnsi="Times New Roman" w:cs="Times New Roman"/>
          <w:b/>
          <w:sz w:val="24"/>
        </w:rPr>
        <w:t xml:space="preserve">ng and Acapsulate </w:t>
      </w:r>
      <w:r w:rsidRPr="006020C7">
        <w:rPr>
          <w:rFonts w:ascii="Times New Roman" w:hAnsi="Times New Roman" w:cs="Times New Roman"/>
          <w:b/>
          <w:sz w:val="24"/>
        </w:rPr>
        <w:t>MenW and MenY</w:t>
      </w:r>
      <w:r>
        <w:rPr>
          <w:rFonts w:ascii="Times New Roman" w:hAnsi="Times New Roman" w:cs="Times New Roman"/>
          <w:b/>
          <w:sz w:val="24"/>
        </w:rPr>
        <w:t xml:space="preserve"> Genogroups by Isolation Time-Point</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992"/>
        <w:gridCol w:w="1417"/>
        <w:gridCol w:w="993"/>
        <w:gridCol w:w="1417"/>
        <w:gridCol w:w="992"/>
        <w:gridCol w:w="1418"/>
        <w:gridCol w:w="992"/>
        <w:gridCol w:w="1418"/>
        <w:gridCol w:w="992"/>
        <w:gridCol w:w="1417"/>
      </w:tblGrid>
      <w:tr w:rsidR="00C7734F" w:rsidRPr="00C11136" w:rsidTr="009037F9">
        <w:tc>
          <w:tcPr>
            <w:tcW w:w="1418" w:type="dxa"/>
            <w:vMerge w:val="restart"/>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Isolation time-point (no. of participants)</w:t>
            </w:r>
          </w:p>
        </w:tc>
        <w:tc>
          <w:tcPr>
            <w:tcW w:w="1276" w:type="dxa"/>
            <w:vMerge w:val="restart"/>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Capsule expression status</w:t>
            </w:r>
          </w:p>
        </w:tc>
        <w:tc>
          <w:tcPr>
            <w:tcW w:w="12048" w:type="dxa"/>
            <w:gridSpan w:val="10"/>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Genogroup</w:t>
            </w:r>
          </w:p>
        </w:tc>
      </w:tr>
      <w:tr w:rsidR="00C7734F" w:rsidRPr="00C11136" w:rsidTr="009037F9">
        <w:tc>
          <w:tcPr>
            <w:tcW w:w="1418" w:type="dxa"/>
            <w:vMerge/>
            <w:vAlign w:val="center"/>
          </w:tcPr>
          <w:p w:rsidR="00C7734F" w:rsidRPr="00C11136" w:rsidRDefault="00C7734F" w:rsidP="009037F9">
            <w:pPr>
              <w:jc w:val="center"/>
              <w:rPr>
                <w:rFonts w:ascii="Times New Roman" w:hAnsi="Times New Roman" w:cs="Times New Roman"/>
                <w:sz w:val="24"/>
                <w:szCs w:val="20"/>
              </w:rPr>
            </w:pPr>
          </w:p>
        </w:tc>
        <w:tc>
          <w:tcPr>
            <w:tcW w:w="1276" w:type="dxa"/>
            <w:vMerge/>
          </w:tcPr>
          <w:p w:rsidR="00C7734F" w:rsidRPr="00C11136" w:rsidRDefault="00C7734F" w:rsidP="009037F9">
            <w:pPr>
              <w:jc w:val="center"/>
              <w:rPr>
                <w:rFonts w:ascii="Times New Roman" w:hAnsi="Times New Roman" w:cs="Times New Roman"/>
                <w:sz w:val="24"/>
                <w:szCs w:val="20"/>
              </w:rPr>
            </w:pPr>
          </w:p>
        </w:tc>
        <w:tc>
          <w:tcPr>
            <w:tcW w:w="2409" w:type="dxa"/>
            <w:gridSpan w:val="2"/>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MenW:cc11 2013-strain</w:t>
            </w:r>
            <w:r>
              <w:rPr>
                <w:rFonts w:ascii="Times New Roman" w:hAnsi="Times New Roman" w:cs="Times New Roman"/>
                <w:sz w:val="24"/>
                <w:szCs w:val="20"/>
              </w:rPr>
              <w:t xml:space="preserve"> only</w:t>
            </w:r>
          </w:p>
        </w:tc>
        <w:tc>
          <w:tcPr>
            <w:tcW w:w="2410" w:type="dxa"/>
            <w:gridSpan w:val="2"/>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MenW:cc11</w:t>
            </w:r>
            <w:r>
              <w:rPr>
                <w:rFonts w:ascii="Times New Roman" w:hAnsi="Times New Roman" w:cs="Times New Roman"/>
                <w:sz w:val="24"/>
                <w:szCs w:val="20"/>
              </w:rPr>
              <w:t xml:space="preserve"> original strain only</w:t>
            </w:r>
          </w:p>
        </w:tc>
        <w:tc>
          <w:tcPr>
            <w:tcW w:w="2410" w:type="dxa"/>
            <w:gridSpan w:val="2"/>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 xml:space="preserve">Other </w:t>
            </w:r>
            <w:r w:rsidRPr="00C11136">
              <w:rPr>
                <w:rFonts w:ascii="Times New Roman" w:hAnsi="Times New Roman" w:cs="Times New Roman"/>
                <w:sz w:val="24"/>
                <w:szCs w:val="20"/>
              </w:rPr>
              <w:t>MenW</w:t>
            </w:r>
          </w:p>
        </w:tc>
        <w:tc>
          <w:tcPr>
            <w:tcW w:w="2410" w:type="dxa"/>
            <w:gridSpan w:val="2"/>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MenY:cc23 only</w:t>
            </w:r>
          </w:p>
        </w:tc>
        <w:tc>
          <w:tcPr>
            <w:tcW w:w="2409" w:type="dxa"/>
            <w:gridSpan w:val="2"/>
            <w:tcBorders>
              <w:top w:val="single" w:sz="4" w:space="0" w:color="auto"/>
            </w:tcBorders>
            <w:vAlign w:val="center"/>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Other MenY</w:t>
            </w:r>
            <w:r w:rsidRPr="00E27510">
              <w:rPr>
                <w:rFonts w:ascii="Times New Roman" w:hAnsi="Times New Roman" w:cs="Times New Roman"/>
                <w:sz w:val="24"/>
                <w:szCs w:val="24"/>
                <w:vertAlign w:val="superscript"/>
              </w:rPr>
              <w:t>a</w:t>
            </w:r>
          </w:p>
        </w:tc>
      </w:tr>
      <w:tr w:rsidR="00C7734F" w:rsidRPr="00C11136" w:rsidTr="009037F9">
        <w:tc>
          <w:tcPr>
            <w:tcW w:w="1418" w:type="dxa"/>
            <w:vMerge/>
            <w:tcBorders>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p>
        </w:tc>
        <w:tc>
          <w:tcPr>
            <w:tcW w:w="1276" w:type="dxa"/>
            <w:vMerge/>
            <w:tcBorders>
              <w:bottom w:val="single" w:sz="4" w:space="0" w:color="auto"/>
            </w:tcBorders>
          </w:tcPr>
          <w:p w:rsidR="00C7734F" w:rsidRPr="00C11136" w:rsidRDefault="00C7734F" w:rsidP="009037F9">
            <w:pPr>
              <w:jc w:val="center"/>
              <w:rPr>
                <w:rFonts w:ascii="Times New Roman" w:hAnsi="Times New Roman" w:cs="Times New Roman"/>
                <w:sz w:val="24"/>
                <w:szCs w:val="20"/>
              </w:rPr>
            </w:pPr>
          </w:p>
        </w:tc>
        <w:tc>
          <w:tcPr>
            <w:tcW w:w="992"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No. (%) of isolates</w:t>
            </w:r>
          </w:p>
        </w:tc>
        <w:tc>
          <w:tcPr>
            <w:tcW w:w="1417"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 of participants (95% CI)</w:t>
            </w:r>
          </w:p>
        </w:tc>
        <w:tc>
          <w:tcPr>
            <w:tcW w:w="993"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No. (%) of isolates</w:t>
            </w:r>
          </w:p>
        </w:tc>
        <w:tc>
          <w:tcPr>
            <w:tcW w:w="1417"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 of participants (95% CI)</w:t>
            </w:r>
          </w:p>
        </w:tc>
        <w:tc>
          <w:tcPr>
            <w:tcW w:w="992"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No. (%) of isolates</w:t>
            </w:r>
          </w:p>
        </w:tc>
        <w:tc>
          <w:tcPr>
            <w:tcW w:w="1418"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 of participants (95% CI)</w:t>
            </w:r>
          </w:p>
        </w:tc>
        <w:tc>
          <w:tcPr>
            <w:tcW w:w="992"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No. (%) of isolates</w:t>
            </w:r>
          </w:p>
        </w:tc>
        <w:tc>
          <w:tcPr>
            <w:tcW w:w="1418"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 of participants (95% CI)</w:t>
            </w:r>
          </w:p>
        </w:tc>
        <w:tc>
          <w:tcPr>
            <w:tcW w:w="992"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No. (%) of isolates</w:t>
            </w:r>
          </w:p>
        </w:tc>
        <w:tc>
          <w:tcPr>
            <w:tcW w:w="1417" w:type="dxa"/>
            <w:tcBorders>
              <w:top w:val="single" w:sz="4" w:space="0" w:color="auto"/>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 of</w:t>
            </w:r>
            <w:r w:rsidRPr="00C11136">
              <w:rPr>
                <w:rFonts w:ascii="Times New Roman" w:hAnsi="Times New Roman" w:cs="Times New Roman"/>
                <w:sz w:val="24"/>
                <w:szCs w:val="20"/>
              </w:rPr>
              <w:t xml:space="preserve"> participants (95% CI)</w:t>
            </w:r>
          </w:p>
        </w:tc>
      </w:tr>
      <w:tr w:rsidR="00C7734F" w:rsidRPr="00C11136" w:rsidTr="009037F9">
        <w:tc>
          <w:tcPr>
            <w:tcW w:w="1418" w:type="dxa"/>
            <w:vMerge w:val="restart"/>
            <w:tcBorders>
              <w:top w:val="single" w:sz="4" w:space="0" w:color="auto"/>
            </w:tcBorders>
          </w:tcPr>
          <w:p w:rsidR="00C7734F" w:rsidRPr="00C11136" w:rsidRDefault="00C7734F" w:rsidP="009037F9">
            <w:pPr>
              <w:jc w:val="center"/>
              <w:rPr>
                <w:rFonts w:ascii="Times New Roman" w:hAnsi="Times New Roman" w:cs="Times New Roman"/>
                <w:i/>
                <w:sz w:val="24"/>
                <w:szCs w:val="20"/>
              </w:rPr>
            </w:pPr>
            <w:r w:rsidRPr="00C11136">
              <w:rPr>
                <w:rFonts w:ascii="Times New Roman" w:hAnsi="Times New Roman" w:cs="Times New Roman"/>
                <w:sz w:val="24"/>
                <w:szCs w:val="20"/>
              </w:rPr>
              <w:t>September (</w:t>
            </w:r>
            <w:r w:rsidRPr="00C11136">
              <w:rPr>
                <w:rFonts w:ascii="Times New Roman" w:hAnsi="Times New Roman" w:cs="Times New Roman"/>
                <w:i/>
                <w:sz w:val="24"/>
                <w:szCs w:val="20"/>
              </w:rPr>
              <w:t>n</w:t>
            </w:r>
            <w:r w:rsidRPr="00C11136">
              <w:rPr>
                <w:rFonts w:ascii="Times New Roman" w:hAnsi="Times New Roman" w:cs="Times New Roman"/>
                <w:sz w:val="24"/>
                <w:szCs w:val="20"/>
              </w:rPr>
              <w:t>=769)</w:t>
            </w:r>
          </w:p>
        </w:tc>
        <w:tc>
          <w:tcPr>
            <w:tcW w:w="1276" w:type="dxa"/>
            <w:tcBorders>
              <w:top w:val="single" w:sz="4" w:space="0" w:color="auto"/>
            </w:tcBorders>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On</w:t>
            </w:r>
          </w:p>
        </w:tc>
        <w:tc>
          <w:tcPr>
            <w:tcW w:w="992" w:type="dxa"/>
            <w:tcBorders>
              <w:top w:val="single" w:sz="4" w:space="0" w:color="auto"/>
            </w:tcBorders>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w:t>
            </w:r>
          </w:p>
        </w:tc>
        <w:tc>
          <w:tcPr>
            <w:tcW w:w="1417" w:type="dxa"/>
            <w:tcBorders>
              <w:top w:val="single" w:sz="4" w:space="0" w:color="auto"/>
            </w:tcBorders>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w:t>
            </w:r>
          </w:p>
        </w:tc>
        <w:tc>
          <w:tcPr>
            <w:tcW w:w="993" w:type="dxa"/>
            <w:tcBorders>
              <w:top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2</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(67)</w:t>
            </w:r>
          </w:p>
        </w:tc>
        <w:tc>
          <w:tcPr>
            <w:tcW w:w="1417" w:type="dxa"/>
            <w:tcBorders>
              <w:top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0.3</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(0.0-0.6)</w:t>
            </w:r>
          </w:p>
        </w:tc>
        <w:tc>
          <w:tcPr>
            <w:tcW w:w="992" w:type="dxa"/>
            <w:tcBorders>
              <w:top w:val="single" w:sz="4" w:space="0" w:color="auto"/>
            </w:tcBorders>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8" w:type="dxa"/>
            <w:tcBorders>
              <w:top w:val="single" w:sz="4" w:space="0" w:color="auto"/>
            </w:tcBorders>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992" w:type="dxa"/>
            <w:tcBorders>
              <w:top w:val="single" w:sz="4" w:space="0" w:color="auto"/>
            </w:tcBorders>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8</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(67)</w:t>
            </w:r>
          </w:p>
        </w:tc>
        <w:tc>
          <w:tcPr>
            <w:tcW w:w="1418" w:type="dxa"/>
            <w:tcBorders>
              <w:top w:val="single" w:sz="4" w:space="0" w:color="auto"/>
            </w:tcBorders>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1.0</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(0.3-1.8)</w:t>
            </w:r>
          </w:p>
        </w:tc>
        <w:tc>
          <w:tcPr>
            <w:tcW w:w="992" w:type="dxa"/>
            <w:tcBorders>
              <w:top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(50)</w:t>
            </w:r>
          </w:p>
        </w:tc>
        <w:tc>
          <w:tcPr>
            <w:tcW w:w="1417" w:type="dxa"/>
            <w:tcBorders>
              <w:top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(0.0-0.4)</w:t>
            </w:r>
          </w:p>
        </w:tc>
      </w:tr>
      <w:tr w:rsidR="00C7734F" w:rsidRPr="00C11136" w:rsidTr="009037F9">
        <w:tc>
          <w:tcPr>
            <w:tcW w:w="1418" w:type="dxa"/>
            <w:vMerge/>
          </w:tcPr>
          <w:p w:rsidR="00C7734F" w:rsidRPr="00C11136" w:rsidRDefault="00C7734F" w:rsidP="009037F9">
            <w:pPr>
              <w:jc w:val="center"/>
              <w:rPr>
                <w:rFonts w:ascii="Times New Roman" w:hAnsi="Times New Roman" w:cs="Times New Roman"/>
                <w:sz w:val="24"/>
                <w:szCs w:val="20"/>
              </w:rPr>
            </w:pPr>
          </w:p>
        </w:tc>
        <w:tc>
          <w:tcPr>
            <w:tcW w:w="1276" w:type="dxa"/>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Off</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2</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(100)</w:t>
            </w:r>
          </w:p>
        </w:tc>
        <w:tc>
          <w:tcPr>
            <w:tcW w:w="1417"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0.3</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(0.0-0.6)</w:t>
            </w:r>
          </w:p>
        </w:tc>
        <w:tc>
          <w:tcPr>
            <w:tcW w:w="993"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(33)</w:t>
            </w:r>
          </w:p>
        </w:tc>
        <w:tc>
          <w:tcPr>
            <w:tcW w:w="1417"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(0.0-0.4)</w:t>
            </w:r>
          </w:p>
        </w:tc>
        <w:tc>
          <w:tcPr>
            <w:tcW w:w="992"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8"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4</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(33)</w:t>
            </w:r>
          </w:p>
        </w:tc>
        <w:tc>
          <w:tcPr>
            <w:tcW w:w="1418"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0.5</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(0.0-0.1)</w:t>
            </w:r>
          </w:p>
        </w:tc>
        <w:tc>
          <w:tcPr>
            <w:tcW w:w="992"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(50)</w:t>
            </w:r>
          </w:p>
        </w:tc>
        <w:tc>
          <w:tcPr>
            <w:tcW w:w="1417"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(0.0-0.4)</w:t>
            </w:r>
          </w:p>
        </w:tc>
      </w:tr>
      <w:tr w:rsidR="00C7734F" w:rsidRPr="00C11136" w:rsidTr="009037F9">
        <w:tc>
          <w:tcPr>
            <w:tcW w:w="1418" w:type="dxa"/>
          </w:tcPr>
          <w:p w:rsidR="00C7734F" w:rsidRPr="00C11136" w:rsidRDefault="00C7734F" w:rsidP="009037F9">
            <w:pPr>
              <w:jc w:val="center"/>
              <w:rPr>
                <w:rFonts w:ascii="Times New Roman" w:hAnsi="Times New Roman" w:cs="Times New Roman"/>
                <w:sz w:val="24"/>
                <w:szCs w:val="20"/>
              </w:rPr>
            </w:pPr>
          </w:p>
        </w:tc>
        <w:tc>
          <w:tcPr>
            <w:tcW w:w="1276"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7" w:type="dxa"/>
          </w:tcPr>
          <w:p w:rsidR="00C7734F" w:rsidRPr="00C11136" w:rsidRDefault="00C7734F" w:rsidP="009037F9">
            <w:pPr>
              <w:jc w:val="center"/>
              <w:rPr>
                <w:rFonts w:ascii="Times New Roman" w:hAnsi="Times New Roman" w:cs="Times New Roman"/>
                <w:sz w:val="24"/>
                <w:szCs w:val="20"/>
              </w:rPr>
            </w:pPr>
          </w:p>
        </w:tc>
        <w:tc>
          <w:tcPr>
            <w:tcW w:w="993" w:type="dxa"/>
          </w:tcPr>
          <w:p w:rsidR="00C7734F" w:rsidRPr="00C11136" w:rsidRDefault="00C7734F" w:rsidP="009037F9">
            <w:pPr>
              <w:jc w:val="center"/>
              <w:rPr>
                <w:rFonts w:ascii="Times New Roman" w:hAnsi="Times New Roman" w:cs="Times New Roman"/>
                <w:sz w:val="24"/>
                <w:szCs w:val="20"/>
              </w:rPr>
            </w:pPr>
          </w:p>
        </w:tc>
        <w:tc>
          <w:tcPr>
            <w:tcW w:w="1417"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8"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8"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7" w:type="dxa"/>
          </w:tcPr>
          <w:p w:rsidR="00C7734F" w:rsidRPr="00C11136" w:rsidRDefault="00C7734F" w:rsidP="009037F9">
            <w:pPr>
              <w:jc w:val="center"/>
              <w:rPr>
                <w:rFonts w:ascii="Times New Roman" w:hAnsi="Times New Roman" w:cs="Times New Roman"/>
                <w:sz w:val="24"/>
                <w:szCs w:val="20"/>
              </w:rPr>
            </w:pPr>
          </w:p>
        </w:tc>
      </w:tr>
      <w:tr w:rsidR="00C7734F" w:rsidRPr="00C11136" w:rsidTr="009037F9">
        <w:tc>
          <w:tcPr>
            <w:tcW w:w="1418" w:type="dxa"/>
            <w:vMerge w:val="restart"/>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November</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w:t>
            </w:r>
            <w:r w:rsidRPr="00C11136">
              <w:rPr>
                <w:rFonts w:ascii="Times New Roman" w:hAnsi="Times New Roman" w:cs="Times New Roman"/>
                <w:i/>
                <w:sz w:val="24"/>
                <w:szCs w:val="20"/>
              </w:rPr>
              <w:t>n</w:t>
            </w:r>
            <w:r w:rsidRPr="00C11136">
              <w:rPr>
                <w:rFonts w:ascii="Times New Roman" w:hAnsi="Times New Roman" w:cs="Times New Roman"/>
                <w:sz w:val="24"/>
                <w:szCs w:val="20"/>
              </w:rPr>
              <w:t>=353)</w:t>
            </w:r>
          </w:p>
        </w:tc>
        <w:tc>
          <w:tcPr>
            <w:tcW w:w="1276" w:type="dxa"/>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On</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9</w:t>
            </w:r>
            <w:r w:rsidRPr="00E27510">
              <w:rPr>
                <w:rFonts w:ascii="Times New Roman" w:hAnsi="Times New Roman" w:cs="Times New Roman"/>
                <w:sz w:val="24"/>
                <w:szCs w:val="24"/>
                <w:vertAlign w:val="superscript"/>
              </w:rPr>
              <w:t>b</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(56)</w:t>
            </w:r>
          </w:p>
        </w:tc>
        <w:tc>
          <w:tcPr>
            <w:tcW w:w="1417"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2.5</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(0.9-4.2)</w:t>
            </w:r>
            <w:r w:rsidRPr="00C11136">
              <w:rPr>
                <w:rFonts w:ascii="Times New Roman" w:hAnsi="Times New Roman" w:cs="Times New Roman"/>
                <w:sz w:val="24"/>
                <w:szCs w:val="20"/>
                <w:vertAlign w:val="superscript"/>
              </w:rPr>
              <w:t>***</w:t>
            </w:r>
          </w:p>
        </w:tc>
        <w:tc>
          <w:tcPr>
            <w:tcW w:w="993"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(100)</w:t>
            </w:r>
          </w:p>
        </w:tc>
        <w:tc>
          <w:tcPr>
            <w:tcW w:w="1417"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0.3</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(0.0-0.8)</w:t>
            </w:r>
          </w:p>
        </w:tc>
        <w:tc>
          <w:tcPr>
            <w:tcW w:w="992"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2</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(67)</w:t>
            </w:r>
          </w:p>
        </w:tc>
        <w:tc>
          <w:tcPr>
            <w:tcW w:w="1418"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0.6</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(0.0-1.3)</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(17)</w:t>
            </w:r>
          </w:p>
        </w:tc>
        <w:tc>
          <w:tcPr>
            <w:tcW w:w="1418"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0.3</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(0.0-0.8)</w:t>
            </w:r>
          </w:p>
        </w:tc>
        <w:tc>
          <w:tcPr>
            <w:tcW w:w="992"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2</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(100)</w:t>
            </w:r>
          </w:p>
        </w:tc>
        <w:tc>
          <w:tcPr>
            <w:tcW w:w="1417"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0.6</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(0.0-1.3)</w:t>
            </w:r>
          </w:p>
        </w:tc>
      </w:tr>
      <w:tr w:rsidR="00C7734F" w:rsidRPr="00C11136" w:rsidTr="009037F9">
        <w:tc>
          <w:tcPr>
            <w:tcW w:w="1418" w:type="dxa"/>
            <w:vMerge/>
          </w:tcPr>
          <w:p w:rsidR="00C7734F" w:rsidRPr="00C11136" w:rsidRDefault="00C7734F" w:rsidP="009037F9">
            <w:pPr>
              <w:jc w:val="center"/>
              <w:rPr>
                <w:rFonts w:ascii="Times New Roman" w:hAnsi="Times New Roman" w:cs="Times New Roman"/>
                <w:sz w:val="24"/>
                <w:szCs w:val="20"/>
              </w:rPr>
            </w:pPr>
          </w:p>
        </w:tc>
        <w:tc>
          <w:tcPr>
            <w:tcW w:w="1276" w:type="dxa"/>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Off</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7</w:t>
            </w:r>
            <w:r w:rsidRPr="00E27510">
              <w:rPr>
                <w:rFonts w:ascii="Times New Roman" w:hAnsi="Times New Roman" w:cs="Times New Roman"/>
                <w:sz w:val="24"/>
                <w:szCs w:val="24"/>
                <w:vertAlign w:val="superscript"/>
              </w:rPr>
              <w:t>c</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(44)</w:t>
            </w:r>
          </w:p>
        </w:tc>
        <w:tc>
          <w:tcPr>
            <w:tcW w:w="1417"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2.0</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(0.5-3.4)</w:t>
            </w:r>
            <w:r w:rsidRPr="00C11136">
              <w:rPr>
                <w:rFonts w:ascii="Times New Roman" w:hAnsi="Times New Roman" w:cs="Times New Roman"/>
                <w:sz w:val="24"/>
                <w:szCs w:val="20"/>
                <w:vertAlign w:val="superscript"/>
              </w:rPr>
              <w:t>*</w:t>
            </w:r>
            <w:r>
              <w:rPr>
                <w:rFonts w:ascii="Times New Roman" w:hAnsi="Times New Roman" w:cs="Times New Roman"/>
                <w:sz w:val="24"/>
                <w:szCs w:val="20"/>
                <w:vertAlign w:val="superscript"/>
              </w:rPr>
              <w:t>*</w:t>
            </w:r>
          </w:p>
        </w:tc>
        <w:tc>
          <w:tcPr>
            <w:tcW w:w="993"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7"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992"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1</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(33)</w:t>
            </w:r>
          </w:p>
        </w:tc>
        <w:tc>
          <w:tcPr>
            <w:tcW w:w="1418" w:type="dxa"/>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0.3</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(0.0-0.8)</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5</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(83)</w:t>
            </w:r>
          </w:p>
        </w:tc>
        <w:tc>
          <w:tcPr>
            <w:tcW w:w="1418"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1.4</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(0.2-2.6)</w:t>
            </w:r>
          </w:p>
        </w:tc>
        <w:tc>
          <w:tcPr>
            <w:tcW w:w="992"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7"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r>
      <w:tr w:rsidR="00C7734F" w:rsidRPr="00C11136" w:rsidTr="009037F9">
        <w:tc>
          <w:tcPr>
            <w:tcW w:w="1418" w:type="dxa"/>
          </w:tcPr>
          <w:p w:rsidR="00C7734F" w:rsidRPr="00C11136" w:rsidRDefault="00C7734F" w:rsidP="009037F9">
            <w:pPr>
              <w:jc w:val="center"/>
              <w:rPr>
                <w:rFonts w:ascii="Times New Roman" w:hAnsi="Times New Roman" w:cs="Times New Roman"/>
                <w:sz w:val="24"/>
                <w:szCs w:val="20"/>
              </w:rPr>
            </w:pPr>
          </w:p>
        </w:tc>
        <w:tc>
          <w:tcPr>
            <w:tcW w:w="1276"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7" w:type="dxa"/>
          </w:tcPr>
          <w:p w:rsidR="00C7734F" w:rsidRPr="00C11136" w:rsidRDefault="00C7734F" w:rsidP="009037F9">
            <w:pPr>
              <w:jc w:val="center"/>
              <w:rPr>
                <w:rFonts w:ascii="Times New Roman" w:hAnsi="Times New Roman" w:cs="Times New Roman"/>
                <w:sz w:val="24"/>
                <w:szCs w:val="20"/>
              </w:rPr>
            </w:pPr>
          </w:p>
        </w:tc>
        <w:tc>
          <w:tcPr>
            <w:tcW w:w="993" w:type="dxa"/>
          </w:tcPr>
          <w:p w:rsidR="00C7734F" w:rsidRPr="00C11136" w:rsidRDefault="00C7734F" w:rsidP="009037F9">
            <w:pPr>
              <w:jc w:val="center"/>
              <w:rPr>
                <w:rFonts w:ascii="Times New Roman" w:hAnsi="Times New Roman" w:cs="Times New Roman"/>
                <w:sz w:val="24"/>
                <w:szCs w:val="20"/>
              </w:rPr>
            </w:pPr>
          </w:p>
        </w:tc>
        <w:tc>
          <w:tcPr>
            <w:tcW w:w="1417"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8"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8" w:type="dxa"/>
          </w:tcPr>
          <w:p w:rsidR="00C7734F" w:rsidRPr="00C11136" w:rsidRDefault="00C7734F" w:rsidP="009037F9">
            <w:pPr>
              <w:jc w:val="center"/>
              <w:rPr>
                <w:rFonts w:ascii="Times New Roman" w:hAnsi="Times New Roman" w:cs="Times New Roman"/>
                <w:sz w:val="24"/>
                <w:szCs w:val="20"/>
              </w:rPr>
            </w:pPr>
          </w:p>
        </w:tc>
        <w:tc>
          <w:tcPr>
            <w:tcW w:w="992" w:type="dxa"/>
          </w:tcPr>
          <w:p w:rsidR="00C7734F" w:rsidRPr="00C11136" w:rsidRDefault="00C7734F" w:rsidP="009037F9">
            <w:pPr>
              <w:jc w:val="center"/>
              <w:rPr>
                <w:rFonts w:ascii="Times New Roman" w:hAnsi="Times New Roman" w:cs="Times New Roman"/>
                <w:sz w:val="24"/>
                <w:szCs w:val="20"/>
              </w:rPr>
            </w:pPr>
          </w:p>
        </w:tc>
        <w:tc>
          <w:tcPr>
            <w:tcW w:w="1417" w:type="dxa"/>
          </w:tcPr>
          <w:p w:rsidR="00C7734F" w:rsidRPr="00C11136" w:rsidRDefault="00C7734F" w:rsidP="009037F9">
            <w:pPr>
              <w:jc w:val="center"/>
              <w:rPr>
                <w:rFonts w:ascii="Times New Roman" w:hAnsi="Times New Roman" w:cs="Times New Roman"/>
                <w:sz w:val="24"/>
                <w:szCs w:val="20"/>
              </w:rPr>
            </w:pPr>
          </w:p>
        </w:tc>
      </w:tr>
      <w:tr w:rsidR="00C7734F" w:rsidRPr="00C11136" w:rsidTr="009037F9">
        <w:tc>
          <w:tcPr>
            <w:tcW w:w="1418" w:type="dxa"/>
            <w:vMerge w:val="restart"/>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March (</w:t>
            </w:r>
            <w:r w:rsidRPr="00C11136">
              <w:rPr>
                <w:rFonts w:ascii="Times New Roman" w:hAnsi="Times New Roman" w:cs="Times New Roman"/>
                <w:i/>
                <w:sz w:val="24"/>
                <w:szCs w:val="20"/>
              </w:rPr>
              <w:t>n</w:t>
            </w:r>
            <w:r w:rsidRPr="00C11136">
              <w:rPr>
                <w:rFonts w:ascii="Times New Roman" w:hAnsi="Times New Roman" w:cs="Times New Roman"/>
                <w:sz w:val="24"/>
                <w:szCs w:val="20"/>
              </w:rPr>
              <w:t>=268)</w:t>
            </w:r>
          </w:p>
        </w:tc>
        <w:tc>
          <w:tcPr>
            <w:tcW w:w="1276" w:type="dxa"/>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On</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17</w:t>
            </w:r>
            <w:r w:rsidRPr="00E27510">
              <w:rPr>
                <w:rFonts w:ascii="Times New Roman" w:hAnsi="Times New Roman" w:cs="Times New Roman"/>
                <w:sz w:val="24"/>
                <w:szCs w:val="24"/>
                <w:vertAlign w:val="superscript"/>
              </w:rPr>
              <w:t>d</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(85)</w:t>
            </w:r>
          </w:p>
        </w:tc>
        <w:tc>
          <w:tcPr>
            <w:tcW w:w="1417"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6.3</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(3.4-9.3)</w:t>
            </w:r>
            <w:r w:rsidRPr="00C11136">
              <w:rPr>
                <w:rFonts w:ascii="Times New Roman" w:hAnsi="Times New Roman" w:cs="Times New Roman"/>
                <w:sz w:val="24"/>
                <w:szCs w:val="20"/>
                <w:vertAlign w:val="superscript"/>
              </w:rPr>
              <w:t>*</w:t>
            </w:r>
          </w:p>
        </w:tc>
        <w:tc>
          <w:tcPr>
            <w:tcW w:w="993"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7"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992"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8"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992"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4</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(57)</w:t>
            </w:r>
          </w:p>
        </w:tc>
        <w:tc>
          <w:tcPr>
            <w:tcW w:w="1418" w:type="dxa"/>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1.5</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(0.0-2.9)</w:t>
            </w:r>
          </w:p>
        </w:tc>
        <w:tc>
          <w:tcPr>
            <w:tcW w:w="992"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7" w:type="dxa"/>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r>
      <w:tr w:rsidR="00C7734F" w:rsidRPr="00C11136" w:rsidTr="009037F9">
        <w:tc>
          <w:tcPr>
            <w:tcW w:w="1418" w:type="dxa"/>
            <w:vMerge/>
            <w:tcBorders>
              <w:bottom w:val="single" w:sz="4" w:space="0" w:color="auto"/>
            </w:tcBorders>
            <w:vAlign w:val="center"/>
          </w:tcPr>
          <w:p w:rsidR="00C7734F" w:rsidRPr="00C11136" w:rsidRDefault="00C7734F" w:rsidP="009037F9">
            <w:pPr>
              <w:jc w:val="center"/>
              <w:rPr>
                <w:rFonts w:ascii="Times New Roman" w:hAnsi="Times New Roman" w:cs="Times New Roman"/>
                <w:sz w:val="24"/>
                <w:szCs w:val="20"/>
              </w:rPr>
            </w:pPr>
          </w:p>
        </w:tc>
        <w:tc>
          <w:tcPr>
            <w:tcW w:w="1276" w:type="dxa"/>
            <w:tcBorders>
              <w:bottom w:val="single" w:sz="4" w:space="0" w:color="auto"/>
            </w:tcBorders>
          </w:tcPr>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Off</w:t>
            </w:r>
          </w:p>
        </w:tc>
        <w:tc>
          <w:tcPr>
            <w:tcW w:w="992" w:type="dxa"/>
            <w:tcBorders>
              <w:bottom w:val="single" w:sz="4" w:space="0" w:color="auto"/>
            </w:tcBorders>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3</w:t>
            </w:r>
            <w:r w:rsidRPr="00E27510">
              <w:rPr>
                <w:rFonts w:ascii="Times New Roman" w:hAnsi="Times New Roman" w:cs="Times New Roman"/>
                <w:sz w:val="24"/>
                <w:szCs w:val="24"/>
                <w:vertAlign w:val="superscript"/>
              </w:rPr>
              <w:t>e</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(15)</w:t>
            </w:r>
          </w:p>
        </w:tc>
        <w:tc>
          <w:tcPr>
            <w:tcW w:w="1417" w:type="dxa"/>
            <w:tcBorders>
              <w:bottom w:val="single" w:sz="4" w:space="0" w:color="auto"/>
            </w:tcBorders>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1.1</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(0.0-2.4)</w:t>
            </w:r>
          </w:p>
        </w:tc>
        <w:tc>
          <w:tcPr>
            <w:tcW w:w="993" w:type="dxa"/>
            <w:tcBorders>
              <w:bottom w:val="single" w:sz="4" w:space="0" w:color="auto"/>
            </w:tcBorders>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1417" w:type="dxa"/>
            <w:tcBorders>
              <w:bottom w:val="single" w:sz="4" w:space="0" w:color="auto"/>
            </w:tcBorders>
          </w:tcPr>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w:t>
            </w:r>
          </w:p>
        </w:tc>
        <w:tc>
          <w:tcPr>
            <w:tcW w:w="992" w:type="dxa"/>
            <w:tcBorders>
              <w:bottom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4</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(100)</w:t>
            </w:r>
          </w:p>
        </w:tc>
        <w:tc>
          <w:tcPr>
            <w:tcW w:w="1418" w:type="dxa"/>
            <w:tcBorders>
              <w:bottom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1.5</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(0.0-2.9)</w:t>
            </w:r>
          </w:p>
        </w:tc>
        <w:tc>
          <w:tcPr>
            <w:tcW w:w="992" w:type="dxa"/>
            <w:tcBorders>
              <w:bottom w:val="single" w:sz="4" w:space="0" w:color="auto"/>
            </w:tcBorders>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3</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(43)</w:t>
            </w:r>
          </w:p>
        </w:tc>
        <w:tc>
          <w:tcPr>
            <w:tcW w:w="1418" w:type="dxa"/>
            <w:tcBorders>
              <w:bottom w:val="single" w:sz="4" w:space="0" w:color="auto"/>
            </w:tcBorders>
          </w:tcPr>
          <w:p w:rsidR="00C7734F"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1.1</w:t>
            </w:r>
          </w:p>
          <w:p w:rsidR="00C7734F" w:rsidRPr="00C11136" w:rsidRDefault="00C7734F" w:rsidP="009037F9">
            <w:pPr>
              <w:jc w:val="center"/>
              <w:rPr>
                <w:rFonts w:ascii="Times New Roman" w:hAnsi="Times New Roman" w:cs="Times New Roman"/>
                <w:sz w:val="24"/>
                <w:szCs w:val="20"/>
              </w:rPr>
            </w:pPr>
            <w:r w:rsidRPr="00C11136">
              <w:rPr>
                <w:rFonts w:ascii="Times New Roman" w:hAnsi="Times New Roman" w:cs="Times New Roman"/>
                <w:sz w:val="24"/>
                <w:szCs w:val="20"/>
              </w:rPr>
              <w:t>(0.0-2.4)</w:t>
            </w:r>
          </w:p>
        </w:tc>
        <w:tc>
          <w:tcPr>
            <w:tcW w:w="992" w:type="dxa"/>
            <w:tcBorders>
              <w:bottom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2</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(100)</w:t>
            </w:r>
          </w:p>
        </w:tc>
        <w:tc>
          <w:tcPr>
            <w:tcW w:w="1417" w:type="dxa"/>
            <w:tcBorders>
              <w:bottom w:val="single" w:sz="4" w:space="0" w:color="auto"/>
            </w:tcBorders>
          </w:tcPr>
          <w:p w:rsidR="00C7734F" w:rsidRDefault="00C7734F" w:rsidP="009037F9">
            <w:pPr>
              <w:jc w:val="center"/>
              <w:rPr>
                <w:rFonts w:ascii="Times New Roman" w:hAnsi="Times New Roman" w:cs="Times New Roman"/>
                <w:sz w:val="24"/>
                <w:szCs w:val="20"/>
              </w:rPr>
            </w:pPr>
            <w:r>
              <w:rPr>
                <w:rFonts w:ascii="Times New Roman" w:hAnsi="Times New Roman" w:cs="Times New Roman"/>
                <w:sz w:val="24"/>
                <w:szCs w:val="20"/>
              </w:rPr>
              <w:t>0.7</w:t>
            </w:r>
          </w:p>
          <w:p w:rsidR="00C7734F" w:rsidRPr="00C11136" w:rsidRDefault="00C7734F" w:rsidP="009037F9">
            <w:pPr>
              <w:jc w:val="center"/>
              <w:rPr>
                <w:rFonts w:ascii="Times New Roman" w:hAnsi="Times New Roman" w:cs="Times New Roman"/>
                <w:sz w:val="24"/>
                <w:szCs w:val="20"/>
              </w:rPr>
            </w:pPr>
            <w:r>
              <w:rPr>
                <w:rFonts w:ascii="Times New Roman" w:hAnsi="Times New Roman" w:cs="Times New Roman"/>
                <w:sz w:val="24"/>
                <w:szCs w:val="20"/>
              </w:rPr>
              <w:t>(0.0-1.8)</w:t>
            </w:r>
          </w:p>
        </w:tc>
      </w:tr>
    </w:tbl>
    <w:p w:rsidR="00C7734F" w:rsidRPr="00D64A35" w:rsidRDefault="00C7734F" w:rsidP="009037F9">
      <w:pPr>
        <w:spacing w:after="0" w:line="480" w:lineRule="auto"/>
        <w:rPr>
          <w:rFonts w:ascii="Times New Roman" w:hAnsi="Times New Roman" w:cs="Times New Roman"/>
          <w:sz w:val="24"/>
        </w:rPr>
      </w:pPr>
      <w:r w:rsidRPr="00D64A35">
        <w:rPr>
          <w:rFonts w:ascii="Times New Roman" w:hAnsi="Times New Roman" w:cs="Times New Roman"/>
          <w:sz w:val="24"/>
        </w:rPr>
        <w:t xml:space="preserve">Asterisks indicate a statistically significant difference compared to </w:t>
      </w:r>
      <w:r>
        <w:rPr>
          <w:rFonts w:ascii="Times New Roman" w:hAnsi="Times New Roman" w:cs="Times New Roman"/>
          <w:sz w:val="24"/>
        </w:rPr>
        <w:t xml:space="preserve">prevalence at the </w:t>
      </w:r>
      <w:r w:rsidRPr="00D64A35">
        <w:rPr>
          <w:rFonts w:ascii="Times New Roman" w:hAnsi="Times New Roman" w:cs="Times New Roman"/>
          <w:sz w:val="24"/>
        </w:rPr>
        <w:t>preceding time-point (</w:t>
      </w:r>
      <w:r w:rsidRPr="00FB1D8D">
        <w:rPr>
          <w:rFonts w:ascii="Times New Roman" w:hAnsi="Times New Roman" w:cs="Times New Roman"/>
          <w:sz w:val="24"/>
          <w:vertAlign w:val="superscript"/>
        </w:rPr>
        <w:t>*</w:t>
      </w:r>
      <w:r w:rsidRPr="00D64A35">
        <w:rPr>
          <w:rFonts w:ascii="Times New Roman" w:hAnsi="Times New Roman" w:cs="Times New Roman"/>
          <w:i/>
          <w:sz w:val="24"/>
        </w:rPr>
        <w:t>p</w:t>
      </w:r>
      <w:r w:rsidRPr="00D64A35">
        <w:rPr>
          <w:rFonts w:ascii="Times New Roman" w:hAnsi="Times New Roman" w:cs="Times New Roman"/>
          <w:sz w:val="24"/>
        </w:rPr>
        <w:t xml:space="preserve">&lt;0.05; </w:t>
      </w:r>
      <w:r w:rsidRPr="00FB1D8D">
        <w:rPr>
          <w:rFonts w:ascii="Times New Roman" w:hAnsi="Times New Roman" w:cs="Times New Roman"/>
          <w:sz w:val="24"/>
          <w:vertAlign w:val="superscript"/>
        </w:rPr>
        <w:t>**</w:t>
      </w:r>
      <w:r w:rsidRPr="00D64A35">
        <w:rPr>
          <w:rFonts w:ascii="Times New Roman" w:hAnsi="Times New Roman" w:cs="Times New Roman"/>
          <w:i/>
          <w:sz w:val="24"/>
        </w:rPr>
        <w:t>p</w:t>
      </w:r>
      <w:r>
        <w:rPr>
          <w:rFonts w:ascii="Times New Roman" w:hAnsi="Times New Roman" w:cs="Times New Roman"/>
          <w:sz w:val="24"/>
        </w:rPr>
        <w:t>&lt;0.0</w:t>
      </w:r>
      <w:r w:rsidRPr="00D64A35">
        <w:rPr>
          <w:rFonts w:ascii="Times New Roman" w:hAnsi="Times New Roman" w:cs="Times New Roman"/>
          <w:sz w:val="24"/>
        </w:rPr>
        <w:t xml:space="preserve">1, </w:t>
      </w:r>
      <w:r w:rsidRPr="00FB1D8D">
        <w:rPr>
          <w:rFonts w:ascii="Times New Roman" w:hAnsi="Times New Roman" w:cs="Times New Roman"/>
          <w:sz w:val="24"/>
          <w:vertAlign w:val="superscript"/>
        </w:rPr>
        <w:t>***</w:t>
      </w:r>
      <w:r w:rsidRPr="00D64A35">
        <w:rPr>
          <w:rFonts w:ascii="Times New Roman" w:hAnsi="Times New Roman" w:cs="Times New Roman"/>
          <w:i/>
          <w:sz w:val="24"/>
        </w:rPr>
        <w:t>p</w:t>
      </w:r>
      <w:r w:rsidRPr="00D64A35">
        <w:rPr>
          <w:rFonts w:ascii="Times New Roman" w:hAnsi="Times New Roman" w:cs="Times New Roman"/>
          <w:sz w:val="24"/>
        </w:rPr>
        <w:t>&lt;0.0001)</w:t>
      </w:r>
    </w:p>
    <w:p w:rsidR="00C7734F" w:rsidRDefault="00C7734F" w:rsidP="009037F9">
      <w:pPr>
        <w:spacing w:after="0" w:line="480" w:lineRule="auto"/>
        <w:rPr>
          <w:rFonts w:ascii="Times New Roman" w:hAnsi="Times New Roman" w:cs="Times New Roman"/>
          <w:sz w:val="24"/>
        </w:rPr>
      </w:pPr>
      <w:r w:rsidRPr="00E27510">
        <w:rPr>
          <w:rFonts w:ascii="Times New Roman" w:hAnsi="Times New Roman" w:cs="Times New Roman"/>
          <w:sz w:val="24"/>
          <w:szCs w:val="24"/>
          <w:vertAlign w:val="superscript"/>
        </w:rPr>
        <w:t>a</w:t>
      </w:r>
      <w:r w:rsidRPr="00D64A35">
        <w:rPr>
          <w:rFonts w:ascii="Times New Roman" w:hAnsi="Times New Roman" w:cs="Times New Roman"/>
          <w:sz w:val="24"/>
        </w:rPr>
        <w:t xml:space="preserve"> Serogrouping data unavailable for one MenY:cc103 isolate from March 2016</w:t>
      </w:r>
    </w:p>
    <w:p w:rsidR="00C7734F" w:rsidRPr="00747A9D" w:rsidRDefault="00C7734F" w:rsidP="009037F9">
      <w:pPr>
        <w:pStyle w:val="Default"/>
        <w:spacing w:line="480" w:lineRule="auto"/>
        <w:rPr>
          <w:rFonts w:ascii="Times New Roman" w:eastAsiaTheme="minorHAnsi" w:hAnsi="Times New Roman" w:cs="Times New Roman"/>
          <w:sz w:val="24"/>
          <w:szCs w:val="24"/>
          <w:bdr w:val="none" w:sz="0" w:space="0" w:color="auto"/>
          <w:lang w:eastAsia="en-US"/>
        </w:rPr>
      </w:pPr>
      <w:r w:rsidRPr="00E27510">
        <w:rPr>
          <w:rFonts w:ascii="Times New Roman" w:hAnsi="Times New Roman" w:cs="Times New Roman"/>
          <w:sz w:val="24"/>
          <w:szCs w:val="24"/>
          <w:vertAlign w:val="superscript"/>
        </w:rPr>
        <w:t>b</w:t>
      </w:r>
      <w:r>
        <w:rPr>
          <w:rFonts w:ascii="Times New Roman" w:hAnsi="Times New Roman" w:cs="Times New Roman"/>
          <w:sz w:val="24"/>
          <w:szCs w:val="24"/>
          <w:vertAlign w:val="superscript"/>
        </w:rPr>
        <w:t xml:space="preserve"> </w:t>
      </w:r>
      <w:r w:rsidRPr="00747A9D">
        <w:rPr>
          <w:rFonts w:ascii="Times New Roman" w:hAnsi="Times New Roman" w:cs="Times New Roman"/>
          <w:sz w:val="24"/>
          <w:szCs w:val="24"/>
        </w:rPr>
        <w:t xml:space="preserve">Of these, </w:t>
      </w:r>
      <w:r>
        <w:rPr>
          <w:rFonts w:ascii="Times New Roman" w:hAnsi="Times New Roman" w:cs="Times New Roman"/>
          <w:sz w:val="24"/>
          <w:szCs w:val="24"/>
        </w:rPr>
        <w:t>5</w:t>
      </w:r>
      <w:r w:rsidRPr="00747A9D">
        <w:rPr>
          <w:rFonts w:ascii="Times New Roman" w:hAnsi="Times New Roman" w:cs="Times New Roman"/>
          <w:sz w:val="24"/>
          <w:szCs w:val="24"/>
        </w:rPr>
        <w:t>/</w:t>
      </w:r>
      <w:r>
        <w:rPr>
          <w:rFonts w:ascii="Times New Roman" w:hAnsi="Times New Roman" w:cs="Times New Roman"/>
          <w:sz w:val="24"/>
          <w:szCs w:val="24"/>
        </w:rPr>
        <w:t>9</w:t>
      </w:r>
      <w:r w:rsidRPr="00747A9D">
        <w:rPr>
          <w:rFonts w:ascii="Times New Roman" w:hAnsi="Times New Roman" w:cs="Times New Roman"/>
          <w:sz w:val="24"/>
          <w:szCs w:val="24"/>
        </w:rPr>
        <w:t xml:space="preserve"> (5</w:t>
      </w:r>
      <w:r>
        <w:rPr>
          <w:rFonts w:ascii="Times New Roman" w:hAnsi="Times New Roman" w:cs="Times New Roman"/>
          <w:sz w:val="24"/>
          <w:szCs w:val="24"/>
        </w:rPr>
        <w:t>6</w:t>
      </w:r>
      <w:r w:rsidRPr="00747A9D">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747A9D">
        <w:rPr>
          <w:rFonts w:ascii="Times New Roman" w:eastAsiaTheme="minorHAnsi" w:hAnsi="Times New Roman" w:cs="Times New Roman"/>
          <w:sz w:val="24"/>
          <w:szCs w:val="24"/>
          <w:bdr w:val="none" w:sz="0" w:space="0" w:color="auto"/>
          <w:lang w:eastAsia="en-US"/>
        </w:rPr>
        <w:t>received MenACWY vaccine before or during</w:t>
      </w:r>
      <w:r>
        <w:rPr>
          <w:rFonts w:ascii="Times New Roman" w:eastAsiaTheme="minorHAnsi" w:hAnsi="Times New Roman" w:cs="Times New Roman"/>
          <w:sz w:val="24"/>
          <w:szCs w:val="24"/>
          <w:bdr w:val="none" w:sz="0" w:space="0" w:color="auto"/>
          <w:lang w:eastAsia="en-US"/>
        </w:rPr>
        <w:t xml:space="preserve"> registration (September 2015)</w:t>
      </w:r>
    </w:p>
    <w:p w:rsidR="00C7734F" w:rsidRPr="00747A9D" w:rsidRDefault="00C7734F" w:rsidP="009037F9">
      <w:pPr>
        <w:pStyle w:val="Default"/>
        <w:spacing w:line="480" w:lineRule="auto"/>
        <w:rPr>
          <w:rFonts w:ascii="Times New Roman" w:eastAsiaTheme="minorHAnsi" w:hAnsi="Times New Roman" w:cs="Times New Roman"/>
          <w:sz w:val="24"/>
          <w:szCs w:val="24"/>
          <w:bdr w:val="none" w:sz="0" w:space="0" w:color="auto"/>
          <w:lang w:eastAsia="en-US"/>
        </w:rPr>
      </w:pPr>
      <w:r w:rsidRPr="00E27510">
        <w:rPr>
          <w:rFonts w:ascii="Times New Roman" w:hAnsi="Times New Roman" w:cs="Times New Roman"/>
          <w:sz w:val="24"/>
          <w:szCs w:val="24"/>
          <w:vertAlign w:val="superscript"/>
        </w:rPr>
        <w:t>c</w:t>
      </w:r>
      <w:r>
        <w:rPr>
          <w:rFonts w:ascii="Times New Roman" w:hAnsi="Times New Roman" w:cs="Times New Roman"/>
          <w:sz w:val="24"/>
          <w:szCs w:val="24"/>
          <w:vertAlign w:val="superscript"/>
        </w:rPr>
        <w:t xml:space="preserve"> </w:t>
      </w:r>
      <w:r>
        <w:rPr>
          <w:rFonts w:ascii="Times New Roman" w:hAnsi="Times New Roman" w:cs="Times New Roman"/>
          <w:sz w:val="24"/>
          <w:szCs w:val="24"/>
        </w:rPr>
        <w:t>Of these, 6</w:t>
      </w:r>
      <w:r w:rsidRPr="00747A9D">
        <w:rPr>
          <w:rFonts w:ascii="Times New Roman" w:hAnsi="Times New Roman" w:cs="Times New Roman"/>
          <w:sz w:val="24"/>
          <w:szCs w:val="24"/>
        </w:rPr>
        <w:t>/</w:t>
      </w:r>
      <w:r>
        <w:rPr>
          <w:rFonts w:ascii="Times New Roman" w:hAnsi="Times New Roman" w:cs="Times New Roman"/>
          <w:sz w:val="24"/>
          <w:szCs w:val="24"/>
        </w:rPr>
        <w:t>7 (86</w:t>
      </w:r>
      <w:r w:rsidRPr="00747A9D">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747A9D">
        <w:rPr>
          <w:rFonts w:ascii="Times New Roman" w:eastAsiaTheme="minorHAnsi" w:hAnsi="Times New Roman" w:cs="Times New Roman"/>
          <w:sz w:val="24"/>
          <w:szCs w:val="24"/>
          <w:bdr w:val="none" w:sz="0" w:space="0" w:color="auto"/>
          <w:lang w:eastAsia="en-US"/>
        </w:rPr>
        <w:t>received MenACWY vaccine before or durin</w:t>
      </w:r>
      <w:r>
        <w:rPr>
          <w:rFonts w:ascii="Times New Roman" w:eastAsiaTheme="minorHAnsi" w:hAnsi="Times New Roman" w:cs="Times New Roman"/>
          <w:sz w:val="24"/>
          <w:szCs w:val="24"/>
          <w:bdr w:val="none" w:sz="0" w:space="0" w:color="auto"/>
          <w:lang w:eastAsia="en-US"/>
        </w:rPr>
        <w:t>g registration (September 2015)</w:t>
      </w:r>
      <w:r w:rsidRPr="00747A9D">
        <w:rPr>
          <w:rFonts w:ascii="Times New Roman" w:eastAsiaTheme="minorHAnsi" w:hAnsi="Times New Roman" w:cs="Times New Roman"/>
          <w:sz w:val="24"/>
          <w:szCs w:val="24"/>
          <w:bdr w:val="none" w:sz="0" w:space="0" w:color="auto"/>
          <w:lang w:eastAsia="en-US"/>
        </w:rPr>
        <w:t xml:space="preserve"> </w:t>
      </w:r>
    </w:p>
    <w:p w:rsidR="00C7734F" w:rsidRPr="00747A9D" w:rsidRDefault="00C7734F" w:rsidP="009037F9">
      <w:pPr>
        <w:pStyle w:val="Default"/>
        <w:spacing w:line="480" w:lineRule="auto"/>
        <w:rPr>
          <w:rFonts w:ascii="Times New Roman" w:eastAsiaTheme="minorHAnsi" w:hAnsi="Times New Roman" w:cs="Times New Roman"/>
          <w:sz w:val="24"/>
          <w:szCs w:val="24"/>
          <w:bdr w:val="none" w:sz="0" w:space="0" w:color="auto"/>
          <w:lang w:eastAsia="en-US"/>
        </w:rPr>
      </w:pPr>
      <w:r w:rsidRPr="00E27510">
        <w:rPr>
          <w:rFonts w:ascii="Times New Roman" w:hAnsi="Times New Roman" w:cs="Times New Roman"/>
          <w:sz w:val="24"/>
          <w:szCs w:val="24"/>
          <w:vertAlign w:val="superscript"/>
        </w:rPr>
        <w:t>d</w:t>
      </w:r>
      <w:r>
        <w:rPr>
          <w:rFonts w:ascii="Times New Roman" w:hAnsi="Times New Roman" w:cs="Times New Roman"/>
          <w:sz w:val="24"/>
          <w:szCs w:val="24"/>
          <w:vertAlign w:val="superscript"/>
        </w:rPr>
        <w:t xml:space="preserve"> </w:t>
      </w:r>
      <w:r w:rsidRPr="00747A9D">
        <w:rPr>
          <w:rFonts w:ascii="Times New Roman" w:hAnsi="Times New Roman" w:cs="Times New Roman"/>
          <w:sz w:val="24"/>
          <w:szCs w:val="24"/>
        </w:rPr>
        <w:t xml:space="preserve">Of these, </w:t>
      </w:r>
      <w:r>
        <w:rPr>
          <w:rFonts w:ascii="Times New Roman" w:hAnsi="Times New Roman" w:cs="Times New Roman"/>
          <w:sz w:val="24"/>
          <w:szCs w:val="24"/>
        </w:rPr>
        <w:t>14</w:t>
      </w:r>
      <w:r w:rsidRPr="00747A9D">
        <w:rPr>
          <w:rFonts w:ascii="Times New Roman" w:hAnsi="Times New Roman" w:cs="Times New Roman"/>
          <w:sz w:val="24"/>
          <w:szCs w:val="24"/>
        </w:rPr>
        <w:t>/</w:t>
      </w:r>
      <w:r>
        <w:rPr>
          <w:rFonts w:ascii="Times New Roman" w:hAnsi="Times New Roman" w:cs="Times New Roman"/>
          <w:sz w:val="24"/>
          <w:szCs w:val="24"/>
        </w:rPr>
        <w:t>17</w:t>
      </w:r>
      <w:r w:rsidRPr="00747A9D">
        <w:rPr>
          <w:rFonts w:ascii="Times New Roman" w:hAnsi="Times New Roman" w:cs="Times New Roman"/>
          <w:sz w:val="24"/>
          <w:szCs w:val="24"/>
        </w:rPr>
        <w:t xml:space="preserve"> (</w:t>
      </w:r>
      <w:r>
        <w:rPr>
          <w:rFonts w:ascii="Times New Roman" w:hAnsi="Times New Roman" w:cs="Times New Roman"/>
          <w:sz w:val="24"/>
          <w:szCs w:val="24"/>
        </w:rPr>
        <w:t>82</w:t>
      </w:r>
      <w:r w:rsidRPr="00747A9D">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747A9D">
        <w:rPr>
          <w:rFonts w:ascii="Times New Roman" w:eastAsiaTheme="minorHAnsi" w:hAnsi="Times New Roman" w:cs="Times New Roman"/>
          <w:sz w:val="24"/>
          <w:szCs w:val="24"/>
          <w:bdr w:val="none" w:sz="0" w:space="0" w:color="auto"/>
          <w:lang w:eastAsia="en-US"/>
        </w:rPr>
        <w:t>received MenACWY vaccine before or durin</w:t>
      </w:r>
      <w:r>
        <w:rPr>
          <w:rFonts w:ascii="Times New Roman" w:eastAsiaTheme="minorHAnsi" w:hAnsi="Times New Roman" w:cs="Times New Roman"/>
          <w:sz w:val="24"/>
          <w:szCs w:val="24"/>
          <w:bdr w:val="none" w:sz="0" w:space="0" w:color="auto"/>
          <w:lang w:eastAsia="en-US"/>
        </w:rPr>
        <w:t>g registration (September 2015)</w:t>
      </w:r>
      <w:r w:rsidRPr="00747A9D">
        <w:rPr>
          <w:rFonts w:ascii="Times New Roman" w:eastAsiaTheme="minorHAnsi" w:hAnsi="Times New Roman" w:cs="Times New Roman"/>
          <w:sz w:val="24"/>
          <w:szCs w:val="24"/>
          <w:bdr w:val="none" w:sz="0" w:space="0" w:color="auto"/>
          <w:lang w:eastAsia="en-US"/>
        </w:rPr>
        <w:t xml:space="preserve"> </w:t>
      </w:r>
    </w:p>
    <w:p w:rsidR="009F1FEF" w:rsidRDefault="00C7734F" w:rsidP="00C7734F">
      <w:pPr>
        <w:spacing w:after="0" w:line="480" w:lineRule="auto"/>
      </w:pPr>
      <w:r w:rsidRPr="00E27510">
        <w:rPr>
          <w:rFonts w:ascii="Times New Roman" w:hAnsi="Times New Roman" w:cs="Times New Roman"/>
          <w:sz w:val="24"/>
          <w:szCs w:val="24"/>
          <w:vertAlign w:val="superscript"/>
        </w:rPr>
        <w:lastRenderedPageBreak/>
        <w:t>e</w:t>
      </w:r>
      <w:r>
        <w:rPr>
          <w:rFonts w:ascii="Times New Roman" w:hAnsi="Times New Roman" w:cs="Times New Roman"/>
          <w:sz w:val="24"/>
          <w:szCs w:val="24"/>
          <w:vertAlign w:val="superscript"/>
        </w:rPr>
        <w:t xml:space="preserve"> </w:t>
      </w:r>
      <w:r w:rsidRPr="00747A9D">
        <w:rPr>
          <w:rFonts w:ascii="Times New Roman" w:hAnsi="Times New Roman" w:cs="Times New Roman"/>
          <w:sz w:val="24"/>
          <w:szCs w:val="24"/>
        </w:rPr>
        <w:t xml:space="preserve">Of these, </w:t>
      </w:r>
      <w:r>
        <w:rPr>
          <w:rFonts w:ascii="Times New Roman" w:hAnsi="Times New Roman" w:cs="Times New Roman"/>
          <w:sz w:val="24"/>
          <w:szCs w:val="24"/>
        </w:rPr>
        <w:t>3</w:t>
      </w:r>
      <w:r w:rsidRPr="00747A9D">
        <w:rPr>
          <w:rFonts w:ascii="Times New Roman" w:hAnsi="Times New Roman" w:cs="Times New Roman"/>
          <w:sz w:val="24"/>
          <w:szCs w:val="24"/>
        </w:rPr>
        <w:t>/</w:t>
      </w:r>
      <w:r>
        <w:rPr>
          <w:rFonts w:ascii="Times New Roman" w:hAnsi="Times New Roman" w:cs="Times New Roman"/>
          <w:sz w:val="24"/>
          <w:szCs w:val="24"/>
        </w:rPr>
        <w:t>3</w:t>
      </w:r>
      <w:r w:rsidRPr="00747A9D">
        <w:rPr>
          <w:rFonts w:ascii="Times New Roman" w:hAnsi="Times New Roman" w:cs="Times New Roman"/>
          <w:sz w:val="24"/>
          <w:szCs w:val="24"/>
        </w:rPr>
        <w:t xml:space="preserve"> (</w:t>
      </w:r>
      <w:r>
        <w:rPr>
          <w:rFonts w:ascii="Times New Roman" w:hAnsi="Times New Roman" w:cs="Times New Roman"/>
          <w:sz w:val="24"/>
          <w:szCs w:val="24"/>
        </w:rPr>
        <w:t>100</w:t>
      </w:r>
      <w:r w:rsidRPr="00747A9D">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747A9D">
        <w:rPr>
          <w:rFonts w:ascii="Times New Roman" w:hAnsi="Times New Roman" w:cs="Times New Roman"/>
          <w:sz w:val="24"/>
          <w:szCs w:val="24"/>
        </w:rPr>
        <w:t>received MenACWY vaccine before or durin</w:t>
      </w:r>
      <w:r>
        <w:rPr>
          <w:rFonts w:ascii="Times New Roman" w:hAnsi="Times New Roman" w:cs="Times New Roman"/>
          <w:sz w:val="24"/>
          <w:szCs w:val="24"/>
        </w:rPr>
        <w:t>g registration (September 2015)</w:t>
      </w:r>
    </w:p>
    <w:sectPr w:rsidR="009F1FEF" w:rsidSect="009037F9">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E8" w:rsidRDefault="009E57E8">
      <w:pPr>
        <w:spacing w:after="0" w:line="240" w:lineRule="auto"/>
      </w:pPr>
      <w:r>
        <w:separator/>
      </w:r>
    </w:p>
  </w:endnote>
  <w:endnote w:type="continuationSeparator" w:id="0">
    <w:p w:rsidR="009E57E8" w:rsidRDefault="009E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26217"/>
      <w:docPartObj>
        <w:docPartGallery w:val="Page Numbers (Bottom of Page)"/>
        <w:docPartUnique/>
      </w:docPartObj>
    </w:sdtPr>
    <w:sdtEndPr>
      <w:rPr>
        <w:noProof/>
      </w:rPr>
    </w:sdtEndPr>
    <w:sdtContent>
      <w:p w:rsidR="009037F9" w:rsidRDefault="009037F9">
        <w:pPr>
          <w:pStyle w:val="Footer"/>
          <w:jc w:val="right"/>
        </w:pPr>
        <w:r>
          <w:fldChar w:fldCharType="begin"/>
        </w:r>
        <w:r>
          <w:instrText xml:space="preserve"> PAGE   \* MERGEFORMAT </w:instrText>
        </w:r>
        <w:r>
          <w:fldChar w:fldCharType="separate"/>
        </w:r>
        <w:r w:rsidR="0001065E">
          <w:rPr>
            <w:noProof/>
          </w:rPr>
          <w:t>1</w:t>
        </w:r>
        <w:r>
          <w:rPr>
            <w:noProof/>
          </w:rPr>
          <w:fldChar w:fldCharType="end"/>
        </w:r>
      </w:p>
    </w:sdtContent>
  </w:sdt>
  <w:p w:rsidR="009037F9" w:rsidRDefault="00903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E8" w:rsidRDefault="009E57E8">
      <w:pPr>
        <w:spacing w:after="0" w:line="240" w:lineRule="auto"/>
      </w:pPr>
      <w:r>
        <w:separator/>
      </w:r>
    </w:p>
  </w:footnote>
  <w:footnote w:type="continuationSeparator" w:id="0">
    <w:p w:rsidR="009E57E8" w:rsidRDefault="009E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10853"/>
    <w:multiLevelType w:val="hybridMultilevel"/>
    <w:tmpl w:val="0528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734F"/>
    <w:rsid w:val="0001065E"/>
    <w:rsid w:val="00022D1E"/>
    <w:rsid w:val="000F6F34"/>
    <w:rsid w:val="00166529"/>
    <w:rsid w:val="00294CF4"/>
    <w:rsid w:val="003B26D2"/>
    <w:rsid w:val="00412D9E"/>
    <w:rsid w:val="006D3414"/>
    <w:rsid w:val="009037F9"/>
    <w:rsid w:val="009A7747"/>
    <w:rsid w:val="009E57E8"/>
    <w:rsid w:val="009F1FEF"/>
    <w:rsid w:val="00BE063E"/>
    <w:rsid w:val="00C7734F"/>
    <w:rsid w:val="00D56D15"/>
    <w:rsid w:val="00DB4314"/>
    <w:rsid w:val="00E60324"/>
    <w:rsid w:val="00FF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51ED8-7C90-4FBC-82DE-E0D1C279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734F"/>
  </w:style>
  <w:style w:type="paragraph" w:styleId="Header">
    <w:name w:val="header"/>
    <w:basedOn w:val="Normal"/>
    <w:link w:val="HeaderChar"/>
    <w:uiPriority w:val="99"/>
    <w:unhideWhenUsed/>
    <w:rsid w:val="00C7734F"/>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7734F"/>
    <w:rPr>
      <w:lang w:val="en-US"/>
    </w:rPr>
  </w:style>
  <w:style w:type="paragraph" w:styleId="Footer">
    <w:name w:val="footer"/>
    <w:basedOn w:val="Normal"/>
    <w:link w:val="FooterChar"/>
    <w:uiPriority w:val="99"/>
    <w:unhideWhenUsed/>
    <w:rsid w:val="00C7734F"/>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7734F"/>
    <w:rPr>
      <w:lang w:val="en-US"/>
    </w:rPr>
  </w:style>
  <w:style w:type="character" w:styleId="Hyperlink">
    <w:name w:val="Hyperlink"/>
    <w:basedOn w:val="DefaultParagraphFont"/>
    <w:uiPriority w:val="99"/>
    <w:unhideWhenUsed/>
    <w:rsid w:val="00C7734F"/>
    <w:rPr>
      <w:color w:val="0563C1" w:themeColor="hyperlink"/>
      <w:u w:val="single"/>
    </w:rPr>
  </w:style>
  <w:style w:type="character" w:styleId="CommentReference">
    <w:name w:val="annotation reference"/>
    <w:basedOn w:val="DefaultParagraphFont"/>
    <w:uiPriority w:val="99"/>
    <w:semiHidden/>
    <w:unhideWhenUsed/>
    <w:rsid w:val="00C7734F"/>
    <w:rPr>
      <w:sz w:val="16"/>
      <w:szCs w:val="16"/>
    </w:rPr>
  </w:style>
  <w:style w:type="paragraph" w:styleId="CommentText">
    <w:name w:val="annotation text"/>
    <w:basedOn w:val="Normal"/>
    <w:link w:val="CommentTextChar"/>
    <w:uiPriority w:val="99"/>
    <w:semiHidden/>
    <w:unhideWhenUsed/>
    <w:rsid w:val="00C7734F"/>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7734F"/>
    <w:rPr>
      <w:sz w:val="20"/>
      <w:szCs w:val="20"/>
      <w:lang w:val="en-US"/>
    </w:rPr>
  </w:style>
  <w:style w:type="paragraph" w:styleId="CommentSubject">
    <w:name w:val="annotation subject"/>
    <w:basedOn w:val="CommentText"/>
    <w:next w:val="CommentText"/>
    <w:link w:val="CommentSubjectChar"/>
    <w:uiPriority w:val="99"/>
    <w:semiHidden/>
    <w:unhideWhenUsed/>
    <w:rsid w:val="00C7734F"/>
    <w:rPr>
      <w:b/>
      <w:bCs/>
    </w:rPr>
  </w:style>
  <w:style w:type="character" w:customStyle="1" w:styleId="CommentSubjectChar">
    <w:name w:val="Comment Subject Char"/>
    <w:basedOn w:val="CommentTextChar"/>
    <w:link w:val="CommentSubject"/>
    <w:uiPriority w:val="99"/>
    <w:semiHidden/>
    <w:rsid w:val="00C7734F"/>
    <w:rPr>
      <w:b/>
      <w:bCs/>
      <w:sz w:val="20"/>
      <w:szCs w:val="20"/>
      <w:lang w:val="en-US"/>
    </w:rPr>
  </w:style>
  <w:style w:type="paragraph" w:styleId="BalloonText">
    <w:name w:val="Balloon Text"/>
    <w:basedOn w:val="Normal"/>
    <w:link w:val="BalloonTextChar"/>
    <w:uiPriority w:val="99"/>
    <w:semiHidden/>
    <w:unhideWhenUsed/>
    <w:rsid w:val="00C7734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7734F"/>
    <w:rPr>
      <w:rFonts w:ascii="Tahoma" w:hAnsi="Tahoma" w:cs="Tahoma"/>
      <w:sz w:val="16"/>
      <w:szCs w:val="16"/>
      <w:lang w:val="en-US"/>
    </w:rPr>
  </w:style>
  <w:style w:type="character" w:styleId="FollowedHyperlink">
    <w:name w:val="FollowedHyperlink"/>
    <w:basedOn w:val="DefaultParagraphFont"/>
    <w:uiPriority w:val="99"/>
    <w:semiHidden/>
    <w:unhideWhenUsed/>
    <w:rsid w:val="00C7734F"/>
    <w:rPr>
      <w:color w:val="954F72" w:themeColor="followedHyperlink"/>
      <w:u w:val="single"/>
    </w:rPr>
  </w:style>
  <w:style w:type="paragraph" w:styleId="Revision">
    <w:name w:val="Revision"/>
    <w:hidden/>
    <w:uiPriority w:val="99"/>
    <w:semiHidden/>
    <w:rsid w:val="00C7734F"/>
    <w:pPr>
      <w:spacing w:after="0" w:line="240" w:lineRule="auto"/>
    </w:pPr>
    <w:rPr>
      <w:lang w:val="en-US"/>
    </w:rPr>
  </w:style>
  <w:style w:type="character" w:customStyle="1" w:styleId="apple-converted-space">
    <w:name w:val="apple-converted-space"/>
    <w:basedOn w:val="DefaultParagraphFont"/>
    <w:rsid w:val="00C7734F"/>
  </w:style>
  <w:style w:type="table" w:styleId="TableGrid">
    <w:name w:val="Table Grid"/>
    <w:basedOn w:val="TableNormal"/>
    <w:uiPriority w:val="39"/>
    <w:rsid w:val="00C7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34F"/>
    <w:pPr>
      <w:spacing w:after="200" w:line="276" w:lineRule="auto"/>
      <w:ind w:left="720"/>
      <w:contextualSpacing/>
    </w:pPr>
    <w:rPr>
      <w:lang w:val="en-US"/>
    </w:rPr>
  </w:style>
  <w:style w:type="paragraph" w:styleId="FootnoteText">
    <w:name w:val="footnote text"/>
    <w:basedOn w:val="Normal"/>
    <w:link w:val="FootnoteTextChar"/>
    <w:semiHidden/>
    <w:rsid w:val="00C773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C7734F"/>
    <w:rPr>
      <w:rFonts w:ascii="Times New Roman" w:eastAsia="Times New Roman" w:hAnsi="Times New Roman" w:cs="Times New Roman"/>
      <w:sz w:val="24"/>
      <w:szCs w:val="20"/>
    </w:rPr>
  </w:style>
  <w:style w:type="paragraph" w:customStyle="1" w:styleId="Body">
    <w:name w:val="Body"/>
    <w:rsid w:val="00C7734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Default">
    <w:name w:val="Default"/>
    <w:rsid w:val="00C7734F"/>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EndNoteBibliographyTitle">
    <w:name w:val="EndNote Bibliography Title"/>
    <w:basedOn w:val="Normal"/>
    <w:link w:val="EndNoteBibliographyTitleChar"/>
    <w:rsid w:val="00C7734F"/>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773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7734F"/>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7734F"/>
    <w:rPr>
      <w:rFonts w:ascii="Times New Roman" w:hAnsi="Times New Roman" w:cs="Times New Roman"/>
      <w:noProof/>
      <w:sz w:val="24"/>
      <w:lang w:val="en-US"/>
    </w:rPr>
  </w:style>
  <w:style w:type="character" w:customStyle="1" w:styleId="ref-title">
    <w:name w:val="ref-title"/>
    <w:basedOn w:val="DefaultParagraphFont"/>
    <w:rsid w:val="00C7734F"/>
  </w:style>
  <w:style w:type="character" w:customStyle="1" w:styleId="ref-journal">
    <w:name w:val="ref-journal"/>
    <w:basedOn w:val="DefaultParagraphFont"/>
    <w:rsid w:val="00C7734F"/>
  </w:style>
  <w:style w:type="character" w:customStyle="1" w:styleId="ref-vol">
    <w:name w:val="ref-vol"/>
    <w:basedOn w:val="DefaultParagraphFont"/>
    <w:rsid w:val="00C7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mlst.org/perl/bigsdb/bigsdb.pl?db=pubmlst_neisseria_mrfgen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oldfield@nottingham.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ingitis.org/research/genome" TargetMode="External"/><Relationship Id="rId5" Type="http://schemas.openxmlformats.org/officeDocument/2006/relationships/footnotes" Target="footnotes.xml"/><Relationship Id="rId10" Type="http://schemas.openxmlformats.org/officeDocument/2006/relationships/hyperlink" Target="mailto:neil.oldfield@nottingham.ac.uk" TargetMode="External"/><Relationship Id="rId4" Type="http://schemas.openxmlformats.org/officeDocument/2006/relationships/webSettings" Target="webSettings.xml"/><Relationship Id="rId9" Type="http://schemas.openxmlformats.org/officeDocument/2006/relationships/hyperlink" Target="https://pubmlst.org/bigsdb?db=pubmlst_neisseria_iso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Neil</dc:creator>
  <cp:keywords/>
  <dc:description/>
  <cp:lastModifiedBy>Oldfield Neil</cp:lastModifiedBy>
  <cp:revision>2</cp:revision>
  <dcterms:created xsi:type="dcterms:W3CDTF">2017-11-10T10:27:00Z</dcterms:created>
  <dcterms:modified xsi:type="dcterms:W3CDTF">2017-11-10T10:27:00Z</dcterms:modified>
</cp:coreProperties>
</file>