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807C4" w14:textId="77777777" w:rsidR="007E5708" w:rsidRDefault="005A3FCD">
      <w:r>
        <w:rPr>
          <w:noProof/>
          <w:lang w:eastAsia="en-GB"/>
        </w:rPr>
        <w:drawing>
          <wp:inline distT="0" distB="0" distL="0" distR="0" wp14:anchorId="6948D0AC" wp14:editId="297A3E90">
            <wp:extent cx="5731510" cy="31203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S1.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120390"/>
                    </a:xfrm>
                    <a:prstGeom prst="rect">
                      <a:avLst/>
                    </a:prstGeom>
                  </pic:spPr>
                </pic:pic>
              </a:graphicData>
            </a:graphic>
          </wp:inline>
        </w:drawing>
      </w:r>
    </w:p>
    <w:p w14:paraId="100EDEF2" w14:textId="77777777" w:rsidR="005A3FCD" w:rsidRDefault="005A3FCD"/>
    <w:p w14:paraId="258B9D3E" w14:textId="77777777" w:rsidR="005A3FCD" w:rsidRPr="001D60B3" w:rsidRDefault="005A3FCD" w:rsidP="005A3FCD">
      <w:pPr>
        <w:jc w:val="both"/>
        <w:rPr>
          <w:b/>
          <w:sz w:val="24"/>
          <w:szCs w:val="24"/>
        </w:rPr>
      </w:pPr>
      <w:r>
        <w:rPr>
          <w:b/>
          <w:sz w:val="24"/>
          <w:szCs w:val="24"/>
        </w:rPr>
        <w:t>fig. S1</w:t>
      </w:r>
      <w:r w:rsidRPr="001D60B3">
        <w:rPr>
          <w:b/>
          <w:sz w:val="24"/>
          <w:szCs w:val="24"/>
        </w:rPr>
        <w:t xml:space="preserve">: </w:t>
      </w:r>
      <w:r>
        <w:rPr>
          <w:b/>
          <w:sz w:val="24"/>
          <w:szCs w:val="24"/>
        </w:rPr>
        <w:t>Gating strategy for analysis of ILC2</w:t>
      </w:r>
      <w:r w:rsidRPr="001D60B3">
        <w:rPr>
          <w:b/>
          <w:sz w:val="24"/>
          <w:szCs w:val="24"/>
        </w:rPr>
        <w:t>.</w:t>
      </w:r>
    </w:p>
    <w:p w14:paraId="07B0CE3A" w14:textId="6182C92A" w:rsidR="005A3FCD" w:rsidRDefault="005A3FCD" w:rsidP="008F3E3D">
      <w:pPr>
        <w:jc w:val="both"/>
        <w:rPr>
          <w:sz w:val="24"/>
          <w:szCs w:val="24"/>
        </w:rPr>
      </w:pPr>
      <w:r w:rsidRPr="00337427">
        <w:rPr>
          <w:b/>
          <w:sz w:val="24"/>
          <w:szCs w:val="24"/>
        </w:rPr>
        <w:t>A.</w:t>
      </w:r>
      <w:r>
        <w:rPr>
          <w:b/>
          <w:sz w:val="24"/>
          <w:szCs w:val="24"/>
        </w:rPr>
        <w:t xml:space="preserve"> </w:t>
      </w:r>
      <w:r w:rsidRPr="005E3269">
        <w:rPr>
          <w:sz w:val="24"/>
          <w:szCs w:val="24"/>
        </w:rPr>
        <w:t xml:space="preserve">Isotype controls for ILC2 flow cytometry </w:t>
      </w:r>
      <w:r>
        <w:rPr>
          <w:sz w:val="24"/>
          <w:szCs w:val="24"/>
        </w:rPr>
        <w:t xml:space="preserve">antibody </w:t>
      </w:r>
      <w:r w:rsidRPr="005E3269">
        <w:rPr>
          <w:sz w:val="24"/>
          <w:szCs w:val="24"/>
        </w:rPr>
        <w:t>stain</w:t>
      </w:r>
      <w:r>
        <w:rPr>
          <w:sz w:val="24"/>
          <w:szCs w:val="24"/>
        </w:rPr>
        <w:t xml:space="preserve">. </w:t>
      </w:r>
      <w:r w:rsidRPr="001D60B3">
        <w:rPr>
          <w:sz w:val="24"/>
          <w:szCs w:val="24"/>
        </w:rPr>
        <w:t>ILC2 are CD45</w:t>
      </w:r>
      <w:r w:rsidRPr="001D60B3">
        <w:rPr>
          <w:sz w:val="24"/>
          <w:szCs w:val="24"/>
          <w:vertAlign w:val="superscript"/>
        </w:rPr>
        <w:t>+</w:t>
      </w:r>
      <w:r w:rsidRPr="001D60B3">
        <w:rPr>
          <w:sz w:val="24"/>
          <w:szCs w:val="24"/>
        </w:rPr>
        <w:t>/CD3</w:t>
      </w:r>
      <w:r w:rsidRPr="001D60B3">
        <w:rPr>
          <w:sz w:val="24"/>
          <w:szCs w:val="24"/>
          <w:vertAlign w:val="superscript"/>
        </w:rPr>
        <w:t>-</w:t>
      </w:r>
      <w:r w:rsidRPr="001D60B3">
        <w:rPr>
          <w:sz w:val="24"/>
          <w:szCs w:val="24"/>
        </w:rPr>
        <w:t>/Lineage</w:t>
      </w:r>
      <w:r w:rsidRPr="001D60B3">
        <w:rPr>
          <w:sz w:val="24"/>
          <w:szCs w:val="24"/>
          <w:vertAlign w:val="superscript"/>
        </w:rPr>
        <w:t>-</w:t>
      </w:r>
      <w:r w:rsidRPr="001D60B3">
        <w:rPr>
          <w:sz w:val="24"/>
          <w:szCs w:val="24"/>
        </w:rPr>
        <w:t>/CRTH2</w:t>
      </w:r>
      <w:r w:rsidRPr="001D60B3">
        <w:rPr>
          <w:sz w:val="24"/>
          <w:szCs w:val="24"/>
          <w:vertAlign w:val="superscript"/>
        </w:rPr>
        <w:t>+</w:t>
      </w:r>
      <w:r w:rsidRPr="001D60B3">
        <w:rPr>
          <w:sz w:val="24"/>
          <w:szCs w:val="24"/>
        </w:rPr>
        <w:t>/IL7Rα</w:t>
      </w:r>
      <w:r w:rsidRPr="001D60B3">
        <w:rPr>
          <w:sz w:val="24"/>
          <w:szCs w:val="24"/>
          <w:vertAlign w:val="superscript"/>
        </w:rPr>
        <w:t>+</w:t>
      </w:r>
      <w:r>
        <w:rPr>
          <w:sz w:val="24"/>
          <w:szCs w:val="24"/>
        </w:rPr>
        <w:t xml:space="preserve">. </w:t>
      </w:r>
      <w:r w:rsidRPr="005E3269">
        <w:rPr>
          <w:b/>
          <w:sz w:val="24"/>
          <w:szCs w:val="24"/>
        </w:rPr>
        <w:t>B – D</w:t>
      </w:r>
      <w:r>
        <w:rPr>
          <w:sz w:val="24"/>
          <w:szCs w:val="24"/>
        </w:rPr>
        <w:t xml:space="preserve"> Isotype controls for CD1a expression on </w:t>
      </w:r>
      <w:r w:rsidRPr="001D60B3">
        <w:rPr>
          <w:sz w:val="24"/>
          <w:szCs w:val="24"/>
        </w:rPr>
        <w:t>epidermal CD11c</w:t>
      </w:r>
      <w:r w:rsidRPr="001D60B3">
        <w:rPr>
          <w:sz w:val="24"/>
          <w:szCs w:val="24"/>
          <w:vertAlign w:val="superscript"/>
        </w:rPr>
        <w:t>+</w:t>
      </w:r>
      <w:r w:rsidRPr="001D60B3">
        <w:rPr>
          <w:sz w:val="24"/>
          <w:szCs w:val="24"/>
        </w:rPr>
        <w:t xml:space="preserve"> cells</w:t>
      </w:r>
      <w:r>
        <w:rPr>
          <w:sz w:val="24"/>
          <w:szCs w:val="24"/>
        </w:rPr>
        <w:t xml:space="preserve"> (</w:t>
      </w:r>
      <w:r w:rsidRPr="005E3269">
        <w:rPr>
          <w:b/>
          <w:sz w:val="24"/>
          <w:szCs w:val="24"/>
        </w:rPr>
        <w:t>B.</w:t>
      </w:r>
      <w:r>
        <w:rPr>
          <w:sz w:val="24"/>
          <w:szCs w:val="24"/>
        </w:rPr>
        <w:t>), ILC2 (</w:t>
      </w:r>
      <w:r w:rsidRPr="005E3269">
        <w:rPr>
          <w:b/>
          <w:sz w:val="24"/>
          <w:szCs w:val="24"/>
        </w:rPr>
        <w:t>C.</w:t>
      </w:r>
      <w:r w:rsidRPr="00337427">
        <w:rPr>
          <w:sz w:val="24"/>
          <w:szCs w:val="24"/>
        </w:rPr>
        <w:t xml:space="preserve">) </w:t>
      </w:r>
      <w:r>
        <w:rPr>
          <w:sz w:val="24"/>
          <w:szCs w:val="24"/>
        </w:rPr>
        <w:t>and T cells (</w:t>
      </w:r>
      <w:r w:rsidRPr="005E3269">
        <w:rPr>
          <w:b/>
          <w:sz w:val="24"/>
          <w:szCs w:val="24"/>
        </w:rPr>
        <w:t>D.</w:t>
      </w:r>
      <w:r>
        <w:rPr>
          <w:sz w:val="24"/>
          <w:szCs w:val="24"/>
        </w:rPr>
        <w:t xml:space="preserve">). </w:t>
      </w:r>
      <w:r w:rsidRPr="005E3269">
        <w:rPr>
          <w:b/>
          <w:sz w:val="24"/>
          <w:szCs w:val="24"/>
        </w:rPr>
        <w:t>E.</w:t>
      </w:r>
      <w:r>
        <w:rPr>
          <w:sz w:val="24"/>
          <w:szCs w:val="24"/>
        </w:rPr>
        <w:t xml:space="preserve"> Full gating strategy for isolation and analysis of ILC2. </w:t>
      </w:r>
      <w:r w:rsidRPr="005E3269">
        <w:rPr>
          <w:b/>
          <w:sz w:val="24"/>
          <w:szCs w:val="24"/>
        </w:rPr>
        <w:t>F.</w:t>
      </w:r>
      <w:r>
        <w:rPr>
          <w:sz w:val="24"/>
          <w:szCs w:val="24"/>
        </w:rPr>
        <w:t xml:space="preserve"> Isotype controls for strategy of isolation and analysis of ILC2.</w:t>
      </w:r>
    </w:p>
    <w:p w14:paraId="716C2CDE" w14:textId="68F2FE0E" w:rsidR="00EF5B09" w:rsidRDefault="00EF5B09">
      <w:pPr>
        <w:rPr>
          <w:sz w:val="24"/>
          <w:szCs w:val="24"/>
        </w:rPr>
      </w:pPr>
      <w:r>
        <w:rPr>
          <w:sz w:val="24"/>
          <w:szCs w:val="24"/>
        </w:rPr>
        <w:br w:type="page"/>
      </w:r>
    </w:p>
    <w:p w14:paraId="4D093B79" w14:textId="77777777" w:rsidR="00EF5B09" w:rsidRPr="00EF5B09" w:rsidRDefault="00EF5B09" w:rsidP="00EF5B09">
      <w:pPr>
        <w:jc w:val="both"/>
        <w:rPr>
          <w:sz w:val="24"/>
          <w:szCs w:val="24"/>
        </w:rPr>
      </w:pPr>
    </w:p>
    <w:p w14:paraId="24E43A79" w14:textId="0A1A0F62" w:rsidR="005A3FCD" w:rsidRDefault="00A54A4A">
      <w:r>
        <w:rPr>
          <w:noProof/>
          <w:lang w:eastAsia="en-GB"/>
        </w:rPr>
        <w:drawing>
          <wp:inline distT="0" distB="0" distL="0" distR="0" wp14:anchorId="24CCC8BE" wp14:editId="2D0B21C6">
            <wp:extent cx="4974894" cy="2522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S2.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85883" cy="2527791"/>
                    </a:xfrm>
                    <a:prstGeom prst="rect">
                      <a:avLst/>
                    </a:prstGeom>
                  </pic:spPr>
                </pic:pic>
              </a:graphicData>
            </a:graphic>
          </wp:inline>
        </w:drawing>
      </w:r>
    </w:p>
    <w:p w14:paraId="62A3FEA9" w14:textId="77777777" w:rsidR="005A3FCD" w:rsidRDefault="005A3FCD"/>
    <w:p w14:paraId="486D76E8" w14:textId="77777777" w:rsidR="005A3FCD" w:rsidRDefault="005A3FCD"/>
    <w:p w14:paraId="2A777022" w14:textId="6AF6BB18" w:rsidR="005A3FCD" w:rsidRDefault="005A3FCD" w:rsidP="005A3FCD">
      <w:pPr>
        <w:rPr>
          <w:b/>
          <w:sz w:val="24"/>
          <w:szCs w:val="24"/>
        </w:rPr>
      </w:pPr>
      <w:r>
        <w:rPr>
          <w:b/>
          <w:sz w:val="24"/>
          <w:szCs w:val="24"/>
        </w:rPr>
        <w:t>fig. S2</w:t>
      </w:r>
      <w:r w:rsidRPr="001D60B3">
        <w:rPr>
          <w:b/>
          <w:sz w:val="24"/>
          <w:szCs w:val="24"/>
        </w:rPr>
        <w:t xml:space="preserve">: </w:t>
      </w:r>
      <w:r>
        <w:rPr>
          <w:b/>
          <w:sz w:val="24"/>
          <w:szCs w:val="24"/>
        </w:rPr>
        <w:t>Stimulation of CD1a expression by blood derived ILC2</w:t>
      </w:r>
      <w:r w:rsidR="00C16EAF">
        <w:rPr>
          <w:b/>
          <w:sz w:val="24"/>
          <w:szCs w:val="24"/>
        </w:rPr>
        <w:t xml:space="preserve">. </w:t>
      </w:r>
    </w:p>
    <w:p w14:paraId="2258F1EB" w14:textId="22026AB4" w:rsidR="00EF5B09" w:rsidRDefault="005A3FCD" w:rsidP="008F3E3D">
      <w:pPr>
        <w:jc w:val="both"/>
        <w:rPr>
          <w:sz w:val="24"/>
          <w:szCs w:val="24"/>
        </w:rPr>
      </w:pPr>
      <w:r>
        <w:rPr>
          <w:sz w:val="24"/>
          <w:szCs w:val="24"/>
        </w:rPr>
        <w:t xml:space="preserve">ILC2 were cultured in media containing either human serum or fetal calf serum (FCS). </w:t>
      </w:r>
      <w:r w:rsidR="008F3E3D">
        <w:rPr>
          <w:sz w:val="24"/>
          <w:szCs w:val="24"/>
        </w:rPr>
        <w:t xml:space="preserve"> </w:t>
      </w:r>
      <w:r>
        <w:rPr>
          <w:sz w:val="24"/>
          <w:szCs w:val="24"/>
        </w:rPr>
        <w:t>Addi</w:t>
      </w:r>
      <w:r w:rsidR="008F3E3D">
        <w:rPr>
          <w:sz w:val="24"/>
          <w:szCs w:val="24"/>
        </w:rPr>
        <w:t xml:space="preserve">tional ILC2 activation stimuli, </w:t>
      </w:r>
      <w:r>
        <w:rPr>
          <w:sz w:val="24"/>
          <w:szCs w:val="24"/>
        </w:rPr>
        <w:t>IL-25</w:t>
      </w:r>
      <w:r w:rsidR="00C16EAF">
        <w:rPr>
          <w:sz w:val="24"/>
          <w:szCs w:val="24"/>
        </w:rPr>
        <w:t xml:space="preserve"> (50 ng / ml)</w:t>
      </w:r>
      <w:r>
        <w:rPr>
          <w:sz w:val="24"/>
          <w:szCs w:val="24"/>
        </w:rPr>
        <w:t>, IL-33</w:t>
      </w:r>
      <w:r w:rsidR="00C16EAF">
        <w:rPr>
          <w:sz w:val="24"/>
          <w:szCs w:val="24"/>
        </w:rPr>
        <w:t xml:space="preserve"> (50 ng / ml)</w:t>
      </w:r>
      <w:r>
        <w:rPr>
          <w:sz w:val="24"/>
          <w:szCs w:val="24"/>
        </w:rPr>
        <w:t>, TSLP</w:t>
      </w:r>
      <w:r w:rsidR="00C16EAF">
        <w:rPr>
          <w:sz w:val="24"/>
          <w:szCs w:val="24"/>
        </w:rPr>
        <w:t xml:space="preserve"> (50 ng / ml)</w:t>
      </w:r>
      <w:r>
        <w:rPr>
          <w:sz w:val="24"/>
          <w:szCs w:val="24"/>
        </w:rPr>
        <w:t xml:space="preserve">, PGD2 </w:t>
      </w:r>
      <w:r w:rsidR="00C16EAF">
        <w:rPr>
          <w:sz w:val="24"/>
          <w:szCs w:val="24"/>
        </w:rPr>
        <w:t xml:space="preserve">(100nM) </w:t>
      </w:r>
      <w:r>
        <w:rPr>
          <w:sz w:val="24"/>
          <w:szCs w:val="24"/>
        </w:rPr>
        <w:t>or LTE4</w:t>
      </w:r>
      <w:r w:rsidR="00C16EAF">
        <w:rPr>
          <w:sz w:val="24"/>
          <w:szCs w:val="24"/>
        </w:rPr>
        <w:t xml:space="preserve"> (50 nM)</w:t>
      </w:r>
      <w:r>
        <w:rPr>
          <w:sz w:val="24"/>
          <w:szCs w:val="24"/>
        </w:rPr>
        <w:t xml:space="preserve"> (U</w:t>
      </w:r>
      <w:r w:rsidR="00C16EAF">
        <w:rPr>
          <w:sz w:val="24"/>
          <w:szCs w:val="24"/>
        </w:rPr>
        <w:t xml:space="preserve"> =</w:t>
      </w:r>
      <w:r>
        <w:rPr>
          <w:sz w:val="24"/>
          <w:szCs w:val="24"/>
        </w:rPr>
        <w:t xml:space="preserve"> </w:t>
      </w:r>
      <w:r w:rsidR="00C16EAF">
        <w:rPr>
          <w:sz w:val="24"/>
          <w:szCs w:val="24"/>
        </w:rPr>
        <w:t>unstimulated</w:t>
      </w:r>
      <w:r>
        <w:rPr>
          <w:sz w:val="24"/>
          <w:szCs w:val="24"/>
        </w:rPr>
        <w:t>)</w:t>
      </w:r>
      <w:r w:rsidR="008F3E3D">
        <w:rPr>
          <w:sz w:val="24"/>
          <w:szCs w:val="24"/>
        </w:rPr>
        <w:t>,</w:t>
      </w:r>
      <w:r>
        <w:rPr>
          <w:sz w:val="24"/>
          <w:szCs w:val="24"/>
        </w:rPr>
        <w:t xml:space="preserve"> were added to the ILC2 culture for 72 hours.</w:t>
      </w:r>
      <w:r w:rsidR="00C16EAF">
        <w:rPr>
          <w:sz w:val="24"/>
          <w:szCs w:val="24"/>
        </w:rPr>
        <w:t xml:space="preserve"> </w:t>
      </w:r>
      <w:r>
        <w:rPr>
          <w:sz w:val="24"/>
          <w:szCs w:val="24"/>
        </w:rPr>
        <w:t xml:space="preserve"> CD1a expression was determined by flow </w:t>
      </w:r>
      <w:r w:rsidR="008F3E3D">
        <w:rPr>
          <w:sz w:val="24"/>
          <w:szCs w:val="24"/>
        </w:rPr>
        <w:t>cytometry</w:t>
      </w:r>
      <w:r w:rsidR="00C16EAF">
        <w:rPr>
          <w:sz w:val="24"/>
          <w:szCs w:val="24"/>
        </w:rPr>
        <w:t xml:space="preserve"> (</w:t>
      </w:r>
      <w:r>
        <w:rPr>
          <w:sz w:val="24"/>
          <w:szCs w:val="24"/>
        </w:rPr>
        <w:t>n = 4 donors, t-test, and data represent 4 independent experiments).</w:t>
      </w:r>
    </w:p>
    <w:p w14:paraId="7BE75666" w14:textId="74EA8528" w:rsidR="007F616D" w:rsidRDefault="007F616D">
      <w:pPr>
        <w:rPr>
          <w:sz w:val="24"/>
          <w:szCs w:val="24"/>
        </w:rPr>
      </w:pPr>
      <w:r>
        <w:rPr>
          <w:sz w:val="24"/>
          <w:szCs w:val="24"/>
        </w:rPr>
        <w:br w:type="page"/>
      </w:r>
    </w:p>
    <w:p w14:paraId="05A84C48" w14:textId="77777777" w:rsidR="00A14B31" w:rsidRPr="00E13E71" w:rsidRDefault="00A14B31" w:rsidP="00A14B31">
      <w:pPr>
        <w:pStyle w:val="Paragraph"/>
        <w:spacing w:line="360" w:lineRule="auto"/>
        <w:ind w:firstLine="0"/>
        <w:jc w:val="both"/>
        <w:rPr>
          <w:b/>
        </w:rPr>
      </w:pPr>
      <w:r w:rsidRPr="00E13E71">
        <w:rPr>
          <w:b/>
        </w:rPr>
        <w:lastRenderedPageBreak/>
        <w:t>Materials and Methods</w:t>
      </w:r>
    </w:p>
    <w:p w14:paraId="2483100B" w14:textId="77777777" w:rsidR="00A14B31" w:rsidRPr="00ED5A7B" w:rsidRDefault="00A14B31" w:rsidP="00A14B31">
      <w:pPr>
        <w:autoSpaceDE w:val="0"/>
        <w:autoSpaceDN w:val="0"/>
        <w:adjustRightInd w:val="0"/>
        <w:spacing w:line="360" w:lineRule="auto"/>
        <w:jc w:val="both"/>
        <w:rPr>
          <w:b/>
          <w:bCs/>
          <w:sz w:val="24"/>
          <w:szCs w:val="24"/>
        </w:rPr>
      </w:pPr>
      <w:r w:rsidRPr="00ED5A7B">
        <w:rPr>
          <w:b/>
          <w:bCs/>
          <w:sz w:val="24"/>
          <w:szCs w:val="24"/>
        </w:rPr>
        <w:t>Study design</w:t>
      </w:r>
    </w:p>
    <w:p w14:paraId="530B4993" w14:textId="303520C4" w:rsidR="00A14B31" w:rsidRPr="00ED5A7B" w:rsidRDefault="00A14B31" w:rsidP="00A14B31">
      <w:pPr>
        <w:autoSpaceDE w:val="0"/>
        <w:autoSpaceDN w:val="0"/>
        <w:adjustRightInd w:val="0"/>
        <w:spacing w:line="360" w:lineRule="auto"/>
        <w:jc w:val="both"/>
        <w:rPr>
          <w:rFonts w:eastAsia="MinionProUnic"/>
          <w:sz w:val="24"/>
          <w:szCs w:val="24"/>
        </w:rPr>
      </w:pPr>
      <w:r w:rsidRPr="00ED5A7B">
        <w:rPr>
          <w:sz w:val="24"/>
          <w:szCs w:val="24"/>
        </w:rPr>
        <w:t>The study was designed to test the hypothesis that ILC2 present antigen to CD1a-reactive lipid-specific T cells.  Atopic dermatitis was diagnosed according to the UK refinements of the Hanifin and Rajka diagnostic criteria, and adult participants were only excluded if on systemic immunosuppression or topical calcineurin inhibitors.</w:t>
      </w:r>
      <w:r>
        <w:rPr>
          <w:sz w:val="24"/>
          <w:szCs w:val="24"/>
        </w:rPr>
        <w:t xml:space="preserve"> </w:t>
      </w:r>
      <w:r w:rsidRPr="00ED5A7B">
        <w:rPr>
          <w:sz w:val="24"/>
          <w:szCs w:val="24"/>
        </w:rPr>
        <w:t xml:space="preserve"> </w:t>
      </w:r>
      <w:r>
        <w:rPr>
          <w:sz w:val="24"/>
          <w:szCs w:val="24"/>
        </w:rPr>
        <w:t xml:space="preserve">Clinic </w:t>
      </w:r>
      <w:r w:rsidRPr="002D4E8A">
        <w:rPr>
          <w:sz w:val="24"/>
          <w:szCs w:val="24"/>
        </w:rPr>
        <w:t>p</w:t>
      </w:r>
      <w:r w:rsidRPr="00ED5A7B">
        <w:rPr>
          <w:sz w:val="24"/>
          <w:szCs w:val="24"/>
        </w:rPr>
        <w:t>articipants were recruited sequentially; blinding and randomization were not required as there was no intervention.</w:t>
      </w:r>
      <w:r w:rsidRPr="002D4E8A">
        <w:rPr>
          <w:sz w:val="24"/>
          <w:szCs w:val="24"/>
        </w:rPr>
        <w:t xml:space="preserve">  </w:t>
      </w:r>
      <w:r>
        <w:rPr>
          <w:sz w:val="24"/>
          <w:szCs w:val="24"/>
        </w:rPr>
        <w:t xml:space="preserve">Thus variation between the functional responses of different donors is expected as cells were isolated from individuals of different, age, gender, ethnicity and medical history, although broadly defined as healthy controls.  </w:t>
      </w:r>
      <w:r w:rsidRPr="00ED5A7B">
        <w:rPr>
          <w:sz w:val="24"/>
          <w:szCs w:val="24"/>
        </w:rPr>
        <w:t>Sample size was determined based on previous studies of CD1a-reactive T cell response frequencies in humans</w:t>
      </w:r>
      <w:r>
        <w:rPr>
          <w:sz w:val="24"/>
          <w:szCs w:val="24"/>
        </w:rPr>
        <w:t xml:space="preserve"> </w:t>
      </w:r>
      <w:r w:rsidR="0093617F">
        <w:rPr>
          <w:sz w:val="24"/>
          <w:szCs w:val="24"/>
        </w:rPr>
        <w:fldChar w:fldCharType="begin">
          <w:fldData xml:space="preserve">PEVuZE5vdGU+PENpdGU+PEF1dGhvcj5TdWJyYW1hbmlhbTwvQXV0aG9yPjxZZWFyPjIwMTY8L1ll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</w:fldData>
        </w:fldChar>
      </w:r>
      <w:r w:rsidR="0093617F">
        <w:rPr>
          <w:sz w:val="24"/>
          <w:szCs w:val="24"/>
        </w:rPr>
        <w:instrText xml:space="preserve"> ADDIN EN.CITE </w:instrText>
      </w:r>
      <w:r w:rsidR="0093617F">
        <w:rPr>
          <w:sz w:val="24"/>
          <w:szCs w:val="24"/>
        </w:rPr>
        <w:fldChar w:fldCharType="begin">
          <w:fldData xml:space="preserve">PEVuZE5vdGU+PENpdGU+PEF1dGhvcj5TdWJyYW1hbmlhbTwvQXV0aG9yPjxZZWFyPjIwMTY8L1ll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</w:fldData>
        </w:fldChar>
      </w:r>
      <w:r w:rsidR="0093617F">
        <w:rPr>
          <w:sz w:val="24"/>
          <w:szCs w:val="24"/>
        </w:rPr>
        <w:instrText xml:space="preserve"> ADDIN EN.CITE.DATA </w:instrText>
      </w:r>
      <w:r w:rsidR="0093617F">
        <w:rPr>
          <w:sz w:val="24"/>
          <w:szCs w:val="24"/>
        </w:rPr>
      </w:r>
      <w:r w:rsidR="0093617F">
        <w:rPr>
          <w:sz w:val="24"/>
          <w:szCs w:val="24"/>
        </w:rPr>
        <w:fldChar w:fldCharType="end"/>
      </w:r>
      <w:r w:rsidR="0093617F">
        <w:rPr>
          <w:sz w:val="24"/>
          <w:szCs w:val="24"/>
        </w:rPr>
      </w:r>
      <w:r w:rsidR="0093617F">
        <w:rPr>
          <w:sz w:val="24"/>
          <w:szCs w:val="24"/>
        </w:rPr>
        <w:fldChar w:fldCharType="separate"/>
      </w:r>
      <w:r w:rsidR="0093617F">
        <w:rPr>
          <w:noProof/>
          <w:sz w:val="24"/>
          <w:szCs w:val="24"/>
        </w:rPr>
        <w:t>(</w:t>
      </w:r>
      <w:r w:rsidR="0093617F" w:rsidRPr="0093617F">
        <w:rPr>
          <w:i/>
          <w:noProof/>
          <w:sz w:val="24"/>
          <w:szCs w:val="24"/>
        </w:rPr>
        <w:t>1</w:t>
      </w:r>
      <w:r w:rsidR="0093617F">
        <w:rPr>
          <w:noProof/>
          <w:sz w:val="24"/>
          <w:szCs w:val="24"/>
        </w:rPr>
        <w:t>)</w:t>
      </w:r>
      <w:r w:rsidR="0093617F">
        <w:rPr>
          <w:sz w:val="24"/>
          <w:szCs w:val="24"/>
        </w:rPr>
        <w:fldChar w:fldCharType="end"/>
      </w:r>
      <w:r w:rsidRPr="00ED5A7B">
        <w:rPr>
          <w:sz w:val="24"/>
          <w:szCs w:val="24"/>
        </w:rPr>
        <w:t>. All experiments were replicated as presented in the figure legends.</w:t>
      </w:r>
    </w:p>
    <w:p w14:paraId="73126334" w14:textId="77777777" w:rsidR="00A14B31" w:rsidRPr="00ED5A7B" w:rsidRDefault="00A14B31" w:rsidP="00A14B31">
      <w:pPr>
        <w:spacing w:line="360" w:lineRule="auto"/>
        <w:jc w:val="both"/>
        <w:rPr>
          <w:sz w:val="24"/>
          <w:szCs w:val="24"/>
        </w:rPr>
      </w:pPr>
    </w:p>
    <w:p w14:paraId="2374BF79" w14:textId="77777777" w:rsidR="00A14B31" w:rsidRDefault="00A14B31" w:rsidP="00A14B31">
      <w:pPr>
        <w:spacing w:line="360" w:lineRule="auto"/>
        <w:jc w:val="both"/>
        <w:rPr>
          <w:b/>
          <w:sz w:val="24"/>
          <w:szCs w:val="24"/>
        </w:rPr>
      </w:pPr>
    </w:p>
    <w:p w14:paraId="50E248EB" w14:textId="77777777" w:rsidR="00A14B31" w:rsidRPr="00CD1569" w:rsidRDefault="00A14B31" w:rsidP="00A14B31">
      <w:pPr>
        <w:spacing w:line="360" w:lineRule="auto"/>
        <w:jc w:val="both"/>
        <w:rPr>
          <w:b/>
          <w:sz w:val="24"/>
          <w:szCs w:val="24"/>
        </w:rPr>
      </w:pPr>
      <w:r w:rsidRPr="00CD1569">
        <w:rPr>
          <w:b/>
          <w:sz w:val="24"/>
          <w:szCs w:val="24"/>
        </w:rPr>
        <w:t>Production of human recombinant PLA2G4A.</w:t>
      </w:r>
    </w:p>
    <w:p w14:paraId="14142F8C" w14:textId="77777777" w:rsidR="00A14B31" w:rsidRPr="00CD1569" w:rsidRDefault="00A14B31" w:rsidP="00A14B31">
      <w:pPr>
        <w:spacing w:line="360" w:lineRule="auto"/>
        <w:jc w:val="both"/>
        <w:rPr>
          <w:sz w:val="24"/>
          <w:szCs w:val="24"/>
        </w:rPr>
      </w:pPr>
      <w:r w:rsidRPr="00CD1569">
        <w:rPr>
          <w:sz w:val="24"/>
          <w:szCs w:val="24"/>
        </w:rPr>
        <w:t xml:space="preserve">PLA2G4A was produced in Sf9 insect cells using the baculovirus expression system. </w:t>
      </w:r>
      <w:r>
        <w:rPr>
          <w:sz w:val="24"/>
          <w:szCs w:val="24"/>
        </w:rPr>
        <w:t xml:space="preserve"> </w:t>
      </w:r>
      <w:r w:rsidRPr="00CD1569">
        <w:rPr>
          <w:sz w:val="24"/>
          <w:szCs w:val="24"/>
        </w:rPr>
        <w:t>Briefly, the human PLA2G4A (Genbank no.</w:t>
      </w:r>
      <w:r w:rsidRPr="00CD1569">
        <w:t xml:space="preserve"> </w:t>
      </w:r>
      <w:r>
        <w:rPr>
          <w:sz w:val="24"/>
          <w:szCs w:val="24"/>
        </w:rPr>
        <w:t>BC114340</w:t>
      </w:r>
      <w:r w:rsidRPr="00CD1569">
        <w:rPr>
          <w:sz w:val="24"/>
          <w:szCs w:val="24"/>
        </w:rPr>
        <w:t>) was inserted into the vector, pOPINE which adds a C-terminal his</w:t>
      </w:r>
      <w:r w:rsidRPr="00CD1569">
        <w:rPr>
          <w:sz w:val="24"/>
          <w:szCs w:val="24"/>
          <w:vertAlign w:val="subscript"/>
        </w:rPr>
        <w:t xml:space="preserve">6 </w:t>
      </w:r>
      <w:r w:rsidRPr="00CD1569">
        <w:rPr>
          <w:sz w:val="24"/>
          <w:szCs w:val="24"/>
        </w:rPr>
        <w:t xml:space="preserve">tag (PMID: 17317681), and a recombinant baculovirus constructed as previously described (PMID: 25502201). Sf9 cells (1.0 L) were infected with the PLA2G4A baculovirus and harvested after </w:t>
      </w:r>
      <w:r>
        <w:rPr>
          <w:sz w:val="24"/>
          <w:szCs w:val="24"/>
        </w:rPr>
        <w:t>72</w:t>
      </w:r>
      <w:r w:rsidRPr="00CD1569">
        <w:rPr>
          <w:sz w:val="24"/>
          <w:szCs w:val="24"/>
        </w:rPr>
        <w:t xml:space="preserve"> h</w:t>
      </w:r>
      <w:r>
        <w:rPr>
          <w:sz w:val="24"/>
          <w:szCs w:val="24"/>
        </w:rPr>
        <w:t>ours</w:t>
      </w:r>
      <w:r w:rsidRPr="00CD1569">
        <w:rPr>
          <w:sz w:val="24"/>
          <w:szCs w:val="24"/>
        </w:rPr>
        <w:t xml:space="preserve">. </w:t>
      </w:r>
      <w:r>
        <w:rPr>
          <w:sz w:val="24"/>
          <w:szCs w:val="24"/>
        </w:rPr>
        <w:t xml:space="preserve"> </w:t>
      </w:r>
      <w:r w:rsidRPr="00CD1569">
        <w:rPr>
          <w:sz w:val="24"/>
          <w:szCs w:val="24"/>
        </w:rPr>
        <w:t>Recombinant his-tagged PLA2G4</w:t>
      </w:r>
      <w:r>
        <w:rPr>
          <w:sz w:val="24"/>
          <w:szCs w:val="24"/>
        </w:rPr>
        <w:t>A</w:t>
      </w:r>
      <w:r w:rsidRPr="00CD1569">
        <w:rPr>
          <w:sz w:val="24"/>
          <w:szCs w:val="24"/>
        </w:rPr>
        <w:t xml:space="preserve"> was purified from the cell lysate by a combination of immobilized metal affinity chromatography and gel filtration. </w:t>
      </w:r>
    </w:p>
    <w:p w14:paraId="6570CEF8" w14:textId="77777777" w:rsidR="00A14B31" w:rsidRPr="00603CA8" w:rsidRDefault="00A14B31" w:rsidP="00A14B31">
      <w:pPr>
        <w:spacing w:line="360" w:lineRule="auto"/>
        <w:jc w:val="both"/>
        <w:rPr>
          <w:rFonts w:eastAsia="Times New Roman"/>
          <w:sz w:val="24"/>
          <w:szCs w:val="24"/>
          <w:lang w:eastAsia="en-GB"/>
        </w:rPr>
      </w:pPr>
    </w:p>
    <w:p w14:paraId="33C0FA61" w14:textId="77777777" w:rsidR="00A14B31" w:rsidRPr="00603CA8" w:rsidRDefault="00A14B31" w:rsidP="00A14B31">
      <w:pPr>
        <w:spacing w:line="360" w:lineRule="auto"/>
        <w:jc w:val="both"/>
        <w:rPr>
          <w:rFonts w:eastAsia="Times New Roman"/>
          <w:b/>
          <w:sz w:val="24"/>
          <w:szCs w:val="24"/>
          <w:lang w:eastAsia="en-GB"/>
        </w:rPr>
      </w:pPr>
      <w:r w:rsidRPr="00603CA8">
        <w:rPr>
          <w:rFonts w:eastAsia="Times New Roman"/>
          <w:b/>
          <w:sz w:val="24"/>
          <w:szCs w:val="24"/>
          <w:lang w:eastAsia="en-GB"/>
        </w:rPr>
        <w:t>Antibodies and flow cytometry</w:t>
      </w:r>
    </w:p>
    <w:p w14:paraId="0D521F80" w14:textId="77777777" w:rsidR="00A14B31" w:rsidRPr="00603CA8" w:rsidRDefault="00A14B31" w:rsidP="00A14B31">
      <w:pPr>
        <w:spacing w:line="360" w:lineRule="auto"/>
        <w:jc w:val="both"/>
        <w:rPr>
          <w:rFonts w:eastAsia="Times New Roman"/>
          <w:sz w:val="24"/>
          <w:szCs w:val="24"/>
          <w:lang w:eastAsia="en-GB"/>
        </w:rPr>
      </w:pPr>
      <w:r w:rsidRPr="00603CA8">
        <w:rPr>
          <w:rFonts w:eastAsia="Times New Roman"/>
          <w:sz w:val="24"/>
          <w:szCs w:val="24"/>
          <w:lang w:eastAsia="en-GB"/>
        </w:rPr>
        <w:t xml:space="preserve">For FACS surface staining the cells were labelled with the following anti-human antibodies purchased from BioLegend unless stated otherwise: CD3 (OKT3, Biolegend), CD19 (SJ25C1, BD Biosciences), CD123 (FAB301C, R&amp;D Systems), CD11b (DCIS1/18), CD11c (BU15, Abcam), CD8 </w:t>
      </w:r>
      <w:r w:rsidRPr="00603CA8">
        <w:rPr>
          <w:rFonts w:eastAsia="Times New Roman"/>
          <w:sz w:val="24"/>
          <w:szCs w:val="24"/>
          <w:lang w:eastAsia="en-GB"/>
        </w:rPr>
        <w:lastRenderedPageBreak/>
        <w:t>(RPA-T8), Fc</w:t>
      </w:r>
      <w:r w:rsidRPr="00B9128D">
        <w:rPr>
          <w:rFonts w:eastAsia="Times New Roman"/>
          <w:sz w:val="24"/>
          <w:szCs w:val="24"/>
          <w:lang w:eastAsia="en-GB"/>
        </w:rPr>
        <w:t>εRI</w:t>
      </w:r>
      <w:r w:rsidRPr="00603CA8">
        <w:rPr>
          <w:rFonts w:eastAsia="Times New Roman"/>
          <w:sz w:val="24"/>
          <w:szCs w:val="24"/>
          <w:lang w:eastAsia="en-GB"/>
        </w:rPr>
        <w:t xml:space="preserve"> (CRA-1), CD14 (M</w:t>
      </w:r>
      <w:r w:rsidRPr="00B9128D">
        <w:rPr>
          <w:rFonts w:eastAsia="Times New Roman"/>
          <w:sz w:val="24"/>
          <w:szCs w:val="24"/>
          <w:lang w:eastAsia="en-GB"/>
        </w:rPr>
        <w:t xml:space="preserve">wP9, BD Biosciences), CD4 (OKT4), CD45 (2D1), CD56 (HCD56), CRTH2 (BM16, </w:t>
      </w:r>
      <w:r w:rsidRPr="00603CA8">
        <w:rPr>
          <w:rFonts w:eastAsia="Times New Roman"/>
          <w:sz w:val="24"/>
          <w:szCs w:val="24"/>
          <w:lang w:eastAsia="en-GB"/>
        </w:rPr>
        <w:t>Miltenyi Biotec), IL-7R</w:t>
      </w:r>
      <w:r w:rsidRPr="00B9128D">
        <w:rPr>
          <w:rFonts w:eastAsia="Times New Roman"/>
          <w:sz w:val="24"/>
          <w:szCs w:val="24"/>
          <w:lang w:eastAsia="en-GB"/>
        </w:rPr>
        <w:t xml:space="preserve">a </w:t>
      </w:r>
      <w:r w:rsidRPr="00603CA8">
        <w:rPr>
          <w:rFonts w:eastAsia="Times New Roman"/>
          <w:sz w:val="24"/>
          <w:szCs w:val="24"/>
          <w:lang w:eastAsia="en-GB"/>
        </w:rPr>
        <w:t xml:space="preserve">(A019D5), Live/Dead violet or Aqua (Invitrogen), CD1a (HI149). </w:t>
      </w:r>
      <w:r>
        <w:rPr>
          <w:rFonts w:eastAsia="Times New Roman"/>
          <w:sz w:val="24"/>
          <w:szCs w:val="24"/>
          <w:lang w:eastAsia="en-GB"/>
        </w:rPr>
        <w:t xml:space="preserve"> </w:t>
      </w:r>
      <w:r w:rsidRPr="00603CA8">
        <w:rPr>
          <w:rFonts w:eastAsia="Times New Roman"/>
          <w:sz w:val="24"/>
          <w:szCs w:val="24"/>
          <w:lang w:eastAsia="en-GB"/>
        </w:rPr>
        <w:t>Intracellular cytokine sta</w:t>
      </w:r>
      <w:r>
        <w:rPr>
          <w:rFonts w:eastAsia="Times New Roman"/>
          <w:sz w:val="24"/>
          <w:szCs w:val="24"/>
          <w:lang w:eastAsia="en-GB"/>
        </w:rPr>
        <w:t>ining was completed using the eB</w:t>
      </w:r>
      <w:r w:rsidRPr="00603CA8">
        <w:rPr>
          <w:rFonts w:eastAsia="Times New Roman"/>
          <w:sz w:val="24"/>
          <w:szCs w:val="24"/>
          <w:lang w:eastAsia="en-GB"/>
        </w:rPr>
        <w:t xml:space="preserve">ioscience FoxP3 Fix/Perm kit as per the manufacturer’s instructions with Brefeldin-A (eBioscience) and anti-IL-13 (85BRD, eBioscience) antibody. </w:t>
      </w:r>
    </w:p>
    <w:p w14:paraId="228F372F" w14:textId="77777777" w:rsidR="00A14B31" w:rsidRPr="00603CA8" w:rsidRDefault="00A14B31" w:rsidP="00A14B31">
      <w:pPr>
        <w:spacing w:line="360" w:lineRule="auto"/>
        <w:jc w:val="both"/>
        <w:rPr>
          <w:rFonts w:eastAsia="Times New Roman"/>
          <w:sz w:val="24"/>
          <w:szCs w:val="24"/>
          <w:lang w:eastAsia="en-GB"/>
        </w:rPr>
      </w:pPr>
    </w:p>
    <w:p w14:paraId="6B44DD10" w14:textId="77777777" w:rsidR="00A14B31" w:rsidRPr="00603CA8" w:rsidRDefault="00A14B31" w:rsidP="00A14B31">
      <w:pPr>
        <w:spacing w:line="360" w:lineRule="auto"/>
        <w:jc w:val="both"/>
        <w:rPr>
          <w:rFonts w:eastAsia="Times New Roman"/>
          <w:b/>
          <w:sz w:val="24"/>
          <w:szCs w:val="24"/>
          <w:lang w:eastAsia="en-GB"/>
        </w:rPr>
      </w:pPr>
      <w:r w:rsidRPr="00603CA8">
        <w:rPr>
          <w:rFonts w:eastAsia="Times New Roman"/>
          <w:b/>
          <w:sz w:val="24"/>
          <w:szCs w:val="24"/>
          <w:lang w:eastAsia="en-GB"/>
        </w:rPr>
        <w:t>Suction blister technique</w:t>
      </w:r>
    </w:p>
    <w:p w14:paraId="4BE1AA98" w14:textId="77777777" w:rsidR="00A14B31" w:rsidRPr="00603CA8" w:rsidRDefault="00A14B31" w:rsidP="00A14B31">
      <w:pPr>
        <w:spacing w:line="360" w:lineRule="auto"/>
        <w:jc w:val="both"/>
        <w:rPr>
          <w:rFonts w:eastAsia="Times New Roman"/>
          <w:sz w:val="24"/>
          <w:szCs w:val="24"/>
          <w:lang w:eastAsia="en-GB"/>
        </w:rPr>
      </w:pPr>
      <w:r w:rsidRPr="00603CA8">
        <w:rPr>
          <w:rFonts w:eastAsia="Times New Roman"/>
          <w:sz w:val="24"/>
          <w:szCs w:val="24"/>
          <w:lang w:eastAsia="en-GB"/>
        </w:rPr>
        <w:t xml:space="preserve">Suction blister cups were applied to the skin of the forearm of adult patients </w:t>
      </w:r>
      <w:r>
        <w:rPr>
          <w:rFonts w:eastAsia="Times New Roman"/>
          <w:sz w:val="24"/>
          <w:szCs w:val="24"/>
          <w:lang w:eastAsia="en-GB"/>
        </w:rPr>
        <w:t xml:space="preserve">with atopic dermatitis (AD) </w:t>
      </w:r>
      <w:r w:rsidRPr="00603CA8">
        <w:rPr>
          <w:rFonts w:eastAsia="Times New Roman"/>
          <w:sz w:val="24"/>
          <w:szCs w:val="24"/>
          <w:lang w:eastAsia="en-GB"/>
        </w:rPr>
        <w:t>and healthy individuals, at a vacuum pressure of 250 mmHg.  Blisters were generated over the site of a house dust mite intradermal injection or over unchallenged skin.  Blisters were formed within 30 – 90 min of suction application.  Blister fluid was aspirated 24 hours later using a 30 - gauge needle.  Fluids were then centrifuged at 1500 rpm for 5 min at 4 ̊C and the concentration of TSLP was measured by multiplex array (multiplex bead array) and in separate studies the cells were stained with cell surface antibodies for flow cytometric isolation of ILC2 and T cells utilized for RNA Sequencing analysis.</w:t>
      </w:r>
    </w:p>
    <w:p w14:paraId="2B5A65C2" w14:textId="77777777" w:rsidR="00A14B31" w:rsidRPr="00603CA8" w:rsidRDefault="00A14B31" w:rsidP="00A14B31">
      <w:pPr>
        <w:spacing w:line="360" w:lineRule="auto"/>
        <w:jc w:val="both"/>
        <w:rPr>
          <w:sz w:val="24"/>
          <w:szCs w:val="24"/>
        </w:rPr>
      </w:pPr>
    </w:p>
    <w:p w14:paraId="45FE8377" w14:textId="77777777" w:rsidR="00A14B31" w:rsidRPr="00603CA8" w:rsidRDefault="00A14B31" w:rsidP="00A14B31">
      <w:pPr>
        <w:spacing w:line="360" w:lineRule="auto"/>
        <w:jc w:val="both"/>
        <w:rPr>
          <w:b/>
          <w:sz w:val="24"/>
          <w:szCs w:val="24"/>
        </w:rPr>
      </w:pPr>
      <w:r w:rsidRPr="00603CA8">
        <w:rPr>
          <w:b/>
          <w:sz w:val="24"/>
          <w:szCs w:val="24"/>
        </w:rPr>
        <w:t>RNA Sequencing</w:t>
      </w:r>
    </w:p>
    <w:p w14:paraId="50064AB7" w14:textId="66532711" w:rsidR="00A14B31" w:rsidRPr="00186E42" w:rsidRDefault="00A14B31" w:rsidP="00A14B31">
      <w:pPr>
        <w:spacing w:line="360" w:lineRule="auto"/>
        <w:jc w:val="both"/>
        <w:rPr>
          <w:rFonts w:cs="Arial"/>
          <w:color w:val="000000" w:themeColor="text1"/>
        </w:rPr>
      </w:pPr>
      <w:r w:rsidRPr="00603CA8">
        <w:rPr>
          <w:sz w:val="24"/>
          <w:szCs w:val="24"/>
        </w:rPr>
        <w:t>Suction blister fluid and blood derived PBMCs were centrifuged at 1500 rpm for 5 minutes at 4°C to pellet the blister-infiltrating cells, which were re-suspended in PBS.  Blister and blood cell populations were isolated by flow cytometry</w:t>
      </w:r>
      <w:r>
        <w:rPr>
          <w:sz w:val="24"/>
          <w:szCs w:val="24"/>
        </w:rPr>
        <w:t xml:space="preserve"> and collected directly into TRI</w:t>
      </w:r>
      <w:r w:rsidRPr="00603CA8">
        <w:rPr>
          <w:sz w:val="24"/>
          <w:szCs w:val="24"/>
        </w:rPr>
        <w:t>zol LS; T cells (CD3</w:t>
      </w:r>
      <w:r w:rsidRPr="00603CA8">
        <w:rPr>
          <w:sz w:val="24"/>
          <w:szCs w:val="24"/>
          <w:vertAlign w:val="superscript"/>
        </w:rPr>
        <w:t>+</w:t>
      </w:r>
      <w:r w:rsidRPr="00603CA8">
        <w:rPr>
          <w:sz w:val="24"/>
          <w:szCs w:val="24"/>
        </w:rPr>
        <w:t xml:space="preserve"> CRTH2</w:t>
      </w:r>
      <w:r w:rsidRPr="00603CA8">
        <w:rPr>
          <w:sz w:val="24"/>
          <w:szCs w:val="24"/>
          <w:vertAlign w:val="superscript"/>
        </w:rPr>
        <w:t>+</w:t>
      </w:r>
      <w:r w:rsidRPr="00603CA8">
        <w:rPr>
          <w:sz w:val="24"/>
          <w:szCs w:val="24"/>
        </w:rPr>
        <w:t>) and ILC2 (Lin</w:t>
      </w:r>
      <w:r w:rsidRPr="00603CA8">
        <w:rPr>
          <w:sz w:val="24"/>
          <w:szCs w:val="24"/>
          <w:vertAlign w:val="superscript"/>
        </w:rPr>
        <w:t>-</w:t>
      </w:r>
      <w:r w:rsidRPr="00603CA8">
        <w:rPr>
          <w:sz w:val="24"/>
          <w:szCs w:val="24"/>
        </w:rPr>
        <w:t xml:space="preserve"> CD45</w:t>
      </w:r>
      <w:r w:rsidRPr="00603CA8">
        <w:rPr>
          <w:sz w:val="24"/>
          <w:szCs w:val="24"/>
          <w:vertAlign w:val="superscript"/>
        </w:rPr>
        <w:t>+</w:t>
      </w:r>
      <w:r w:rsidRPr="00603CA8">
        <w:rPr>
          <w:sz w:val="24"/>
          <w:szCs w:val="24"/>
        </w:rPr>
        <w:t xml:space="preserve"> CD3</w:t>
      </w:r>
      <w:r w:rsidRPr="00603CA8">
        <w:rPr>
          <w:sz w:val="24"/>
          <w:szCs w:val="24"/>
          <w:vertAlign w:val="superscript"/>
        </w:rPr>
        <w:t xml:space="preserve">- </w:t>
      </w:r>
      <w:r w:rsidRPr="00603CA8">
        <w:rPr>
          <w:sz w:val="24"/>
          <w:szCs w:val="24"/>
        </w:rPr>
        <w:t>IL-7Rα</w:t>
      </w:r>
      <w:r w:rsidRPr="00603CA8">
        <w:rPr>
          <w:sz w:val="24"/>
          <w:szCs w:val="24"/>
          <w:vertAlign w:val="superscript"/>
        </w:rPr>
        <w:t xml:space="preserve">+ </w:t>
      </w:r>
      <w:r w:rsidRPr="00603CA8">
        <w:rPr>
          <w:sz w:val="24"/>
          <w:szCs w:val="24"/>
        </w:rPr>
        <w:t>CRTH2</w:t>
      </w:r>
      <w:r w:rsidRPr="00603CA8">
        <w:rPr>
          <w:sz w:val="24"/>
          <w:szCs w:val="24"/>
          <w:vertAlign w:val="superscript"/>
        </w:rPr>
        <w:t>+</w:t>
      </w:r>
      <w:r w:rsidRPr="00603CA8">
        <w:rPr>
          <w:sz w:val="24"/>
          <w:szCs w:val="24"/>
        </w:rPr>
        <w:t>).  The manufacturer’s protocol was followed for TRIzol LS mRNA extraction as far as “Phase Separation”.  The RNA containing phase was then processed using Qiagen RNAeasy mini kit and contaminating DNA was r</w:t>
      </w:r>
      <w:r>
        <w:rPr>
          <w:sz w:val="24"/>
          <w:szCs w:val="24"/>
        </w:rPr>
        <w:t>emoved using Ambion Turbo DNase</w:t>
      </w:r>
      <w:r w:rsidRPr="00603CA8">
        <w:rPr>
          <w:sz w:val="24"/>
          <w:szCs w:val="24"/>
        </w:rPr>
        <w:t xml:space="preserve">.  The total purified RNA was then processed using a NuGEN Ovation RNA-seq system V2 (Ultralow DR multiplex kit).  Samples were sequenced on an Illumina HiSeq 2000.  </w:t>
      </w:r>
      <w:r w:rsidRPr="00FA71B3">
        <w:rPr>
          <w:color w:val="000000" w:themeColor="text1"/>
          <w:sz w:val="24"/>
          <w:szCs w:val="24"/>
        </w:rPr>
        <w:t xml:space="preserve">Following QC analysis with the </w:t>
      </w:r>
      <w:r>
        <w:rPr>
          <w:color w:val="000000" w:themeColor="text1"/>
          <w:sz w:val="24"/>
          <w:szCs w:val="24"/>
        </w:rPr>
        <w:t xml:space="preserve">fastQC package </w:t>
      </w:r>
      <w:r w:rsidRPr="00FA71B3">
        <w:rPr>
          <w:color w:val="000000" w:themeColor="text1"/>
          <w:sz w:val="24"/>
          <w:szCs w:val="24"/>
        </w:rPr>
        <w:t>(http://www.bioinformatics.babraham.ac.uk/projects/fastqc), r</w:t>
      </w:r>
      <w:r w:rsidRPr="00FA71B3">
        <w:rPr>
          <w:rFonts w:cs="Arial"/>
          <w:color w:val="000000" w:themeColor="text1"/>
          <w:sz w:val="24"/>
          <w:szCs w:val="24"/>
        </w:rPr>
        <w:t>eads were aligned</w:t>
      </w:r>
      <w:r>
        <w:rPr>
          <w:rFonts w:cs="Arial"/>
          <w:color w:val="000000" w:themeColor="text1"/>
          <w:sz w:val="24"/>
          <w:szCs w:val="24"/>
        </w:rPr>
        <w:t xml:space="preserve"> using STAR </w:t>
      </w:r>
      <w:r w:rsidR="0093617F">
        <w:rPr>
          <w:rFonts w:cs="Arial"/>
          <w:color w:val="000000" w:themeColor="text1"/>
          <w:sz w:val="24"/>
          <w:szCs w:val="24"/>
        </w:rPr>
        <w:fldChar w:fldCharType="begin"/>
      </w:r>
      <w:r w:rsidR="0093617F">
        <w:rPr>
          <w:rFonts w:cs="Arial"/>
          <w:color w:val="000000" w:themeColor="text1"/>
          <w:sz w:val="24"/>
          <w:szCs w:val="24"/>
        </w:rPr>
        <w:instrText xml:space="preserve"> ADDIN EN.CITE &lt;EndNote&gt;&lt;Cite&gt;&lt;Author&gt;Dobin&lt;/Author&gt;&lt;Year&gt;2013&lt;/Year&gt;&lt;RecNum&gt;82&lt;/RecNum&gt;&lt;DisplayText&gt;(&lt;style face="italic"&gt;2&lt;/style&gt;)&lt;/DisplayText&gt;&lt;record&gt;&lt;rec-number&gt;82&lt;/rec-number&gt;&lt;foreign-keys&gt;&lt;key app="EN" db-id="ezdezdt9kz05etedrx3pvvtise5erxt9x00r" timestamp="1493891814"&gt;82&lt;/key&gt;&lt;/foreign-keys&gt;&lt;ref-type name="Journal Article"&gt;17&lt;/ref-type&gt;&lt;contributors&gt;&lt;authors&gt;&lt;author&gt;Dobin, A.&lt;/author&gt;&lt;author&gt;Davis, C. A.&lt;/author&gt;&lt;author&gt;Schlesinger, F.&lt;/author&gt;&lt;author&gt;Drenkow, J.&lt;/author&gt;&lt;author&gt;Zaleski, C.&lt;/author&gt;&lt;author&gt;Jha, S.&lt;/author&gt;&lt;author&gt;Batut, P.&lt;/author&gt;&lt;author&gt;Chaisson, M.&lt;/author&gt;&lt;author&gt;Gingeras, T. R.&lt;/author&gt;&lt;/authors&gt;&lt;/contributors&gt;&lt;auth-address&gt;Cold Spring Harbor Laboratory, Cold Spring Harbor, NY, USA. dobin@cshl.edu&lt;/auth-address&gt;&lt;titles&gt;&lt;title&gt;STAR: ultrafast universal RNA-seq aligner&lt;/title&gt;&lt;secondary-title&gt;Bioinformatics&lt;/secondary-title&gt;&lt;/titles&gt;&lt;periodical&gt;&lt;full-title&gt;Bioinformatics&lt;/full-title&gt;&lt;/periodical&gt;&lt;pages&gt;15-21&lt;/pages&gt;&lt;volume&gt;29&lt;/volume&gt;&lt;number&gt;1&lt;/number&gt;&lt;keywords&gt;&lt;keyword&gt;Algorithms&lt;/keyword&gt;&lt;keyword&gt;Cluster Analysis&lt;/keyword&gt;&lt;keyword&gt;Gene Expression Profiling&lt;/keyword&gt;&lt;keyword&gt;Genome, Human&lt;/keyword&gt;&lt;keyword&gt;Humans&lt;/keyword&gt;&lt;keyword&gt;RNA Splicing&lt;/keyword&gt;&lt;keyword&gt;Sequence Alignment/*methods&lt;/keyword&gt;&lt;keyword&gt;Sequence Analysis, RNA/methods&lt;/keyword&gt;&lt;keyword&gt;*Software&lt;/keyword&gt;&lt;/keywords&gt;&lt;dates&gt;&lt;year&gt;2013&lt;/year&gt;&lt;pub-dates&gt;&lt;date&gt;Jan 01&lt;/date&gt;&lt;/pub-dates&gt;&lt;/dates&gt;&lt;isbn&gt;1367-4811 (Electronic)&amp;#xD;1367-4803 (Linking)&lt;/isbn&gt;&lt;accession-num&gt;23104886&lt;/accession-num&gt;&lt;urls&gt;&lt;related-urls&gt;&lt;url&gt;http://www.ncbi.nlm.nih.gov/pubmed/23104886&lt;/url&gt;&lt;/related-urls&gt;&lt;/urls&gt;&lt;custom2&gt;PMC3530905&lt;/custom2&gt;&lt;electronic-resource-num&gt;10.1093/bioinformatics/bts635&lt;/electronic-resource-num&gt;&lt;/record&gt;&lt;/Cite&gt;&lt;/EndNote&gt;</w:instrText>
      </w:r>
      <w:r w:rsidR="0093617F">
        <w:rPr>
          <w:rFonts w:cs="Arial"/>
          <w:color w:val="000000" w:themeColor="text1"/>
          <w:sz w:val="24"/>
          <w:szCs w:val="24"/>
        </w:rPr>
        <w:fldChar w:fldCharType="separate"/>
      </w:r>
      <w:r w:rsidR="0093617F">
        <w:rPr>
          <w:rFonts w:cs="Arial"/>
          <w:noProof/>
          <w:color w:val="000000" w:themeColor="text1"/>
          <w:sz w:val="24"/>
          <w:szCs w:val="24"/>
        </w:rPr>
        <w:t>(</w:t>
      </w:r>
      <w:r w:rsidR="0093617F" w:rsidRPr="0093617F">
        <w:rPr>
          <w:rFonts w:cs="Arial"/>
          <w:i/>
          <w:noProof/>
          <w:color w:val="000000" w:themeColor="text1"/>
          <w:sz w:val="24"/>
          <w:szCs w:val="24"/>
        </w:rPr>
        <w:t>2</w:t>
      </w:r>
      <w:r w:rsidR="0093617F">
        <w:rPr>
          <w:rFonts w:cs="Arial"/>
          <w:noProof/>
          <w:color w:val="000000" w:themeColor="text1"/>
          <w:sz w:val="24"/>
          <w:szCs w:val="24"/>
        </w:rPr>
        <w:t>)</w:t>
      </w:r>
      <w:r w:rsidR="0093617F">
        <w:rPr>
          <w:rFonts w:cs="Arial"/>
          <w:color w:val="000000" w:themeColor="text1"/>
          <w:sz w:val="24"/>
          <w:szCs w:val="24"/>
        </w:rPr>
        <w:fldChar w:fldCharType="end"/>
      </w:r>
      <w:r w:rsidRPr="00FA71B3">
        <w:rPr>
          <w:rFonts w:cs="Arial"/>
          <w:color w:val="000000" w:themeColor="text1"/>
          <w:sz w:val="24"/>
          <w:szCs w:val="24"/>
        </w:rPr>
        <w:t xml:space="preserve"> </w:t>
      </w:r>
      <w:r w:rsidRPr="00FA71B3">
        <w:rPr>
          <w:rFonts w:cs="Arial"/>
          <w:color w:val="000000" w:themeColor="text1"/>
          <w:sz w:val="24"/>
          <w:szCs w:val="24"/>
        </w:rPr>
        <w:lastRenderedPageBreak/>
        <w:t xml:space="preserve">against the human genome assembly (NCBI build37 (hg19) UCSC transcripts). </w:t>
      </w:r>
      <w:r>
        <w:rPr>
          <w:rFonts w:cs="Arial"/>
          <w:color w:val="000000" w:themeColor="text1"/>
          <w:sz w:val="24"/>
          <w:szCs w:val="24"/>
        </w:rPr>
        <w:t xml:space="preserve"> </w:t>
      </w:r>
      <w:r w:rsidRPr="00FA71B3">
        <w:rPr>
          <w:rFonts w:cs="Arial"/>
          <w:color w:val="000000" w:themeColor="text1"/>
          <w:sz w:val="24"/>
          <w:szCs w:val="24"/>
        </w:rPr>
        <w:t>Non-uniquely mapped reads and reads that were identified as P</w:t>
      </w:r>
      <w:r>
        <w:rPr>
          <w:rFonts w:cs="Arial"/>
          <w:color w:val="000000" w:themeColor="text1"/>
          <w:sz w:val="24"/>
          <w:szCs w:val="24"/>
        </w:rPr>
        <w:t xml:space="preserve">CR duplicates using Samtools </w:t>
      </w:r>
      <w:r w:rsidR="0093617F">
        <w:rPr>
          <w:rFonts w:cs="Arial"/>
          <w:color w:val="000000" w:themeColor="text1"/>
          <w:sz w:val="24"/>
          <w:szCs w:val="24"/>
        </w:rPr>
        <w:fldChar w:fldCharType="begin"/>
      </w:r>
      <w:r w:rsidR="0093617F">
        <w:rPr>
          <w:rFonts w:cs="Arial"/>
          <w:color w:val="000000" w:themeColor="text1"/>
          <w:sz w:val="24"/>
          <w:szCs w:val="24"/>
        </w:rPr>
        <w:instrText xml:space="preserve"> ADDIN EN.CITE &lt;EndNote&gt;&lt;Cite&gt;&lt;Author&gt;Li&lt;/Author&gt;&lt;Year&gt;2009&lt;/Year&gt;&lt;RecNum&gt;83&lt;/RecNum&gt;&lt;DisplayText&gt;(&lt;style face="italic"&gt;3&lt;/style&gt;)&lt;/DisplayText&gt;&lt;record&gt;&lt;rec-number&gt;83&lt;/rec-number&gt;&lt;foreign-keys&gt;&lt;key app="EN" db-id="ezdezdt9kz05etedrx3pvvtise5erxt9x00r" timestamp="1493891841"&gt;83&lt;/key&gt;&lt;/foreign-keys&gt;&lt;ref-type name="Journal Article"&gt;17&lt;/ref-type&gt;&lt;contributors&gt;&lt;authors&gt;&lt;author&gt;Li,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R.&lt;/author&gt;&lt;author&gt;Genome Project Data Processing, Subgroup&lt;/author&gt;&lt;/authors&gt;&lt;/contributors&gt;&lt;auth-address&gt;Wellcome Trust Sanger Institute, Wellcome Trust Genome Campus, Cambridge, CB10 1SA, UK, Broad Institute of MIT and Harvard, Cambridge, MA 02141, USA.&lt;/auth-address&gt;&lt;titles&gt;&lt;title&gt;The Sequence Alignment/Map format and SAMtools&lt;/title&gt;&lt;secondary-title&gt;Bioinformatics&lt;/secondary-title&gt;&lt;/titles&gt;&lt;periodical&gt;&lt;full-title&gt;Bioinformatics&lt;/full-title&gt;&lt;/periodical&gt;&lt;pages&gt;2078-9&lt;/pages&gt;&lt;volume&gt;25&lt;/volume&gt;&lt;number&gt;16&lt;/number&gt;&lt;keywords&gt;&lt;keyword&gt;Algorithms&lt;/keyword&gt;&lt;keyword&gt;Base Sequence&lt;/keyword&gt;&lt;keyword&gt;Computational Biology/*methods&lt;/keyword&gt;&lt;keyword&gt;Genome&lt;/keyword&gt;&lt;keyword&gt;Genomics&lt;/keyword&gt;&lt;keyword&gt;Molecular Sequence Data&lt;/keyword&gt;&lt;keyword&gt;Sequence Alignment/*methods&lt;/keyword&gt;&lt;keyword&gt;Sequence Analysis, DNA/*methods&lt;/keyword&gt;&lt;keyword&gt;*Software&lt;/keyword&gt;&lt;/keywords&gt;&lt;dates&gt;&lt;year&gt;2009&lt;/year&gt;&lt;pub-dates&gt;&lt;date&gt;Aug 15&lt;/date&gt;&lt;/pub-dates&gt;&lt;/dates&gt;&lt;isbn&gt;1367-4811 (Electronic)&amp;#xD;1367-4803 (Linking)&lt;/isbn&gt;&lt;accession-num&gt;19505943&lt;/accession-num&gt;&lt;urls&gt;&lt;related-urls&gt;&lt;url&gt;http://www.ncbi.nlm.nih.gov/pubmed/19505943&lt;/url&gt;&lt;/related-urls&gt;&lt;/urls&gt;&lt;custom2&gt;PMC2723002&lt;/custom2&gt;&lt;electronic-resource-num&gt;10.1093/bioinformatics/btp352&lt;/electronic-resource-num&gt;&lt;/record&gt;&lt;/Cite&gt;&lt;/EndNote&gt;</w:instrText>
      </w:r>
      <w:r w:rsidR="0093617F">
        <w:rPr>
          <w:rFonts w:cs="Arial"/>
          <w:color w:val="000000" w:themeColor="text1"/>
          <w:sz w:val="24"/>
          <w:szCs w:val="24"/>
        </w:rPr>
        <w:fldChar w:fldCharType="separate"/>
      </w:r>
      <w:r w:rsidR="0093617F">
        <w:rPr>
          <w:rFonts w:cs="Arial"/>
          <w:noProof/>
          <w:color w:val="000000" w:themeColor="text1"/>
          <w:sz w:val="24"/>
          <w:szCs w:val="24"/>
        </w:rPr>
        <w:t>(</w:t>
      </w:r>
      <w:r w:rsidR="0093617F" w:rsidRPr="0093617F">
        <w:rPr>
          <w:rFonts w:cs="Arial"/>
          <w:i/>
          <w:noProof/>
          <w:color w:val="000000" w:themeColor="text1"/>
          <w:sz w:val="24"/>
          <w:szCs w:val="24"/>
        </w:rPr>
        <w:t>3</w:t>
      </w:r>
      <w:r w:rsidR="0093617F">
        <w:rPr>
          <w:rFonts w:cs="Arial"/>
          <w:noProof/>
          <w:color w:val="000000" w:themeColor="text1"/>
          <w:sz w:val="24"/>
          <w:szCs w:val="24"/>
        </w:rPr>
        <w:t>)</w:t>
      </w:r>
      <w:r w:rsidR="0093617F">
        <w:rPr>
          <w:rFonts w:cs="Arial"/>
          <w:color w:val="000000" w:themeColor="text1"/>
          <w:sz w:val="24"/>
          <w:szCs w:val="24"/>
        </w:rPr>
        <w:fldChar w:fldCharType="end"/>
      </w:r>
      <w:r w:rsidRPr="00FA71B3">
        <w:rPr>
          <w:rFonts w:cs="Arial"/>
          <w:color w:val="000000" w:themeColor="text1"/>
          <w:sz w:val="24"/>
          <w:szCs w:val="24"/>
        </w:rPr>
        <w:t xml:space="preserve"> were discarded. </w:t>
      </w:r>
      <w:r>
        <w:rPr>
          <w:rFonts w:cs="Arial"/>
          <w:color w:val="000000" w:themeColor="text1"/>
          <w:sz w:val="24"/>
          <w:szCs w:val="24"/>
        </w:rPr>
        <w:t xml:space="preserve"> </w:t>
      </w:r>
      <w:r w:rsidRPr="00FA71B3">
        <w:rPr>
          <w:rFonts w:cs="Arial"/>
          <w:color w:val="000000" w:themeColor="text1"/>
          <w:sz w:val="24"/>
          <w:szCs w:val="24"/>
        </w:rPr>
        <w:t xml:space="preserve">Gene expression levels were quantified as read counts using the featureCounts function </w:t>
      </w:r>
      <w:r w:rsidR="0093617F">
        <w:rPr>
          <w:rFonts w:cs="Arial"/>
          <w:color w:val="000000" w:themeColor="text1"/>
          <w:sz w:val="24"/>
          <w:szCs w:val="24"/>
        </w:rPr>
        <w:fldChar w:fldCharType="begin"/>
      </w:r>
      <w:r w:rsidR="0093617F">
        <w:rPr>
          <w:rFonts w:cs="Arial"/>
          <w:color w:val="000000" w:themeColor="text1"/>
          <w:sz w:val="24"/>
          <w:szCs w:val="24"/>
        </w:rPr>
        <w:instrText xml:space="preserve"> ADDIN EN.CITE &lt;EndNote&gt;&lt;Cite&gt;&lt;Author&gt;Liao&lt;/Author&gt;&lt;Year&gt;2014&lt;/Year&gt;&lt;RecNum&gt;84&lt;/RecNum&gt;&lt;DisplayText&gt;(&lt;style face="italic"&gt;4&lt;/style&gt;)&lt;/DisplayText&gt;&lt;record&gt;&lt;rec-number&gt;84&lt;/rec-number&gt;&lt;foreign-keys&gt;&lt;key app="EN" db-id="ezdezdt9kz05etedrx3pvvtise5erxt9x00r" timestamp="1493891869"&gt;84&lt;/key&gt;&lt;/foreign-keys&gt;&lt;ref-type name="Journal Article"&gt;17&lt;/ref-type&gt;&lt;contributors&gt;&lt;authors&gt;&lt;author&gt;Liao, Y.&lt;/author&gt;&lt;author&gt;Smyth, G. K.&lt;/author&gt;&lt;author&gt;Shi, W.&lt;/author&gt;&lt;/authors&gt;&lt;/contributors&gt;&lt;auth-address&gt;Bioinformatics Division, The Walter and Eliza Hall Institute of Medical Research, 1G Royal Parade, Parkville, VIC 3052, Department of Computing and Information Systems and Department of Mathematics and Statistics, The University of Melbourne, Parkville, VIC 3010, Australia.&lt;/auth-address&gt;&lt;titles&gt;&lt;title&gt;featureCounts: an efficient general purpose program for assigning sequence reads to genomic features&lt;/title&gt;&lt;secondary-title&gt;Bioinformatics&lt;/secondary-title&gt;&lt;/titles&gt;&lt;periodical&gt;&lt;full-title&gt;Bioinformatics&lt;/full-title&gt;&lt;/periodical&gt;&lt;pages&gt;923-30&lt;/pages&gt;&lt;volume&gt;30&lt;/volume&gt;&lt;number&gt;7&lt;/number&gt;&lt;keywords&gt;&lt;keyword&gt;Algorithms&lt;/keyword&gt;&lt;keyword&gt;Genome&lt;/keyword&gt;&lt;keyword&gt;Genomics/*methods&lt;/keyword&gt;&lt;keyword&gt;High-Throughput Nucleotide Sequencing&lt;/keyword&gt;&lt;keyword&gt;Histones/chemistry/genetics&lt;/keyword&gt;&lt;keyword&gt;Sequence Analysis, RNA&lt;/keyword&gt;&lt;keyword&gt;*Software&lt;/keyword&gt;&lt;/keywords&gt;&lt;dates&gt;&lt;year&gt;2014&lt;/year&gt;&lt;pub-dates&gt;&lt;date&gt;Apr 01&lt;/date&gt;&lt;/pub-dates&gt;&lt;/dates&gt;&lt;isbn&gt;1367-4811 (Electronic)&amp;#xD;1367-4803 (Linking)&lt;/isbn&gt;&lt;accession-num&gt;24227677&lt;/accession-num&gt;&lt;urls&gt;&lt;related-urls&gt;&lt;url&gt;http://www.ncbi.nlm.nih.gov/pubmed/24227677&lt;/url&gt;&lt;/related-urls&gt;&lt;/urls&gt;&lt;electronic-resource-num&gt;10.1093/bioinformatics/btt656&lt;/electronic-resource-num&gt;&lt;/record&gt;&lt;/Cite&gt;&lt;/EndNote&gt;</w:instrText>
      </w:r>
      <w:r w:rsidR="0093617F">
        <w:rPr>
          <w:rFonts w:cs="Arial"/>
          <w:color w:val="000000" w:themeColor="text1"/>
          <w:sz w:val="24"/>
          <w:szCs w:val="24"/>
        </w:rPr>
        <w:fldChar w:fldCharType="separate"/>
      </w:r>
      <w:r w:rsidR="0093617F">
        <w:rPr>
          <w:rFonts w:cs="Arial"/>
          <w:noProof/>
          <w:color w:val="000000" w:themeColor="text1"/>
          <w:sz w:val="24"/>
          <w:szCs w:val="24"/>
        </w:rPr>
        <w:t>(</w:t>
      </w:r>
      <w:r w:rsidR="0093617F" w:rsidRPr="0093617F">
        <w:rPr>
          <w:rFonts w:cs="Arial"/>
          <w:i/>
          <w:noProof/>
          <w:color w:val="000000" w:themeColor="text1"/>
          <w:sz w:val="24"/>
          <w:szCs w:val="24"/>
        </w:rPr>
        <w:t>4</w:t>
      </w:r>
      <w:r w:rsidR="0093617F">
        <w:rPr>
          <w:rFonts w:cs="Arial"/>
          <w:noProof/>
          <w:color w:val="000000" w:themeColor="text1"/>
          <w:sz w:val="24"/>
          <w:szCs w:val="24"/>
        </w:rPr>
        <w:t>)</w:t>
      </w:r>
      <w:r w:rsidR="0093617F">
        <w:rPr>
          <w:rFonts w:cs="Arial"/>
          <w:color w:val="000000" w:themeColor="text1"/>
          <w:sz w:val="24"/>
          <w:szCs w:val="24"/>
        </w:rPr>
        <w:fldChar w:fldCharType="end"/>
      </w:r>
      <w:r w:rsidRPr="00FA71B3">
        <w:rPr>
          <w:rFonts w:cs="Arial"/>
          <w:color w:val="000000" w:themeColor="text1"/>
          <w:sz w:val="24"/>
          <w:szCs w:val="24"/>
        </w:rPr>
        <w:t xml:space="preserve"> from the Subread package</w:t>
      </w:r>
      <w:r>
        <w:rPr>
          <w:rFonts w:cs="Arial"/>
          <w:color w:val="000000" w:themeColor="text1"/>
          <w:sz w:val="24"/>
          <w:szCs w:val="24"/>
        </w:rPr>
        <w:t xml:space="preserve"> </w:t>
      </w:r>
      <w:r w:rsidR="0093617F">
        <w:rPr>
          <w:rFonts w:cs="Arial"/>
          <w:color w:val="000000" w:themeColor="text1"/>
          <w:sz w:val="24"/>
          <w:szCs w:val="24"/>
        </w:rPr>
        <w:fldChar w:fldCharType="begin"/>
      </w:r>
      <w:r w:rsidR="0093617F">
        <w:rPr>
          <w:rFonts w:cs="Arial"/>
          <w:color w:val="000000" w:themeColor="text1"/>
          <w:sz w:val="24"/>
          <w:szCs w:val="24"/>
        </w:rPr>
        <w:instrText xml:space="preserve"> ADDIN EN.CITE &lt;EndNote&gt;&lt;Cite&gt;&lt;Author&gt;Liao&lt;/Author&gt;&lt;Year&gt;2013&lt;/Year&gt;&lt;RecNum&gt;86&lt;/RecNum&gt;&lt;DisplayText&gt;(&lt;style face="italic"&gt;5&lt;/style&gt;)&lt;/DisplayText&gt;&lt;record&gt;&lt;rec-number&gt;86&lt;/rec-number&gt;&lt;foreign-keys&gt;&lt;key app="EN" db-id="ezdezdt9kz05etedrx3pvvtise5erxt9x00r" timestamp="1493891909"&gt;86&lt;/key&gt;&lt;/foreign-keys&gt;&lt;ref-type name="Journal Article"&gt;17&lt;/ref-type&gt;&lt;contributors&gt;&lt;authors&gt;&lt;author&gt;Liao, Y.&lt;/author&gt;&lt;author&gt;Smyth, G. K.&lt;/author&gt;&lt;author&gt;Shi, W.&lt;/author&gt;&lt;/authors&gt;&lt;/contributors&gt;&lt;auth-address&gt;Division of Bioinformatics, The Walter and Eliza Hall Institute of Medical Research, 1G Royal Parade, Parkville, Victoria 3052, Australia.&lt;/auth-address&gt;&lt;titles&gt;&lt;title&gt;The Subread aligner: fast, accurate and scalable read mapping by seed-and-vote&lt;/title&gt;&lt;secondary-title&gt;Nucleic Acids Res&lt;/secondary-title&gt;&lt;/titles&gt;&lt;periodical&gt;&lt;full-title&gt;Nucleic Acids Res&lt;/full-title&gt;&lt;/periodical&gt;&lt;pages&gt;e108&lt;/pages&gt;&lt;volume&gt;41&lt;/volume&gt;&lt;number&gt;10&lt;/number&gt;&lt;keywords&gt;&lt;keyword&gt;Exons&lt;/keyword&gt;&lt;keyword&gt;Genomics&lt;/keyword&gt;&lt;keyword&gt;*High-Throughput Nucleotide Sequencing&lt;/keyword&gt;&lt;keyword&gt;INDEL Mutation&lt;/keyword&gt;&lt;keyword&gt;Sequence Alignment/*methods&lt;/keyword&gt;&lt;keyword&gt;*Software&lt;/keyword&gt;&lt;/keywords&gt;&lt;dates&gt;&lt;year&gt;2013&lt;/year&gt;&lt;pub-dates&gt;&lt;date&gt;May 01&lt;/date&gt;&lt;/pub-dates&gt;&lt;/dates&gt;&lt;isbn&gt;1362-4962 (Electronic)&amp;#xD;0305-1048 (Linking)&lt;/isbn&gt;&lt;accession-num&gt;23558742&lt;/accession-num&gt;&lt;urls&gt;&lt;related-urls&gt;&lt;url&gt;http://www.ncbi.nlm.nih.gov/pubmed/23558742&lt;/url&gt;&lt;/related-urls&gt;&lt;/urls&gt;&lt;custom2&gt;PMC3664803&lt;/custom2&gt;&lt;electronic-resource-num&gt;10.1093/nar/gkt214&lt;/electronic-resource-num&gt;&lt;/record&gt;&lt;/Cite&gt;&lt;/EndNote&gt;</w:instrText>
      </w:r>
      <w:r w:rsidR="0093617F">
        <w:rPr>
          <w:rFonts w:cs="Arial"/>
          <w:color w:val="000000" w:themeColor="text1"/>
          <w:sz w:val="24"/>
          <w:szCs w:val="24"/>
        </w:rPr>
        <w:fldChar w:fldCharType="separate"/>
      </w:r>
      <w:r w:rsidR="0093617F">
        <w:rPr>
          <w:rFonts w:cs="Arial"/>
          <w:noProof/>
          <w:color w:val="000000" w:themeColor="text1"/>
          <w:sz w:val="24"/>
          <w:szCs w:val="24"/>
        </w:rPr>
        <w:t>(</w:t>
      </w:r>
      <w:r w:rsidR="0093617F" w:rsidRPr="0093617F">
        <w:rPr>
          <w:rFonts w:cs="Arial"/>
          <w:i/>
          <w:noProof/>
          <w:color w:val="000000" w:themeColor="text1"/>
          <w:sz w:val="24"/>
          <w:szCs w:val="24"/>
        </w:rPr>
        <w:t>5</w:t>
      </w:r>
      <w:r w:rsidR="0093617F">
        <w:rPr>
          <w:rFonts w:cs="Arial"/>
          <w:noProof/>
          <w:color w:val="000000" w:themeColor="text1"/>
          <w:sz w:val="24"/>
          <w:szCs w:val="24"/>
        </w:rPr>
        <w:t>)</w:t>
      </w:r>
      <w:r w:rsidR="0093617F">
        <w:rPr>
          <w:rFonts w:cs="Arial"/>
          <w:color w:val="000000" w:themeColor="text1"/>
          <w:sz w:val="24"/>
          <w:szCs w:val="24"/>
        </w:rPr>
        <w:fldChar w:fldCharType="end"/>
      </w:r>
      <w:r w:rsidRPr="00FA71B3">
        <w:rPr>
          <w:rFonts w:cs="Arial"/>
          <w:color w:val="000000" w:themeColor="text1"/>
          <w:sz w:val="24"/>
          <w:szCs w:val="24"/>
        </w:rPr>
        <w:t xml:space="preserve"> with default parameters. RPKM values were generated using the edgeR package </w:t>
      </w:r>
      <w:r w:rsidR="0093617F">
        <w:rPr>
          <w:rFonts w:cs="Arial"/>
          <w:color w:val="000000" w:themeColor="text1"/>
          <w:sz w:val="24"/>
          <w:szCs w:val="24"/>
        </w:rPr>
        <w:fldChar w:fldCharType="begin"/>
      </w:r>
      <w:r w:rsidR="0093617F">
        <w:rPr>
          <w:rFonts w:cs="Arial"/>
          <w:color w:val="000000" w:themeColor="text1"/>
          <w:sz w:val="24"/>
          <w:szCs w:val="24"/>
        </w:rPr>
        <w:instrText xml:space="preserve"> ADDIN EN.CITE &lt;EndNote&gt;&lt;Cite&gt;&lt;Author&gt;Robinson&lt;/Author&gt;&lt;Year&gt;2010&lt;/Year&gt;&lt;RecNum&gt;87&lt;/RecNum&gt;&lt;DisplayText&gt;(&lt;style face="italic"&gt;6&lt;/style&gt;)&lt;/DisplayText&gt;&lt;record&gt;&lt;rec-number&gt;87&lt;/rec-number&gt;&lt;foreign-keys&gt;&lt;key app="EN" db-id="ezdezdt9kz05etedrx3pvvtise5erxt9x00r" timestamp="1493892102"&gt;87&lt;/key&gt;&lt;/foreign-keys&gt;&lt;ref-type name="Journal Article"&gt;17&lt;/ref-type&gt;&lt;contributors&gt;&lt;authors&gt;&lt;author&gt;Robinson, M. D.&lt;/author&gt;&lt;author&gt;McCarthy, D. J.&lt;/author&gt;&lt;author&gt;Smyth, G. K.&lt;/author&gt;&lt;/authors&gt;&lt;/contributors&gt;&lt;auth-address&gt;Cancer Program, Garvan Institute of Medical Research, 384 Victoria Street, Darlinghurst, NSW 2010, Australia. mrobinson@wehi.edu.au&lt;/auth-address&gt;&lt;titles&gt;&lt;title&gt;edgeR: a Bioconductor package for differential expression analysis of digital gene expression data&lt;/title&gt;&lt;secondary-title&gt;Bioinformatics&lt;/secondary-title&gt;&lt;/titles&gt;&lt;periodical&gt;&lt;full-title&gt;Bioinformatics&lt;/full-title&gt;&lt;/periodical&gt;&lt;pages&gt;139-40&lt;/pages&gt;&lt;volume&gt;26&lt;/volume&gt;&lt;number&gt;1&lt;/number&gt;&lt;keywords&gt;&lt;keyword&gt;*Algorithms&lt;/keyword&gt;&lt;keyword&gt;Gene Expression Profiling/*methods&lt;/keyword&gt;&lt;keyword&gt;Oligonucleotide Array Sequence Analysis/*methods&lt;/keyword&gt;&lt;keyword&gt;*Programming Languages&lt;/keyword&gt;&lt;keyword&gt;*Signal Processing, Computer-Assisted&lt;/keyword&gt;&lt;keyword&gt;*Software&lt;/keyword&gt;&lt;/keywords&gt;&lt;dates&gt;&lt;year&gt;2010&lt;/year&gt;&lt;pub-dates&gt;&lt;date&gt;Jan 01&lt;/date&gt;&lt;/pub-dates&gt;&lt;/dates&gt;&lt;isbn&gt;1367-4811 (Electronic)&amp;#xD;1367-4803 (Linking)&lt;/isbn&gt;&lt;accession-num&gt;19910308&lt;/accession-num&gt;&lt;urls&gt;&lt;related-urls&gt;&lt;url&gt;http://www.ncbi.nlm.nih.gov/pubmed/19910308&lt;/url&gt;&lt;/related-urls&gt;&lt;/urls&gt;&lt;custom2&gt;PMC2796818&lt;/custom2&gt;&lt;electronic-resource-num&gt;10.1093/bioinformatics/btp616&lt;/electronic-resource-num&gt;&lt;/record&gt;&lt;/Cite&gt;&lt;/EndNote&gt;</w:instrText>
      </w:r>
      <w:r w:rsidR="0093617F">
        <w:rPr>
          <w:rFonts w:cs="Arial"/>
          <w:color w:val="000000" w:themeColor="text1"/>
          <w:sz w:val="24"/>
          <w:szCs w:val="24"/>
        </w:rPr>
        <w:fldChar w:fldCharType="separate"/>
      </w:r>
      <w:r w:rsidR="0093617F">
        <w:rPr>
          <w:rFonts w:cs="Arial"/>
          <w:noProof/>
          <w:color w:val="000000" w:themeColor="text1"/>
          <w:sz w:val="24"/>
          <w:szCs w:val="24"/>
        </w:rPr>
        <w:t>(</w:t>
      </w:r>
      <w:r w:rsidR="0093617F" w:rsidRPr="0093617F">
        <w:rPr>
          <w:rFonts w:cs="Arial"/>
          <w:i/>
          <w:noProof/>
          <w:color w:val="000000" w:themeColor="text1"/>
          <w:sz w:val="24"/>
          <w:szCs w:val="24"/>
        </w:rPr>
        <w:t>6</w:t>
      </w:r>
      <w:r w:rsidR="0093617F">
        <w:rPr>
          <w:rFonts w:cs="Arial"/>
          <w:noProof/>
          <w:color w:val="000000" w:themeColor="text1"/>
          <w:sz w:val="24"/>
          <w:szCs w:val="24"/>
        </w:rPr>
        <w:t>)</w:t>
      </w:r>
      <w:r w:rsidR="0093617F">
        <w:rPr>
          <w:rFonts w:cs="Arial"/>
          <w:color w:val="000000" w:themeColor="text1"/>
          <w:sz w:val="24"/>
          <w:szCs w:val="24"/>
        </w:rPr>
        <w:fldChar w:fldCharType="end"/>
      </w:r>
      <w:r w:rsidRPr="00FA71B3">
        <w:rPr>
          <w:rFonts w:cs="Arial"/>
          <w:color w:val="000000" w:themeColor="text1"/>
          <w:sz w:val="24"/>
          <w:szCs w:val="24"/>
        </w:rPr>
        <w:t>.</w:t>
      </w:r>
      <w:r>
        <w:rPr>
          <w:rFonts w:cs="Arial"/>
          <w:color w:val="000000" w:themeColor="text1"/>
        </w:rPr>
        <w:t xml:space="preserve"> </w:t>
      </w:r>
    </w:p>
    <w:p w14:paraId="1C6D2A32" w14:textId="77777777" w:rsidR="00A14B31" w:rsidRPr="00603CA8" w:rsidRDefault="00A14B31" w:rsidP="00A14B31">
      <w:pPr>
        <w:spacing w:line="360" w:lineRule="auto"/>
        <w:jc w:val="both"/>
        <w:rPr>
          <w:sz w:val="24"/>
          <w:szCs w:val="24"/>
          <w:lang w:eastAsia="en-GB"/>
        </w:rPr>
      </w:pPr>
    </w:p>
    <w:p w14:paraId="22F8803B" w14:textId="77777777" w:rsidR="00A14B31" w:rsidRPr="00603CA8" w:rsidRDefault="00A14B31" w:rsidP="00A14B31">
      <w:pPr>
        <w:spacing w:line="360" w:lineRule="auto"/>
        <w:jc w:val="both"/>
        <w:rPr>
          <w:b/>
          <w:sz w:val="24"/>
          <w:szCs w:val="24"/>
        </w:rPr>
      </w:pPr>
    </w:p>
    <w:p w14:paraId="325C1686" w14:textId="77777777" w:rsidR="00A14B31" w:rsidRPr="00603CA8" w:rsidRDefault="00A14B31" w:rsidP="00A14B31">
      <w:pPr>
        <w:spacing w:line="360" w:lineRule="auto"/>
        <w:jc w:val="both"/>
        <w:rPr>
          <w:b/>
          <w:sz w:val="24"/>
          <w:szCs w:val="24"/>
          <w:lang w:eastAsia="en-GB"/>
        </w:rPr>
      </w:pPr>
      <w:r w:rsidRPr="00603CA8">
        <w:rPr>
          <w:rFonts w:eastAsia="Times New Roman"/>
          <w:b/>
          <w:sz w:val="24"/>
          <w:szCs w:val="24"/>
          <w:lang w:eastAsia="en-GB"/>
        </w:rPr>
        <w:t>Cell sorting and culture</w:t>
      </w:r>
    </w:p>
    <w:p w14:paraId="11D8EA46" w14:textId="3A80E242" w:rsidR="00A14B31" w:rsidRPr="00603CA8" w:rsidRDefault="00A14B31" w:rsidP="00A14B31">
      <w:pPr>
        <w:spacing w:line="360" w:lineRule="auto"/>
        <w:jc w:val="both"/>
        <w:rPr>
          <w:rFonts w:eastAsia="Times New Roman"/>
          <w:sz w:val="24"/>
          <w:szCs w:val="24"/>
          <w:lang w:eastAsia="en-GB"/>
        </w:rPr>
      </w:pPr>
      <w:r w:rsidRPr="00603CA8">
        <w:rPr>
          <w:rFonts w:eastAsia="Times New Roman"/>
          <w:sz w:val="24"/>
          <w:szCs w:val="24"/>
          <w:lang w:eastAsia="en-GB"/>
        </w:rPr>
        <w:t xml:space="preserve">PBMCs were isolated from healthy adult donors under local ethics approval (National Research Ethics Service Committee South Central, Oxford C, 09/ H0606/71). ILC2 were isolated and cultured as previously described </w:t>
      </w:r>
      <w:r w:rsidR="0093617F">
        <w:rPr>
          <w:rFonts w:eastAsia="Times New Roman"/>
          <w:sz w:val="24"/>
          <w:szCs w:val="24"/>
          <w:lang w:eastAsia="en-GB"/>
        </w:rPr>
        <w:fldChar w:fldCharType="begin">
          <w:fldData xml:space="preserve">PEVuZE5vdGU+PENpdGU+PEF1dGhvcj5TYWxpbWk8L0F1dGhvcj48WWVhcj4yMDEzPC9ZZWFyPjxS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</w:fldData>
        </w:fldChar>
      </w:r>
      <w:r w:rsidR="0093617F">
        <w:rPr>
          <w:rFonts w:eastAsia="Times New Roman"/>
          <w:sz w:val="24"/>
          <w:szCs w:val="24"/>
          <w:lang w:eastAsia="en-GB"/>
        </w:rPr>
        <w:instrText xml:space="preserve"> ADDIN EN.CITE </w:instrText>
      </w:r>
      <w:r w:rsidR="0093617F">
        <w:rPr>
          <w:rFonts w:eastAsia="Times New Roman"/>
          <w:sz w:val="24"/>
          <w:szCs w:val="24"/>
          <w:lang w:eastAsia="en-GB"/>
        </w:rPr>
        <w:fldChar w:fldCharType="begin">
          <w:fldData xml:space="preserve">PEVuZE5vdGU+PENpdGU+PEF1dGhvcj5TYWxpbWk8L0F1dGhvcj48WWVhcj4yMDEzPC9ZZWFyPjxS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</w:fldData>
        </w:fldChar>
      </w:r>
      <w:r w:rsidR="0093617F">
        <w:rPr>
          <w:rFonts w:eastAsia="Times New Roman"/>
          <w:sz w:val="24"/>
          <w:szCs w:val="24"/>
          <w:lang w:eastAsia="en-GB"/>
        </w:rPr>
        <w:instrText xml:space="preserve"> ADDIN EN.CITE.DATA </w:instrText>
      </w:r>
      <w:r w:rsidR="0093617F">
        <w:rPr>
          <w:rFonts w:eastAsia="Times New Roman"/>
          <w:sz w:val="24"/>
          <w:szCs w:val="24"/>
          <w:lang w:eastAsia="en-GB"/>
        </w:rPr>
      </w:r>
      <w:r w:rsidR="0093617F">
        <w:rPr>
          <w:rFonts w:eastAsia="Times New Roman"/>
          <w:sz w:val="24"/>
          <w:szCs w:val="24"/>
          <w:lang w:eastAsia="en-GB"/>
        </w:rPr>
        <w:fldChar w:fldCharType="end"/>
      </w:r>
      <w:r w:rsidR="0093617F">
        <w:rPr>
          <w:rFonts w:eastAsia="Times New Roman"/>
          <w:sz w:val="24"/>
          <w:szCs w:val="24"/>
          <w:lang w:eastAsia="en-GB"/>
        </w:rPr>
      </w:r>
      <w:r w:rsidR="0093617F">
        <w:rPr>
          <w:rFonts w:eastAsia="Times New Roman"/>
          <w:sz w:val="24"/>
          <w:szCs w:val="24"/>
          <w:lang w:eastAsia="en-GB"/>
        </w:rPr>
        <w:fldChar w:fldCharType="separate"/>
      </w:r>
      <w:r w:rsidR="0093617F">
        <w:rPr>
          <w:rFonts w:eastAsia="Times New Roman"/>
          <w:noProof/>
          <w:sz w:val="24"/>
          <w:szCs w:val="24"/>
          <w:lang w:eastAsia="en-GB"/>
        </w:rPr>
        <w:t>(</w:t>
      </w:r>
      <w:r w:rsidR="0093617F" w:rsidRPr="0093617F">
        <w:rPr>
          <w:rFonts w:eastAsia="Times New Roman"/>
          <w:i/>
          <w:noProof/>
          <w:sz w:val="24"/>
          <w:szCs w:val="24"/>
          <w:lang w:eastAsia="en-GB"/>
        </w:rPr>
        <w:t>7</w:t>
      </w:r>
      <w:r w:rsidR="0093617F">
        <w:rPr>
          <w:rFonts w:eastAsia="Times New Roman"/>
          <w:noProof/>
          <w:sz w:val="24"/>
          <w:szCs w:val="24"/>
          <w:lang w:eastAsia="en-GB"/>
        </w:rPr>
        <w:t>)</w:t>
      </w:r>
      <w:r w:rsidR="0093617F">
        <w:rPr>
          <w:rFonts w:eastAsia="Times New Roman"/>
          <w:sz w:val="24"/>
          <w:szCs w:val="24"/>
          <w:lang w:eastAsia="en-GB"/>
        </w:rPr>
        <w:fldChar w:fldCharType="end"/>
      </w:r>
      <w:r w:rsidRPr="00603CA8">
        <w:rPr>
          <w:rFonts w:eastAsia="Times New Roman"/>
          <w:sz w:val="24"/>
          <w:szCs w:val="24"/>
          <w:lang w:eastAsia="en-GB"/>
        </w:rPr>
        <w:t xml:space="preserve">. </w:t>
      </w:r>
      <w:r>
        <w:rPr>
          <w:rFonts w:eastAsia="Times New Roman"/>
          <w:sz w:val="24"/>
          <w:szCs w:val="24"/>
          <w:lang w:eastAsia="en-GB"/>
        </w:rPr>
        <w:t xml:space="preserve"> </w:t>
      </w:r>
      <w:r w:rsidRPr="00603CA8">
        <w:rPr>
          <w:rFonts w:eastAsia="Times New Roman"/>
          <w:sz w:val="24"/>
          <w:szCs w:val="24"/>
          <w:lang w:eastAsia="en-GB"/>
        </w:rPr>
        <w:t>Briefly, the lineage (CD3, CD4, CD8, CD14, CD19, CD56, CD11c, CD11b, CD123, and Fc</w:t>
      </w:r>
      <w:r w:rsidRPr="00B9128D">
        <w:rPr>
          <w:rFonts w:eastAsia="Times New Roman"/>
          <w:sz w:val="24"/>
          <w:szCs w:val="24"/>
          <w:lang w:eastAsia="en-GB"/>
        </w:rPr>
        <w:t>εRI</w:t>
      </w:r>
      <w:r w:rsidRPr="00603CA8">
        <w:rPr>
          <w:rFonts w:eastAsia="Times New Roman"/>
          <w:sz w:val="24"/>
          <w:szCs w:val="24"/>
          <w:lang w:eastAsia="en-GB"/>
        </w:rPr>
        <w:t>)</w:t>
      </w:r>
      <w:r w:rsidRPr="00603CA8">
        <w:rPr>
          <w:rFonts w:eastAsia="Times New Roman"/>
          <w:sz w:val="24"/>
          <w:szCs w:val="24"/>
          <w:vertAlign w:val="superscript"/>
          <w:lang w:eastAsia="en-GB"/>
        </w:rPr>
        <w:t>–</w:t>
      </w:r>
      <w:r w:rsidRPr="00603CA8">
        <w:rPr>
          <w:rFonts w:eastAsia="Times New Roman"/>
          <w:sz w:val="24"/>
          <w:szCs w:val="24"/>
          <w:lang w:eastAsia="en-GB"/>
        </w:rPr>
        <w:t>, CD45</w:t>
      </w:r>
      <w:r w:rsidRPr="00603CA8">
        <w:rPr>
          <w:rFonts w:eastAsia="Times New Roman"/>
          <w:sz w:val="24"/>
          <w:szCs w:val="24"/>
          <w:vertAlign w:val="superscript"/>
          <w:lang w:eastAsia="en-GB"/>
        </w:rPr>
        <w:t>+</w:t>
      </w:r>
      <w:r w:rsidRPr="00603CA8">
        <w:rPr>
          <w:rFonts w:eastAsia="Times New Roman"/>
          <w:sz w:val="24"/>
          <w:szCs w:val="24"/>
          <w:lang w:eastAsia="en-GB"/>
        </w:rPr>
        <w:t>, IL7Rα</w:t>
      </w:r>
      <w:r w:rsidRPr="00603CA8">
        <w:rPr>
          <w:rFonts w:eastAsia="Times New Roman"/>
          <w:sz w:val="24"/>
          <w:szCs w:val="24"/>
          <w:vertAlign w:val="superscript"/>
          <w:lang w:eastAsia="en-GB"/>
        </w:rPr>
        <w:t>+</w:t>
      </w:r>
      <w:r w:rsidRPr="00603CA8">
        <w:rPr>
          <w:rFonts w:eastAsia="Times New Roman"/>
          <w:sz w:val="24"/>
          <w:szCs w:val="24"/>
          <w:lang w:eastAsia="en-GB"/>
        </w:rPr>
        <w:t>, CRTH2</w:t>
      </w:r>
      <w:r w:rsidRPr="00603CA8">
        <w:rPr>
          <w:rFonts w:eastAsia="Times New Roman"/>
          <w:sz w:val="24"/>
          <w:szCs w:val="24"/>
          <w:vertAlign w:val="superscript"/>
          <w:lang w:eastAsia="en-GB"/>
        </w:rPr>
        <w:t>+</w:t>
      </w:r>
      <w:r w:rsidRPr="00603CA8">
        <w:rPr>
          <w:rFonts w:eastAsia="Times New Roman"/>
          <w:sz w:val="24"/>
          <w:szCs w:val="24"/>
          <w:lang w:eastAsia="en-GB"/>
        </w:rPr>
        <w:t xml:space="preserve"> ILC2 population was sorted into 96-well plates at 100 cells per well and resuspended in MLR of gamma-irradiated PBMCs from three healthy volunteers (2x10</w:t>
      </w:r>
      <w:r w:rsidRPr="00603CA8">
        <w:rPr>
          <w:rFonts w:eastAsia="Times New Roman"/>
          <w:sz w:val="24"/>
          <w:szCs w:val="24"/>
          <w:vertAlign w:val="superscript"/>
          <w:lang w:eastAsia="en-GB"/>
        </w:rPr>
        <w:t>6</w:t>
      </w:r>
      <w:r w:rsidRPr="00603CA8">
        <w:rPr>
          <w:rFonts w:eastAsia="Times New Roman"/>
          <w:sz w:val="24"/>
          <w:szCs w:val="24"/>
          <w:lang w:eastAsia="en-GB"/>
        </w:rPr>
        <w:t xml:space="preserve"> cells / ml) coupled with 100 IU / ml IL-2 and PHA.  After 4 – 6 weeks the growing cells were tested by flow cytometry staining to ensure a pure population of lineage</w:t>
      </w:r>
      <w:r w:rsidRPr="00603CA8">
        <w:rPr>
          <w:rFonts w:eastAsia="Times New Roman"/>
          <w:sz w:val="24"/>
          <w:szCs w:val="24"/>
          <w:vertAlign w:val="superscript"/>
          <w:lang w:eastAsia="en-GB"/>
        </w:rPr>
        <w:t>-</w:t>
      </w:r>
      <w:r w:rsidRPr="00603CA8">
        <w:rPr>
          <w:rFonts w:eastAsia="Times New Roman"/>
          <w:sz w:val="24"/>
          <w:szCs w:val="24"/>
          <w:lang w:eastAsia="en-GB"/>
        </w:rPr>
        <w:t>CRTH2</w:t>
      </w:r>
      <w:r w:rsidRPr="00603CA8">
        <w:rPr>
          <w:rFonts w:eastAsia="Times New Roman"/>
          <w:sz w:val="24"/>
          <w:szCs w:val="24"/>
          <w:vertAlign w:val="superscript"/>
          <w:lang w:eastAsia="en-GB"/>
        </w:rPr>
        <w:t>+</w:t>
      </w:r>
      <w:r w:rsidRPr="00603CA8">
        <w:rPr>
          <w:rFonts w:eastAsia="Times New Roman"/>
          <w:sz w:val="24"/>
          <w:szCs w:val="24"/>
          <w:lang w:eastAsia="en-GB"/>
        </w:rPr>
        <w:t>IL-7R</w:t>
      </w:r>
      <w:r w:rsidRPr="00B9128D">
        <w:rPr>
          <w:rFonts w:eastAsia="Times New Roman"/>
          <w:sz w:val="24"/>
          <w:szCs w:val="24"/>
          <w:lang w:eastAsia="en-GB"/>
        </w:rPr>
        <w:t>α</w:t>
      </w:r>
      <w:r w:rsidRPr="00B9128D">
        <w:rPr>
          <w:rFonts w:eastAsia="Times New Roman"/>
          <w:sz w:val="24"/>
          <w:szCs w:val="24"/>
          <w:vertAlign w:val="superscript"/>
          <w:lang w:eastAsia="en-GB"/>
        </w:rPr>
        <w:t>+</w:t>
      </w:r>
      <w:r w:rsidRPr="00B9128D">
        <w:rPr>
          <w:rFonts w:eastAsia="Times New Roman"/>
          <w:sz w:val="24"/>
          <w:szCs w:val="24"/>
          <w:lang w:eastAsia="en-GB"/>
        </w:rPr>
        <w:t xml:space="preserve"> </w:t>
      </w:r>
      <w:r w:rsidRPr="00603CA8">
        <w:rPr>
          <w:rFonts w:eastAsia="Times New Roman"/>
          <w:sz w:val="24"/>
          <w:szCs w:val="24"/>
          <w:lang w:eastAsia="en-GB"/>
        </w:rPr>
        <w:t>ILC2 was obtained</w:t>
      </w:r>
      <w:r>
        <w:rPr>
          <w:rFonts w:eastAsia="Times New Roman"/>
          <w:sz w:val="24"/>
          <w:szCs w:val="24"/>
          <w:lang w:eastAsia="en-GB"/>
        </w:rPr>
        <w:t xml:space="preserve"> (fig. S1E and S1F)</w:t>
      </w:r>
      <w:r w:rsidRPr="00603CA8">
        <w:rPr>
          <w:rFonts w:eastAsia="Times New Roman"/>
          <w:sz w:val="24"/>
          <w:szCs w:val="24"/>
          <w:lang w:eastAsia="en-GB"/>
        </w:rPr>
        <w:t>.  Autologous T cells were isolated from donor PBMCs prior to isolation of ILC2 using magnetic-activated cell sorting (CD3 Microbeads Miltenyi Biotech.).</w:t>
      </w:r>
    </w:p>
    <w:p w14:paraId="49A03FDE" w14:textId="77777777" w:rsidR="00A14B31" w:rsidRPr="00603CA8" w:rsidRDefault="00A14B31" w:rsidP="00A14B31">
      <w:pPr>
        <w:spacing w:line="360" w:lineRule="auto"/>
        <w:jc w:val="both"/>
        <w:rPr>
          <w:rFonts w:eastAsia="Times New Roman"/>
          <w:sz w:val="24"/>
          <w:szCs w:val="24"/>
          <w:lang w:eastAsia="en-GB"/>
        </w:rPr>
      </w:pPr>
    </w:p>
    <w:p w14:paraId="23BF0995" w14:textId="77777777" w:rsidR="00A14B31" w:rsidRPr="00603CA8" w:rsidRDefault="00A14B31" w:rsidP="00A14B31">
      <w:pPr>
        <w:spacing w:line="360" w:lineRule="auto"/>
        <w:jc w:val="both"/>
        <w:rPr>
          <w:rFonts w:eastAsia="Times New Roman"/>
          <w:b/>
          <w:sz w:val="24"/>
          <w:szCs w:val="24"/>
          <w:lang w:eastAsia="en-GB"/>
        </w:rPr>
      </w:pPr>
      <w:r w:rsidRPr="00603CA8">
        <w:rPr>
          <w:rFonts w:eastAsia="Times New Roman"/>
          <w:b/>
          <w:sz w:val="24"/>
          <w:szCs w:val="24"/>
          <w:lang w:eastAsia="en-GB"/>
        </w:rPr>
        <w:t>Cytokines and TLR agonists</w:t>
      </w:r>
    </w:p>
    <w:p w14:paraId="72DF5C1D" w14:textId="77777777" w:rsidR="00A14B31" w:rsidRPr="00603CA8" w:rsidRDefault="00A14B31" w:rsidP="00A14B31">
      <w:pPr>
        <w:spacing w:line="360" w:lineRule="auto"/>
        <w:jc w:val="both"/>
        <w:rPr>
          <w:sz w:val="24"/>
          <w:szCs w:val="24"/>
        </w:rPr>
      </w:pPr>
      <w:r w:rsidRPr="00603CA8">
        <w:rPr>
          <w:sz w:val="24"/>
          <w:szCs w:val="24"/>
        </w:rPr>
        <w:t>For stimulation studies ILC2 were incubated in culture with 50</w:t>
      </w:r>
      <w:r>
        <w:rPr>
          <w:sz w:val="24"/>
          <w:szCs w:val="24"/>
        </w:rPr>
        <w:t xml:space="preserve"> ng / ml of TSLP</w:t>
      </w:r>
      <w:r w:rsidRPr="00603CA8">
        <w:rPr>
          <w:sz w:val="24"/>
          <w:szCs w:val="24"/>
        </w:rPr>
        <w:t xml:space="preserve"> (Peprotech), or 10 µg / ml PamCSK (Invivogen), 1 µg / ml LPS (Invivogen), 10</w:t>
      </w:r>
      <w:r w:rsidRPr="00603CA8">
        <w:rPr>
          <w:sz w:val="24"/>
          <w:szCs w:val="24"/>
          <w:vertAlign w:val="superscript"/>
        </w:rPr>
        <w:t>8</w:t>
      </w:r>
      <w:r w:rsidRPr="00603CA8">
        <w:rPr>
          <w:sz w:val="24"/>
          <w:szCs w:val="24"/>
        </w:rPr>
        <w:t xml:space="preserve"> cells / ml HKSA (Invivogen) for 6 - 72 hours at 37ᵒC as noted in the figure legend.  Cells were then centrifuged at 1500 rpm for 5 minutes at 4°C and supernatant saved for enzyme activity and cells used for RT-PCR analysis.</w:t>
      </w:r>
    </w:p>
    <w:p w14:paraId="7DDDAD35" w14:textId="77777777" w:rsidR="00A14B31" w:rsidRPr="00603CA8" w:rsidRDefault="00A14B31" w:rsidP="00A14B31">
      <w:pPr>
        <w:spacing w:line="360" w:lineRule="auto"/>
        <w:jc w:val="both"/>
        <w:rPr>
          <w:rFonts w:eastAsia="Times New Roman"/>
          <w:sz w:val="24"/>
          <w:szCs w:val="24"/>
          <w:lang w:eastAsia="en-GB"/>
        </w:rPr>
      </w:pPr>
    </w:p>
    <w:p w14:paraId="27425E3D" w14:textId="77777777" w:rsidR="00350D5F" w:rsidRDefault="00350D5F" w:rsidP="00A14B31">
      <w:pPr>
        <w:spacing w:line="360" w:lineRule="auto"/>
        <w:jc w:val="both"/>
        <w:rPr>
          <w:rFonts w:eastAsia="Times New Roman"/>
          <w:b/>
          <w:sz w:val="24"/>
          <w:szCs w:val="24"/>
          <w:lang w:eastAsia="en-GB"/>
        </w:rPr>
      </w:pPr>
    </w:p>
    <w:p w14:paraId="3C4AC104" w14:textId="77777777" w:rsidR="00A14B31" w:rsidRPr="00603CA8" w:rsidRDefault="00A14B31" w:rsidP="00A14B31">
      <w:pPr>
        <w:spacing w:line="360" w:lineRule="auto"/>
        <w:jc w:val="both"/>
        <w:rPr>
          <w:rFonts w:eastAsia="Times New Roman"/>
          <w:b/>
          <w:sz w:val="24"/>
          <w:szCs w:val="24"/>
          <w:lang w:eastAsia="en-GB"/>
        </w:rPr>
      </w:pPr>
      <w:r w:rsidRPr="00603CA8">
        <w:rPr>
          <w:rFonts w:eastAsia="Times New Roman"/>
          <w:b/>
          <w:sz w:val="24"/>
          <w:szCs w:val="24"/>
          <w:lang w:eastAsia="en-GB"/>
        </w:rPr>
        <w:lastRenderedPageBreak/>
        <w:t xml:space="preserve">Quantitative RT-PCR </w:t>
      </w:r>
    </w:p>
    <w:p w14:paraId="1ADB8C8C" w14:textId="77777777" w:rsidR="00A14B31" w:rsidRPr="00603CA8" w:rsidRDefault="00A14B31" w:rsidP="00A14B31">
      <w:pPr>
        <w:spacing w:line="360" w:lineRule="auto"/>
        <w:jc w:val="both"/>
        <w:rPr>
          <w:rFonts w:eastAsia="Times New Roman"/>
          <w:sz w:val="24"/>
          <w:szCs w:val="24"/>
          <w:lang w:eastAsia="en-GB"/>
        </w:rPr>
      </w:pPr>
      <w:r w:rsidRPr="00603CA8">
        <w:rPr>
          <w:rFonts w:eastAsia="Times New Roman"/>
          <w:sz w:val="24"/>
          <w:szCs w:val="24"/>
          <w:lang w:eastAsia="en-GB"/>
        </w:rPr>
        <w:t>mRNA extraction was performed using a TurboCapture 96 mRNA kit (Qiagen, 72251) following the manufacturer’s instructions.  cDNA w</w:t>
      </w:r>
      <w:r>
        <w:rPr>
          <w:rFonts w:eastAsia="Times New Roman"/>
          <w:sz w:val="24"/>
          <w:szCs w:val="24"/>
          <w:lang w:eastAsia="en-GB"/>
        </w:rPr>
        <w:t>as prepared from the mRNA using M-MLV reverse</w:t>
      </w:r>
      <w:r w:rsidRPr="00603CA8">
        <w:rPr>
          <w:rFonts w:eastAsia="Times New Roman"/>
          <w:sz w:val="24"/>
          <w:szCs w:val="24"/>
          <w:lang w:eastAsia="en-GB"/>
        </w:rPr>
        <w:t xml:space="preserve"> transcriptase (Invitrogen). Taqman probes for GAPDH (Hs02786624_g1), PLA2G4A (Hs00996912_m1), PLA2G4C (Hs01003754_m1) were used to analyze gene expression of ILC2 cultures on a QuantStudio7 Flex real time PCR machine.  </w:t>
      </w:r>
    </w:p>
    <w:p w14:paraId="73ABA562" w14:textId="77777777" w:rsidR="00A14B31" w:rsidRPr="00603CA8" w:rsidRDefault="00A14B31" w:rsidP="00A14B31">
      <w:pPr>
        <w:spacing w:line="360" w:lineRule="auto"/>
        <w:jc w:val="both"/>
        <w:rPr>
          <w:sz w:val="24"/>
          <w:szCs w:val="24"/>
        </w:rPr>
      </w:pPr>
    </w:p>
    <w:p w14:paraId="1AF4883B" w14:textId="77777777" w:rsidR="00A14B31" w:rsidRPr="00603CA8" w:rsidRDefault="00A14B31" w:rsidP="00A14B31">
      <w:pPr>
        <w:spacing w:line="360" w:lineRule="auto"/>
        <w:jc w:val="both"/>
        <w:rPr>
          <w:b/>
          <w:sz w:val="24"/>
          <w:szCs w:val="24"/>
        </w:rPr>
      </w:pPr>
      <w:r w:rsidRPr="00603CA8">
        <w:rPr>
          <w:b/>
          <w:sz w:val="24"/>
          <w:szCs w:val="24"/>
        </w:rPr>
        <w:t>Analysis of immune cells within human skin biopsies</w:t>
      </w:r>
    </w:p>
    <w:p w14:paraId="321AFB01" w14:textId="77777777" w:rsidR="00A14B31" w:rsidRPr="00603CA8" w:rsidRDefault="00A14B31" w:rsidP="00A14B31">
      <w:pPr>
        <w:spacing w:line="360" w:lineRule="auto"/>
        <w:jc w:val="both"/>
        <w:rPr>
          <w:sz w:val="24"/>
          <w:szCs w:val="24"/>
        </w:rPr>
      </w:pPr>
      <w:r w:rsidRPr="00603CA8">
        <w:rPr>
          <w:sz w:val="24"/>
          <w:szCs w:val="24"/>
        </w:rPr>
        <w:t>To analyze CD1a</w:t>
      </w:r>
      <w:r w:rsidRPr="00603CA8">
        <w:rPr>
          <w:sz w:val="24"/>
          <w:szCs w:val="24"/>
          <w:vertAlign w:val="superscript"/>
        </w:rPr>
        <w:t>+</w:t>
      </w:r>
      <w:r w:rsidRPr="00603CA8">
        <w:rPr>
          <w:sz w:val="24"/>
          <w:szCs w:val="24"/>
        </w:rPr>
        <w:t xml:space="preserve"> populations in the skin, samples of human skin were processed as follows. Samples were taken under GCP guidance with ethical approval of the NRES Committee South Central. </w:t>
      </w:r>
      <w:r>
        <w:rPr>
          <w:sz w:val="24"/>
          <w:szCs w:val="24"/>
        </w:rPr>
        <w:t xml:space="preserve"> </w:t>
      </w:r>
      <w:r w:rsidRPr="00603CA8">
        <w:rPr>
          <w:sz w:val="24"/>
          <w:szCs w:val="24"/>
        </w:rPr>
        <w:t xml:space="preserve">Subcutaneous fat was removed using scissors and residual fat cells were scraped from the underside of the skin and hairs from the upper side using a sharp scalpel.  To analyze the cells of whole thickness skin samples, the explants were cut in to </w:t>
      </w:r>
      <w:r w:rsidRPr="00B9128D">
        <w:rPr>
          <w:sz w:val="24"/>
          <w:szCs w:val="24"/>
        </w:rPr>
        <w:t>&lt;</w:t>
      </w:r>
      <w:r w:rsidRPr="00603CA8">
        <w:rPr>
          <w:sz w:val="24"/>
          <w:szCs w:val="24"/>
        </w:rPr>
        <w:t xml:space="preserve"> 0.5mm pieces using scalpel and scissors in petri dishes and incubated in collagenase P (1 mg / ml Roche) containing media overnight at 37</w:t>
      </w:r>
      <w:r w:rsidRPr="00B9128D">
        <w:rPr>
          <w:sz w:val="24"/>
          <w:szCs w:val="24"/>
        </w:rPr>
        <w:t xml:space="preserve">°C in the petri dish.  After overnight digestion, the remaining tissue was homogenized with a Pasteur pipette and endonuclease </w:t>
      </w:r>
      <w:r w:rsidRPr="00603CA8">
        <w:rPr>
          <w:sz w:val="24"/>
          <w:szCs w:val="24"/>
        </w:rPr>
        <w:t>deoxyribonuclease I (DNase I) 200 Kunitz unit/ml (Roche 10104159001)</w:t>
      </w:r>
      <w:r w:rsidRPr="00603CA8">
        <w:rPr>
          <w:color w:val="000000"/>
          <w:sz w:val="24"/>
          <w:szCs w:val="24"/>
          <w:shd w:val="clear" w:color="auto" w:fill="FFFFFF"/>
        </w:rPr>
        <w:t xml:space="preserve"> was added </w:t>
      </w:r>
      <w:r w:rsidRPr="00603CA8">
        <w:rPr>
          <w:sz w:val="24"/>
          <w:szCs w:val="24"/>
        </w:rPr>
        <w:t xml:space="preserve">for 15 minutes at room temperature then passed through a 70 µm strainer (VWR) and washed with cold 10 mM EDTA solution.  After centrifugation, the pellet was resuspended in cold RPMI and passed through a 40 µm strainer ready for further analyses. </w:t>
      </w:r>
    </w:p>
    <w:p w14:paraId="501C1859" w14:textId="77777777" w:rsidR="00A14B31" w:rsidRPr="00603CA8" w:rsidRDefault="00A14B31" w:rsidP="00A14B31">
      <w:pPr>
        <w:spacing w:line="360" w:lineRule="auto"/>
        <w:jc w:val="both"/>
        <w:rPr>
          <w:sz w:val="24"/>
          <w:szCs w:val="24"/>
        </w:rPr>
      </w:pPr>
      <w:r w:rsidRPr="00603CA8">
        <w:rPr>
          <w:sz w:val="24"/>
          <w:szCs w:val="24"/>
        </w:rPr>
        <w:t>To isolate the epidermis 1 cm</w:t>
      </w:r>
      <w:r w:rsidRPr="00603CA8">
        <w:rPr>
          <w:sz w:val="24"/>
          <w:szCs w:val="24"/>
          <w:vertAlign w:val="superscript"/>
        </w:rPr>
        <w:t>2</w:t>
      </w:r>
      <w:r w:rsidRPr="00603CA8">
        <w:rPr>
          <w:sz w:val="24"/>
          <w:szCs w:val="24"/>
        </w:rPr>
        <w:t xml:space="preserve"> sections of skin were placed epidermis down in a petri dish containing 5 U / ml dispase at 4ᵒC overnight.  The epidermal layer was then peeled from the dermis with forceps and chopped up and placed in an Eppendorf of 0.5 % Trypsin 0.02 % EDTA at 37ᵒC for 15 minutes.  The samples were homogenized with a Pasteur pipette and strained through a 40 µM filter and diluted and washed in FCS containing media.  The single cell suspension was then stained with cell surface marker antibodies for flow cytometry.</w:t>
      </w:r>
    </w:p>
    <w:p w14:paraId="60DEF701" w14:textId="77777777" w:rsidR="00A14B31" w:rsidRPr="00603CA8" w:rsidRDefault="00A14B31" w:rsidP="00A14B31">
      <w:pPr>
        <w:spacing w:line="360" w:lineRule="auto"/>
        <w:jc w:val="both"/>
        <w:rPr>
          <w:rFonts w:eastAsia="Times New Roman"/>
          <w:b/>
          <w:bCs/>
          <w:color w:val="0070C0"/>
          <w:sz w:val="24"/>
          <w:szCs w:val="24"/>
          <w:lang w:eastAsia="en-GB"/>
        </w:rPr>
      </w:pPr>
    </w:p>
    <w:p w14:paraId="64B6D80C" w14:textId="77777777" w:rsidR="00A14B31" w:rsidRPr="00603CA8" w:rsidRDefault="00A14B31" w:rsidP="00A14B31">
      <w:pPr>
        <w:spacing w:line="360" w:lineRule="auto"/>
        <w:jc w:val="both"/>
        <w:rPr>
          <w:sz w:val="24"/>
          <w:szCs w:val="24"/>
        </w:rPr>
      </w:pPr>
      <w:r w:rsidRPr="00603CA8">
        <w:rPr>
          <w:rFonts w:eastAsia="Times New Roman"/>
          <w:b/>
          <w:bCs/>
          <w:sz w:val="24"/>
          <w:szCs w:val="24"/>
          <w:lang w:eastAsia="en-GB"/>
        </w:rPr>
        <w:lastRenderedPageBreak/>
        <w:t>ELISpot functional assays</w:t>
      </w:r>
    </w:p>
    <w:p w14:paraId="558B39C5" w14:textId="77777777" w:rsidR="00A14B31" w:rsidRPr="00603CA8" w:rsidRDefault="00A14B31" w:rsidP="00A14B31">
      <w:pPr>
        <w:spacing w:line="360" w:lineRule="auto"/>
        <w:jc w:val="both"/>
        <w:rPr>
          <w:rFonts w:eastAsia="Times New Roman"/>
          <w:sz w:val="24"/>
          <w:szCs w:val="24"/>
          <w:lang w:eastAsia="en-GB"/>
        </w:rPr>
      </w:pPr>
      <w:r w:rsidRPr="00603CA8">
        <w:rPr>
          <w:rFonts w:eastAsia="Times New Roman"/>
          <w:sz w:val="24"/>
          <w:szCs w:val="24"/>
          <w:lang w:eastAsia="en-GB"/>
        </w:rPr>
        <w:t>CD1a reactivity was assessed by IFN</w:t>
      </w:r>
      <w:r w:rsidRPr="00783B64">
        <w:rPr>
          <w:rFonts w:ascii="Cambria Math" w:eastAsia="Times New Roman" w:hAnsi="Cambria Math" w:cs="Cambria Math"/>
          <w:sz w:val="24"/>
          <w:szCs w:val="24"/>
          <w:lang w:eastAsia="en-GB"/>
        </w:rPr>
        <w:t>‐</w:t>
      </w:r>
      <w:r w:rsidRPr="00603CA8">
        <w:rPr>
          <w:rFonts w:eastAsia="Times New Roman"/>
          <w:sz w:val="24"/>
          <w:szCs w:val="24"/>
          <w:lang w:eastAsia="en-GB"/>
        </w:rPr>
        <w:t>γ and IL-22 ELISpot (Mabtech AB).  ELISpot plates (Millipore Corp., MA) were coated with anti</w:t>
      </w:r>
      <w:r w:rsidRPr="00783B64">
        <w:rPr>
          <w:rFonts w:ascii="Cambria Math" w:eastAsia="Times New Roman" w:hAnsi="Cambria Math" w:cs="Cambria Math"/>
          <w:sz w:val="24"/>
          <w:szCs w:val="24"/>
          <w:lang w:eastAsia="en-GB"/>
        </w:rPr>
        <w:t>‐</w:t>
      </w:r>
      <w:r w:rsidRPr="00603CA8">
        <w:rPr>
          <w:rFonts w:eastAsia="Times New Roman"/>
          <w:sz w:val="24"/>
          <w:szCs w:val="24"/>
          <w:lang w:eastAsia="en-GB"/>
        </w:rPr>
        <w:t xml:space="preserve">cytokine capture antibody overnight at 4ᵒC (Mabtech AB).  ILC2 were pulsed with HDM (7 µg / ml), PLA2G4A (1 µg / ml) (with or without </w:t>
      </w:r>
      <w:r w:rsidRPr="00783B64">
        <w:rPr>
          <w:sz w:val="24"/>
          <w:szCs w:val="24"/>
        </w:rPr>
        <w:t xml:space="preserve">1 µM </w:t>
      </w:r>
      <w:r w:rsidRPr="00603CA8">
        <w:rPr>
          <w:rFonts w:eastAsia="Times New Roman"/>
          <w:sz w:val="24"/>
          <w:szCs w:val="24"/>
          <w:lang w:eastAsia="en-GB"/>
        </w:rPr>
        <w:t xml:space="preserve">inhibitor MAFP (methyl arachidonyl fluorophosphonate)) or heat-killed </w:t>
      </w:r>
      <w:r w:rsidRPr="00603CA8">
        <w:rPr>
          <w:rFonts w:eastAsia="Times New Roman"/>
          <w:i/>
          <w:sz w:val="24"/>
          <w:szCs w:val="24"/>
          <w:lang w:eastAsia="en-GB"/>
        </w:rPr>
        <w:t>S. aureus</w:t>
      </w:r>
      <w:r w:rsidRPr="00603CA8">
        <w:rPr>
          <w:rFonts w:eastAsia="Times New Roman"/>
          <w:sz w:val="24"/>
          <w:szCs w:val="24"/>
          <w:lang w:eastAsia="en-GB"/>
        </w:rPr>
        <w:t xml:space="preserve"> (10</w:t>
      </w:r>
      <w:r w:rsidRPr="00603CA8">
        <w:rPr>
          <w:rFonts w:eastAsia="Times New Roman"/>
          <w:sz w:val="24"/>
          <w:szCs w:val="24"/>
          <w:vertAlign w:val="superscript"/>
          <w:lang w:eastAsia="en-GB"/>
        </w:rPr>
        <w:t>8</w:t>
      </w:r>
      <w:r w:rsidRPr="00603CA8">
        <w:rPr>
          <w:rFonts w:eastAsia="Times New Roman"/>
          <w:sz w:val="24"/>
          <w:szCs w:val="24"/>
          <w:lang w:eastAsia="en-GB"/>
        </w:rPr>
        <w:t xml:space="preserve"> cells / ml) overnight, and were then washed and resuspended in FCS ILC2 media (RPMI supplemented with 2 mM L</w:t>
      </w:r>
      <w:r w:rsidRPr="00783B64">
        <w:rPr>
          <w:rFonts w:ascii="Cambria Math" w:eastAsia="Times New Roman" w:hAnsi="Cambria Math" w:cs="Cambria Math"/>
          <w:sz w:val="24"/>
          <w:szCs w:val="24"/>
          <w:lang w:eastAsia="en-GB"/>
        </w:rPr>
        <w:t>‐</w:t>
      </w:r>
      <w:r w:rsidRPr="00603CA8">
        <w:rPr>
          <w:rFonts w:eastAsia="Times New Roman"/>
          <w:sz w:val="24"/>
          <w:szCs w:val="24"/>
          <w:lang w:eastAsia="en-GB"/>
        </w:rPr>
        <w:t xml:space="preserve">glutamine, 100I U / mL penicillin, and 100 μg / mL streptomycin, Sodium Pyruvate, non-essential amino acids, BME, hepes, plus 10% FCS).  The plates were washed six times with RPMI-hepes and blocked for 1 h with ILC2 FCS media.  A total of 50 000 T cells were plated per well to which 50 000 ILC2 were added for co-culture with 10 µg / ml anti-HLA A,B,C (W6/32 eBioscience) and HLA-DR (L243, eBioscience) antibodies to inhibit ILC2-MHC-TCR interaction. </w:t>
      </w:r>
    </w:p>
    <w:p w14:paraId="59342C9B" w14:textId="77777777" w:rsidR="00A14B31" w:rsidRPr="00603CA8" w:rsidRDefault="00A14B31" w:rsidP="00A14B31">
      <w:pPr>
        <w:spacing w:line="360" w:lineRule="auto"/>
        <w:jc w:val="both"/>
        <w:rPr>
          <w:rFonts w:eastAsia="Times New Roman"/>
          <w:sz w:val="24"/>
          <w:szCs w:val="24"/>
          <w:lang w:eastAsia="en-GB"/>
        </w:rPr>
      </w:pPr>
      <w:r w:rsidRPr="00603CA8">
        <w:rPr>
          <w:rFonts w:eastAsia="Times New Roman"/>
          <w:sz w:val="24"/>
          <w:szCs w:val="24"/>
          <w:lang w:eastAsia="en-GB"/>
        </w:rPr>
        <w:t>In some wells 10 μg / mL anti</w:t>
      </w:r>
      <w:r w:rsidRPr="00783B64">
        <w:rPr>
          <w:rFonts w:ascii="Cambria Math" w:eastAsia="Times New Roman" w:hAnsi="Cambria Math" w:cs="Cambria Math"/>
          <w:sz w:val="24"/>
          <w:szCs w:val="24"/>
          <w:lang w:eastAsia="en-GB"/>
        </w:rPr>
        <w:t>‐</w:t>
      </w:r>
      <w:r w:rsidRPr="00603CA8">
        <w:rPr>
          <w:rFonts w:eastAsia="Times New Roman"/>
          <w:sz w:val="24"/>
          <w:szCs w:val="24"/>
          <w:lang w:eastAsia="en-GB"/>
        </w:rPr>
        <w:t>CD1a blocking antibody (OKT</w:t>
      </w:r>
      <w:r w:rsidRPr="00783B64">
        <w:rPr>
          <w:rFonts w:ascii="Cambria Math" w:eastAsia="Times New Roman" w:hAnsi="Cambria Math" w:cs="Cambria Math"/>
          <w:sz w:val="24"/>
          <w:szCs w:val="24"/>
          <w:lang w:eastAsia="en-GB"/>
        </w:rPr>
        <w:t>‐</w:t>
      </w:r>
      <w:r w:rsidRPr="00603CA8">
        <w:rPr>
          <w:rFonts w:eastAsia="Times New Roman"/>
          <w:sz w:val="24"/>
          <w:szCs w:val="24"/>
          <w:lang w:eastAsia="en-GB"/>
        </w:rPr>
        <w:t>6), 10 μg / mL IgG1 isotype control, cPLA2 inhibitor MAFP (10 µM) or anti-TLR2 (</w:t>
      </w:r>
      <w:r w:rsidRPr="00603CA8">
        <w:rPr>
          <w:sz w:val="24"/>
          <w:szCs w:val="24"/>
        </w:rPr>
        <w:t>pab-hstlr2, Invivogen</w:t>
      </w:r>
      <w:r w:rsidRPr="00603CA8">
        <w:rPr>
          <w:rFonts w:eastAsia="Times New Roman"/>
          <w:sz w:val="24"/>
          <w:szCs w:val="24"/>
          <w:lang w:eastAsia="en-GB"/>
        </w:rPr>
        <w:t>) and anti-TLR4 (</w:t>
      </w:r>
      <w:r w:rsidRPr="00603CA8">
        <w:rPr>
          <w:sz w:val="24"/>
          <w:szCs w:val="24"/>
        </w:rPr>
        <w:t>pab-hstlr4, Invivogen</w:t>
      </w:r>
      <w:r w:rsidRPr="00603CA8">
        <w:rPr>
          <w:rFonts w:eastAsia="Times New Roman"/>
          <w:sz w:val="24"/>
          <w:szCs w:val="24"/>
          <w:lang w:eastAsia="en-GB"/>
        </w:rPr>
        <w:t>) antibodies (10 µg / ml) were added to ILC2 before addition of T cells.  Wells were set</w:t>
      </w:r>
      <w:r w:rsidRPr="00783B64">
        <w:rPr>
          <w:rFonts w:ascii="Cambria Math" w:eastAsia="Times New Roman" w:hAnsi="Cambria Math" w:cs="Cambria Math"/>
          <w:sz w:val="24"/>
          <w:szCs w:val="24"/>
          <w:lang w:eastAsia="en-GB"/>
        </w:rPr>
        <w:t>‐</w:t>
      </w:r>
      <w:r w:rsidRPr="00603CA8">
        <w:rPr>
          <w:rFonts w:eastAsia="Times New Roman"/>
          <w:sz w:val="24"/>
          <w:szCs w:val="24"/>
          <w:lang w:eastAsia="en-GB"/>
        </w:rPr>
        <w:t>up in duplicate or triplicate.  Phorbol myristate acetate 10 ng / mL and Ionomycin 500 ng / mL stimulation was included as a positive controls for T cells and ILC2, and T cells alone in the absence of ILC2 and ILC2 alone were included as a negative controls.  After overnight incubation at 37°C and 5% CO</w:t>
      </w:r>
      <w:r w:rsidRPr="00603CA8">
        <w:rPr>
          <w:rFonts w:eastAsia="Times New Roman"/>
          <w:sz w:val="24"/>
          <w:szCs w:val="24"/>
          <w:vertAlign w:val="subscript"/>
          <w:lang w:eastAsia="en-GB"/>
        </w:rPr>
        <w:t>2</w:t>
      </w:r>
      <w:r w:rsidRPr="00603CA8">
        <w:rPr>
          <w:rFonts w:eastAsia="Times New Roman"/>
          <w:sz w:val="24"/>
          <w:szCs w:val="24"/>
          <w:lang w:eastAsia="en-GB"/>
        </w:rPr>
        <w:t>, culture supernatants were recovered, and plates were washed x 6 in PBS</w:t>
      </w:r>
      <w:r w:rsidRPr="00783B64">
        <w:rPr>
          <w:rFonts w:ascii="Cambria Math" w:eastAsia="Times New Roman" w:hAnsi="Cambria Math" w:cs="Cambria Math"/>
          <w:sz w:val="24"/>
          <w:szCs w:val="24"/>
          <w:lang w:eastAsia="en-GB"/>
        </w:rPr>
        <w:t>‐</w:t>
      </w:r>
      <w:r w:rsidRPr="00603CA8">
        <w:rPr>
          <w:rFonts w:eastAsia="Times New Roman"/>
          <w:sz w:val="24"/>
          <w:szCs w:val="24"/>
          <w:lang w:eastAsia="en-GB"/>
        </w:rPr>
        <w:t>Tween 0.05% and incubated with 1 μg / mL of biotin</w:t>
      </w:r>
      <w:r w:rsidRPr="00783B64">
        <w:rPr>
          <w:rFonts w:ascii="Cambria Math" w:eastAsia="Times New Roman" w:hAnsi="Cambria Math" w:cs="Cambria Math"/>
          <w:sz w:val="24"/>
          <w:szCs w:val="24"/>
          <w:lang w:eastAsia="en-GB"/>
        </w:rPr>
        <w:t>‐</w:t>
      </w:r>
      <w:r w:rsidRPr="00603CA8">
        <w:rPr>
          <w:rFonts w:eastAsia="Times New Roman"/>
          <w:sz w:val="24"/>
          <w:szCs w:val="24"/>
          <w:lang w:eastAsia="en-GB"/>
        </w:rPr>
        <w:t>linked anti</w:t>
      </w:r>
      <w:r w:rsidRPr="00783B64">
        <w:rPr>
          <w:rFonts w:ascii="Cambria Math" w:eastAsia="Times New Roman" w:hAnsi="Cambria Math" w:cs="Cambria Math"/>
          <w:sz w:val="24"/>
          <w:szCs w:val="24"/>
          <w:lang w:eastAsia="en-GB"/>
        </w:rPr>
        <w:t>‐</w:t>
      </w:r>
      <w:r w:rsidRPr="00603CA8">
        <w:rPr>
          <w:rFonts w:eastAsia="Times New Roman"/>
          <w:sz w:val="24"/>
          <w:szCs w:val="24"/>
          <w:lang w:eastAsia="en-GB"/>
        </w:rPr>
        <w:t>IFN</w:t>
      </w:r>
      <w:r w:rsidRPr="00783B64">
        <w:rPr>
          <w:rFonts w:ascii="Cambria Math" w:eastAsia="Times New Roman" w:hAnsi="Cambria Math" w:cs="Cambria Math"/>
          <w:sz w:val="24"/>
          <w:szCs w:val="24"/>
          <w:lang w:eastAsia="en-GB"/>
        </w:rPr>
        <w:t>‐</w:t>
      </w:r>
      <w:r w:rsidRPr="00603CA8">
        <w:rPr>
          <w:rFonts w:eastAsia="Times New Roman"/>
          <w:sz w:val="24"/>
          <w:szCs w:val="24"/>
          <w:lang w:eastAsia="en-GB"/>
        </w:rPr>
        <w:t>γ or anti-IL22  monoclonal antibody (Mabtech AB) for 2 h.  After washing 6 times in PBS</w:t>
      </w:r>
      <w:r w:rsidRPr="00783B64">
        <w:rPr>
          <w:rFonts w:ascii="Cambria Math" w:eastAsia="Times New Roman" w:hAnsi="Cambria Math" w:cs="Cambria Math"/>
          <w:sz w:val="24"/>
          <w:szCs w:val="24"/>
          <w:lang w:eastAsia="en-GB"/>
        </w:rPr>
        <w:t>‐</w:t>
      </w:r>
      <w:r w:rsidRPr="00603CA8">
        <w:rPr>
          <w:rFonts w:eastAsia="Times New Roman"/>
          <w:sz w:val="24"/>
          <w:szCs w:val="24"/>
          <w:lang w:eastAsia="en-GB"/>
        </w:rPr>
        <w:t>Tween 0.05%, the plates were incubated for 1 h with streptavidin</w:t>
      </w:r>
      <w:r w:rsidRPr="00783B64">
        <w:rPr>
          <w:rFonts w:ascii="Cambria Math" w:eastAsia="Times New Roman" w:hAnsi="Cambria Math" w:cs="Cambria Math"/>
          <w:sz w:val="24"/>
          <w:szCs w:val="24"/>
          <w:lang w:eastAsia="en-GB"/>
        </w:rPr>
        <w:t>‐</w:t>
      </w:r>
      <w:r w:rsidRPr="00603CA8">
        <w:rPr>
          <w:rFonts w:eastAsia="Times New Roman"/>
          <w:sz w:val="24"/>
          <w:szCs w:val="24"/>
          <w:lang w:eastAsia="en-GB"/>
        </w:rPr>
        <w:t>alkaline phosphatase (Mabtech AB). Spots were visualized using an alkaline phosphatase conjugate substrate kit (Biorad, Hercules) and enumerated using an automated ELISpot reader (Autimmun Diagnostika gmbh ELISpot Reader Classic).  Number of IFNγ or IL-22 producing T cells per 50 000 cells presented on result graphs was calculated as the total number of spots enumerated minus the number of IFNγ or IL-22 spots in the T cell alone negative control wells.</w:t>
      </w:r>
    </w:p>
    <w:p w14:paraId="41A021AE" w14:textId="77777777" w:rsidR="00A14B31" w:rsidRDefault="00A14B31" w:rsidP="00A14B31">
      <w:pPr>
        <w:pStyle w:val="Heading3"/>
        <w:spacing w:before="0" w:beforeAutospacing="0" w:after="0" w:afterAutospacing="0" w:line="360" w:lineRule="auto"/>
        <w:jc w:val="both"/>
        <w:rPr>
          <w:b w:val="0"/>
          <w:sz w:val="24"/>
          <w:szCs w:val="24"/>
        </w:rPr>
      </w:pPr>
    </w:p>
    <w:p w14:paraId="3738F537" w14:textId="7612F8F9" w:rsidR="00A14B31" w:rsidRDefault="00A14B31" w:rsidP="00A14B31">
      <w:pPr>
        <w:pStyle w:val="Heading3"/>
        <w:spacing w:before="0" w:beforeAutospacing="0" w:after="0" w:afterAutospacing="0" w:line="360" w:lineRule="auto"/>
        <w:jc w:val="both"/>
        <w:rPr>
          <w:b w:val="0"/>
          <w:sz w:val="22"/>
          <w:szCs w:val="22"/>
        </w:rPr>
      </w:pPr>
      <w:r>
        <w:rPr>
          <w:b w:val="0"/>
          <w:sz w:val="24"/>
          <w:szCs w:val="24"/>
        </w:rPr>
        <w:lastRenderedPageBreak/>
        <w:t xml:space="preserve">To assess the functional role of CD1a expressed by ILC2 we relied on the use of CD1a blocking antibody clone OKT6 and calculating the CD1a dependent response by analysing </w:t>
      </w:r>
      <w:r w:rsidRPr="00905093">
        <w:rPr>
          <w:b w:val="0"/>
          <w:sz w:val="24"/>
          <w:szCs w:val="24"/>
        </w:rPr>
        <w:t xml:space="preserve">the </w:t>
      </w:r>
      <w:r w:rsidRPr="00C77DFB">
        <w:rPr>
          <w:b w:val="0"/>
          <w:sz w:val="24"/>
          <w:szCs w:val="24"/>
        </w:rPr>
        <w:t>differential s</w:t>
      </w:r>
      <w:r w:rsidRPr="00905093">
        <w:rPr>
          <w:b w:val="0"/>
          <w:sz w:val="24"/>
          <w:szCs w:val="24"/>
        </w:rPr>
        <w:t>ignal of unblocked versus anti-</w:t>
      </w:r>
      <w:r w:rsidRPr="006B7719">
        <w:rPr>
          <w:b w:val="0"/>
          <w:sz w:val="24"/>
          <w:szCs w:val="24"/>
        </w:rPr>
        <w:t>CD1a-mAb-blocked conditions</w:t>
      </w:r>
      <w:r w:rsidRPr="00C77DFB">
        <w:rPr>
          <w:b w:val="0"/>
          <w:sz w:val="24"/>
          <w:szCs w:val="24"/>
        </w:rPr>
        <w:t xml:space="preserve">. </w:t>
      </w:r>
      <w:r>
        <w:rPr>
          <w:b w:val="0"/>
          <w:sz w:val="24"/>
          <w:szCs w:val="24"/>
        </w:rPr>
        <w:t xml:space="preserve"> </w:t>
      </w:r>
      <w:r w:rsidRPr="00C77DFB">
        <w:rPr>
          <w:b w:val="0"/>
          <w:sz w:val="24"/>
          <w:szCs w:val="24"/>
        </w:rPr>
        <w:t xml:space="preserve">The </w:t>
      </w:r>
      <w:r w:rsidRPr="00905093">
        <w:rPr>
          <w:b w:val="0"/>
          <w:sz w:val="24"/>
          <w:szCs w:val="24"/>
        </w:rPr>
        <w:t>variability</w:t>
      </w:r>
      <w:r w:rsidRPr="00C77DFB">
        <w:rPr>
          <w:b w:val="0"/>
          <w:sz w:val="24"/>
          <w:szCs w:val="24"/>
        </w:rPr>
        <w:t xml:space="preserve"> of human data and</w:t>
      </w:r>
      <w:r w:rsidRPr="00905093">
        <w:rPr>
          <w:b w:val="0"/>
          <w:sz w:val="24"/>
          <w:szCs w:val="24"/>
        </w:rPr>
        <w:t xml:space="preserve"> of the efficacy</w:t>
      </w:r>
      <w:r>
        <w:rPr>
          <w:b w:val="0"/>
          <w:sz w:val="24"/>
          <w:szCs w:val="24"/>
        </w:rPr>
        <w:t>/completeness</w:t>
      </w:r>
      <w:r w:rsidRPr="00905093">
        <w:rPr>
          <w:b w:val="0"/>
          <w:sz w:val="24"/>
          <w:szCs w:val="24"/>
        </w:rPr>
        <w:t xml:space="preserve"> of neutralising antibody experiments</w:t>
      </w:r>
      <w:r w:rsidRPr="00C77DFB">
        <w:rPr>
          <w:b w:val="0"/>
          <w:sz w:val="24"/>
          <w:szCs w:val="24"/>
        </w:rPr>
        <w:t xml:space="preserve"> was accounted for by careful replication and analysis of a number of donors</w:t>
      </w:r>
      <w:r>
        <w:rPr>
          <w:b w:val="0"/>
          <w:sz w:val="24"/>
          <w:szCs w:val="24"/>
        </w:rPr>
        <w:t xml:space="preserve"> with experiments completed on different occasions</w:t>
      </w:r>
      <w:r w:rsidRPr="00C77DFB">
        <w:rPr>
          <w:b w:val="0"/>
          <w:sz w:val="24"/>
          <w:szCs w:val="24"/>
        </w:rPr>
        <w:t>.</w:t>
      </w:r>
      <w:r>
        <w:rPr>
          <w:b w:val="0"/>
          <w:sz w:val="24"/>
          <w:szCs w:val="24"/>
        </w:rPr>
        <w:t xml:space="preserve">  Concentration of OKT6 used for blocking has been previously optimized </w:t>
      </w:r>
      <w:r w:rsidR="0093617F">
        <w:rPr>
          <w:b w:val="0"/>
          <w:sz w:val="24"/>
          <w:szCs w:val="24"/>
        </w:rPr>
        <w:fldChar w:fldCharType="begin">
          <w:fldData xml:space="preserve">PEVuZE5vdGU+PENpdGU+PEF1dGhvcj5kZSBKb25nPC9BdXRob3I+PFllYXI+MjAxNDwvWWVhcj48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</w:fldData>
        </w:fldChar>
      </w:r>
      <w:r w:rsidR="0093617F">
        <w:rPr>
          <w:b w:val="0"/>
          <w:sz w:val="24"/>
          <w:szCs w:val="24"/>
        </w:rPr>
        <w:instrText xml:space="preserve"> ADDIN EN.CITE </w:instrText>
      </w:r>
      <w:r w:rsidR="0093617F">
        <w:rPr>
          <w:b w:val="0"/>
          <w:sz w:val="24"/>
          <w:szCs w:val="24"/>
        </w:rPr>
        <w:fldChar w:fldCharType="begin">
          <w:fldData xml:space="preserve">PEVuZE5vdGU+PENpdGU+PEF1dGhvcj5kZSBKb25nPC9BdXRob3I+PFllYXI+MjAxNDwvWWVhcj48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</w:fldData>
        </w:fldChar>
      </w:r>
      <w:r w:rsidR="0093617F">
        <w:rPr>
          <w:b w:val="0"/>
          <w:sz w:val="24"/>
          <w:szCs w:val="24"/>
        </w:rPr>
        <w:instrText xml:space="preserve"> ADDIN EN.CITE.DATA </w:instrText>
      </w:r>
      <w:r w:rsidR="0093617F">
        <w:rPr>
          <w:b w:val="0"/>
          <w:sz w:val="24"/>
          <w:szCs w:val="24"/>
        </w:rPr>
      </w:r>
      <w:r w:rsidR="0093617F">
        <w:rPr>
          <w:b w:val="0"/>
          <w:sz w:val="24"/>
          <w:szCs w:val="24"/>
        </w:rPr>
        <w:fldChar w:fldCharType="end"/>
      </w:r>
      <w:r w:rsidR="0093617F">
        <w:rPr>
          <w:b w:val="0"/>
          <w:sz w:val="24"/>
          <w:szCs w:val="24"/>
        </w:rPr>
      </w:r>
      <w:r w:rsidR="0093617F">
        <w:rPr>
          <w:b w:val="0"/>
          <w:sz w:val="24"/>
          <w:szCs w:val="24"/>
        </w:rPr>
        <w:fldChar w:fldCharType="separate"/>
      </w:r>
      <w:r w:rsidR="0093617F">
        <w:rPr>
          <w:b w:val="0"/>
          <w:noProof/>
          <w:sz w:val="24"/>
          <w:szCs w:val="24"/>
        </w:rPr>
        <w:t>(</w:t>
      </w:r>
      <w:r w:rsidR="0093617F" w:rsidRPr="0093617F">
        <w:rPr>
          <w:b w:val="0"/>
          <w:i/>
          <w:noProof/>
          <w:sz w:val="24"/>
          <w:szCs w:val="24"/>
        </w:rPr>
        <w:t>8</w:t>
      </w:r>
      <w:r w:rsidR="0093617F">
        <w:rPr>
          <w:b w:val="0"/>
          <w:noProof/>
          <w:sz w:val="24"/>
          <w:szCs w:val="24"/>
        </w:rPr>
        <w:t>)</w:t>
      </w:r>
      <w:r w:rsidR="0093617F">
        <w:rPr>
          <w:b w:val="0"/>
          <w:sz w:val="24"/>
          <w:szCs w:val="24"/>
        </w:rPr>
        <w:fldChar w:fldCharType="end"/>
      </w:r>
      <w:r>
        <w:rPr>
          <w:b w:val="0"/>
          <w:sz w:val="24"/>
          <w:szCs w:val="24"/>
        </w:rPr>
        <w:t>.  Prior incubation of ILC2 with anti-CD1a preceding antigen pulsing was undertaken to aid CD1a blocking.</w:t>
      </w:r>
    </w:p>
    <w:p w14:paraId="1F241321" w14:textId="77777777" w:rsidR="00A14B31" w:rsidRPr="00C77DFB" w:rsidRDefault="00A14B31" w:rsidP="00A14B31">
      <w:pPr>
        <w:pStyle w:val="Heading3"/>
        <w:spacing w:before="0" w:beforeAutospacing="0" w:after="0" w:afterAutospacing="0" w:line="360" w:lineRule="auto"/>
        <w:jc w:val="both"/>
        <w:rPr>
          <w:b w:val="0"/>
          <w:sz w:val="24"/>
          <w:szCs w:val="24"/>
        </w:rPr>
      </w:pPr>
    </w:p>
    <w:p w14:paraId="45FE8BCA" w14:textId="77777777" w:rsidR="00A14B31" w:rsidRPr="00783B64" w:rsidRDefault="00A14B31" w:rsidP="00A14B31">
      <w:pPr>
        <w:pStyle w:val="Heading3"/>
        <w:spacing w:before="0" w:beforeAutospacing="0" w:after="0" w:afterAutospacing="0" w:line="360" w:lineRule="auto"/>
        <w:jc w:val="both"/>
        <w:rPr>
          <w:sz w:val="24"/>
          <w:szCs w:val="24"/>
        </w:rPr>
      </w:pPr>
      <w:r w:rsidRPr="00783B64">
        <w:rPr>
          <w:sz w:val="24"/>
          <w:szCs w:val="24"/>
        </w:rPr>
        <w:t>PLA2 biochemical activity assays</w:t>
      </w:r>
    </w:p>
    <w:p w14:paraId="5145A411" w14:textId="77777777" w:rsidR="00A14B31" w:rsidRPr="00783B64" w:rsidRDefault="00A14B31" w:rsidP="00A14B31">
      <w:pPr>
        <w:pStyle w:val="NormalWeb"/>
        <w:spacing w:before="0" w:line="360" w:lineRule="auto"/>
        <w:jc w:val="both"/>
      </w:pPr>
      <w:r w:rsidRPr="00783B64">
        <w:t>Cytosolic and secreted PLA</w:t>
      </w:r>
      <w:r w:rsidRPr="00783B64">
        <w:rPr>
          <w:vertAlign w:val="subscript"/>
        </w:rPr>
        <w:t>2</w:t>
      </w:r>
      <w:r w:rsidRPr="00783B64">
        <w:t xml:space="preserve"> activity of recombinant PLA2G4A, heat-killed </w:t>
      </w:r>
      <w:r w:rsidRPr="00783B64">
        <w:rPr>
          <w:i/>
        </w:rPr>
        <w:t>S. aureus</w:t>
      </w:r>
      <w:r w:rsidRPr="00783B64">
        <w:t xml:space="preserve"> preparation and ILC2 culture supernatant were measured using either a cytosolic PLA</w:t>
      </w:r>
      <w:r w:rsidRPr="00783B64">
        <w:rPr>
          <w:vertAlign w:val="subscript"/>
        </w:rPr>
        <w:t>2</w:t>
      </w:r>
      <w:r>
        <w:t xml:space="preserve"> kit (Cayman Chemicals)</w:t>
      </w:r>
      <w:r w:rsidRPr="00783B64">
        <w:t xml:space="preserve"> or a secretory PLA</w:t>
      </w:r>
      <w:r w:rsidRPr="00783B64">
        <w:rPr>
          <w:vertAlign w:val="subscript"/>
        </w:rPr>
        <w:t>2</w:t>
      </w:r>
      <w:r w:rsidRPr="00783B64">
        <w:t xml:space="preserve"> kit (Cayman Chemicals) according to the manufacturer’s protocols.  Arachidonoyl thio-PC is the substrate for cPLA</w:t>
      </w:r>
      <w:r w:rsidRPr="00783B64">
        <w:rPr>
          <w:vertAlign w:val="subscript"/>
        </w:rPr>
        <w:t>2</w:t>
      </w:r>
      <w:r w:rsidRPr="00783B64">
        <w:t xml:space="preserve"> and hydrolysis of the arachidonoyl thioester bond at the sn-2 position by cPLA</w:t>
      </w:r>
      <w:r w:rsidRPr="00783B64">
        <w:rPr>
          <w:vertAlign w:val="subscript"/>
        </w:rPr>
        <w:t>2</w:t>
      </w:r>
      <w:r w:rsidRPr="00783B64">
        <w:t xml:space="preserve"> releases a free thiol which can be detected by DTNB (5,5′-dithiobis[2-nitrobenzoic acid]) producing a colored precipitate. </w:t>
      </w:r>
      <w:r>
        <w:t xml:space="preserve"> </w:t>
      </w:r>
      <w:r w:rsidRPr="00783B64">
        <w:t>For the sPLA</w:t>
      </w:r>
      <w:r w:rsidRPr="00783B64">
        <w:rPr>
          <w:vertAlign w:val="subscript"/>
        </w:rPr>
        <w:t>2</w:t>
      </w:r>
      <w:r w:rsidRPr="00783B64">
        <w:t xml:space="preserve"> kit in the presence of PLA2, cleavage of the substrate (diheptanoyl thio-PC) at the sn-2 position results in release of the thiol group.  In both assays absorbance was measured with a spectrophotometer (Clariostar) (wavelength 414 nm) to give a measure of PLA2 activity. </w:t>
      </w:r>
    </w:p>
    <w:p w14:paraId="77B3F84A" w14:textId="77777777" w:rsidR="00A14B31" w:rsidRDefault="00A14B31" w:rsidP="00A14B31">
      <w:pPr>
        <w:spacing w:line="360" w:lineRule="auto"/>
        <w:jc w:val="both"/>
        <w:rPr>
          <w:rFonts w:eastAsia="Times New Roman"/>
          <w:b/>
          <w:sz w:val="24"/>
          <w:szCs w:val="24"/>
          <w:lang w:eastAsia="en-GB"/>
        </w:rPr>
      </w:pPr>
    </w:p>
    <w:p w14:paraId="4E492019" w14:textId="77777777" w:rsidR="00A14B31" w:rsidRPr="00603CA8" w:rsidRDefault="00A14B31" w:rsidP="00A14B31">
      <w:pPr>
        <w:spacing w:line="360" w:lineRule="auto"/>
        <w:jc w:val="both"/>
        <w:rPr>
          <w:rFonts w:eastAsia="Times New Roman"/>
          <w:b/>
          <w:sz w:val="24"/>
          <w:szCs w:val="24"/>
          <w:lang w:eastAsia="en-GB"/>
        </w:rPr>
      </w:pPr>
      <w:r w:rsidRPr="00603CA8">
        <w:rPr>
          <w:rFonts w:eastAsia="Times New Roman"/>
          <w:b/>
          <w:sz w:val="24"/>
          <w:szCs w:val="24"/>
          <w:lang w:eastAsia="en-GB"/>
        </w:rPr>
        <w:t>Statistical analysis</w:t>
      </w:r>
    </w:p>
    <w:p w14:paraId="66614A9A" w14:textId="77777777" w:rsidR="00A14B31" w:rsidRDefault="00A14B31" w:rsidP="00A14B31">
      <w:pPr>
        <w:spacing w:line="360" w:lineRule="auto"/>
        <w:jc w:val="both"/>
        <w:rPr>
          <w:rFonts w:eastAsia="Times New Roman"/>
          <w:sz w:val="24"/>
          <w:szCs w:val="24"/>
          <w:lang w:eastAsia="en-GB"/>
        </w:rPr>
      </w:pPr>
      <w:r>
        <w:rPr>
          <w:rFonts w:eastAsia="Times New Roman"/>
          <w:sz w:val="24"/>
          <w:szCs w:val="24"/>
          <w:lang w:eastAsia="en-GB"/>
        </w:rPr>
        <w:t>The one-way ANOVA tests with Tukey’s multiple comparison tests (alpha 0.05), and paired and unpaired two-tailed T-tests were performed using GraphPad Prism version 6.00 (GraphPad Software), as indicated in the figure legends.  Error bars represent standard deviation of the mean. The number of biological replicates and number of times the experiments were independently performed are recorded in the figure legends. Exact p values are given in the supplementary source data file (Table S1).</w:t>
      </w:r>
    </w:p>
    <w:p w14:paraId="3D77E8E3" w14:textId="77777777" w:rsidR="00A14B31" w:rsidRPr="00E13E71" w:rsidRDefault="00A14B31" w:rsidP="00A14B31">
      <w:pPr>
        <w:pStyle w:val="Refhead"/>
        <w:spacing w:line="360" w:lineRule="auto"/>
        <w:jc w:val="both"/>
      </w:pPr>
    </w:p>
    <w:p w14:paraId="4F69A810" w14:textId="075B3BC0" w:rsidR="007F616D" w:rsidRPr="00F14A82" w:rsidRDefault="00A14B31" w:rsidP="00F14A82">
      <w:pPr>
        <w:rPr>
          <w:sz w:val="24"/>
          <w:szCs w:val="24"/>
        </w:rPr>
      </w:pPr>
      <w:r>
        <w:rPr>
          <w:sz w:val="24"/>
          <w:szCs w:val="24"/>
        </w:rPr>
        <w:br w:type="page"/>
      </w:r>
      <w:bookmarkStart w:id="0" w:name="_GoBack"/>
      <w:bookmarkEnd w:id="0"/>
      <w:r w:rsidRPr="00A14B31">
        <w:rPr>
          <w:b/>
          <w:sz w:val="24"/>
          <w:szCs w:val="24"/>
        </w:rPr>
        <w:lastRenderedPageBreak/>
        <w:t>References</w:t>
      </w:r>
    </w:p>
    <w:p w14:paraId="23614674" w14:textId="77777777" w:rsidR="00A14B31" w:rsidRDefault="00A14B31" w:rsidP="008F3E3D">
      <w:pPr>
        <w:jc w:val="both"/>
        <w:rPr>
          <w:sz w:val="24"/>
          <w:szCs w:val="24"/>
        </w:rPr>
      </w:pPr>
    </w:p>
    <w:p w14:paraId="2FCEA9CC" w14:textId="77777777" w:rsidR="0093617F" w:rsidRDefault="0093617F" w:rsidP="008F3E3D">
      <w:pPr>
        <w:jc w:val="both"/>
        <w:rPr>
          <w:sz w:val="24"/>
          <w:szCs w:val="24"/>
        </w:rPr>
      </w:pPr>
    </w:p>
    <w:p w14:paraId="1F67E5E0" w14:textId="77777777" w:rsidR="0093617F" w:rsidRDefault="0093617F" w:rsidP="008F3E3D">
      <w:pPr>
        <w:jc w:val="both"/>
        <w:rPr>
          <w:sz w:val="24"/>
          <w:szCs w:val="24"/>
        </w:rPr>
      </w:pPr>
    </w:p>
    <w:p w14:paraId="3C62A9B3" w14:textId="77777777" w:rsidR="006B5873" w:rsidRPr="006B5873" w:rsidRDefault="0093617F" w:rsidP="006B5873">
      <w:pPr>
        <w:pStyle w:val="EndNoteBibliography"/>
        <w:spacing w:after="0"/>
        <w:ind w:left="720" w:hanging="720"/>
      </w:pPr>
      <w:r>
        <w:rPr>
          <w:sz w:val="24"/>
          <w:szCs w:val="24"/>
        </w:rPr>
        <w:fldChar w:fldCharType="begin"/>
      </w:r>
      <w:r>
        <w:rPr>
          <w:sz w:val="24"/>
          <w:szCs w:val="24"/>
        </w:rPr>
        <w:instrText xml:space="preserve"> ADDIN EN.REFLIST </w:instrText>
      </w:r>
      <w:r>
        <w:rPr>
          <w:sz w:val="24"/>
          <w:szCs w:val="24"/>
        </w:rPr>
        <w:fldChar w:fldCharType="separate"/>
      </w:r>
      <w:r w:rsidR="006B5873" w:rsidRPr="006B5873">
        <w:t>1.</w:t>
      </w:r>
      <w:r w:rsidR="006B5873" w:rsidRPr="006B5873">
        <w:tab/>
        <w:t xml:space="preserve">S. Subramaniam, A. Aslam, S.A. Misbah, M. Salio, V. Cerundolo, D.B. Moody, G. Ogg, Elevated and cross-responsive CD1a-reactive T cells in bee and wasp venom allergic individuals. </w:t>
      </w:r>
      <w:r w:rsidR="006B5873" w:rsidRPr="006B5873">
        <w:rPr>
          <w:i/>
        </w:rPr>
        <w:t>Eur J Immunol</w:t>
      </w:r>
      <w:r w:rsidR="006B5873" w:rsidRPr="006B5873">
        <w:t xml:space="preserve"> </w:t>
      </w:r>
      <w:r w:rsidR="006B5873" w:rsidRPr="006B5873">
        <w:rPr>
          <w:b/>
        </w:rPr>
        <w:t>46</w:t>
      </w:r>
      <w:r w:rsidR="006B5873" w:rsidRPr="006B5873">
        <w:t>, 242-252 (2016).</w:t>
      </w:r>
    </w:p>
    <w:p w14:paraId="00725747" w14:textId="77777777" w:rsidR="006B5873" w:rsidRPr="006B5873" w:rsidRDefault="006B5873" w:rsidP="006B5873">
      <w:pPr>
        <w:pStyle w:val="EndNoteBibliography"/>
        <w:spacing w:after="0"/>
        <w:ind w:left="720" w:hanging="720"/>
      </w:pPr>
      <w:r w:rsidRPr="006B5873">
        <w:t>2.</w:t>
      </w:r>
      <w:r w:rsidRPr="006B5873">
        <w:tab/>
        <w:t xml:space="preserve">A. Dobin, C.A. Davis, F. Schlesinger, J. Drenkow, C. Zaleski, S. Jha, P. Batut, M. Chaisson, T.R. Gingeras, STAR: ultrafast universal RNA-seq aligner. </w:t>
      </w:r>
      <w:r w:rsidRPr="006B5873">
        <w:rPr>
          <w:i/>
        </w:rPr>
        <w:t>Bioinformatics</w:t>
      </w:r>
      <w:r w:rsidRPr="006B5873">
        <w:t xml:space="preserve"> </w:t>
      </w:r>
      <w:r w:rsidRPr="006B5873">
        <w:rPr>
          <w:b/>
        </w:rPr>
        <w:t>29</w:t>
      </w:r>
      <w:r w:rsidRPr="006B5873">
        <w:t>, 15-21 (2013).</w:t>
      </w:r>
    </w:p>
    <w:p w14:paraId="08E1F5EE" w14:textId="77777777" w:rsidR="006B5873" w:rsidRPr="006B5873" w:rsidRDefault="006B5873" w:rsidP="006B5873">
      <w:pPr>
        <w:pStyle w:val="EndNoteBibliography"/>
        <w:spacing w:after="0"/>
        <w:ind w:left="720" w:hanging="720"/>
      </w:pPr>
      <w:r w:rsidRPr="006B5873">
        <w:t>3.</w:t>
      </w:r>
      <w:r w:rsidRPr="006B5873">
        <w:tab/>
        <w:t xml:space="preserve">H. Li, B. Handsaker, A. Wysoker, T. Fennell, J. Ruan, N. Homer, G. Marth, G. Abecasis, R. Durbin, S. Genome Project Data Processing, The Sequence Alignment/Map format and SAMtools. </w:t>
      </w:r>
      <w:r w:rsidRPr="006B5873">
        <w:rPr>
          <w:i/>
        </w:rPr>
        <w:t>Bioinformatics</w:t>
      </w:r>
      <w:r w:rsidRPr="006B5873">
        <w:t xml:space="preserve"> </w:t>
      </w:r>
      <w:r w:rsidRPr="006B5873">
        <w:rPr>
          <w:b/>
        </w:rPr>
        <w:t>25</w:t>
      </w:r>
      <w:r w:rsidRPr="006B5873">
        <w:t>, 2078-2079 (2009).</w:t>
      </w:r>
    </w:p>
    <w:p w14:paraId="0F874617" w14:textId="77777777" w:rsidR="006B5873" w:rsidRPr="006B5873" w:rsidRDefault="006B5873" w:rsidP="006B5873">
      <w:pPr>
        <w:pStyle w:val="EndNoteBibliography"/>
        <w:spacing w:after="0"/>
        <w:ind w:left="720" w:hanging="720"/>
      </w:pPr>
      <w:r w:rsidRPr="006B5873">
        <w:t>4.</w:t>
      </w:r>
      <w:r w:rsidRPr="006B5873">
        <w:tab/>
        <w:t xml:space="preserve">Y. Liao, G.K. Smyth, W. Shi, featureCounts: an efficient general purpose program for assigning sequence reads to genomic features. </w:t>
      </w:r>
      <w:r w:rsidRPr="006B5873">
        <w:rPr>
          <w:i/>
        </w:rPr>
        <w:t>Bioinformatics</w:t>
      </w:r>
      <w:r w:rsidRPr="006B5873">
        <w:t xml:space="preserve"> </w:t>
      </w:r>
      <w:r w:rsidRPr="006B5873">
        <w:rPr>
          <w:b/>
        </w:rPr>
        <w:t>30</w:t>
      </w:r>
      <w:r w:rsidRPr="006B5873">
        <w:t>, 923-930 (2014).</w:t>
      </w:r>
    </w:p>
    <w:p w14:paraId="2029DB84" w14:textId="77777777" w:rsidR="006B5873" w:rsidRPr="006B5873" w:rsidRDefault="006B5873" w:rsidP="006B5873">
      <w:pPr>
        <w:pStyle w:val="EndNoteBibliography"/>
        <w:spacing w:after="0"/>
        <w:ind w:left="720" w:hanging="720"/>
      </w:pPr>
      <w:r w:rsidRPr="006B5873">
        <w:t>5.</w:t>
      </w:r>
      <w:r w:rsidRPr="006B5873">
        <w:tab/>
        <w:t xml:space="preserve">Y. Liao, G.K. Smyth, W. Shi, The Subread aligner: fast, accurate and scalable read mapping by seed-and-vote. </w:t>
      </w:r>
      <w:r w:rsidRPr="006B5873">
        <w:rPr>
          <w:i/>
        </w:rPr>
        <w:t>Nucleic Acids Res</w:t>
      </w:r>
      <w:r w:rsidRPr="006B5873">
        <w:t xml:space="preserve"> </w:t>
      </w:r>
      <w:r w:rsidRPr="006B5873">
        <w:rPr>
          <w:b/>
        </w:rPr>
        <w:t>41</w:t>
      </w:r>
      <w:r w:rsidRPr="006B5873">
        <w:t>, e108 (2013).</w:t>
      </w:r>
    </w:p>
    <w:p w14:paraId="55F738F2" w14:textId="77777777" w:rsidR="006B5873" w:rsidRPr="006B5873" w:rsidRDefault="006B5873" w:rsidP="006B5873">
      <w:pPr>
        <w:pStyle w:val="EndNoteBibliography"/>
        <w:spacing w:after="0"/>
        <w:ind w:left="720" w:hanging="720"/>
      </w:pPr>
      <w:r w:rsidRPr="006B5873">
        <w:t>6.</w:t>
      </w:r>
      <w:r w:rsidRPr="006B5873">
        <w:tab/>
        <w:t xml:space="preserve">M.D. Robinson, D.J. McCarthy, G.K. Smyth, edgeR: a Bioconductor package for differential expression analysis of digital gene expression data. </w:t>
      </w:r>
      <w:r w:rsidRPr="006B5873">
        <w:rPr>
          <w:i/>
        </w:rPr>
        <w:t>Bioinformatics</w:t>
      </w:r>
      <w:r w:rsidRPr="006B5873">
        <w:t xml:space="preserve"> </w:t>
      </w:r>
      <w:r w:rsidRPr="006B5873">
        <w:rPr>
          <w:b/>
        </w:rPr>
        <w:t>26</w:t>
      </w:r>
      <w:r w:rsidRPr="006B5873">
        <w:t>, 139-140 (2010).</w:t>
      </w:r>
    </w:p>
    <w:p w14:paraId="14B2E714" w14:textId="77777777" w:rsidR="006B5873" w:rsidRPr="006B5873" w:rsidRDefault="006B5873" w:rsidP="006B5873">
      <w:pPr>
        <w:pStyle w:val="EndNoteBibliography"/>
        <w:spacing w:after="0"/>
        <w:ind w:left="720" w:hanging="720"/>
      </w:pPr>
      <w:r w:rsidRPr="006B5873">
        <w:t>7.</w:t>
      </w:r>
      <w:r w:rsidRPr="006B5873">
        <w:tab/>
        <w:t xml:space="preserve">M. Salimi, J.L. Barlow, S.P. Saunders, L. Xue, D. Gutowska-Owsiak, X. Wang, L.C. Huang, D. Johnson, S.T. Scanlon, A.N. McKenzie, P.G. Fallon, G.S. Ogg, A role for IL-25 and IL-33-driven type-2 innate lymphoid cells in atopic dermatitis. </w:t>
      </w:r>
      <w:r w:rsidRPr="006B5873">
        <w:rPr>
          <w:i/>
        </w:rPr>
        <w:t>J Exp Med</w:t>
      </w:r>
      <w:r w:rsidRPr="006B5873">
        <w:t xml:space="preserve"> </w:t>
      </w:r>
      <w:r w:rsidRPr="006B5873">
        <w:rPr>
          <w:b/>
        </w:rPr>
        <w:t>210</w:t>
      </w:r>
      <w:r w:rsidRPr="006B5873">
        <w:t>, 2939-2950 (2013).</w:t>
      </w:r>
    </w:p>
    <w:p w14:paraId="645E0B4A" w14:textId="77777777" w:rsidR="006B5873" w:rsidRPr="006B5873" w:rsidRDefault="006B5873" w:rsidP="006B5873">
      <w:pPr>
        <w:pStyle w:val="EndNoteBibliography"/>
        <w:ind w:left="720" w:hanging="720"/>
      </w:pPr>
      <w:r w:rsidRPr="006B5873">
        <w:t>8.</w:t>
      </w:r>
      <w:r w:rsidRPr="006B5873">
        <w:tab/>
        <w:t xml:space="preserve">A. de Jong, T.Y. Cheng, S. Huang, S. Gras, R.W. Birkinshaw, A.G. Kasmar, I. Van Rhijn, V. Pena-Cruz, D.T. Ruan, J.D. Altman, J. Rossjohn, D.B. Moody, CD1a-autoreactive T cells recognize natural skin oils that function as headless antigens. </w:t>
      </w:r>
      <w:r w:rsidRPr="006B5873">
        <w:rPr>
          <w:i/>
        </w:rPr>
        <w:t>Nat Immunol</w:t>
      </w:r>
      <w:r w:rsidRPr="006B5873">
        <w:t xml:space="preserve"> </w:t>
      </w:r>
      <w:r w:rsidRPr="006B5873">
        <w:rPr>
          <w:b/>
        </w:rPr>
        <w:t>15</w:t>
      </w:r>
      <w:r w:rsidRPr="006B5873">
        <w:t>, 177-185 (2014).</w:t>
      </w:r>
    </w:p>
    <w:p w14:paraId="434E7BBF" w14:textId="73176A83" w:rsidR="00A14B31" w:rsidRPr="003B5597" w:rsidRDefault="0093617F" w:rsidP="008F3E3D">
      <w:pPr>
        <w:jc w:val="both"/>
        <w:rPr>
          <w:sz w:val="24"/>
          <w:szCs w:val="24"/>
        </w:rPr>
      </w:pPr>
      <w:r>
        <w:rPr>
          <w:sz w:val="24"/>
          <w:szCs w:val="24"/>
        </w:rPr>
        <w:fldChar w:fldCharType="end"/>
      </w:r>
    </w:p>
    <w:sectPr w:rsidR="00A14B31" w:rsidRPr="003B5597" w:rsidSect="00EF5B09">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MinionProUnic">
    <w:altName w:val="MS Mincho"/>
    <w:panose1 w:val="00000000000000000000"/>
    <w:charset w:val="80"/>
    <w:family w:val="roman"/>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Science Translational M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dezdt9kz05etedrx3pvvtise5erxt9x00r&quot;&gt;CD1a ILC2 library&lt;record-ids&gt;&lt;item&gt;3&lt;/item&gt;&lt;item&gt;9&lt;/item&gt;&lt;item&gt;36&lt;/item&gt;&lt;item&gt;82&lt;/item&gt;&lt;item&gt;83&lt;/item&gt;&lt;item&gt;84&lt;/item&gt;&lt;item&gt;86&lt;/item&gt;&lt;item&gt;87&lt;/item&gt;&lt;/record-ids&gt;&lt;/item&gt;&lt;/Libraries&gt;"/>
  </w:docVars>
  <w:rsids>
    <w:rsidRoot w:val="005A3FCD"/>
    <w:rsid w:val="00003DC8"/>
    <w:rsid w:val="000054DD"/>
    <w:rsid w:val="0000585F"/>
    <w:rsid w:val="0000648F"/>
    <w:rsid w:val="00013E9E"/>
    <w:rsid w:val="00016D5D"/>
    <w:rsid w:val="0002160B"/>
    <w:rsid w:val="00030934"/>
    <w:rsid w:val="000339AF"/>
    <w:rsid w:val="000406DE"/>
    <w:rsid w:val="00042D41"/>
    <w:rsid w:val="00044457"/>
    <w:rsid w:val="000452E6"/>
    <w:rsid w:val="00055C7E"/>
    <w:rsid w:val="00060243"/>
    <w:rsid w:val="00062EBA"/>
    <w:rsid w:val="00064197"/>
    <w:rsid w:val="00064762"/>
    <w:rsid w:val="00067B0A"/>
    <w:rsid w:val="000726DB"/>
    <w:rsid w:val="00082F30"/>
    <w:rsid w:val="000867DD"/>
    <w:rsid w:val="00091C7E"/>
    <w:rsid w:val="00092DDA"/>
    <w:rsid w:val="00093826"/>
    <w:rsid w:val="00095BB4"/>
    <w:rsid w:val="00096E87"/>
    <w:rsid w:val="00096FA8"/>
    <w:rsid w:val="000A5A39"/>
    <w:rsid w:val="000B0BFE"/>
    <w:rsid w:val="000B61CE"/>
    <w:rsid w:val="000B6C25"/>
    <w:rsid w:val="000D5802"/>
    <w:rsid w:val="000F251E"/>
    <w:rsid w:val="000F5B32"/>
    <w:rsid w:val="000F704C"/>
    <w:rsid w:val="001019E8"/>
    <w:rsid w:val="0010395D"/>
    <w:rsid w:val="001061C6"/>
    <w:rsid w:val="0010651B"/>
    <w:rsid w:val="001078B3"/>
    <w:rsid w:val="00115179"/>
    <w:rsid w:val="001206CD"/>
    <w:rsid w:val="0012673C"/>
    <w:rsid w:val="001279AF"/>
    <w:rsid w:val="00136495"/>
    <w:rsid w:val="00145C21"/>
    <w:rsid w:val="001538E8"/>
    <w:rsid w:val="001572E1"/>
    <w:rsid w:val="00160AB1"/>
    <w:rsid w:val="00163D51"/>
    <w:rsid w:val="00176029"/>
    <w:rsid w:val="00177090"/>
    <w:rsid w:val="00180194"/>
    <w:rsid w:val="00180410"/>
    <w:rsid w:val="001931BA"/>
    <w:rsid w:val="00196152"/>
    <w:rsid w:val="001A23CB"/>
    <w:rsid w:val="001B2B59"/>
    <w:rsid w:val="001B3218"/>
    <w:rsid w:val="001C18AD"/>
    <w:rsid w:val="001C3929"/>
    <w:rsid w:val="001D5C87"/>
    <w:rsid w:val="001E1CE0"/>
    <w:rsid w:val="001E54DB"/>
    <w:rsid w:val="001E7555"/>
    <w:rsid w:val="001F0B15"/>
    <w:rsid w:val="001F42A1"/>
    <w:rsid w:val="001F4535"/>
    <w:rsid w:val="001F6AA8"/>
    <w:rsid w:val="002051F0"/>
    <w:rsid w:val="00206C21"/>
    <w:rsid w:val="00214FC0"/>
    <w:rsid w:val="002178A3"/>
    <w:rsid w:val="00221473"/>
    <w:rsid w:val="00222F90"/>
    <w:rsid w:val="002323FD"/>
    <w:rsid w:val="00232DD6"/>
    <w:rsid w:val="00235001"/>
    <w:rsid w:val="002357C2"/>
    <w:rsid w:val="00240619"/>
    <w:rsid w:val="00246B3B"/>
    <w:rsid w:val="002517B6"/>
    <w:rsid w:val="00251F07"/>
    <w:rsid w:val="00255D61"/>
    <w:rsid w:val="00256DD5"/>
    <w:rsid w:val="00262A43"/>
    <w:rsid w:val="00271777"/>
    <w:rsid w:val="00273FFC"/>
    <w:rsid w:val="00281B9B"/>
    <w:rsid w:val="002A183D"/>
    <w:rsid w:val="002A3ED8"/>
    <w:rsid w:val="002B3C6E"/>
    <w:rsid w:val="002B48A5"/>
    <w:rsid w:val="002B4DB2"/>
    <w:rsid w:val="002B6656"/>
    <w:rsid w:val="002B6E7F"/>
    <w:rsid w:val="002C460A"/>
    <w:rsid w:val="002C74BB"/>
    <w:rsid w:val="002D1048"/>
    <w:rsid w:val="002D10BD"/>
    <w:rsid w:val="002D669C"/>
    <w:rsid w:val="002E16CA"/>
    <w:rsid w:val="002E6C5D"/>
    <w:rsid w:val="003003A9"/>
    <w:rsid w:val="00302774"/>
    <w:rsid w:val="00306179"/>
    <w:rsid w:val="00310604"/>
    <w:rsid w:val="0031138E"/>
    <w:rsid w:val="0031244C"/>
    <w:rsid w:val="00314023"/>
    <w:rsid w:val="0031597C"/>
    <w:rsid w:val="00317EA6"/>
    <w:rsid w:val="0032147A"/>
    <w:rsid w:val="00333C21"/>
    <w:rsid w:val="00335795"/>
    <w:rsid w:val="00336C2E"/>
    <w:rsid w:val="00337FA1"/>
    <w:rsid w:val="00340711"/>
    <w:rsid w:val="00343B74"/>
    <w:rsid w:val="00346523"/>
    <w:rsid w:val="00350D5F"/>
    <w:rsid w:val="00351BEB"/>
    <w:rsid w:val="003576A7"/>
    <w:rsid w:val="00362793"/>
    <w:rsid w:val="00363F0F"/>
    <w:rsid w:val="0036662C"/>
    <w:rsid w:val="00367E69"/>
    <w:rsid w:val="003733DA"/>
    <w:rsid w:val="0037569A"/>
    <w:rsid w:val="00385A7C"/>
    <w:rsid w:val="00385D50"/>
    <w:rsid w:val="00396BAA"/>
    <w:rsid w:val="00397200"/>
    <w:rsid w:val="00397590"/>
    <w:rsid w:val="003A1F81"/>
    <w:rsid w:val="003A2196"/>
    <w:rsid w:val="003A74D8"/>
    <w:rsid w:val="003B0896"/>
    <w:rsid w:val="003B504D"/>
    <w:rsid w:val="003B5597"/>
    <w:rsid w:val="003B6222"/>
    <w:rsid w:val="003B66D5"/>
    <w:rsid w:val="003B6FF0"/>
    <w:rsid w:val="003C0DD2"/>
    <w:rsid w:val="003C1CCD"/>
    <w:rsid w:val="003C31A8"/>
    <w:rsid w:val="003C725B"/>
    <w:rsid w:val="003D214F"/>
    <w:rsid w:val="003D59FF"/>
    <w:rsid w:val="003E26EE"/>
    <w:rsid w:val="003E75CA"/>
    <w:rsid w:val="003F51A5"/>
    <w:rsid w:val="003F52A7"/>
    <w:rsid w:val="003F7B49"/>
    <w:rsid w:val="00400D6D"/>
    <w:rsid w:val="00404E20"/>
    <w:rsid w:val="00405E03"/>
    <w:rsid w:val="00413713"/>
    <w:rsid w:val="00415764"/>
    <w:rsid w:val="00423732"/>
    <w:rsid w:val="00425C63"/>
    <w:rsid w:val="004332DC"/>
    <w:rsid w:val="00434A04"/>
    <w:rsid w:val="0044246E"/>
    <w:rsid w:val="0044401C"/>
    <w:rsid w:val="00445B0F"/>
    <w:rsid w:val="00447578"/>
    <w:rsid w:val="0046199F"/>
    <w:rsid w:val="00467494"/>
    <w:rsid w:val="00470FAF"/>
    <w:rsid w:val="004711A3"/>
    <w:rsid w:val="00471307"/>
    <w:rsid w:val="00471704"/>
    <w:rsid w:val="00471D6F"/>
    <w:rsid w:val="00473083"/>
    <w:rsid w:val="0047770E"/>
    <w:rsid w:val="00481669"/>
    <w:rsid w:val="00484D85"/>
    <w:rsid w:val="0049223A"/>
    <w:rsid w:val="00493536"/>
    <w:rsid w:val="00494E23"/>
    <w:rsid w:val="00495972"/>
    <w:rsid w:val="004962E3"/>
    <w:rsid w:val="004A3EB1"/>
    <w:rsid w:val="004B01D3"/>
    <w:rsid w:val="004B4864"/>
    <w:rsid w:val="004B6C50"/>
    <w:rsid w:val="004C1084"/>
    <w:rsid w:val="004C1A59"/>
    <w:rsid w:val="004C57E1"/>
    <w:rsid w:val="004C63F8"/>
    <w:rsid w:val="004C6D83"/>
    <w:rsid w:val="004C7DB1"/>
    <w:rsid w:val="004D6579"/>
    <w:rsid w:val="004E2FE8"/>
    <w:rsid w:val="004F3928"/>
    <w:rsid w:val="004F465A"/>
    <w:rsid w:val="00505714"/>
    <w:rsid w:val="00513EF2"/>
    <w:rsid w:val="00520A3A"/>
    <w:rsid w:val="0052195A"/>
    <w:rsid w:val="00522DE2"/>
    <w:rsid w:val="00523B5D"/>
    <w:rsid w:val="00524EE8"/>
    <w:rsid w:val="00532E0F"/>
    <w:rsid w:val="00535164"/>
    <w:rsid w:val="00535928"/>
    <w:rsid w:val="00535A56"/>
    <w:rsid w:val="00535BA5"/>
    <w:rsid w:val="00536C28"/>
    <w:rsid w:val="00541160"/>
    <w:rsid w:val="00541E5B"/>
    <w:rsid w:val="0054541C"/>
    <w:rsid w:val="0055215D"/>
    <w:rsid w:val="005540CF"/>
    <w:rsid w:val="005561E5"/>
    <w:rsid w:val="00556291"/>
    <w:rsid w:val="00556701"/>
    <w:rsid w:val="00557904"/>
    <w:rsid w:val="00557AE3"/>
    <w:rsid w:val="00560F0D"/>
    <w:rsid w:val="00563C55"/>
    <w:rsid w:val="005662D8"/>
    <w:rsid w:val="005677A5"/>
    <w:rsid w:val="00573342"/>
    <w:rsid w:val="0057427B"/>
    <w:rsid w:val="00574ACE"/>
    <w:rsid w:val="005757E5"/>
    <w:rsid w:val="0057618F"/>
    <w:rsid w:val="00581454"/>
    <w:rsid w:val="00582D6E"/>
    <w:rsid w:val="00584047"/>
    <w:rsid w:val="00593558"/>
    <w:rsid w:val="005952FC"/>
    <w:rsid w:val="005A04DA"/>
    <w:rsid w:val="005A1458"/>
    <w:rsid w:val="005A1785"/>
    <w:rsid w:val="005A3FCD"/>
    <w:rsid w:val="005A4AD2"/>
    <w:rsid w:val="005A5CD5"/>
    <w:rsid w:val="005A7665"/>
    <w:rsid w:val="005B2FCA"/>
    <w:rsid w:val="005B47B9"/>
    <w:rsid w:val="005B7829"/>
    <w:rsid w:val="005C07AC"/>
    <w:rsid w:val="005C1E37"/>
    <w:rsid w:val="005C2351"/>
    <w:rsid w:val="005C5119"/>
    <w:rsid w:val="005C6F2C"/>
    <w:rsid w:val="005D11A7"/>
    <w:rsid w:val="005E430A"/>
    <w:rsid w:val="005E5289"/>
    <w:rsid w:val="005E61D9"/>
    <w:rsid w:val="005F237B"/>
    <w:rsid w:val="005F321C"/>
    <w:rsid w:val="005F4159"/>
    <w:rsid w:val="005F642A"/>
    <w:rsid w:val="00602252"/>
    <w:rsid w:val="0060233C"/>
    <w:rsid w:val="006107AC"/>
    <w:rsid w:val="00612984"/>
    <w:rsid w:val="006157DF"/>
    <w:rsid w:val="00617E3F"/>
    <w:rsid w:val="00621CD3"/>
    <w:rsid w:val="00623820"/>
    <w:rsid w:val="00625BA2"/>
    <w:rsid w:val="00635A84"/>
    <w:rsid w:val="006439B2"/>
    <w:rsid w:val="006511FB"/>
    <w:rsid w:val="00653E03"/>
    <w:rsid w:val="006553BF"/>
    <w:rsid w:val="00656676"/>
    <w:rsid w:val="006615F0"/>
    <w:rsid w:val="00674CC3"/>
    <w:rsid w:val="00681607"/>
    <w:rsid w:val="0069529E"/>
    <w:rsid w:val="006A3BDA"/>
    <w:rsid w:val="006A4A83"/>
    <w:rsid w:val="006B5873"/>
    <w:rsid w:val="006C33A7"/>
    <w:rsid w:val="006D0E22"/>
    <w:rsid w:val="006D4CF6"/>
    <w:rsid w:val="006E0214"/>
    <w:rsid w:val="006E1442"/>
    <w:rsid w:val="006F37E8"/>
    <w:rsid w:val="00700E70"/>
    <w:rsid w:val="00705D5E"/>
    <w:rsid w:val="007060F5"/>
    <w:rsid w:val="00707C24"/>
    <w:rsid w:val="00712446"/>
    <w:rsid w:val="00713318"/>
    <w:rsid w:val="00714616"/>
    <w:rsid w:val="007155B4"/>
    <w:rsid w:val="00717B50"/>
    <w:rsid w:val="007215D9"/>
    <w:rsid w:val="00731C9E"/>
    <w:rsid w:val="007328C0"/>
    <w:rsid w:val="007329BF"/>
    <w:rsid w:val="00733CB3"/>
    <w:rsid w:val="0073557A"/>
    <w:rsid w:val="00740EA9"/>
    <w:rsid w:val="0074532B"/>
    <w:rsid w:val="007467E3"/>
    <w:rsid w:val="00747277"/>
    <w:rsid w:val="00751131"/>
    <w:rsid w:val="00753E69"/>
    <w:rsid w:val="0076111C"/>
    <w:rsid w:val="00765BD5"/>
    <w:rsid w:val="00767887"/>
    <w:rsid w:val="00767BBB"/>
    <w:rsid w:val="00772EF5"/>
    <w:rsid w:val="00773CF5"/>
    <w:rsid w:val="007A1E30"/>
    <w:rsid w:val="007A7200"/>
    <w:rsid w:val="007B09D3"/>
    <w:rsid w:val="007B5FEF"/>
    <w:rsid w:val="007C415A"/>
    <w:rsid w:val="007C5B86"/>
    <w:rsid w:val="007D0762"/>
    <w:rsid w:val="007D15DB"/>
    <w:rsid w:val="007D5DB5"/>
    <w:rsid w:val="007E150F"/>
    <w:rsid w:val="007E1E15"/>
    <w:rsid w:val="007E553F"/>
    <w:rsid w:val="007E5708"/>
    <w:rsid w:val="007E749B"/>
    <w:rsid w:val="007F39D2"/>
    <w:rsid w:val="007F3DBE"/>
    <w:rsid w:val="007F616D"/>
    <w:rsid w:val="007F6FE2"/>
    <w:rsid w:val="007F73B8"/>
    <w:rsid w:val="00800F7F"/>
    <w:rsid w:val="0080137F"/>
    <w:rsid w:val="008027AE"/>
    <w:rsid w:val="00802DDE"/>
    <w:rsid w:val="0080778F"/>
    <w:rsid w:val="00812F76"/>
    <w:rsid w:val="00817A6B"/>
    <w:rsid w:val="0082277C"/>
    <w:rsid w:val="00834E63"/>
    <w:rsid w:val="00843E7D"/>
    <w:rsid w:val="00844919"/>
    <w:rsid w:val="00853410"/>
    <w:rsid w:val="00864675"/>
    <w:rsid w:val="00867223"/>
    <w:rsid w:val="00867A28"/>
    <w:rsid w:val="008700B5"/>
    <w:rsid w:val="00872722"/>
    <w:rsid w:val="0087623C"/>
    <w:rsid w:val="0088181F"/>
    <w:rsid w:val="00884270"/>
    <w:rsid w:val="00891DB4"/>
    <w:rsid w:val="00893F07"/>
    <w:rsid w:val="00896CD9"/>
    <w:rsid w:val="008A682E"/>
    <w:rsid w:val="008A7282"/>
    <w:rsid w:val="008B3C32"/>
    <w:rsid w:val="008B432F"/>
    <w:rsid w:val="008B4396"/>
    <w:rsid w:val="008B54BE"/>
    <w:rsid w:val="008E1044"/>
    <w:rsid w:val="008F3502"/>
    <w:rsid w:val="008F3E3D"/>
    <w:rsid w:val="0090131D"/>
    <w:rsid w:val="00902321"/>
    <w:rsid w:val="0090432E"/>
    <w:rsid w:val="00905976"/>
    <w:rsid w:val="009174CA"/>
    <w:rsid w:val="009177C0"/>
    <w:rsid w:val="009243A7"/>
    <w:rsid w:val="00925396"/>
    <w:rsid w:val="0092645F"/>
    <w:rsid w:val="00926B3B"/>
    <w:rsid w:val="00930127"/>
    <w:rsid w:val="00931F34"/>
    <w:rsid w:val="0093617F"/>
    <w:rsid w:val="00936DEB"/>
    <w:rsid w:val="00941A5C"/>
    <w:rsid w:val="00945320"/>
    <w:rsid w:val="00954F9F"/>
    <w:rsid w:val="00967E8A"/>
    <w:rsid w:val="0097311C"/>
    <w:rsid w:val="00973B51"/>
    <w:rsid w:val="009774D3"/>
    <w:rsid w:val="0098290E"/>
    <w:rsid w:val="0098368B"/>
    <w:rsid w:val="0098399B"/>
    <w:rsid w:val="00983C54"/>
    <w:rsid w:val="009842DD"/>
    <w:rsid w:val="009874C0"/>
    <w:rsid w:val="00994F82"/>
    <w:rsid w:val="009954CC"/>
    <w:rsid w:val="00995C36"/>
    <w:rsid w:val="00997EC5"/>
    <w:rsid w:val="009A0498"/>
    <w:rsid w:val="009A0D7F"/>
    <w:rsid w:val="009A4CE8"/>
    <w:rsid w:val="009B0750"/>
    <w:rsid w:val="009B26E0"/>
    <w:rsid w:val="009B6ED9"/>
    <w:rsid w:val="009B7E38"/>
    <w:rsid w:val="009C0481"/>
    <w:rsid w:val="009C378A"/>
    <w:rsid w:val="009C4980"/>
    <w:rsid w:val="009D5AA4"/>
    <w:rsid w:val="009E136E"/>
    <w:rsid w:val="009E4E9E"/>
    <w:rsid w:val="009F2E7C"/>
    <w:rsid w:val="00A01654"/>
    <w:rsid w:val="00A0185F"/>
    <w:rsid w:val="00A103EC"/>
    <w:rsid w:val="00A13BA6"/>
    <w:rsid w:val="00A1413D"/>
    <w:rsid w:val="00A14B31"/>
    <w:rsid w:val="00A14B59"/>
    <w:rsid w:val="00A178A3"/>
    <w:rsid w:val="00A27179"/>
    <w:rsid w:val="00A2762A"/>
    <w:rsid w:val="00A27A97"/>
    <w:rsid w:val="00A3152D"/>
    <w:rsid w:val="00A42CA2"/>
    <w:rsid w:val="00A449C5"/>
    <w:rsid w:val="00A503AB"/>
    <w:rsid w:val="00A5280C"/>
    <w:rsid w:val="00A54A4A"/>
    <w:rsid w:val="00A55B2F"/>
    <w:rsid w:val="00A576F2"/>
    <w:rsid w:val="00A62FFE"/>
    <w:rsid w:val="00A638C2"/>
    <w:rsid w:val="00A70EBD"/>
    <w:rsid w:val="00A82407"/>
    <w:rsid w:val="00A83FF1"/>
    <w:rsid w:val="00A8593C"/>
    <w:rsid w:val="00A878EA"/>
    <w:rsid w:val="00AA48BE"/>
    <w:rsid w:val="00AA6264"/>
    <w:rsid w:val="00AB0C13"/>
    <w:rsid w:val="00AB1E80"/>
    <w:rsid w:val="00AC11B1"/>
    <w:rsid w:val="00AC3E25"/>
    <w:rsid w:val="00AC4F48"/>
    <w:rsid w:val="00AC5E9A"/>
    <w:rsid w:val="00AD125F"/>
    <w:rsid w:val="00AD1849"/>
    <w:rsid w:val="00AD2EA2"/>
    <w:rsid w:val="00AD7055"/>
    <w:rsid w:val="00AE68EF"/>
    <w:rsid w:val="00AE77D5"/>
    <w:rsid w:val="00AF2F8B"/>
    <w:rsid w:val="00AF756C"/>
    <w:rsid w:val="00B020C8"/>
    <w:rsid w:val="00B03841"/>
    <w:rsid w:val="00B0591A"/>
    <w:rsid w:val="00B109FF"/>
    <w:rsid w:val="00B17C62"/>
    <w:rsid w:val="00B203ED"/>
    <w:rsid w:val="00B20684"/>
    <w:rsid w:val="00B22BB1"/>
    <w:rsid w:val="00B31972"/>
    <w:rsid w:val="00B329D4"/>
    <w:rsid w:val="00B34DF3"/>
    <w:rsid w:val="00B404E2"/>
    <w:rsid w:val="00B436F9"/>
    <w:rsid w:val="00B46AD7"/>
    <w:rsid w:val="00B5483C"/>
    <w:rsid w:val="00B5756E"/>
    <w:rsid w:val="00B64C33"/>
    <w:rsid w:val="00B80A00"/>
    <w:rsid w:val="00B82791"/>
    <w:rsid w:val="00B83B3D"/>
    <w:rsid w:val="00B858AE"/>
    <w:rsid w:val="00B908B1"/>
    <w:rsid w:val="00B979A2"/>
    <w:rsid w:val="00BA14E2"/>
    <w:rsid w:val="00BA719A"/>
    <w:rsid w:val="00BA7BB0"/>
    <w:rsid w:val="00BB0F3D"/>
    <w:rsid w:val="00BB38F5"/>
    <w:rsid w:val="00BB3C4B"/>
    <w:rsid w:val="00BB4A33"/>
    <w:rsid w:val="00BB71DC"/>
    <w:rsid w:val="00BC2712"/>
    <w:rsid w:val="00BC57B8"/>
    <w:rsid w:val="00BD0CCC"/>
    <w:rsid w:val="00BD7833"/>
    <w:rsid w:val="00BE26CB"/>
    <w:rsid w:val="00BE7C51"/>
    <w:rsid w:val="00BF0EA0"/>
    <w:rsid w:val="00BF392F"/>
    <w:rsid w:val="00BF5659"/>
    <w:rsid w:val="00BF66FA"/>
    <w:rsid w:val="00C01DA4"/>
    <w:rsid w:val="00C03D53"/>
    <w:rsid w:val="00C0490D"/>
    <w:rsid w:val="00C06A56"/>
    <w:rsid w:val="00C11042"/>
    <w:rsid w:val="00C11FB9"/>
    <w:rsid w:val="00C13ABC"/>
    <w:rsid w:val="00C16EAF"/>
    <w:rsid w:val="00C247AD"/>
    <w:rsid w:val="00C2716C"/>
    <w:rsid w:val="00C308BC"/>
    <w:rsid w:val="00C30D56"/>
    <w:rsid w:val="00C30E50"/>
    <w:rsid w:val="00C31D56"/>
    <w:rsid w:val="00C37077"/>
    <w:rsid w:val="00C458C7"/>
    <w:rsid w:val="00C45FAF"/>
    <w:rsid w:val="00C47098"/>
    <w:rsid w:val="00C5137F"/>
    <w:rsid w:val="00C53CB4"/>
    <w:rsid w:val="00C57960"/>
    <w:rsid w:val="00C65FA3"/>
    <w:rsid w:val="00C67E95"/>
    <w:rsid w:val="00C700E7"/>
    <w:rsid w:val="00C70D1E"/>
    <w:rsid w:val="00C722EB"/>
    <w:rsid w:val="00C72DDB"/>
    <w:rsid w:val="00C72EA0"/>
    <w:rsid w:val="00C73B65"/>
    <w:rsid w:val="00C73C3E"/>
    <w:rsid w:val="00C757EB"/>
    <w:rsid w:val="00C767A2"/>
    <w:rsid w:val="00C81749"/>
    <w:rsid w:val="00C82B68"/>
    <w:rsid w:val="00C8637D"/>
    <w:rsid w:val="00C91015"/>
    <w:rsid w:val="00C918C6"/>
    <w:rsid w:val="00C93D8F"/>
    <w:rsid w:val="00CA0E3F"/>
    <w:rsid w:val="00CA2B70"/>
    <w:rsid w:val="00CB0419"/>
    <w:rsid w:val="00CB53A9"/>
    <w:rsid w:val="00CC5981"/>
    <w:rsid w:val="00CD03C4"/>
    <w:rsid w:val="00CD0DD6"/>
    <w:rsid w:val="00CD4A7D"/>
    <w:rsid w:val="00CE2CE1"/>
    <w:rsid w:val="00CE731E"/>
    <w:rsid w:val="00CE7C5E"/>
    <w:rsid w:val="00CF37C0"/>
    <w:rsid w:val="00D014F4"/>
    <w:rsid w:val="00D01BB7"/>
    <w:rsid w:val="00D20C3A"/>
    <w:rsid w:val="00D21084"/>
    <w:rsid w:val="00D23D31"/>
    <w:rsid w:val="00D25EE0"/>
    <w:rsid w:val="00D34647"/>
    <w:rsid w:val="00D43E1A"/>
    <w:rsid w:val="00D4684C"/>
    <w:rsid w:val="00D50F09"/>
    <w:rsid w:val="00D54FC4"/>
    <w:rsid w:val="00D56D4B"/>
    <w:rsid w:val="00D56D80"/>
    <w:rsid w:val="00D617FA"/>
    <w:rsid w:val="00D61D13"/>
    <w:rsid w:val="00D70DD4"/>
    <w:rsid w:val="00D833AF"/>
    <w:rsid w:val="00D90947"/>
    <w:rsid w:val="00D91F2D"/>
    <w:rsid w:val="00DA0584"/>
    <w:rsid w:val="00DA50C7"/>
    <w:rsid w:val="00DA6EDC"/>
    <w:rsid w:val="00DB7C59"/>
    <w:rsid w:val="00DC0B27"/>
    <w:rsid w:val="00DC1478"/>
    <w:rsid w:val="00DC2C2F"/>
    <w:rsid w:val="00DC3239"/>
    <w:rsid w:val="00DC366E"/>
    <w:rsid w:val="00DC5C1F"/>
    <w:rsid w:val="00DC6AE8"/>
    <w:rsid w:val="00DD057E"/>
    <w:rsid w:val="00DD0DBA"/>
    <w:rsid w:val="00DD5082"/>
    <w:rsid w:val="00DD5473"/>
    <w:rsid w:val="00DD55F4"/>
    <w:rsid w:val="00DD5A36"/>
    <w:rsid w:val="00DD5D03"/>
    <w:rsid w:val="00DF3D89"/>
    <w:rsid w:val="00E04551"/>
    <w:rsid w:val="00E04C46"/>
    <w:rsid w:val="00E1180B"/>
    <w:rsid w:val="00E12575"/>
    <w:rsid w:val="00E155FC"/>
    <w:rsid w:val="00E17617"/>
    <w:rsid w:val="00E2319E"/>
    <w:rsid w:val="00E23452"/>
    <w:rsid w:val="00E24717"/>
    <w:rsid w:val="00E35EF8"/>
    <w:rsid w:val="00E36338"/>
    <w:rsid w:val="00E41892"/>
    <w:rsid w:val="00E45E41"/>
    <w:rsid w:val="00E5300A"/>
    <w:rsid w:val="00E5455F"/>
    <w:rsid w:val="00E55482"/>
    <w:rsid w:val="00E6001F"/>
    <w:rsid w:val="00E60DF1"/>
    <w:rsid w:val="00E62313"/>
    <w:rsid w:val="00E65EA7"/>
    <w:rsid w:val="00E7235F"/>
    <w:rsid w:val="00E75137"/>
    <w:rsid w:val="00E76FE2"/>
    <w:rsid w:val="00E81831"/>
    <w:rsid w:val="00E846D3"/>
    <w:rsid w:val="00E872E4"/>
    <w:rsid w:val="00E91A98"/>
    <w:rsid w:val="00E92D81"/>
    <w:rsid w:val="00EA1E82"/>
    <w:rsid w:val="00EB26C5"/>
    <w:rsid w:val="00EB614D"/>
    <w:rsid w:val="00EC00F0"/>
    <w:rsid w:val="00EC7500"/>
    <w:rsid w:val="00ED38D1"/>
    <w:rsid w:val="00EE1FAD"/>
    <w:rsid w:val="00EE1FCE"/>
    <w:rsid w:val="00EE70F4"/>
    <w:rsid w:val="00EE767F"/>
    <w:rsid w:val="00EF321E"/>
    <w:rsid w:val="00EF4930"/>
    <w:rsid w:val="00EF5B09"/>
    <w:rsid w:val="00EF6841"/>
    <w:rsid w:val="00F02CEE"/>
    <w:rsid w:val="00F05F87"/>
    <w:rsid w:val="00F10204"/>
    <w:rsid w:val="00F13926"/>
    <w:rsid w:val="00F14A82"/>
    <w:rsid w:val="00F2095E"/>
    <w:rsid w:val="00F20BC0"/>
    <w:rsid w:val="00F27ADE"/>
    <w:rsid w:val="00F33E5B"/>
    <w:rsid w:val="00F420D5"/>
    <w:rsid w:val="00F438B4"/>
    <w:rsid w:val="00F441E7"/>
    <w:rsid w:val="00F44F16"/>
    <w:rsid w:val="00F45282"/>
    <w:rsid w:val="00F4747C"/>
    <w:rsid w:val="00F50B23"/>
    <w:rsid w:val="00F608C3"/>
    <w:rsid w:val="00F76C36"/>
    <w:rsid w:val="00F82AA0"/>
    <w:rsid w:val="00F93D75"/>
    <w:rsid w:val="00FA0821"/>
    <w:rsid w:val="00FB5BD7"/>
    <w:rsid w:val="00FC7D13"/>
    <w:rsid w:val="00FC7DC1"/>
    <w:rsid w:val="00FD05A9"/>
    <w:rsid w:val="00FD2FB3"/>
    <w:rsid w:val="00FE543C"/>
    <w:rsid w:val="00FE56D4"/>
    <w:rsid w:val="00FE73ED"/>
    <w:rsid w:val="00FF2CB9"/>
    <w:rsid w:val="00FF7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50CC"/>
  <w15:chartTrackingRefBased/>
  <w15:docId w15:val="{9D93F483-DBFA-431F-B641-DFCD8C60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A14B3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5A3FCD"/>
    <w:rPr>
      <w:sz w:val="18"/>
      <w:szCs w:val="18"/>
    </w:rPr>
  </w:style>
  <w:style w:type="paragraph" w:styleId="CommentText">
    <w:name w:val="annotation text"/>
    <w:basedOn w:val="Normal"/>
    <w:link w:val="CommentTextChar"/>
    <w:uiPriority w:val="99"/>
    <w:semiHidden/>
    <w:rsid w:val="005A3FCD"/>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5A3FC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A3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CD"/>
    <w:rPr>
      <w:rFonts w:ascii="Segoe UI" w:hAnsi="Segoe UI" w:cs="Segoe UI"/>
      <w:sz w:val="18"/>
      <w:szCs w:val="18"/>
    </w:rPr>
  </w:style>
  <w:style w:type="paragraph" w:styleId="ListParagraph">
    <w:name w:val="List Paragraph"/>
    <w:basedOn w:val="Normal"/>
    <w:uiPriority w:val="34"/>
    <w:qFormat/>
    <w:rsid w:val="00EF5B09"/>
    <w:pPr>
      <w:ind w:left="720"/>
      <w:contextualSpacing/>
    </w:pPr>
  </w:style>
  <w:style w:type="character" w:customStyle="1" w:styleId="Heading3Char">
    <w:name w:val="Heading 3 Char"/>
    <w:basedOn w:val="DefaultParagraphFont"/>
    <w:link w:val="Heading3"/>
    <w:uiPriority w:val="9"/>
    <w:rsid w:val="00A14B31"/>
    <w:rPr>
      <w:rFonts w:ascii="Times New Roman" w:eastAsia="Times New Roman" w:hAnsi="Times New Roman" w:cs="Times New Roman"/>
      <w:b/>
      <w:bCs/>
      <w:sz w:val="27"/>
      <w:szCs w:val="27"/>
      <w:lang w:eastAsia="en-GB"/>
    </w:rPr>
  </w:style>
  <w:style w:type="paragraph" w:customStyle="1" w:styleId="Paragraph">
    <w:name w:val="Paragraph"/>
    <w:basedOn w:val="Normal"/>
    <w:rsid w:val="00A14B31"/>
    <w:pPr>
      <w:spacing w:before="120" w:after="0" w:line="240" w:lineRule="auto"/>
      <w:ind w:firstLine="720"/>
    </w:pPr>
    <w:rPr>
      <w:rFonts w:ascii="Times New Roman" w:eastAsia="Times New Roman" w:hAnsi="Times New Roman" w:cs="Times New Roman"/>
      <w:sz w:val="24"/>
      <w:szCs w:val="24"/>
      <w:lang w:val="en-US"/>
    </w:rPr>
  </w:style>
  <w:style w:type="paragraph" w:customStyle="1" w:styleId="Refhead">
    <w:name w:val="Ref head"/>
    <w:basedOn w:val="Normal"/>
    <w:rsid w:val="00A14B31"/>
    <w:pPr>
      <w:keepNext/>
      <w:spacing w:before="120" w:after="120" w:line="240" w:lineRule="auto"/>
      <w:outlineLvl w:val="0"/>
    </w:pPr>
    <w:rPr>
      <w:rFonts w:ascii="Times New Roman" w:eastAsia="Times New Roman" w:hAnsi="Times New Roman" w:cs="Times New Roman"/>
      <w:b/>
      <w:bCs/>
      <w:kern w:val="28"/>
      <w:sz w:val="24"/>
      <w:szCs w:val="24"/>
      <w:lang w:val="en-US"/>
    </w:rPr>
  </w:style>
  <w:style w:type="paragraph" w:styleId="NormalWeb">
    <w:name w:val="Normal (Web)"/>
    <w:basedOn w:val="Normal"/>
    <w:uiPriority w:val="99"/>
    <w:unhideWhenUsed/>
    <w:rsid w:val="00A14B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93617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3617F"/>
    <w:rPr>
      <w:rFonts w:ascii="Calibri" w:hAnsi="Calibri"/>
      <w:noProof/>
      <w:lang w:val="en-US"/>
    </w:rPr>
  </w:style>
  <w:style w:type="paragraph" w:customStyle="1" w:styleId="EndNoteBibliography">
    <w:name w:val="EndNote Bibliography"/>
    <w:basedOn w:val="Normal"/>
    <w:link w:val="EndNoteBibliographyChar"/>
    <w:rsid w:val="0093617F"/>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93617F"/>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3DF3C-6BF3-9347-990B-6D88E5FA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3576</Words>
  <Characters>19525</Characters>
  <Application>Microsoft Macintosh Word</Application>
  <DocSecurity>0</DocSecurity>
  <Lines>309</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Microsoft Office User</cp:lastModifiedBy>
  <cp:revision>5</cp:revision>
  <cp:lastPrinted>2017-07-26T14:01:00Z</cp:lastPrinted>
  <dcterms:created xsi:type="dcterms:W3CDTF">2017-10-25T09:55:00Z</dcterms:created>
  <dcterms:modified xsi:type="dcterms:W3CDTF">2017-10-25T16:19:00Z</dcterms:modified>
</cp:coreProperties>
</file>