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33" w:rsidRDefault="00640F1E">
      <w:pPr>
        <w:jc w:val="center"/>
        <w:rPr>
          <w:rFonts w:ascii="Times New Roman" w:hAnsi="Times New Roman"/>
          <w:b/>
          <w:bCs/>
        </w:rPr>
      </w:pPr>
      <w:r>
        <w:rPr>
          <w:rFonts w:ascii="Times New Roman" w:hAnsi="Times New Roman"/>
          <w:b/>
          <w:bCs/>
        </w:rPr>
        <w:t>Supplementary Material</w:t>
      </w:r>
    </w:p>
    <w:p w:rsidR="00070133" w:rsidRDefault="00070133">
      <w:pPr>
        <w:rPr>
          <w:rFonts w:ascii="Times New Roman" w:hAnsi="Times New Roman"/>
        </w:rPr>
      </w:pPr>
    </w:p>
    <w:p w:rsidR="00070133" w:rsidRDefault="00640F1E">
      <w:pPr>
        <w:rPr>
          <w:rFonts w:ascii="Times New Roman" w:hAnsi="Times New Roman"/>
          <w:b/>
          <w:bCs/>
        </w:rPr>
      </w:pPr>
      <w:r>
        <w:rPr>
          <w:rFonts w:ascii="Times New Roman" w:hAnsi="Times New Roman"/>
          <w:b/>
          <w:bCs/>
        </w:rPr>
        <w:t>Figure 1. Supplementary Information</w:t>
      </w:r>
    </w:p>
    <w:p w:rsidR="00070133" w:rsidRDefault="00640F1E">
      <w:pPr>
        <w:rPr>
          <w:rFonts w:ascii="Times New Roman" w:hAnsi="Times New Roman"/>
        </w:rPr>
      </w:pPr>
      <w:r>
        <w:rPr>
          <w:rFonts w:ascii="Times New Roman" w:hAnsi="Times New Roman"/>
        </w:rPr>
        <w:t>All analyses were conducted in R version 3.3.2 using its package ‘MendelianRandomization’ (</w:t>
      </w:r>
      <w:r>
        <w:rPr>
          <w:rFonts w:ascii="Times New Roman" w:hAnsi="Times New Roman"/>
          <w:color w:val="222222"/>
        </w:rPr>
        <w:t>Yavorska &amp; Burgess, 2017</w:t>
      </w:r>
      <w:r>
        <w:rPr>
          <w:rFonts w:ascii="Times New Roman" w:hAnsi="Times New Roman"/>
        </w:rPr>
        <w:t>) for the Mendelian Randomization (MR) analysis. In MR analysis, the estimates</w:t>
      </w:r>
      <w:r>
        <w:rPr>
          <w:rFonts w:ascii="Times New Roman" w:hAnsi="Times New Roman"/>
        </w:rPr>
        <w:t xml:space="preserve"> </w:t>
      </w:r>
      <w:r>
        <w:rPr>
          <w:rFonts w:ascii="Times New Roman" w:hAnsi="Times New Roman"/>
        </w:rPr>
        <w:t>were derived using both the inverse variance weighted (IVW) and the MR-Egger method.</w:t>
      </w:r>
    </w:p>
    <w:p w:rsidR="00070133" w:rsidRDefault="00070133">
      <w:pPr>
        <w:rPr>
          <w:rFonts w:ascii="Times New Roman" w:hAnsi="Times New Roman"/>
          <w:color w:val="222222"/>
        </w:rPr>
      </w:pPr>
    </w:p>
    <w:p w:rsidR="00070133" w:rsidRDefault="00640F1E">
      <w:r>
        <w:rPr>
          <w:rFonts w:ascii="Times New Roman" w:hAnsi="Times New Roman"/>
          <w:b/>
          <w:bCs/>
        </w:rPr>
        <w:t xml:space="preserve">Figure 1a/b. </w:t>
      </w:r>
      <w:r>
        <w:rPr>
          <w:rFonts w:ascii="Times New Roman" w:hAnsi="Times New Roman"/>
        </w:rPr>
        <w:t>We conducted MR analysis to replicate the findings from univariable and multivariable MR on coronary hea</w:t>
      </w:r>
      <w:r>
        <w:rPr>
          <w:rFonts w:ascii="Times New Roman" w:hAnsi="Times New Roman"/>
          <w:color w:val="000000"/>
        </w:rPr>
        <w:t>rt disease (CHD) risk as reported by Rees et al. (201</w:t>
      </w:r>
      <w:r>
        <w:rPr>
          <w:rFonts w:ascii="Times New Roman" w:hAnsi="Times New Roman"/>
          <w:color w:val="000000"/>
        </w:rPr>
        <w:t>7). To</w:t>
      </w:r>
      <w:r>
        <w:rPr>
          <w:rFonts w:ascii="Times New Roman" w:hAnsi="Times New Roman"/>
          <w:color w:val="000000"/>
        </w:rPr>
        <w:t xml:space="preserve"> obtain the beta estimates for the risk variants</w:t>
      </w:r>
      <w:r>
        <w:rPr>
          <w:rFonts w:ascii="Times New Roman" w:hAnsi="Times New Roman"/>
          <w:color w:val="000000"/>
        </w:rPr>
        <w:t xml:space="preserve"> associated with </w:t>
      </w:r>
      <w:r>
        <w:rPr>
          <w:rFonts w:ascii="Times New Roman" w:hAnsi="Times New Roman"/>
          <w:color w:val="000000"/>
        </w:rPr>
        <w:t>CHD</w:t>
      </w:r>
      <w:r>
        <w:rPr>
          <w:rFonts w:ascii="Times New Roman" w:hAnsi="Times New Roman"/>
          <w:color w:val="000000"/>
        </w:rPr>
        <w:t xml:space="preserve">, we used the same GWAS (Genome Wide Association Study) summary data from the </w:t>
      </w:r>
      <w:r>
        <w:rPr>
          <w:rFonts w:ascii="Times New Roman" w:hAnsi="Times New Roman"/>
          <w:color w:val="000000"/>
        </w:rPr>
        <w:t>CARDIoGRAMplusC4D consortium (</w:t>
      </w:r>
      <w:r>
        <w:rPr>
          <w:rFonts w:ascii="Times New Roman" w:hAnsi="Times New Roman"/>
          <w:color w:val="000000"/>
        </w:rPr>
        <w:t>Nikpey, 2017</w:t>
      </w:r>
      <w:r>
        <w:rPr>
          <w:rFonts w:ascii="Times New Roman" w:hAnsi="Times New Roman"/>
          <w:color w:val="000000"/>
        </w:rPr>
        <w:t>, data onli</w:t>
      </w:r>
      <w:r>
        <w:rPr>
          <w:rFonts w:ascii="Times New Roman" w:hAnsi="Times New Roman"/>
        </w:rPr>
        <w:t xml:space="preserve">ne available under: </w:t>
      </w:r>
      <w:hyperlink r:id="rId5">
        <w:r>
          <w:rPr>
            <w:rStyle w:val="InternetLink"/>
          </w:rPr>
          <w:t>http://www.cardiogramplusc4d.org/data-downloads/</w:t>
        </w:r>
      </w:hyperlink>
      <w:r>
        <w:rPr>
          <w:rFonts w:ascii="Times New Roman" w:hAnsi="Times New Roman"/>
        </w:rPr>
        <w:t>). The beta estimates for genetic variants associated with high-density lipoprotein cholesterol (HDL-C), low-density lipoprotein cholesterol (LDL-C), and triglycerides (TG</w:t>
      </w:r>
      <w:r>
        <w:rPr>
          <w:rFonts w:ascii="Times New Roman" w:hAnsi="Times New Roman"/>
        </w:rPr>
        <w:t>) were derived from a more recently published GWAS (</w:t>
      </w:r>
      <w:r>
        <w:rPr>
          <w:rFonts w:ascii="Times New Roman" w:hAnsi="Times New Roman"/>
          <w:color w:val="222222"/>
        </w:rPr>
        <w:t xml:space="preserve">Liu et al. 2017, data online available under: </w:t>
      </w:r>
      <w:hyperlink r:id="rId6" w:anchor="supplementary-information" w:history="1">
        <w:r>
          <w:rPr>
            <w:rStyle w:val="InternetLink"/>
          </w:rPr>
          <w:t>https://www.nature.com/articles/ng.3977#supplementary-information</w:t>
        </w:r>
      </w:hyperlink>
      <w:r>
        <w:rPr>
          <w:rFonts w:ascii="Times New Roman" w:hAnsi="Times New Roman"/>
        </w:rPr>
        <w:t xml:space="preserve">). </w:t>
      </w:r>
      <w:r>
        <w:rPr>
          <w:rFonts w:ascii="Times New Roman" w:hAnsi="Times New Roman"/>
        </w:rPr>
        <w:t xml:space="preserve">We conducted univariable MR (IVW, random effects model), to estimate the causal effect of </w:t>
      </w:r>
      <w:r>
        <w:rPr>
          <w:rFonts w:ascii="Times New Roman" w:hAnsi="Times New Roman"/>
          <w:b/>
          <w:bCs/>
        </w:rPr>
        <w:t xml:space="preserve">(1a) </w:t>
      </w:r>
      <w:r>
        <w:rPr>
          <w:rFonts w:ascii="Times New Roman" w:hAnsi="Times New Roman"/>
        </w:rPr>
        <w:t xml:space="preserve">LDL-C on CHD (including 138 SNPs that were significant at </w:t>
      </w:r>
      <w:r>
        <w:rPr>
          <w:rFonts w:ascii="Times New Roman" w:hAnsi="Times New Roman"/>
          <w:i/>
          <w:iCs/>
        </w:rPr>
        <w:t>p</w:t>
      </w:r>
      <w:r>
        <w:rPr>
          <w:rFonts w:ascii="Times New Roman" w:hAnsi="Times New Roman"/>
        </w:rPr>
        <w:t>&lt;5 x 10</w:t>
      </w:r>
      <w:r>
        <w:rPr>
          <w:rFonts w:ascii="Times New Roman" w:hAnsi="Times New Roman"/>
          <w:vertAlign w:val="superscript"/>
        </w:rPr>
        <w:t>-8</w:t>
      </w:r>
      <w:r>
        <w:rPr>
          <w:rFonts w:ascii="Times New Roman" w:hAnsi="Times New Roman"/>
        </w:rPr>
        <w:t>) and</w:t>
      </w:r>
      <w:r>
        <w:rPr>
          <w:rFonts w:ascii="Times New Roman" w:hAnsi="Times New Roman"/>
          <w:b/>
          <w:bCs/>
        </w:rPr>
        <w:t xml:space="preserve"> (1b) </w:t>
      </w:r>
      <w:r>
        <w:rPr>
          <w:rFonts w:ascii="Times New Roman" w:hAnsi="Times New Roman"/>
        </w:rPr>
        <w:t xml:space="preserve">HDL-C on CHD (183 SNPs, significant at </w:t>
      </w:r>
      <w:r>
        <w:rPr>
          <w:rFonts w:ascii="Times New Roman" w:hAnsi="Times New Roman"/>
          <w:i/>
          <w:iCs/>
        </w:rPr>
        <w:t>p</w:t>
      </w:r>
      <w:r>
        <w:rPr>
          <w:rFonts w:ascii="Times New Roman" w:hAnsi="Times New Roman"/>
        </w:rPr>
        <w:t>&lt;5 x 10</w:t>
      </w:r>
      <w:r>
        <w:rPr>
          <w:rFonts w:ascii="Times New Roman" w:hAnsi="Times New Roman"/>
          <w:vertAlign w:val="superscript"/>
        </w:rPr>
        <w:t>-8</w:t>
      </w:r>
      <w:r>
        <w:rPr>
          <w:rFonts w:ascii="Times New Roman" w:hAnsi="Times New Roman"/>
        </w:rPr>
        <w:t>). In multivariable MR, we includ</w:t>
      </w:r>
      <w:r>
        <w:rPr>
          <w:rFonts w:ascii="Times New Roman" w:hAnsi="Times New Roman"/>
        </w:rPr>
        <w:t xml:space="preserve">ed 386 SNPs that were significant at </w:t>
      </w:r>
      <w:r>
        <w:rPr>
          <w:rFonts w:ascii="Times New Roman" w:hAnsi="Times New Roman"/>
          <w:i/>
          <w:iCs/>
        </w:rPr>
        <w:t>p</w:t>
      </w:r>
      <w:r>
        <w:rPr>
          <w:rFonts w:ascii="Times New Roman" w:hAnsi="Times New Roman"/>
        </w:rPr>
        <w:t>&lt;5 x 10</w:t>
      </w:r>
      <w:r>
        <w:rPr>
          <w:rFonts w:ascii="Times New Roman" w:hAnsi="Times New Roman"/>
          <w:vertAlign w:val="superscript"/>
        </w:rPr>
        <w:t xml:space="preserve">-8 </w:t>
      </w:r>
      <w:r>
        <w:rPr>
          <w:rFonts w:ascii="Times New Roman" w:hAnsi="Times New Roman"/>
        </w:rPr>
        <w:t xml:space="preserve">for </w:t>
      </w:r>
      <w:r>
        <w:rPr>
          <w:rFonts w:ascii="Times New Roman" w:hAnsi="Times New Roman"/>
        </w:rPr>
        <w:t xml:space="preserve">either LDL-C, HDL-C or TG. Multivariable MR-Egger to assess </w:t>
      </w:r>
      <w:r>
        <w:rPr>
          <w:rFonts w:ascii="Times New Roman" w:hAnsi="Times New Roman"/>
          <w:b/>
          <w:bCs/>
        </w:rPr>
        <w:t>(1a)</w:t>
      </w:r>
      <w:r>
        <w:rPr>
          <w:rFonts w:ascii="Times New Roman" w:hAnsi="Times New Roman"/>
        </w:rPr>
        <w:t xml:space="preserve"> the causal effect of LDL-C on CHD, controlling for the effects of HDL-C and TG and </w:t>
      </w:r>
      <w:r>
        <w:rPr>
          <w:rFonts w:ascii="Times New Roman" w:hAnsi="Times New Roman"/>
          <w:b/>
          <w:bCs/>
        </w:rPr>
        <w:t>(1b)</w:t>
      </w:r>
      <w:r>
        <w:rPr>
          <w:rFonts w:ascii="Times New Roman" w:hAnsi="Times New Roman"/>
        </w:rPr>
        <w:t xml:space="preserve"> HDL-C on CHD, controlling for the effects of LDL-C </w:t>
      </w:r>
      <w:r>
        <w:rPr>
          <w:rFonts w:ascii="Times New Roman" w:hAnsi="Times New Roman"/>
        </w:rPr>
        <w:t>and TG.</w:t>
      </w:r>
    </w:p>
    <w:p w:rsidR="00070133" w:rsidRDefault="00070133">
      <w:pPr>
        <w:rPr>
          <w:rFonts w:ascii="Times New Roman" w:hAnsi="Times New Roman"/>
          <w:color w:val="222222"/>
        </w:rPr>
      </w:pPr>
    </w:p>
    <w:p w:rsidR="00070133" w:rsidRDefault="00640F1E">
      <w:r>
        <w:rPr>
          <w:rFonts w:ascii="Times New Roman" w:hAnsi="Times New Roman"/>
          <w:b/>
          <w:bCs/>
        </w:rPr>
        <w:t xml:space="preserve">Figure 1c/d. </w:t>
      </w:r>
      <w:r>
        <w:rPr>
          <w:rFonts w:ascii="Times New Roman" w:hAnsi="Times New Roman"/>
        </w:rPr>
        <w:t>To visualize the findings reported by Gage et al. (2017), we re-analysed the data included in the study, which were either reported in the paper or were provided by the authors upon request. The effects were estimates for the link bet</w:t>
      </w:r>
      <w:r>
        <w:rPr>
          <w:rFonts w:ascii="Times New Roman" w:hAnsi="Times New Roman"/>
        </w:rPr>
        <w:t xml:space="preserve">ween </w:t>
      </w:r>
      <w:r>
        <w:rPr>
          <w:rFonts w:ascii="Times New Roman" w:hAnsi="Times New Roman"/>
          <w:b/>
          <w:bCs/>
        </w:rPr>
        <w:t>(1c)</w:t>
      </w:r>
      <w:r>
        <w:rPr>
          <w:rFonts w:ascii="Times New Roman" w:hAnsi="Times New Roman"/>
        </w:rPr>
        <w:t xml:space="preserve"> initiation of cannabis use and schizophrenia (21 SNPs; est.</w:t>
      </w:r>
      <w:r>
        <w:rPr>
          <w:rFonts w:ascii="Times New Roman" w:hAnsi="Times New Roman"/>
          <w:vertAlign w:val="subscript"/>
        </w:rPr>
        <w:t>IVW</w:t>
      </w:r>
      <w:r>
        <w:rPr>
          <w:rFonts w:ascii="Times New Roman" w:hAnsi="Times New Roman"/>
        </w:rPr>
        <w:t>=1.04, 95% 1.01-1.07; est.</w:t>
      </w:r>
      <w:r>
        <w:rPr>
          <w:rFonts w:ascii="Times New Roman" w:hAnsi="Times New Roman"/>
          <w:vertAlign w:val="subscript"/>
        </w:rPr>
        <w:t xml:space="preserve">MR-Egger </w:t>
      </w:r>
      <w:r>
        <w:rPr>
          <w:rFonts w:ascii="Times New Roman" w:hAnsi="Times New Roman"/>
        </w:rPr>
        <w:t>=1.01, 95% 0.93-1.10</w:t>
      </w:r>
      <w:r>
        <w:rPr>
          <w:rFonts w:ascii="Times New Roman" w:hAnsi="Times New Roman"/>
        </w:rPr>
        <w:t xml:space="preserve">) and </w:t>
      </w:r>
      <w:r>
        <w:rPr>
          <w:rFonts w:ascii="Times New Roman" w:hAnsi="Times New Roman"/>
          <w:b/>
          <w:bCs/>
        </w:rPr>
        <w:t>(1d)</w:t>
      </w:r>
      <w:r>
        <w:rPr>
          <w:rFonts w:ascii="Times New Roman" w:hAnsi="Times New Roman"/>
        </w:rPr>
        <w:t xml:space="preserve"> between schizophrenia and initiation of cannabis use (107 SNPs; est.</w:t>
      </w:r>
      <w:r>
        <w:rPr>
          <w:rFonts w:ascii="Times New Roman" w:hAnsi="Times New Roman"/>
          <w:vertAlign w:val="subscript"/>
        </w:rPr>
        <w:t>IVW</w:t>
      </w:r>
      <w:r>
        <w:rPr>
          <w:rFonts w:ascii="Times New Roman" w:hAnsi="Times New Roman"/>
        </w:rPr>
        <w:t>=1.10, 95% 1.05-1.14; est.</w:t>
      </w:r>
      <w:r>
        <w:rPr>
          <w:rFonts w:ascii="Times New Roman" w:hAnsi="Times New Roman"/>
          <w:vertAlign w:val="subscript"/>
        </w:rPr>
        <w:t>MR-Egger</w:t>
      </w:r>
      <w:r>
        <w:rPr>
          <w:rFonts w:ascii="Times New Roman" w:hAnsi="Times New Roman"/>
        </w:rPr>
        <w:t xml:space="preserve">=1.17, 95%CI </w:t>
      </w:r>
      <w:r>
        <w:rPr>
          <w:rFonts w:ascii="Times New Roman" w:hAnsi="Times New Roman"/>
        </w:rPr>
        <w:t xml:space="preserve">0.96-1.43). </w:t>
      </w:r>
    </w:p>
    <w:p w:rsidR="00070133" w:rsidRDefault="00070133">
      <w:pPr>
        <w:rPr>
          <w:rFonts w:ascii="Times New Roman" w:hAnsi="Times New Roman"/>
        </w:rPr>
      </w:pPr>
    </w:p>
    <w:p w:rsidR="00070133" w:rsidRDefault="00640F1E">
      <w:pPr>
        <w:rPr>
          <w:rFonts w:ascii="Times New Roman" w:hAnsi="Times New Roman"/>
        </w:rPr>
      </w:pPr>
      <w:r>
        <w:rPr>
          <w:rFonts w:ascii="Times New Roman" w:hAnsi="Times New Roman"/>
          <w:b/>
          <w:bCs/>
        </w:rPr>
        <w:t>Figure 2. Supplementary Information</w:t>
      </w:r>
    </w:p>
    <w:p w:rsidR="00070133" w:rsidRDefault="00640F1E">
      <w:r>
        <w:rPr>
          <w:rFonts w:ascii="Times New Roman" w:hAnsi="Times New Roman"/>
          <w:b/>
          <w:bCs/>
        </w:rPr>
        <w:t xml:space="preserve">Figure 2a. </w:t>
      </w:r>
      <w:r>
        <w:rPr>
          <w:rFonts w:ascii="Times New Roman" w:hAnsi="Times New Roman"/>
        </w:rPr>
        <w:t xml:space="preserve">The genetic correlation results were obtained from LD Hub (data on genetic correlations between 49 traits available under: </w:t>
      </w:r>
      <w:hyperlink r:id="rId7">
        <w:r>
          <w:rPr>
            <w:rStyle w:val="InternetLink"/>
            <w:rFonts w:ascii="Times New Roman" w:hAnsi="Times New Roman"/>
          </w:rPr>
          <w:t>http://ldsc.br</w:t>
        </w:r>
        <w:r>
          <w:rPr>
            <w:rStyle w:val="InternetLink"/>
            <w:rFonts w:ascii="Times New Roman" w:hAnsi="Times New Roman"/>
          </w:rPr>
          <w:t>oadinstitute.org/lookup/</w:t>
        </w:r>
      </w:hyperlink>
      <w:r>
        <w:rPr>
          <w:rFonts w:ascii="Times New Roman" w:hAnsi="Times New Roman"/>
        </w:rPr>
        <w:t>), originally reported in Bulik-Sullivan et al. (2015). Only significant (</w:t>
      </w:r>
      <w:r>
        <w:rPr>
          <w:rFonts w:ascii="Times New Roman" w:hAnsi="Times New Roman"/>
          <w:i/>
          <w:iCs/>
        </w:rPr>
        <w:t>p</w:t>
      </w:r>
      <w:r>
        <w:rPr>
          <w:rFonts w:ascii="Times New Roman" w:hAnsi="Times New Roman"/>
          <w:u w:val="single"/>
        </w:rPr>
        <w:t>&lt;</w:t>
      </w:r>
      <w:r>
        <w:rPr>
          <w:rFonts w:ascii="Times New Roman" w:hAnsi="Times New Roman"/>
        </w:rPr>
        <w:t>0.001) estimates are reported in the Figure.</w:t>
      </w:r>
    </w:p>
    <w:p w:rsidR="00070133" w:rsidRDefault="00070133">
      <w:pPr>
        <w:rPr>
          <w:rFonts w:ascii="Times New Roman" w:hAnsi="Times New Roman"/>
        </w:rPr>
      </w:pPr>
    </w:p>
    <w:p w:rsidR="00070133" w:rsidRDefault="00640F1E">
      <w:r>
        <w:rPr>
          <w:rFonts w:ascii="Times New Roman" w:hAnsi="Times New Roman"/>
          <w:b/>
          <w:bCs/>
        </w:rPr>
        <w:t>Figure 2b.</w:t>
      </w:r>
      <w:r>
        <w:rPr>
          <w:rFonts w:ascii="Times New Roman" w:hAnsi="Times New Roman"/>
        </w:rPr>
        <w:t xml:space="preserve"> The estimates for the different pathways were obtained from MR analysis in R </w:t>
      </w:r>
      <w:r>
        <w:rPr>
          <w:rFonts w:ascii="Times New Roman" w:hAnsi="Times New Roman"/>
        </w:rPr>
        <w:t>version 3.3.2. We used</w:t>
      </w:r>
      <w:r>
        <w:rPr>
          <w:rFonts w:ascii="Times New Roman" w:hAnsi="Times New Roman"/>
        </w:rPr>
        <w:t xml:space="preserve"> its</w:t>
      </w:r>
      <w:r>
        <w:rPr>
          <w:rFonts w:ascii="Times New Roman" w:hAnsi="Times New Roman"/>
        </w:rPr>
        <w:t xml:space="preserve"> package TwoSampleMR (cf. </w:t>
      </w:r>
      <w:hyperlink r:id="rId8">
        <w:r>
          <w:rPr>
            <w:rStyle w:val="InternetLink"/>
            <w:rFonts w:ascii="Times New Roman" w:hAnsi="Times New Roman"/>
          </w:rPr>
          <w:t>https://mrcieu.github.io/TwoSampleMR/</w:t>
        </w:r>
      </w:hyperlink>
      <w:r>
        <w:rPr>
          <w:rFonts w:ascii="Times New Roman" w:hAnsi="Times New Roman"/>
        </w:rPr>
        <w:t>), which allows to access GWAS data available on the MR-Base database (cf. Hemani et al., 2016). The data was accessed on the 06</w:t>
      </w:r>
      <w:r w:rsidRPr="00640F1E">
        <w:rPr>
          <w:rFonts w:ascii="Times New Roman" w:hAnsi="Times New Roman"/>
        </w:rPr>
        <w:t>/03/</w:t>
      </w:r>
      <w:r w:rsidRPr="00640F1E">
        <w:rPr>
          <w:rFonts w:ascii="Times New Roman" w:hAnsi="Times New Roman"/>
        </w:rPr>
        <w:t>2018</w:t>
      </w:r>
      <w:r w:rsidRPr="00640F1E">
        <w:rPr>
          <w:rFonts w:ascii="Times New Roman" w:hAnsi="Times New Roman"/>
        </w:rPr>
        <w:t>.  In</w:t>
      </w:r>
      <w:r>
        <w:rPr>
          <w:rFonts w:ascii="Times New Roman" w:hAnsi="Times New Roman"/>
        </w:rPr>
        <w:t xml:space="preserve"> MR analysis, the bi-directional relationships of 11 variables of interest (cf. below sTable 1.) were tested. A protocol of the different steps involved in the MR analysis are detailed in Table 2. (below). Only significant (</w:t>
      </w:r>
      <w:r>
        <w:rPr>
          <w:rFonts w:ascii="Times New Roman" w:hAnsi="Times New Roman"/>
          <w:i/>
          <w:iCs/>
        </w:rPr>
        <w:t>p</w:t>
      </w:r>
      <w:r>
        <w:rPr>
          <w:rFonts w:ascii="Times New Roman" w:hAnsi="Times New Roman"/>
          <w:u w:val="single"/>
        </w:rPr>
        <w:t>&lt;</w:t>
      </w:r>
      <w:r>
        <w:rPr>
          <w:rFonts w:ascii="Times New Roman" w:hAnsi="Times New Roman"/>
        </w:rPr>
        <w:t xml:space="preserve">0.001) estimates are </w:t>
      </w:r>
      <w:r>
        <w:rPr>
          <w:rFonts w:ascii="Times New Roman" w:hAnsi="Times New Roman"/>
        </w:rPr>
        <w:t>reported in the Figure.</w:t>
      </w:r>
    </w:p>
    <w:p w:rsidR="00070133" w:rsidRDefault="00070133">
      <w:pPr>
        <w:rPr>
          <w:rFonts w:ascii="Times New Roman" w:hAnsi="Times New Roman"/>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759"/>
        <w:gridCol w:w="7879"/>
      </w:tblGrid>
      <w:tr w:rsidR="00070133">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70133" w:rsidRDefault="00640F1E">
            <w:pPr>
              <w:rPr>
                <w:rFonts w:ascii="Times New Roman" w:hAnsi="Times New Roman"/>
                <w:b/>
                <w:bCs/>
              </w:rPr>
            </w:pPr>
            <w:r>
              <w:rPr>
                <w:rFonts w:ascii="Times New Roman" w:hAnsi="Times New Roman"/>
              </w:rPr>
              <w:t>GWAS references for Figure 2</w:t>
            </w:r>
          </w:p>
        </w:tc>
      </w:tr>
      <w:tr w:rsidR="00070133">
        <w:tc>
          <w:tcPr>
            <w:tcW w:w="1759"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Schizophrenia</w:t>
            </w:r>
          </w:p>
        </w:tc>
        <w:tc>
          <w:tcPr>
            <w:tcW w:w="7879"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pStyle w:val="TableContents"/>
              <w:rPr>
                <w:rFonts w:ascii="Times New Roman" w:hAnsi="Times New Roman"/>
              </w:rPr>
            </w:pPr>
            <w:r>
              <w:rPr>
                <w:rFonts w:ascii="Times New Roman" w:hAnsi="Times New Roman"/>
              </w:rPr>
              <w:t xml:space="preserve">Ripke, Stephan, Benjamin M. Neale, Aiden Corvin, James TR Walters, Kai-How Farh, Peter A. Holmans, Phil Lee et al. "Biological insights from 108 schizophrenia-associated genetic loci." </w:t>
            </w:r>
            <w:r>
              <w:rPr>
                <w:rFonts w:ascii="Times New Roman" w:hAnsi="Times New Roman"/>
                <w:i/>
              </w:rPr>
              <w:t>Nature</w:t>
            </w:r>
            <w:r>
              <w:rPr>
                <w:rFonts w:ascii="Times New Roman" w:hAnsi="Times New Roman"/>
              </w:rPr>
              <w:t xml:space="preserve"> 511, no. 7510 (2014): 421.</w:t>
            </w:r>
          </w:p>
        </w:tc>
      </w:tr>
      <w:tr w:rsidR="00070133" w:rsidRPr="00640F1E">
        <w:tc>
          <w:tcPr>
            <w:tcW w:w="1759" w:type="dxa"/>
            <w:tcBorders>
              <w:left w:val="single" w:sz="2" w:space="0" w:color="000000"/>
              <w:bottom w:val="single" w:sz="2" w:space="0" w:color="000000"/>
            </w:tcBorders>
            <w:shd w:val="clear" w:color="auto" w:fill="auto"/>
            <w:tcMar>
              <w:left w:w="54" w:type="dxa"/>
            </w:tcMar>
          </w:tcPr>
          <w:p w:rsidR="00070133" w:rsidRDefault="00640F1E">
            <w:pPr>
              <w:pStyle w:val="TableContents"/>
              <w:rPr>
                <w:rFonts w:ascii="Times New Roman" w:hAnsi="Times New Roman"/>
              </w:rPr>
            </w:pPr>
            <w:r>
              <w:rPr>
                <w:rFonts w:ascii="Times New Roman" w:hAnsi="Times New Roman"/>
              </w:rPr>
              <w:t>Cigarette use</w:t>
            </w:r>
          </w:p>
        </w:tc>
        <w:tc>
          <w:tcPr>
            <w:tcW w:w="7879" w:type="dxa"/>
            <w:tcBorders>
              <w:left w:val="single" w:sz="2" w:space="0" w:color="000000"/>
              <w:bottom w:val="single" w:sz="2" w:space="0" w:color="000000"/>
              <w:right w:val="single" w:sz="2" w:space="0" w:color="000000"/>
            </w:tcBorders>
            <w:shd w:val="clear" w:color="auto" w:fill="auto"/>
            <w:tcMar>
              <w:left w:w="54" w:type="dxa"/>
            </w:tcMar>
          </w:tcPr>
          <w:p w:rsidR="00070133" w:rsidRPr="00640F1E" w:rsidRDefault="00640F1E">
            <w:pPr>
              <w:pStyle w:val="TableContents"/>
              <w:shd w:val="clear" w:color="auto" w:fill="FFFF00"/>
              <w:rPr>
                <w:rFonts w:ascii="Times New Roman" w:hAnsi="Times New Roman"/>
              </w:rPr>
            </w:pPr>
            <w:r w:rsidRPr="00640F1E">
              <w:rPr>
                <w:rFonts w:ascii="Times New Roman" w:hAnsi="Times New Roman"/>
              </w:rPr>
              <w:t xml:space="preserve">Ben Neale (2017), UK Biobank (cf. </w:t>
            </w:r>
            <w:hyperlink r:id="rId9">
              <w:r w:rsidRPr="00640F1E">
                <w:rPr>
                  <w:rStyle w:val="InternetLink"/>
                  <w:rFonts w:ascii="Times New Roman" w:hAnsi="Times New Roman"/>
                </w:rPr>
                <w:t>http://ldsc.broadinstitute.org/gwashare/</w:t>
              </w:r>
            </w:hyperlink>
            <w:r w:rsidRPr="00640F1E">
              <w:rPr>
                <w:rFonts w:ascii="Times New Roman" w:hAnsi="Times New Roman"/>
              </w:rPr>
              <w:t xml:space="preserve">) </w:t>
            </w:r>
          </w:p>
        </w:tc>
      </w:tr>
      <w:tr w:rsidR="00070133">
        <w:tc>
          <w:tcPr>
            <w:tcW w:w="1759"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Years of schooling</w:t>
            </w:r>
          </w:p>
        </w:tc>
        <w:tc>
          <w:tcPr>
            <w:tcW w:w="7879"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Okbay, Aysu, Jonathan P. Beauchamp, Mark Alan Font</w:t>
            </w:r>
            <w:r>
              <w:rPr>
                <w:rFonts w:ascii="Times New Roman" w:hAnsi="Times New Roman"/>
              </w:rPr>
              <w:t xml:space="preserve">ana, James J. Lee, Tune H. Pers, Cornelius A. Rietveld, Patrick Turley et al. "Genome-wide association study identifies 74 loci associated with educational attainment." </w:t>
            </w:r>
            <w:r>
              <w:rPr>
                <w:rFonts w:ascii="Times New Roman" w:hAnsi="Times New Roman"/>
                <w:i/>
              </w:rPr>
              <w:t>Nature</w:t>
            </w:r>
            <w:r>
              <w:rPr>
                <w:rFonts w:ascii="Times New Roman" w:hAnsi="Times New Roman"/>
              </w:rPr>
              <w:t xml:space="preserve"> 533, no. </w:t>
            </w:r>
            <w:r>
              <w:rPr>
                <w:rFonts w:ascii="Times New Roman" w:hAnsi="Times New Roman"/>
              </w:rPr>
              <w:lastRenderedPageBreak/>
              <w:t>7604 (2016): 539.</w:t>
            </w:r>
          </w:p>
        </w:tc>
      </w:tr>
      <w:tr w:rsidR="00070133">
        <w:tc>
          <w:tcPr>
            <w:tcW w:w="1759"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lastRenderedPageBreak/>
              <w:t xml:space="preserve">Infant head circumference </w:t>
            </w:r>
          </w:p>
        </w:tc>
        <w:tc>
          <w:tcPr>
            <w:tcW w:w="7879"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Taal, H. Rob, Beate St Po</w:t>
            </w:r>
            <w:r>
              <w:rPr>
                <w:rFonts w:ascii="Times New Roman" w:hAnsi="Times New Roman"/>
              </w:rPr>
              <w:t xml:space="preserve">urcain, Elisabeth Thiering, Shikta Das, Dennis O. Mook-Kanamori, Nicole M. Warrington, Marika Kaakinen et al. "Common variants at 12q15 and 12q24 are associated with infant head circumference." </w:t>
            </w:r>
            <w:r>
              <w:rPr>
                <w:rFonts w:ascii="Times New Roman" w:hAnsi="Times New Roman"/>
                <w:i/>
              </w:rPr>
              <w:t>Nature genetics</w:t>
            </w:r>
            <w:r>
              <w:rPr>
                <w:rFonts w:ascii="Times New Roman" w:hAnsi="Times New Roman"/>
              </w:rPr>
              <w:t xml:space="preserve"> 44, no. 5 (2012): 532.</w:t>
            </w:r>
          </w:p>
        </w:tc>
      </w:tr>
      <w:tr w:rsidR="00070133">
        <w:tc>
          <w:tcPr>
            <w:tcW w:w="1759"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Childhood intelligence</w:t>
            </w:r>
          </w:p>
        </w:tc>
        <w:tc>
          <w:tcPr>
            <w:tcW w:w="7879"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 xml:space="preserve">Benyamin, Beben, BSt Pourcain, Oliver S. Davis, Gail Davies, Narelle K. Hansell, M-JA Brion, R. M. Kirkpatrick et al. "Childhood intelligence is heritable, highly polygenic and associated with FNBP1L." </w:t>
            </w:r>
            <w:r>
              <w:rPr>
                <w:rFonts w:ascii="Times New Roman" w:hAnsi="Times New Roman"/>
                <w:i/>
              </w:rPr>
              <w:t>Molecular psychiatry</w:t>
            </w:r>
            <w:r>
              <w:rPr>
                <w:rFonts w:ascii="Times New Roman" w:hAnsi="Times New Roman"/>
              </w:rPr>
              <w:t xml:space="preserve"> 19, no. 2 (2014): 253.</w:t>
            </w:r>
          </w:p>
        </w:tc>
      </w:tr>
      <w:tr w:rsidR="00070133">
        <w:tc>
          <w:tcPr>
            <w:tcW w:w="1759"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Body mas</w:t>
            </w:r>
            <w:r>
              <w:rPr>
                <w:rFonts w:ascii="Times New Roman" w:hAnsi="Times New Roman"/>
              </w:rPr>
              <w:t>s index</w:t>
            </w:r>
          </w:p>
        </w:tc>
        <w:tc>
          <w:tcPr>
            <w:tcW w:w="7879"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 xml:space="preserve">Locke, Adam E., Bratati Kahali, Sonja I. Berndt, Anne E. Justice, Tune H. Pers, Felix R. Day, Corey Powell et al. "Genetic studies of body mass index yield new insights for obesity biology." </w:t>
            </w:r>
            <w:r>
              <w:rPr>
                <w:rFonts w:ascii="Times New Roman" w:hAnsi="Times New Roman"/>
                <w:i/>
              </w:rPr>
              <w:t>Nature</w:t>
            </w:r>
            <w:r>
              <w:rPr>
                <w:rFonts w:ascii="Times New Roman" w:hAnsi="Times New Roman"/>
              </w:rPr>
              <w:t xml:space="preserve"> 518, no. 7538 (2015): 197.</w:t>
            </w:r>
          </w:p>
        </w:tc>
      </w:tr>
      <w:tr w:rsidR="00070133">
        <w:tc>
          <w:tcPr>
            <w:tcW w:w="1759"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Plasma cortisol</w:t>
            </w:r>
          </w:p>
        </w:tc>
        <w:tc>
          <w:tcPr>
            <w:tcW w:w="7879"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Bolton</w:t>
            </w:r>
            <w:r>
              <w:rPr>
                <w:rFonts w:ascii="Times New Roman" w:hAnsi="Times New Roman"/>
              </w:rPr>
              <w:t>, Jennifer L., Caroline Hayward, Nese Direk, John G. Lewis, Geoffrey L. Hammond, Lesley A. Hill, A</w:t>
            </w:r>
            <w:bookmarkStart w:id="0" w:name="_GoBack"/>
            <w:bookmarkEnd w:id="0"/>
            <w:r>
              <w:rPr>
                <w:rFonts w:ascii="Times New Roman" w:hAnsi="Times New Roman"/>
              </w:rPr>
              <w:t>nna Anderson et al. "Genome wide association identifies common variants at the SERPINA6/SERPINA1 locus influencing plasma cortisol and corticosteroid bindi</w:t>
            </w:r>
            <w:r>
              <w:rPr>
                <w:rFonts w:ascii="Times New Roman" w:hAnsi="Times New Roman"/>
              </w:rPr>
              <w:t xml:space="preserve">ng globulin." </w:t>
            </w:r>
            <w:r>
              <w:rPr>
                <w:rFonts w:ascii="Times New Roman" w:hAnsi="Times New Roman"/>
                <w:i/>
              </w:rPr>
              <w:t>PLoS genetics</w:t>
            </w:r>
            <w:r>
              <w:rPr>
                <w:rFonts w:ascii="Times New Roman" w:hAnsi="Times New Roman"/>
              </w:rPr>
              <w:t xml:space="preserve"> 10, no. 7 (2014): e1004474.</w:t>
            </w:r>
          </w:p>
        </w:tc>
      </w:tr>
      <w:tr w:rsidR="00070133">
        <w:tc>
          <w:tcPr>
            <w:tcW w:w="1759"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Fasting glucose</w:t>
            </w:r>
          </w:p>
        </w:tc>
        <w:tc>
          <w:tcPr>
            <w:tcW w:w="7879"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Dupuis, Josée, Claudia Langenberg, Inga Prokopenko, Richa Saxena, Nicole Soranzo, Anne U. Jackson, Eleanor Wheeler et al. "New genetic loci implicated in fasting glucose homeostasis a</w:t>
            </w:r>
            <w:r>
              <w:rPr>
                <w:rFonts w:ascii="Times New Roman" w:hAnsi="Times New Roman"/>
              </w:rPr>
              <w:t xml:space="preserve">nd their impact on type 2 diabetes risk." </w:t>
            </w:r>
            <w:r>
              <w:rPr>
                <w:rFonts w:ascii="Times New Roman" w:hAnsi="Times New Roman"/>
                <w:i/>
              </w:rPr>
              <w:t>Nature genetics</w:t>
            </w:r>
            <w:r>
              <w:rPr>
                <w:rFonts w:ascii="Times New Roman" w:hAnsi="Times New Roman"/>
              </w:rPr>
              <w:t xml:space="preserve"> 42, no. 2 (2010): 105.</w:t>
            </w:r>
          </w:p>
        </w:tc>
      </w:tr>
      <w:tr w:rsidR="00070133">
        <w:tc>
          <w:tcPr>
            <w:tcW w:w="1759"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Coronary heart disease</w:t>
            </w:r>
          </w:p>
        </w:tc>
        <w:tc>
          <w:tcPr>
            <w:tcW w:w="7879"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rPr>
                <w:rFonts w:ascii="Times New Roman" w:hAnsi="Times New Roman"/>
                <w:color w:val="000000"/>
              </w:rPr>
            </w:pPr>
            <w:r>
              <w:rPr>
                <w:rFonts w:ascii="Times New Roman" w:hAnsi="Times New Roman"/>
                <w:color w:val="000000"/>
              </w:rPr>
              <w:t xml:space="preserve">Nikpey, A Goel, H Won, LM Hall C. Willenborg, S Kanoni, D Saleheen et al. A comprehensive 1000 Genomes–based genome-wide association meta-analysis of </w:t>
            </w:r>
            <w:r>
              <w:rPr>
                <w:rFonts w:ascii="Times New Roman" w:hAnsi="Times New Roman"/>
                <w:color w:val="000000"/>
              </w:rPr>
              <w:t>coronary artery disease. Nat Genet 2015 47:1121-1130</w:t>
            </w:r>
          </w:p>
        </w:tc>
      </w:tr>
      <w:tr w:rsidR="00070133">
        <w:tc>
          <w:tcPr>
            <w:tcW w:w="1759"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Type 2 diabetes</w:t>
            </w:r>
          </w:p>
        </w:tc>
        <w:tc>
          <w:tcPr>
            <w:tcW w:w="7879"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Morris, Andrew P., Benjamin F. Voight, Tanya M. Teslovich, Teresa Ferreira, Ayellet V. Segre, Valgerdur Steinthorsdottir, Rona J. Strawbridge et al. "</w:t>
            </w:r>
            <w:r>
              <w:rPr>
                <w:rFonts w:ascii="Times New Roman" w:hAnsi="Times New Roman"/>
              </w:rPr>
              <w:t xml:space="preserve">Large-scale association analysis provides insights into the genetic architecture and pathophysiology of type 2 diabetes." </w:t>
            </w:r>
            <w:r>
              <w:rPr>
                <w:rFonts w:ascii="Times New Roman" w:hAnsi="Times New Roman"/>
                <w:i/>
              </w:rPr>
              <w:t>Nature genetics</w:t>
            </w:r>
            <w:r>
              <w:rPr>
                <w:rFonts w:ascii="Times New Roman" w:hAnsi="Times New Roman"/>
              </w:rPr>
              <w:t xml:space="preserve"> 44, no. 9 (2012): 981.</w:t>
            </w:r>
          </w:p>
        </w:tc>
      </w:tr>
      <w:tr w:rsidR="00070133">
        <w:tc>
          <w:tcPr>
            <w:tcW w:w="1759"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LDL cholesterol</w:t>
            </w:r>
          </w:p>
        </w:tc>
        <w:tc>
          <w:tcPr>
            <w:tcW w:w="7879"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Willer, Cristen J., Ellen M. Schmidt, Sebanti Sengupta, Gina M. Peloso, Stefan</w:t>
            </w:r>
            <w:r>
              <w:rPr>
                <w:rFonts w:ascii="Times New Roman" w:hAnsi="Times New Roman"/>
              </w:rPr>
              <w:t xml:space="preserve"> Gustafsson, Stavroula Kanoni, Andrea Ganna et al. "Discovery and refinement of loci associated with lipid levels." </w:t>
            </w:r>
            <w:r>
              <w:rPr>
                <w:rFonts w:ascii="Times New Roman" w:hAnsi="Times New Roman"/>
                <w:i/>
              </w:rPr>
              <w:t>Nature genetics</w:t>
            </w:r>
            <w:r>
              <w:rPr>
                <w:rFonts w:ascii="Times New Roman" w:hAnsi="Times New Roman"/>
              </w:rPr>
              <w:t xml:space="preserve"> 45, no. 11 (2013): 1274.</w:t>
            </w:r>
          </w:p>
        </w:tc>
      </w:tr>
    </w:tbl>
    <w:p w:rsidR="00070133" w:rsidRDefault="00070133">
      <w:pPr>
        <w:rPr>
          <w:rFonts w:ascii="Times New Roman" w:hAnsi="Times New Roman"/>
        </w:rPr>
      </w:pPr>
    </w:p>
    <w:p w:rsidR="00070133" w:rsidRDefault="00070133">
      <w:pPr>
        <w:rPr>
          <w:rFonts w:ascii="Times New Roman" w:hAnsi="Times New Roman"/>
        </w:rPr>
      </w:pPr>
    </w:p>
    <w:p w:rsidR="00070133" w:rsidRDefault="00070133">
      <w:pPr>
        <w:rPr>
          <w:rFonts w:ascii="Times New Roman" w:hAnsi="Times New Roman"/>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1865"/>
        <w:gridCol w:w="7773"/>
      </w:tblGrid>
      <w:tr w:rsidR="00070133">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70133" w:rsidRDefault="00640F1E">
            <w:pPr>
              <w:pStyle w:val="TableContents"/>
              <w:rPr>
                <w:rFonts w:ascii="Times New Roman" w:hAnsi="Times New Roman"/>
              </w:rPr>
            </w:pPr>
            <w:r>
              <w:rPr>
                <w:rFonts w:ascii="Times New Roman" w:hAnsi="Times New Roman"/>
                <w:b/>
                <w:bCs/>
              </w:rPr>
              <w:t>Table 2.</w:t>
            </w:r>
            <w:r>
              <w:rPr>
                <w:rFonts w:ascii="Times New Roman" w:hAnsi="Times New Roman"/>
              </w:rPr>
              <w:t xml:space="preserve"> MR analysis using MR-Base</w:t>
            </w:r>
          </w:p>
        </w:tc>
      </w:tr>
      <w:tr w:rsidR="00070133">
        <w:tc>
          <w:tcPr>
            <w:tcW w:w="1865" w:type="dxa"/>
            <w:tcBorders>
              <w:left w:val="single" w:sz="2" w:space="0" w:color="000000"/>
              <w:bottom w:val="single" w:sz="2" w:space="0" w:color="000000"/>
            </w:tcBorders>
            <w:shd w:val="clear" w:color="auto" w:fill="auto"/>
            <w:tcMar>
              <w:left w:w="54" w:type="dxa"/>
            </w:tcMar>
          </w:tcPr>
          <w:p w:rsidR="00070133" w:rsidRDefault="00640F1E">
            <w:pPr>
              <w:pStyle w:val="TableContents"/>
              <w:rPr>
                <w:rFonts w:ascii="Times New Roman" w:hAnsi="Times New Roman"/>
              </w:rPr>
            </w:pPr>
            <w:r>
              <w:rPr>
                <w:rFonts w:ascii="Times New Roman" w:hAnsi="Times New Roman"/>
              </w:rPr>
              <w:t>Step</w:t>
            </w:r>
          </w:p>
        </w:tc>
        <w:tc>
          <w:tcPr>
            <w:tcW w:w="7773"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pStyle w:val="TableContents"/>
              <w:rPr>
                <w:rFonts w:ascii="Times New Roman" w:hAnsi="Times New Roman"/>
              </w:rPr>
            </w:pPr>
            <w:r>
              <w:rPr>
                <w:rFonts w:ascii="Times New Roman" w:hAnsi="Times New Roman"/>
              </w:rPr>
              <w:t>Description</w:t>
            </w:r>
          </w:p>
        </w:tc>
      </w:tr>
      <w:tr w:rsidR="00070133">
        <w:tc>
          <w:tcPr>
            <w:tcW w:w="1865"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1: Extract the instrument</w:t>
            </w:r>
          </w:p>
        </w:tc>
        <w:tc>
          <w:tcPr>
            <w:tcW w:w="7773"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pStyle w:val="TableContents"/>
              <w:rPr>
                <w:rFonts w:ascii="Times New Roman" w:hAnsi="Times New Roman"/>
              </w:rPr>
            </w:pPr>
            <w:r>
              <w:rPr>
                <w:rFonts w:ascii="Times New Roman" w:hAnsi="Times New Roman"/>
              </w:rPr>
              <w:t xml:space="preserve">First, GWAS </w:t>
            </w:r>
            <w:r>
              <w:rPr>
                <w:rFonts w:ascii="Times New Roman" w:hAnsi="Times New Roman"/>
              </w:rPr>
              <w:t>significant SNPs (</w:t>
            </w:r>
            <w:r>
              <w:rPr>
                <w:rFonts w:ascii="Times New Roman" w:hAnsi="Times New Roman"/>
                <w:i/>
                <w:iCs/>
                <w:color w:val="000000"/>
              </w:rPr>
              <w:t>p</w:t>
            </w:r>
            <w:r>
              <w:rPr>
                <w:rFonts w:ascii="Times New Roman" w:hAnsi="Times New Roman"/>
                <w:color w:val="000000"/>
              </w:rPr>
              <w:t xml:space="preserve"> &lt; </w:t>
            </w:r>
            <w:r>
              <w:rPr>
                <w:rFonts w:ascii="Times New Roman" w:hAnsi="Times New Roman"/>
                <w:color w:val="000000"/>
              </w:rPr>
              <w:t>5 x 10</w:t>
            </w:r>
            <w:r>
              <w:rPr>
                <w:rFonts w:ascii="Times New Roman" w:hAnsi="Times New Roman"/>
                <w:color w:val="000000"/>
                <w:vertAlign w:val="superscript"/>
              </w:rPr>
              <w:t>-8</w:t>
            </w:r>
            <w:r>
              <w:rPr>
                <w:rFonts w:ascii="Times New Roman" w:hAnsi="Times New Roman"/>
              </w:rPr>
              <w:t>) for a specified outcome (e.g. body mass index, BMI) are extracted from the MR base database. Clumping is conducted at a threshold of r</w:t>
            </w:r>
            <w:r>
              <w:rPr>
                <w:rFonts w:ascii="Times New Roman" w:hAnsi="Times New Roman"/>
                <w:vertAlign w:val="superscript"/>
              </w:rPr>
              <w:t>2</w:t>
            </w:r>
            <w:r>
              <w:rPr>
                <w:rFonts w:ascii="Times New Roman" w:hAnsi="Times New Roman"/>
              </w:rPr>
              <w:t xml:space="preserve">=0.001 and with a </w:t>
            </w:r>
            <w:r>
              <w:rPr>
                <w:rFonts w:ascii="Times New Roman" w:hAnsi="Times New Roman"/>
                <w:color w:val="000000"/>
              </w:rPr>
              <w:t>distance cutoff of kb = 10000.</w:t>
            </w:r>
          </w:p>
        </w:tc>
      </w:tr>
      <w:tr w:rsidR="00070133">
        <w:tc>
          <w:tcPr>
            <w:tcW w:w="1865"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2: Extract the outcome</w:t>
            </w:r>
          </w:p>
        </w:tc>
        <w:tc>
          <w:tcPr>
            <w:tcW w:w="7773"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pStyle w:val="TableContents"/>
              <w:rPr>
                <w:rFonts w:ascii="Times New Roman" w:hAnsi="Times New Roman"/>
              </w:rPr>
            </w:pPr>
            <w:r>
              <w:rPr>
                <w:rFonts w:ascii="Times New Roman" w:hAnsi="Times New Roman"/>
              </w:rPr>
              <w:t xml:space="preserve">Second, the </w:t>
            </w:r>
            <w:r>
              <w:rPr>
                <w:rFonts w:ascii="Times New Roman" w:hAnsi="Times New Roman"/>
              </w:rPr>
              <w:t>corresponding beta and standard error for the identified SNP IV’s are extracted from the outcome of interest (e.g. CHD).</w:t>
            </w:r>
          </w:p>
        </w:tc>
      </w:tr>
      <w:tr w:rsidR="00070133">
        <w:tc>
          <w:tcPr>
            <w:tcW w:w="1865"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3: Harmonisation</w:t>
            </w:r>
          </w:p>
        </w:tc>
        <w:tc>
          <w:tcPr>
            <w:tcW w:w="7773"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pStyle w:val="TableContents"/>
              <w:rPr>
                <w:rFonts w:ascii="Times New Roman" w:hAnsi="Times New Roman"/>
              </w:rPr>
            </w:pPr>
            <w:r>
              <w:rPr>
                <w:rFonts w:ascii="Times New Roman" w:hAnsi="Times New Roman"/>
              </w:rPr>
              <w:t xml:space="preserve">Third, harmonisation of the effect of the exposure and the outcome data is carried out. This ensures that the effect </w:t>
            </w:r>
            <w:r>
              <w:rPr>
                <w:rFonts w:ascii="Times New Roman" w:hAnsi="Times New Roman"/>
              </w:rPr>
              <w:t>of a SNP on the exposure and the effect of that SNP on the outcome correspond to the same allele.</w:t>
            </w:r>
          </w:p>
        </w:tc>
      </w:tr>
      <w:tr w:rsidR="00070133">
        <w:tc>
          <w:tcPr>
            <w:tcW w:w="1865" w:type="dxa"/>
            <w:tcBorders>
              <w:left w:val="single" w:sz="2" w:space="0" w:color="000000"/>
              <w:bottom w:val="single" w:sz="2" w:space="0" w:color="000000"/>
            </w:tcBorders>
            <w:shd w:val="clear" w:color="auto" w:fill="auto"/>
            <w:tcMar>
              <w:left w:w="54" w:type="dxa"/>
            </w:tcMar>
          </w:tcPr>
          <w:p w:rsidR="00070133" w:rsidRDefault="00640F1E">
            <w:pPr>
              <w:rPr>
                <w:rFonts w:ascii="Times New Roman" w:hAnsi="Times New Roman"/>
              </w:rPr>
            </w:pPr>
            <w:r>
              <w:rPr>
                <w:rFonts w:ascii="Times New Roman" w:hAnsi="Times New Roman"/>
              </w:rPr>
              <w:t>4: MR analysis</w:t>
            </w:r>
          </w:p>
        </w:tc>
        <w:tc>
          <w:tcPr>
            <w:tcW w:w="7773" w:type="dxa"/>
            <w:tcBorders>
              <w:left w:val="single" w:sz="2" w:space="0" w:color="000000"/>
              <w:bottom w:val="single" w:sz="2" w:space="0" w:color="000000"/>
              <w:right w:val="single" w:sz="2" w:space="0" w:color="000000"/>
            </w:tcBorders>
            <w:shd w:val="clear" w:color="auto" w:fill="auto"/>
            <w:tcMar>
              <w:left w:w="54" w:type="dxa"/>
            </w:tcMar>
          </w:tcPr>
          <w:p w:rsidR="00070133" w:rsidRDefault="00640F1E">
            <w:pPr>
              <w:pStyle w:val="TableContents"/>
              <w:rPr>
                <w:rFonts w:ascii="Times New Roman" w:hAnsi="Times New Roman"/>
              </w:rPr>
            </w:pPr>
            <w:r>
              <w:rPr>
                <w:rFonts w:ascii="Times New Roman" w:hAnsi="Times New Roman"/>
              </w:rPr>
              <w:t>Fourth, the MR analysis is conducted, using the harmonised dataset. The IVW method was used for all MR analyses.  This returns the causal effe</w:t>
            </w:r>
            <w:r>
              <w:rPr>
                <w:rFonts w:ascii="Times New Roman" w:hAnsi="Times New Roman"/>
              </w:rPr>
              <w:t xml:space="preserve">ct of the </w:t>
            </w:r>
            <w:r>
              <w:rPr>
                <w:rFonts w:ascii="Times New Roman" w:hAnsi="Times New Roman"/>
              </w:rPr>
              <w:lastRenderedPageBreak/>
              <w:t xml:space="preserve">exposure (BMI) on the outcome (CHD): </w:t>
            </w:r>
            <w:r>
              <w:rPr>
                <w:rFonts w:ascii="Times New Roman" w:hAnsi="Times New Roman"/>
                <w:i/>
                <w:iCs/>
              </w:rPr>
              <w:t>b</w:t>
            </w:r>
            <w:r>
              <w:rPr>
                <w:rFonts w:ascii="Times New Roman" w:hAnsi="Times New Roman"/>
              </w:rPr>
              <w:t xml:space="preserve">=0.44; se=0.05 </w:t>
            </w:r>
            <w:r>
              <w:rPr>
                <w:rFonts w:ascii="Times New Roman" w:hAnsi="Times New Roman"/>
                <w:i/>
                <w:iCs/>
              </w:rPr>
              <w:t>p</w:t>
            </w:r>
            <w:r>
              <w:rPr>
                <w:rFonts w:ascii="Times New Roman" w:hAnsi="Times New Roman"/>
              </w:rPr>
              <w:t>&lt;0.0001</w:t>
            </w:r>
          </w:p>
        </w:tc>
      </w:tr>
    </w:tbl>
    <w:p w:rsidR="00070133" w:rsidRDefault="00070133">
      <w:pPr>
        <w:rPr>
          <w:rFonts w:ascii="Times New Roman" w:hAnsi="Times New Roman"/>
        </w:rPr>
      </w:pPr>
    </w:p>
    <w:p w:rsidR="00070133" w:rsidRDefault="00070133">
      <w:pPr>
        <w:rPr>
          <w:rFonts w:ascii="Times New Roman" w:hAnsi="Times New Roman"/>
        </w:rPr>
      </w:pPr>
    </w:p>
    <w:p w:rsidR="00070133" w:rsidRDefault="00640F1E">
      <w:pPr>
        <w:rPr>
          <w:rFonts w:ascii="Times New Roman" w:hAnsi="Times New Roman"/>
          <w:b/>
          <w:bCs/>
        </w:rPr>
      </w:pPr>
      <w:r>
        <w:rPr>
          <w:rFonts w:ascii="Times New Roman" w:hAnsi="Times New Roman"/>
          <w:b/>
          <w:bCs/>
        </w:rPr>
        <w:t>References</w:t>
      </w:r>
    </w:p>
    <w:p w:rsidR="00070133" w:rsidRDefault="00640F1E">
      <w:pPr>
        <w:numPr>
          <w:ilvl w:val="0"/>
          <w:numId w:val="1"/>
        </w:numPr>
      </w:pPr>
      <w:r>
        <w:rPr>
          <w:rFonts w:ascii="Times New Roman" w:hAnsi="Times New Roman"/>
          <w:color w:val="222222"/>
        </w:rPr>
        <w:t xml:space="preserve">Gage, Suzanne H., Hannah J. Jones, Stephen Burgess, Jack Bowden, G. Davey Smith, Stanley Zammit, and Marcus R. Munafò. "Assessing causality in associations between </w:t>
      </w:r>
      <w:r>
        <w:rPr>
          <w:rFonts w:ascii="Times New Roman" w:hAnsi="Times New Roman"/>
          <w:color w:val="222222"/>
        </w:rPr>
        <w:t>cannabis use and schizophrenia risk: a two-sample Mendelian randomization study."</w:t>
      </w:r>
      <w:r>
        <w:rPr>
          <w:rFonts w:ascii="Times New Roman" w:hAnsi="Times New Roman"/>
          <w:i/>
          <w:color w:val="222222"/>
        </w:rPr>
        <w:t xml:space="preserve">Psychological medicine </w:t>
      </w:r>
      <w:r>
        <w:rPr>
          <w:rFonts w:ascii="Times New Roman" w:hAnsi="Times New Roman"/>
          <w:color w:val="222222"/>
        </w:rPr>
        <w:t>47, no. 5 (2017): 971-980.</w:t>
      </w:r>
    </w:p>
    <w:p w:rsidR="00070133" w:rsidRDefault="00640F1E">
      <w:pPr>
        <w:numPr>
          <w:ilvl w:val="0"/>
          <w:numId w:val="1"/>
        </w:numPr>
      </w:pPr>
      <w:hyperlink r:id="rId10">
        <w:r>
          <w:rPr>
            <w:rStyle w:val="InternetLink"/>
            <w:rFonts w:ascii="Times New Roman" w:hAnsi="Times New Roman"/>
            <w:color w:val="000000"/>
            <w:u w:val="none"/>
          </w:rPr>
          <w:t xml:space="preserve">Hemani G, Zheng J, Wade KH, Laurin C, Elsworth B, </w:t>
        </w:r>
        <w:r>
          <w:rPr>
            <w:rStyle w:val="InternetLink"/>
            <w:rFonts w:ascii="Times New Roman" w:hAnsi="Times New Roman"/>
            <w:color w:val="000000"/>
            <w:u w:val="none"/>
          </w:rPr>
          <w:t>Burgess S, Bowden J, Langdon R, Tan V, Yarmolinsky J, Shihab HA, Timpson NJ, Evans DM, Relton C, Martin RM, Davey Smith G, Gaunt TR, Haycock PC, The MR-Base Collaboration.</w:t>
        </w:r>
        <w:r>
          <w:rPr>
            <w:rStyle w:val="InternetLink"/>
            <w:rFonts w:ascii="Times New Roman" w:hAnsi="Times New Roman"/>
            <w:color w:val="000000"/>
            <w:u w:val="none"/>
          </w:rPr>
          <w:br/>
        </w:r>
      </w:hyperlink>
      <w:hyperlink r:id="rId11">
        <w:r>
          <w:rPr>
            <w:rStyle w:val="StrongEmphasis"/>
            <w:rFonts w:ascii="Times New Roman" w:hAnsi="Times New Roman"/>
            <w:b w:val="0"/>
            <w:bCs w:val="0"/>
            <w:color w:val="000000"/>
          </w:rPr>
          <w:t>MR-Base: a pla</w:t>
        </w:r>
        <w:r>
          <w:rPr>
            <w:rStyle w:val="StrongEmphasis"/>
            <w:rFonts w:ascii="Times New Roman" w:hAnsi="Times New Roman"/>
            <w:b w:val="0"/>
            <w:bCs w:val="0"/>
            <w:color w:val="000000"/>
          </w:rPr>
          <w:t>tform for systematic causal inference across the phenome using billions of genetic associations.</w:t>
        </w:r>
      </w:hyperlink>
      <w:hyperlink r:id="rId12">
        <w:r>
          <w:rPr>
            <w:rStyle w:val="InternetLink"/>
          </w:rPr>
          <w:t xml:space="preserve">  bioRxiv. doi: </w:t>
        </w:r>
      </w:hyperlink>
      <w:hyperlink r:id="rId13">
        <w:r>
          <w:rPr>
            <w:rStyle w:val="InternetLink"/>
          </w:rPr>
          <w:t>https://doi.org/10.1101/</w:t>
        </w:r>
        <w:r>
          <w:rPr>
            <w:rStyle w:val="InternetLink"/>
          </w:rPr>
          <w:t>078972</w:t>
        </w:r>
      </w:hyperlink>
    </w:p>
    <w:p w:rsidR="00070133" w:rsidRDefault="00640F1E">
      <w:pPr>
        <w:numPr>
          <w:ilvl w:val="0"/>
          <w:numId w:val="1"/>
        </w:numPr>
        <w:rPr>
          <w:rFonts w:ascii="Times New Roman" w:hAnsi="Times New Roman"/>
        </w:rPr>
      </w:pPr>
      <w:r>
        <w:rPr>
          <w:rFonts w:ascii="Times New Roman" w:hAnsi="Times New Roman"/>
          <w:color w:val="222222"/>
        </w:rPr>
        <w:t>Liu, Dajiang J., Gina M. Peloso, Haojie Yu, Adam S. Butterworth, Xiao Wang, Anubha Mahajan, Danish Saleheen et al. "Exome-wide association study of plasma lipids in&gt; 300,000 individuals." </w:t>
      </w:r>
      <w:r>
        <w:rPr>
          <w:rFonts w:ascii="Times New Roman" w:hAnsi="Times New Roman"/>
          <w:i/>
          <w:color w:val="222222"/>
        </w:rPr>
        <w:t>Nature genetics</w:t>
      </w:r>
      <w:r>
        <w:rPr>
          <w:rFonts w:ascii="Times New Roman" w:hAnsi="Times New Roman"/>
          <w:color w:val="222222"/>
        </w:rPr>
        <w:t> 49, no. 12 (2017): 1758.</w:t>
      </w:r>
    </w:p>
    <w:p w:rsidR="00070133" w:rsidRDefault="00640F1E">
      <w:pPr>
        <w:numPr>
          <w:ilvl w:val="0"/>
          <w:numId w:val="1"/>
        </w:numPr>
        <w:rPr>
          <w:rFonts w:ascii="Times New Roman" w:hAnsi="Times New Roman"/>
          <w:color w:val="000000"/>
        </w:rPr>
      </w:pPr>
      <w:r>
        <w:rPr>
          <w:rFonts w:ascii="Times New Roman" w:hAnsi="Times New Roman"/>
          <w:color w:val="000000"/>
        </w:rPr>
        <w:t>Nikpey, A Goel, H Wo</w:t>
      </w:r>
      <w:r>
        <w:rPr>
          <w:rFonts w:ascii="Times New Roman" w:hAnsi="Times New Roman"/>
          <w:color w:val="000000"/>
        </w:rPr>
        <w:t>n, LM Hall C. Willenborg, S Kanoni, D Saleheen et al. A comprehensive 1000 Genomes–based genome-wide association meta-analysis of coronary artery disease. Nat Genet 2015 47:1121-1130.</w:t>
      </w:r>
    </w:p>
    <w:p w:rsidR="00070133" w:rsidRDefault="00640F1E">
      <w:pPr>
        <w:numPr>
          <w:ilvl w:val="0"/>
          <w:numId w:val="1"/>
        </w:numPr>
        <w:rPr>
          <w:rFonts w:ascii="Times New Roman" w:hAnsi="Times New Roman"/>
          <w:color w:val="000000"/>
        </w:rPr>
      </w:pPr>
      <w:r>
        <w:rPr>
          <w:rFonts w:ascii="Times New Roman" w:hAnsi="Times New Roman"/>
          <w:color w:val="000000"/>
        </w:rPr>
        <w:t>Rees, Jessica, Angela M. Wood, and Stephen Burgess. "Extending the MR‐Eg</w:t>
      </w:r>
      <w:r>
        <w:rPr>
          <w:rFonts w:ascii="Times New Roman" w:hAnsi="Times New Roman"/>
          <w:color w:val="000000"/>
        </w:rPr>
        <w:t>ger method for multivariable Mendelian randomization to correct for both measured and unmeasured pleiotropy."Statistics in medicine 36, no. 29 (2017): 4705-4718.</w:t>
      </w:r>
    </w:p>
    <w:p w:rsidR="00070133" w:rsidRDefault="00640F1E">
      <w:pPr>
        <w:numPr>
          <w:ilvl w:val="0"/>
          <w:numId w:val="1"/>
        </w:numPr>
        <w:rPr>
          <w:rFonts w:ascii="Times New Roman" w:hAnsi="Times New Roman"/>
          <w:color w:val="000000"/>
        </w:rPr>
      </w:pPr>
      <w:r>
        <w:rPr>
          <w:rFonts w:ascii="Times New Roman" w:hAnsi="Times New Roman"/>
          <w:color w:val="000000"/>
        </w:rPr>
        <w:t>Bulik-Sullivan, Brendan, Hilary K. Finucane, Verneri Anttila, Alexander Gusev, Felix R. Day, P</w:t>
      </w:r>
      <w:r>
        <w:rPr>
          <w:rFonts w:ascii="Times New Roman" w:hAnsi="Times New Roman"/>
          <w:color w:val="000000"/>
        </w:rPr>
        <w:t xml:space="preserve">o-Ru Loh, Laramie Duncan et al. "An atlas of genetic correlations across human diseases and traits." </w:t>
      </w:r>
      <w:r>
        <w:rPr>
          <w:rFonts w:ascii="Times New Roman" w:hAnsi="Times New Roman"/>
          <w:i/>
          <w:color w:val="000000"/>
        </w:rPr>
        <w:t>Nature genetics</w:t>
      </w:r>
      <w:r>
        <w:rPr>
          <w:rFonts w:ascii="Times New Roman" w:hAnsi="Times New Roman"/>
          <w:color w:val="000000"/>
        </w:rPr>
        <w:t xml:space="preserve"> 47, no. 11 (2015): 1236.</w:t>
      </w:r>
    </w:p>
    <w:p w:rsidR="00070133" w:rsidRDefault="00640F1E">
      <w:pPr>
        <w:numPr>
          <w:ilvl w:val="0"/>
          <w:numId w:val="1"/>
        </w:numPr>
        <w:rPr>
          <w:rFonts w:ascii="Times New Roman" w:hAnsi="Times New Roman"/>
          <w:color w:val="000000"/>
        </w:rPr>
      </w:pPr>
      <w:r>
        <w:rPr>
          <w:rFonts w:ascii="Times New Roman" w:hAnsi="Times New Roman"/>
          <w:color w:val="222222"/>
        </w:rPr>
        <w:t>Yavorska, Olena O., and Stephen Burgess. "MendelianRandomization: an R package for performing Mendelian randomizat</w:t>
      </w:r>
      <w:r>
        <w:rPr>
          <w:rFonts w:ascii="Times New Roman" w:hAnsi="Times New Roman"/>
          <w:color w:val="222222"/>
        </w:rPr>
        <w:t>ion analyses using summarized data." </w:t>
      </w:r>
      <w:r>
        <w:rPr>
          <w:rFonts w:ascii="Times New Roman" w:hAnsi="Times New Roman"/>
          <w:i/>
          <w:color w:val="222222"/>
        </w:rPr>
        <w:t>International journal of epidemiology</w:t>
      </w:r>
      <w:r>
        <w:rPr>
          <w:rFonts w:ascii="Times New Roman" w:hAnsi="Times New Roman"/>
          <w:color w:val="222222"/>
        </w:rPr>
        <w:t> 46, no. 6 (2017): 1734-1739.</w:t>
      </w:r>
    </w:p>
    <w:sectPr w:rsidR="0007013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Liberation Mono">
    <w:altName w:val="Courier New"/>
    <w:charset w:val="01"/>
    <w:family w:val="modern"/>
    <w:pitch w:val="fixed"/>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20C7A"/>
    <w:multiLevelType w:val="multilevel"/>
    <w:tmpl w:val="99DE67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4C31D61"/>
    <w:multiLevelType w:val="multilevel"/>
    <w:tmpl w:val="9410B5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useFELayout/>
    <w:compatSetting w:name="compatibilityMode" w:uri="http://schemas.microsoft.com/office/word" w:val="12"/>
  </w:compat>
  <w:rsids>
    <w:rsidRoot w:val="00070133"/>
    <w:rsid w:val="00070133"/>
    <w:rsid w:val="00640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2B947-68D1-4687-AC97-6D99C3D0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styleId="Emphasis">
    <w:name w:val="Emphasis"/>
    <w:qFormat/>
    <w:rPr>
      <w:i/>
      <w:iCs/>
    </w:rPr>
  </w:style>
  <w:style w:type="character" w:customStyle="1" w:styleId="NumberingSymbols">
    <w:name w:val="Numbering Symbols"/>
    <w:qFormat/>
  </w:style>
  <w:style w:type="character" w:customStyle="1" w:styleId="StrongEmphasis">
    <w:name w:val="Strong Emphasis"/>
    <w:qFormat/>
    <w:rPr>
      <w:b/>
      <w:bC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PreformattedText">
    <w:name w:val="Preformatted Text"/>
    <w:basedOn w:val="Normal"/>
    <w:qFormat/>
    <w:rPr>
      <w:rFonts w:ascii="Liberation Mono" w:eastAsia="Courier New" w:hAnsi="Liberation Mono" w:cs="Liberation Mono"/>
      <w:sz w:val="20"/>
      <w:szCs w:val="20"/>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0F1E"/>
    <w:rPr>
      <w:rFonts w:ascii="Segoe UI" w:hAnsi="Segoe UI" w:cs="Mangal"/>
      <w:sz w:val="18"/>
      <w:szCs w:val="16"/>
    </w:rPr>
  </w:style>
  <w:style w:type="character" w:customStyle="1" w:styleId="BalloonTextChar">
    <w:name w:val="Balloon Text Char"/>
    <w:basedOn w:val="DefaultParagraphFont"/>
    <w:link w:val="BalloonText"/>
    <w:uiPriority w:val="99"/>
    <w:semiHidden/>
    <w:rsid w:val="00640F1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rcieu.github.io/TwoSampleMR/" TargetMode="External"/><Relationship Id="rId13" Type="http://schemas.openxmlformats.org/officeDocument/2006/relationships/hyperlink" Target="https://doi.org/10.1101/078972" TargetMode="External"/><Relationship Id="rId3" Type="http://schemas.openxmlformats.org/officeDocument/2006/relationships/settings" Target="settings.xml"/><Relationship Id="rId7" Type="http://schemas.openxmlformats.org/officeDocument/2006/relationships/hyperlink" Target="http://ldsc.broadinstitute.org/lookup/" TargetMode="External"/><Relationship Id="rId12" Type="http://schemas.openxmlformats.org/officeDocument/2006/relationships/hyperlink" Target="http://biorxiv.org/content/early/2016/12/16/0789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ng.3977" TargetMode="External"/><Relationship Id="rId11" Type="http://schemas.openxmlformats.org/officeDocument/2006/relationships/hyperlink" Target="http://biorxiv.org/content/early/2016/12/16/078972" TargetMode="External"/><Relationship Id="rId5" Type="http://schemas.openxmlformats.org/officeDocument/2006/relationships/hyperlink" Target="http://www.cardiogramplusc4d.org/data-downloads/" TargetMode="External"/><Relationship Id="rId15" Type="http://schemas.openxmlformats.org/officeDocument/2006/relationships/theme" Target="theme/theme1.xml"/><Relationship Id="rId10" Type="http://schemas.openxmlformats.org/officeDocument/2006/relationships/hyperlink" Target="http://biorxiv.org/content/early/2016/12/16/078972" TargetMode="External"/><Relationship Id="rId4" Type="http://schemas.openxmlformats.org/officeDocument/2006/relationships/webSettings" Target="webSettings.xml"/><Relationship Id="rId9" Type="http://schemas.openxmlformats.org/officeDocument/2006/relationships/hyperlink" Target="http://ldsc.broadinstitute.org/gwash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6479CD7D.dotm</Template>
  <TotalTime>609</TotalTime>
  <Pages>3</Pages>
  <Words>1381</Words>
  <Characters>7872</Characters>
  <Application>Microsoft Office Word</Application>
  <DocSecurity>0</DocSecurity>
  <Lines>65</Lines>
  <Paragraphs>18</Paragraphs>
  <ScaleCrop>false</ScaleCrop>
  <Company>University of Leicester</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Dudbridge, Frank (Prof.)</cp:lastModifiedBy>
  <cp:revision>51</cp:revision>
  <dcterms:created xsi:type="dcterms:W3CDTF">2018-03-06T11:35:00Z</dcterms:created>
  <dcterms:modified xsi:type="dcterms:W3CDTF">2018-06-21T08:53:00Z</dcterms:modified>
  <dc:language>en-GB</dc:language>
</cp:coreProperties>
</file>