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D28A6">
        <w:rPr>
          <w:rFonts w:ascii="Arial" w:hAnsi="Arial" w:cs="Arial"/>
          <w:b/>
          <w:bCs/>
          <w:color w:val="000000"/>
          <w:sz w:val="18"/>
          <w:szCs w:val="18"/>
        </w:rPr>
        <w:t>CHARACTERISTICS OF PATIENTS WITH TYPE 2 DIABETES MELLITUS NEWLY TREATED WITH BASAL INSULIN</w:t>
      </w:r>
      <w:r w:rsidR="00D1378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D28A6">
        <w:rPr>
          <w:rFonts w:ascii="Arial" w:hAnsi="Arial" w:cs="Arial"/>
          <w:b/>
          <w:bCs/>
          <w:color w:val="000000"/>
          <w:sz w:val="18"/>
          <w:szCs w:val="18"/>
        </w:rPr>
        <w:t>THERAPY: A POPULATION-BASED UK STUDY.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33"/>
          <w:sz w:val="18"/>
          <w:szCs w:val="18"/>
        </w:rPr>
      </w:pPr>
      <w:r w:rsidRPr="00D1378F">
        <w:rPr>
          <w:rFonts w:ascii="Arial" w:hAnsi="Arial" w:cs="Arial"/>
          <w:bCs/>
          <w:color w:val="000033"/>
          <w:sz w:val="18"/>
          <w:szCs w:val="18"/>
        </w:rPr>
        <w:t>Adan M</w:t>
      </w:r>
      <w:r w:rsidRPr="00D1378F">
        <w:rPr>
          <w:rFonts w:ascii="Arial" w:eastAsia="ArialMT" w:hAnsi="Arial" w:cs="Arial"/>
          <w:color w:val="000033"/>
          <w:sz w:val="18"/>
          <w:szCs w:val="18"/>
          <w:vertAlign w:val="superscript"/>
        </w:rPr>
        <w:t>1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Seidu S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2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Zaccardi F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2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Khunti K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1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Tyrer F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1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Webb DR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2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Gillies C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1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Saremi A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3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Lee M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3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Lubwama R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3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Boss A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3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, Dex T</w:t>
      </w:r>
      <w:r w:rsidRPr="006D28A6">
        <w:rPr>
          <w:rFonts w:ascii="Arial" w:eastAsia="ArialMT" w:hAnsi="Arial" w:cs="Arial"/>
          <w:color w:val="000033"/>
          <w:sz w:val="18"/>
          <w:szCs w:val="18"/>
          <w:vertAlign w:val="superscript"/>
        </w:rPr>
        <w:t>3</w:t>
      </w:r>
      <w:bookmarkStart w:id="0" w:name="_GoBack"/>
      <w:bookmarkEnd w:id="0"/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33"/>
          <w:sz w:val="18"/>
          <w:szCs w:val="18"/>
        </w:rPr>
      </w:pPr>
      <w:r w:rsidRPr="006D28A6">
        <w:rPr>
          <w:rFonts w:ascii="Arial" w:eastAsia="ArialMT" w:hAnsi="Arial" w:cs="Arial"/>
          <w:color w:val="000033"/>
          <w:sz w:val="18"/>
          <w:szCs w:val="18"/>
        </w:rPr>
        <w:t>1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University of Leicester, Leicester, UK, 2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Diabetes Research Centre, Leicester, UK, 3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Sanofi, New Jersey, NJ, USA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  <w:r w:rsidRPr="006D28A6">
        <w:rPr>
          <w:rFonts w:ascii="Arial" w:hAnsi="Arial" w:cs="Arial"/>
          <w:b/>
          <w:bCs/>
          <w:color w:val="000033"/>
          <w:sz w:val="18"/>
          <w:szCs w:val="18"/>
        </w:rPr>
        <w:t>OBJECTIVES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33"/>
          <w:sz w:val="18"/>
          <w:szCs w:val="18"/>
        </w:rPr>
      </w:pPr>
      <w:r w:rsidRPr="006D28A6">
        <w:rPr>
          <w:rFonts w:ascii="Arial" w:eastAsia="ArialMT" w:hAnsi="Arial" w:cs="Arial"/>
          <w:color w:val="000033"/>
          <w:sz w:val="18"/>
          <w:szCs w:val="18"/>
        </w:rPr>
        <w:t>To evaluate the characteristics of patients with type 2 diabetes newly treated with basal insulin therapy in UK primary care setting.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  <w:r w:rsidRPr="006D28A6">
        <w:rPr>
          <w:rFonts w:ascii="Arial" w:hAnsi="Arial" w:cs="Arial"/>
          <w:b/>
          <w:bCs/>
          <w:color w:val="000033"/>
          <w:sz w:val="18"/>
          <w:szCs w:val="18"/>
        </w:rPr>
        <w:t>METHODS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33"/>
          <w:sz w:val="18"/>
          <w:szCs w:val="18"/>
        </w:rPr>
      </w:pPr>
      <w:r w:rsidRPr="006D28A6">
        <w:rPr>
          <w:rFonts w:ascii="Arial" w:eastAsia="ArialMT" w:hAnsi="Arial" w:cs="Arial"/>
          <w:color w:val="000033"/>
          <w:sz w:val="18"/>
          <w:szCs w:val="18"/>
        </w:rPr>
        <w:t xml:space="preserve">Adults diagnosed with T2DM newly initiated with a basal insulin from January 2004 to December 2016 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were identified in the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Clinical Practice Research Link (CPRD). Demographic and clinical data including glycaem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ic measurements (poor glycaemic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control was defined as HbA1c &gt;48mmol/</w:t>
      </w:r>
      <w:proofErr w:type="spellStart"/>
      <w:r w:rsidRPr="006D28A6">
        <w:rPr>
          <w:rFonts w:ascii="Arial" w:eastAsia="ArialMT" w:hAnsi="Arial" w:cs="Arial"/>
          <w:color w:val="000033"/>
          <w:sz w:val="18"/>
          <w:szCs w:val="18"/>
        </w:rPr>
        <w:t>mol</w:t>
      </w:r>
      <w:proofErr w:type="spellEnd"/>
      <w:r w:rsidRPr="006D28A6">
        <w:rPr>
          <w:rFonts w:ascii="Arial" w:eastAsia="ArialMT" w:hAnsi="Arial" w:cs="Arial"/>
          <w:color w:val="000033"/>
          <w:sz w:val="18"/>
          <w:szCs w:val="18"/>
        </w:rPr>
        <w:t xml:space="preserve"> [≥7%] according to NICE) were evaluated at or prior to index-date and exa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mined to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better understand the patients in a real-world clinical practice.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  <w:r w:rsidRPr="006D28A6">
        <w:rPr>
          <w:rFonts w:ascii="Arial" w:hAnsi="Arial" w:cs="Arial"/>
          <w:b/>
          <w:bCs/>
          <w:color w:val="000033"/>
          <w:sz w:val="18"/>
          <w:szCs w:val="18"/>
        </w:rPr>
        <w:t>RESULTS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33"/>
          <w:sz w:val="18"/>
          <w:szCs w:val="18"/>
        </w:rPr>
      </w:pPr>
      <w:r w:rsidRPr="006D28A6">
        <w:rPr>
          <w:rFonts w:ascii="Arial" w:eastAsia="ArialMT" w:hAnsi="Arial" w:cs="Arial"/>
          <w:color w:val="000033"/>
          <w:sz w:val="18"/>
          <w:szCs w:val="18"/>
        </w:rPr>
        <w:t xml:space="preserve">14,602 patients were included in the study. Patients had mean±SD age of 65.2±13.1years, a 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median T2DM duration of 8-years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(IQR, 4-12) and an age at T2DM-diagnosis of 56.80±12.60. Most were males (55.34%) and 36.97% had a first insulin therapy ≥10 years after T2DM diagnosis. The median glycated haemoglobin from the time of T2DM-diagnos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is to basal insulin therapy was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65.03mmol/</w:t>
      </w:r>
      <w:proofErr w:type="spellStart"/>
      <w:r w:rsidRPr="006D28A6">
        <w:rPr>
          <w:rFonts w:ascii="Arial" w:eastAsia="ArialMT" w:hAnsi="Arial" w:cs="Arial"/>
          <w:color w:val="000033"/>
          <w:sz w:val="18"/>
          <w:szCs w:val="18"/>
        </w:rPr>
        <w:t>mol</w:t>
      </w:r>
      <w:proofErr w:type="spellEnd"/>
      <w:r w:rsidRPr="006D28A6">
        <w:rPr>
          <w:rFonts w:ascii="Arial" w:eastAsia="ArialMT" w:hAnsi="Arial" w:cs="Arial"/>
          <w:color w:val="000033"/>
          <w:sz w:val="18"/>
          <w:szCs w:val="18"/>
        </w:rPr>
        <w:t xml:space="preserve"> [8.10%] (IQR, 55.20-79.24mmol/</w:t>
      </w:r>
      <w:proofErr w:type="spellStart"/>
      <w:r w:rsidRPr="006D28A6">
        <w:rPr>
          <w:rFonts w:ascii="Arial" w:eastAsia="ArialMT" w:hAnsi="Arial" w:cs="Arial"/>
          <w:color w:val="000033"/>
          <w:sz w:val="18"/>
          <w:szCs w:val="18"/>
        </w:rPr>
        <w:t>mol</w:t>
      </w:r>
      <w:proofErr w:type="spellEnd"/>
      <w:r w:rsidRPr="006D28A6">
        <w:rPr>
          <w:rFonts w:ascii="Arial" w:eastAsia="ArialMT" w:hAnsi="Arial" w:cs="Arial"/>
          <w:color w:val="000033"/>
          <w:sz w:val="18"/>
          <w:szCs w:val="18"/>
        </w:rPr>
        <w:t>; 7.20-9.40%), and 67.22mmol/</w:t>
      </w:r>
      <w:proofErr w:type="spellStart"/>
      <w:r w:rsidRPr="006D28A6">
        <w:rPr>
          <w:rFonts w:ascii="Arial" w:eastAsia="ArialMT" w:hAnsi="Arial" w:cs="Arial"/>
          <w:color w:val="000033"/>
          <w:sz w:val="18"/>
          <w:szCs w:val="18"/>
        </w:rPr>
        <w:t>mol</w:t>
      </w:r>
      <w:proofErr w:type="spellEnd"/>
      <w:r w:rsidRPr="006D28A6">
        <w:rPr>
          <w:rFonts w:ascii="Arial" w:eastAsia="ArialMT" w:hAnsi="Arial" w:cs="Arial"/>
          <w:color w:val="000033"/>
          <w:sz w:val="18"/>
          <w:szCs w:val="18"/>
        </w:rPr>
        <w:t xml:space="preserve"> [8.30%] (IQR, 57.38-81.00mmol/</w:t>
      </w:r>
      <w:proofErr w:type="spellStart"/>
      <w:r w:rsidRPr="006D28A6">
        <w:rPr>
          <w:rFonts w:ascii="Arial" w:eastAsia="ArialMT" w:hAnsi="Arial" w:cs="Arial"/>
          <w:color w:val="000033"/>
          <w:sz w:val="18"/>
          <w:szCs w:val="18"/>
        </w:rPr>
        <w:t>mol</w:t>
      </w:r>
      <w:proofErr w:type="spellEnd"/>
      <w:r w:rsidRPr="006D28A6">
        <w:rPr>
          <w:rFonts w:ascii="Arial" w:eastAsia="ArialMT" w:hAnsi="Arial" w:cs="Arial"/>
          <w:color w:val="000033"/>
          <w:sz w:val="18"/>
          <w:szCs w:val="18"/>
        </w:rPr>
        <w:t>, 7.40-9.60%) at 12-months after insulin initiation. The average charlson comorbidity index-score was 2.44±1.65 and 47.93% had ≥2 chronic comorbidities prior to basal insulin therapy. Hypertension, renal disease, ischaemic heart disease, COPD and depression were most common and present in 37.52%, 17.74%, 15.02%, 10.99% and 18.66% of patients, r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espectively. Eighty-six percent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of patients had a record of prior use of OAD, with 63.57% having had two or more OAD prior to insulin therapy. Of those receiving OAD, Metformin (56.28%), Sulphonylureas (59.44%) and Thiazolidinedione (40.24%) were commonly prescribed. A large proportion of the study population were also on antiplatelet, antihypertensive and lipid-lowering drugs prior to initial insulin use.</w:t>
      </w: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</w:p>
    <w:p w:rsidR="006D28A6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33"/>
          <w:sz w:val="18"/>
          <w:szCs w:val="18"/>
        </w:rPr>
      </w:pPr>
      <w:r w:rsidRPr="006D28A6">
        <w:rPr>
          <w:rFonts w:ascii="Arial" w:hAnsi="Arial" w:cs="Arial"/>
          <w:b/>
          <w:bCs/>
          <w:color w:val="000033"/>
          <w:sz w:val="18"/>
          <w:szCs w:val="18"/>
        </w:rPr>
        <w:t>CONCLUSIONS</w:t>
      </w:r>
    </w:p>
    <w:p w:rsidR="006E6C6E" w:rsidRPr="006D28A6" w:rsidRDefault="006D28A6" w:rsidP="006D28A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33"/>
          <w:sz w:val="18"/>
          <w:szCs w:val="18"/>
        </w:rPr>
      </w:pPr>
      <w:r w:rsidRPr="006D28A6">
        <w:rPr>
          <w:rFonts w:ascii="Arial" w:eastAsia="ArialMT" w:hAnsi="Arial" w:cs="Arial"/>
          <w:color w:val="000033"/>
          <w:sz w:val="18"/>
          <w:szCs w:val="18"/>
        </w:rPr>
        <w:t xml:space="preserve">This study provides a contemporary description of patients with T2DM initiating insulin therapy. 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The high prevalence of diabetes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related complications and the poor glycaemic control despite insulin therapy highlights a grou</w:t>
      </w:r>
      <w:r>
        <w:rPr>
          <w:rFonts w:ascii="Arial" w:eastAsia="ArialMT" w:hAnsi="Arial" w:cs="Arial"/>
          <w:color w:val="000033"/>
          <w:sz w:val="18"/>
          <w:szCs w:val="18"/>
        </w:rPr>
        <w:t xml:space="preserve">p of patients in need of closer </w:t>
      </w:r>
      <w:r w:rsidRPr="006D28A6">
        <w:rPr>
          <w:rFonts w:ascii="Arial" w:eastAsia="ArialMT" w:hAnsi="Arial" w:cs="Arial"/>
          <w:color w:val="000033"/>
          <w:sz w:val="18"/>
          <w:szCs w:val="18"/>
        </w:rPr>
        <w:t>attention in clinical practice.</w:t>
      </w:r>
    </w:p>
    <w:sectPr w:rsidR="006E6C6E" w:rsidRPr="006D2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A6"/>
    <w:rsid w:val="001672C2"/>
    <w:rsid w:val="001E0641"/>
    <w:rsid w:val="006D28A6"/>
    <w:rsid w:val="006E6C6E"/>
    <w:rsid w:val="00D1378F"/>
    <w:rsid w:val="00D5649A"/>
    <w:rsid w:val="00DB08FF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D9CF"/>
  <w15:chartTrackingRefBased/>
  <w15:docId w15:val="{727FCCC2-A58C-4BA9-8FC5-0481906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Hag Hersi, Muna (Dr.)</dc:creator>
  <cp:keywords/>
  <dc:description/>
  <cp:lastModifiedBy>Adan Hag Hersi, Muna (Dr.)</cp:lastModifiedBy>
  <cp:revision>2</cp:revision>
  <dcterms:created xsi:type="dcterms:W3CDTF">2020-01-14T11:58:00Z</dcterms:created>
  <dcterms:modified xsi:type="dcterms:W3CDTF">2020-01-14T12:07:00Z</dcterms:modified>
</cp:coreProperties>
</file>