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8F26A" w14:textId="77777777" w:rsidR="00A34261" w:rsidRPr="002B3E1D" w:rsidRDefault="00A34261" w:rsidP="00A34261">
      <w:pPr>
        <w:spacing w:after="0" w:line="480" w:lineRule="auto"/>
        <w:jc w:val="center"/>
        <w:rPr>
          <w:rFonts w:ascii="Times New Roman" w:hAnsi="Times New Roman" w:cs="Times New Roman"/>
          <w:b/>
          <w:sz w:val="24"/>
          <w:szCs w:val="24"/>
          <w:lang w:val="en-US"/>
        </w:rPr>
      </w:pPr>
      <w:r w:rsidRPr="002B3E1D">
        <w:rPr>
          <w:rFonts w:ascii="Times New Roman" w:hAnsi="Times New Roman" w:cs="Times New Roman"/>
          <w:b/>
          <w:sz w:val="24"/>
          <w:szCs w:val="24"/>
          <w:lang w:val="en-US"/>
        </w:rPr>
        <w:t>Micro-foundations of Organizational Ambidexterity in the Context of Cross-Border Mergers and Acquisitions</w:t>
      </w:r>
    </w:p>
    <w:p w14:paraId="2968B5A2" w14:textId="77777777" w:rsidR="00A34261" w:rsidRPr="002B3E1D" w:rsidRDefault="00A34261" w:rsidP="00A34261">
      <w:pPr>
        <w:spacing w:after="0" w:line="480" w:lineRule="auto"/>
        <w:rPr>
          <w:rFonts w:ascii="Times New Roman" w:hAnsi="Times New Roman" w:cs="Times New Roman"/>
          <w:b/>
          <w:sz w:val="24"/>
          <w:szCs w:val="24"/>
          <w:lang w:val="en-US"/>
        </w:rPr>
      </w:pPr>
    </w:p>
    <w:p w14:paraId="310CDB9F" w14:textId="77777777" w:rsidR="00A34261" w:rsidRPr="002B3E1D" w:rsidRDefault="00A34261" w:rsidP="00A34261">
      <w:pPr>
        <w:spacing w:after="0" w:line="480" w:lineRule="auto"/>
        <w:rPr>
          <w:rFonts w:ascii="Times New Roman" w:hAnsi="Times New Roman" w:cs="Times New Roman"/>
          <w:b/>
          <w:sz w:val="24"/>
          <w:szCs w:val="24"/>
          <w:lang w:val="en-US"/>
        </w:rPr>
      </w:pPr>
      <w:r w:rsidRPr="002B3E1D">
        <w:rPr>
          <w:rFonts w:ascii="Times New Roman" w:hAnsi="Times New Roman" w:cs="Times New Roman"/>
          <w:b/>
          <w:sz w:val="24"/>
          <w:szCs w:val="24"/>
          <w:lang w:val="en-US"/>
        </w:rPr>
        <w:t>Abstract</w:t>
      </w:r>
    </w:p>
    <w:p w14:paraId="55523F72" w14:textId="580F9993" w:rsidR="00A34261" w:rsidRPr="002B3E1D" w:rsidRDefault="00A34261" w:rsidP="00972B28">
      <w:pPr>
        <w:spacing w:after="0" w:line="480" w:lineRule="auto"/>
        <w:jc w:val="both"/>
        <w:rPr>
          <w:rFonts w:ascii="Times New Roman" w:hAnsi="Times New Roman" w:cs="Times New Roman"/>
          <w:sz w:val="24"/>
          <w:szCs w:val="24"/>
          <w:lang w:val="en-US"/>
        </w:rPr>
      </w:pPr>
      <w:r w:rsidRPr="002B3E1D">
        <w:rPr>
          <w:rFonts w:ascii="Times New Roman" w:hAnsi="Times New Roman" w:cs="Times New Roman"/>
          <w:sz w:val="24"/>
          <w:szCs w:val="24"/>
          <w:lang w:val="en-US"/>
        </w:rPr>
        <w:t>Micro-foundational approaches can enable firms to develop organizational ambidexterity</w:t>
      </w:r>
      <w:r w:rsidR="00972B28">
        <w:rPr>
          <w:rFonts w:ascii="Times New Roman" w:hAnsi="Times New Roman" w:cs="Times New Roman"/>
          <w:sz w:val="24"/>
          <w:szCs w:val="24"/>
          <w:lang w:val="en-US"/>
        </w:rPr>
        <w:t>,</w:t>
      </w:r>
      <w:r w:rsidRPr="002B3E1D">
        <w:rPr>
          <w:rFonts w:ascii="Times New Roman" w:hAnsi="Times New Roman" w:cs="Times New Roman"/>
          <w:sz w:val="24"/>
          <w:szCs w:val="24"/>
          <w:lang w:val="en-US"/>
        </w:rPr>
        <w:t xml:space="preserve"> </w:t>
      </w:r>
      <w:r w:rsidR="007240FF">
        <w:rPr>
          <w:rFonts w:ascii="Times New Roman" w:hAnsi="Times New Roman" w:cs="Times New Roman"/>
          <w:sz w:val="24"/>
          <w:szCs w:val="24"/>
          <w:lang w:val="en-US"/>
        </w:rPr>
        <w:t xml:space="preserve">which is </w:t>
      </w:r>
      <w:r w:rsidR="00841301" w:rsidRPr="002B3E1D">
        <w:rPr>
          <w:rFonts w:ascii="Times New Roman" w:hAnsi="Times New Roman" w:cs="Times New Roman"/>
          <w:sz w:val="24"/>
          <w:szCs w:val="24"/>
          <w:lang w:val="en-US"/>
        </w:rPr>
        <w:t>critical</w:t>
      </w:r>
      <w:r w:rsidRPr="002B3E1D">
        <w:rPr>
          <w:rFonts w:ascii="Times New Roman" w:hAnsi="Times New Roman" w:cs="Times New Roman"/>
          <w:sz w:val="24"/>
          <w:szCs w:val="24"/>
          <w:lang w:val="en-US"/>
        </w:rPr>
        <w:t xml:space="preserve"> to long-term prosperity. However, </w:t>
      </w:r>
      <w:r w:rsidR="00D252BF" w:rsidRPr="002B3E1D">
        <w:rPr>
          <w:rFonts w:ascii="Times New Roman" w:hAnsi="Times New Roman" w:cs="Times New Roman"/>
          <w:sz w:val="24"/>
          <w:szCs w:val="24"/>
          <w:lang w:val="en-US"/>
        </w:rPr>
        <w:t>to date</w:t>
      </w:r>
      <w:r w:rsidR="003F19AB">
        <w:rPr>
          <w:rFonts w:ascii="Times New Roman" w:hAnsi="Times New Roman" w:cs="Times New Roman"/>
          <w:sz w:val="24"/>
          <w:szCs w:val="24"/>
          <w:lang w:val="en-US"/>
        </w:rPr>
        <w:t>,</w:t>
      </w:r>
      <w:r w:rsidRPr="002B3E1D">
        <w:rPr>
          <w:rFonts w:ascii="Times New Roman" w:hAnsi="Times New Roman" w:cs="Times New Roman"/>
          <w:sz w:val="24"/>
          <w:szCs w:val="24"/>
          <w:lang w:val="en-US"/>
        </w:rPr>
        <w:t xml:space="preserve"> few studies </w:t>
      </w:r>
      <w:r w:rsidR="007240FF">
        <w:rPr>
          <w:rFonts w:ascii="Times New Roman" w:hAnsi="Times New Roman" w:cs="Times New Roman"/>
          <w:sz w:val="24"/>
          <w:szCs w:val="24"/>
          <w:lang w:val="en-US"/>
        </w:rPr>
        <w:t xml:space="preserve">have </w:t>
      </w:r>
      <w:r w:rsidRPr="002B3E1D">
        <w:rPr>
          <w:rFonts w:ascii="Times New Roman" w:hAnsi="Times New Roman" w:cs="Times New Roman"/>
          <w:sz w:val="24"/>
          <w:szCs w:val="24"/>
          <w:lang w:val="en-US"/>
        </w:rPr>
        <w:t>examine</w:t>
      </w:r>
      <w:r w:rsidR="007240FF">
        <w:rPr>
          <w:rFonts w:ascii="Times New Roman" w:hAnsi="Times New Roman" w:cs="Times New Roman"/>
          <w:sz w:val="24"/>
          <w:szCs w:val="24"/>
          <w:lang w:val="en-US"/>
        </w:rPr>
        <w:t>d</w:t>
      </w:r>
      <w:r w:rsidRPr="002B3E1D">
        <w:rPr>
          <w:rFonts w:ascii="Times New Roman" w:hAnsi="Times New Roman" w:cs="Times New Roman"/>
          <w:sz w:val="24"/>
          <w:szCs w:val="24"/>
          <w:lang w:val="en-US"/>
        </w:rPr>
        <w:t xml:space="preserve"> how mergers and acquisitions (</w:t>
      </w:r>
      <w:r w:rsidR="00562D43" w:rsidRPr="002B3E1D">
        <w:rPr>
          <w:rFonts w:ascii="Times New Roman" w:hAnsi="Times New Roman" w:cs="Times New Roman"/>
          <w:sz w:val="24"/>
          <w:szCs w:val="24"/>
          <w:lang w:val="en-US"/>
        </w:rPr>
        <w:t>M&amp;A</w:t>
      </w:r>
      <w:r w:rsidRPr="002B3E1D">
        <w:rPr>
          <w:rFonts w:ascii="Times New Roman" w:hAnsi="Times New Roman" w:cs="Times New Roman"/>
          <w:sz w:val="24"/>
          <w:szCs w:val="24"/>
          <w:lang w:val="en-US"/>
        </w:rPr>
        <w:t xml:space="preserve">)—processes reliant on knowledge transfer—provide a useful organizational context </w:t>
      </w:r>
      <w:r w:rsidR="007240FF">
        <w:rPr>
          <w:rFonts w:ascii="Times New Roman" w:hAnsi="Times New Roman" w:cs="Times New Roman"/>
          <w:sz w:val="24"/>
          <w:szCs w:val="24"/>
          <w:lang w:val="en-US"/>
        </w:rPr>
        <w:t>through wh</w:t>
      </w:r>
      <w:r w:rsidR="007F7E22">
        <w:rPr>
          <w:rFonts w:ascii="Times New Roman" w:hAnsi="Times New Roman" w:cs="Times New Roman"/>
          <w:sz w:val="24"/>
          <w:szCs w:val="24"/>
          <w:lang w:val="en-US"/>
        </w:rPr>
        <w:t>i</w:t>
      </w:r>
      <w:r w:rsidR="007240FF">
        <w:rPr>
          <w:rFonts w:ascii="Times New Roman" w:hAnsi="Times New Roman" w:cs="Times New Roman"/>
          <w:sz w:val="24"/>
          <w:szCs w:val="24"/>
          <w:lang w:val="en-US"/>
        </w:rPr>
        <w:t xml:space="preserve">ch </w:t>
      </w:r>
      <w:r w:rsidRPr="002B3E1D">
        <w:rPr>
          <w:rFonts w:ascii="Times New Roman" w:hAnsi="Times New Roman" w:cs="Times New Roman"/>
          <w:sz w:val="24"/>
          <w:szCs w:val="24"/>
          <w:lang w:val="en-US"/>
        </w:rPr>
        <w:t xml:space="preserve">to understand the achievement of organizational ambidexterity. </w:t>
      </w:r>
      <w:r w:rsidR="00D252BF" w:rsidRPr="002B3E1D">
        <w:rPr>
          <w:rFonts w:ascii="Times New Roman" w:hAnsi="Times New Roman" w:cs="Times New Roman"/>
          <w:sz w:val="24"/>
          <w:szCs w:val="24"/>
          <w:lang w:val="en-US"/>
        </w:rPr>
        <w:t>C</w:t>
      </w:r>
      <w:r w:rsidRPr="002B3E1D">
        <w:rPr>
          <w:rFonts w:ascii="Times New Roman" w:hAnsi="Times New Roman" w:cs="Times New Roman"/>
          <w:sz w:val="24"/>
          <w:szCs w:val="24"/>
          <w:lang w:val="en-US"/>
        </w:rPr>
        <w:t>onsider</w:t>
      </w:r>
      <w:r w:rsidR="00D252BF" w:rsidRPr="002B3E1D">
        <w:rPr>
          <w:rFonts w:ascii="Times New Roman" w:hAnsi="Times New Roman" w:cs="Times New Roman"/>
          <w:sz w:val="24"/>
          <w:szCs w:val="24"/>
          <w:lang w:val="en-US"/>
        </w:rPr>
        <w:t>ing</w:t>
      </w:r>
      <w:r w:rsidRPr="002B3E1D">
        <w:rPr>
          <w:rFonts w:ascii="Times New Roman" w:hAnsi="Times New Roman" w:cs="Times New Roman"/>
          <w:sz w:val="24"/>
          <w:szCs w:val="24"/>
          <w:lang w:val="en-US"/>
        </w:rPr>
        <w:t xml:space="preserve"> organizational ambidexterity from the </w:t>
      </w:r>
      <w:r w:rsidR="00841301" w:rsidRPr="002B3E1D">
        <w:rPr>
          <w:rFonts w:ascii="Times New Roman" w:hAnsi="Times New Roman" w:cs="Times New Roman"/>
          <w:sz w:val="24"/>
          <w:szCs w:val="24"/>
          <w:lang w:val="en-US"/>
        </w:rPr>
        <w:t xml:space="preserve">viewpoint </w:t>
      </w:r>
      <w:r w:rsidRPr="002B3E1D">
        <w:rPr>
          <w:rFonts w:ascii="Times New Roman" w:hAnsi="Times New Roman" w:cs="Times New Roman"/>
          <w:sz w:val="24"/>
          <w:szCs w:val="24"/>
          <w:lang w:val="en-US"/>
        </w:rPr>
        <w:t xml:space="preserve">of exploitative and explorative innovation, </w:t>
      </w:r>
      <w:r w:rsidR="00D252BF" w:rsidRPr="002B3E1D">
        <w:rPr>
          <w:rFonts w:ascii="Times New Roman" w:hAnsi="Times New Roman" w:cs="Times New Roman"/>
          <w:sz w:val="24"/>
          <w:szCs w:val="24"/>
          <w:lang w:val="en-US"/>
        </w:rPr>
        <w:t xml:space="preserve">we </w:t>
      </w:r>
      <w:r w:rsidRPr="002B3E1D">
        <w:rPr>
          <w:rFonts w:ascii="Times New Roman" w:hAnsi="Times New Roman" w:cs="Times New Roman"/>
          <w:sz w:val="24"/>
          <w:szCs w:val="24"/>
          <w:lang w:val="en-US"/>
        </w:rPr>
        <w:t>examin</w:t>
      </w:r>
      <w:r w:rsidR="00D252BF" w:rsidRPr="002B3E1D">
        <w:rPr>
          <w:rFonts w:ascii="Times New Roman" w:hAnsi="Times New Roman" w:cs="Times New Roman"/>
          <w:sz w:val="24"/>
          <w:szCs w:val="24"/>
          <w:lang w:val="en-US"/>
        </w:rPr>
        <w:t>e</w:t>
      </w:r>
      <w:r w:rsidRPr="002B3E1D">
        <w:rPr>
          <w:rFonts w:ascii="Times New Roman" w:hAnsi="Times New Roman" w:cs="Times New Roman"/>
          <w:sz w:val="24"/>
          <w:szCs w:val="24"/>
          <w:lang w:val="en-US"/>
        </w:rPr>
        <w:t xml:space="preserve"> how behavio</w:t>
      </w:r>
      <w:r w:rsidR="003F19AB">
        <w:rPr>
          <w:rFonts w:ascii="Times New Roman" w:hAnsi="Times New Roman" w:cs="Times New Roman"/>
          <w:sz w:val="24"/>
          <w:szCs w:val="24"/>
          <w:lang w:val="en-US"/>
        </w:rPr>
        <w:t>u</w:t>
      </w:r>
      <w:r w:rsidRPr="002B3E1D">
        <w:rPr>
          <w:rFonts w:ascii="Times New Roman" w:hAnsi="Times New Roman" w:cs="Times New Roman"/>
          <w:sz w:val="24"/>
          <w:szCs w:val="24"/>
          <w:lang w:val="en-US"/>
        </w:rPr>
        <w:t>ral context</w:t>
      </w:r>
      <w:r w:rsidR="007240FF">
        <w:rPr>
          <w:rFonts w:ascii="Times New Roman" w:hAnsi="Times New Roman" w:cs="Times New Roman"/>
          <w:sz w:val="24"/>
          <w:szCs w:val="24"/>
          <w:lang w:val="en-US"/>
        </w:rPr>
        <w:t>s</w:t>
      </w:r>
      <w:r w:rsidRPr="002B3E1D">
        <w:rPr>
          <w:rFonts w:ascii="Times New Roman" w:hAnsi="Times New Roman" w:cs="Times New Roman"/>
          <w:sz w:val="24"/>
          <w:szCs w:val="24"/>
          <w:lang w:val="en-US"/>
        </w:rPr>
        <w:t xml:space="preserve"> (corporate entrepreneurship) and structure (integration) regulate knowledge transfer activities at the micro-foundational and firm level</w:t>
      </w:r>
      <w:r w:rsidR="00D252BF" w:rsidRPr="002B3E1D">
        <w:rPr>
          <w:rFonts w:ascii="Times New Roman" w:hAnsi="Times New Roman" w:cs="Times New Roman"/>
          <w:sz w:val="24"/>
          <w:szCs w:val="24"/>
          <w:lang w:val="en-US"/>
        </w:rPr>
        <w:t>s</w:t>
      </w:r>
      <w:r w:rsidRPr="002B3E1D">
        <w:rPr>
          <w:rFonts w:ascii="Times New Roman" w:hAnsi="Times New Roman" w:cs="Times New Roman"/>
          <w:sz w:val="24"/>
          <w:szCs w:val="24"/>
          <w:lang w:val="en-US"/>
        </w:rPr>
        <w:t xml:space="preserve"> within a cross-border </w:t>
      </w:r>
      <w:r w:rsidR="00562D43" w:rsidRPr="002B3E1D">
        <w:rPr>
          <w:rFonts w:ascii="Times New Roman" w:hAnsi="Times New Roman" w:cs="Times New Roman"/>
          <w:sz w:val="24"/>
          <w:szCs w:val="24"/>
          <w:lang w:val="en-US"/>
        </w:rPr>
        <w:t>M&amp;A</w:t>
      </w:r>
      <w:r w:rsidRPr="002B3E1D">
        <w:rPr>
          <w:rFonts w:ascii="Times New Roman" w:hAnsi="Times New Roman" w:cs="Times New Roman"/>
          <w:sz w:val="24"/>
          <w:szCs w:val="24"/>
          <w:lang w:val="en-US"/>
        </w:rPr>
        <w:t xml:space="preserve"> context. Analysis o</w:t>
      </w:r>
      <w:r w:rsidR="00D252BF" w:rsidRPr="002B3E1D">
        <w:rPr>
          <w:rFonts w:ascii="Times New Roman" w:hAnsi="Times New Roman" w:cs="Times New Roman"/>
          <w:sz w:val="24"/>
          <w:szCs w:val="24"/>
          <w:lang w:val="en-US"/>
        </w:rPr>
        <w:t>f 143 c</w:t>
      </w:r>
      <w:r w:rsidR="00D252BF" w:rsidRPr="002B3E1D">
        <w:rPr>
          <w:rFonts w:ascii="Times New Roman" w:eastAsia="Times New Roman" w:hAnsi="Times New Roman" w:cs="Times New Roman"/>
          <w:sz w:val="24"/>
          <w:szCs w:val="24"/>
          <w:lang w:val="en-US" w:eastAsia="zh-CN"/>
        </w:rPr>
        <w:t xml:space="preserve">ross-border M&amp;As completed by </w:t>
      </w:r>
      <w:r w:rsidR="009F07F7">
        <w:rPr>
          <w:rFonts w:ascii="Times New Roman" w:eastAsia="Times New Roman" w:hAnsi="Times New Roman" w:cs="Times New Roman"/>
          <w:sz w:val="24"/>
          <w:szCs w:val="24"/>
          <w:lang w:val="en-US" w:eastAsia="zh-CN"/>
        </w:rPr>
        <w:t>United Kingdom</w:t>
      </w:r>
      <w:r w:rsidR="006C034F">
        <w:rPr>
          <w:rFonts w:ascii="Times New Roman" w:eastAsia="Times New Roman" w:hAnsi="Times New Roman" w:cs="Times New Roman"/>
          <w:sz w:val="24"/>
          <w:szCs w:val="24"/>
          <w:lang w:val="en-US" w:eastAsia="zh-CN"/>
        </w:rPr>
        <w:t xml:space="preserve"> </w:t>
      </w:r>
      <w:r w:rsidR="009F07F7">
        <w:rPr>
          <w:rFonts w:ascii="Times New Roman" w:eastAsia="Times New Roman" w:hAnsi="Times New Roman" w:cs="Times New Roman"/>
          <w:sz w:val="24"/>
          <w:szCs w:val="24"/>
          <w:lang w:val="en-US" w:eastAsia="zh-CN"/>
        </w:rPr>
        <w:t>(</w:t>
      </w:r>
      <w:r w:rsidR="00D252BF" w:rsidRPr="002B3E1D">
        <w:rPr>
          <w:rFonts w:ascii="Times New Roman" w:eastAsia="Times New Roman" w:hAnsi="Times New Roman" w:cs="Times New Roman"/>
          <w:sz w:val="24"/>
          <w:szCs w:val="24"/>
          <w:lang w:val="en-US" w:eastAsia="zh-CN"/>
        </w:rPr>
        <w:t>UK</w:t>
      </w:r>
      <w:r w:rsidR="009F07F7">
        <w:rPr>
          <w:rFonts w:ascii="Times New Roman" w:eastAsia="Times New Roman" w:hAnsi="Times New Roman" w:cs="Times New Roman"/>
          <w:sz w:val="24"/>
          <w:szCs w:val="24"/>
          <w:lang w:val="en-US" w:eastAsia="zh-CN"/>
        </w:rPr>
        <w:t>)</w:t>
      </w:r>
      <w:r w:rsidR="00D252BF" w:rsidRPr="002B3E1D">
        <w:rPr>
          <w:rFonts w:ascii="Times New Roman" w:eastAsia="Times New Roman" w:hAnsi="Times New Roman" w:cs="Times New Roman"/>
          <w:sz w:val="24"/>
          <w:szCs w:val="24"/>
          <w:lang w:val="en-US" w:eastAsia="zh-CN"/>
        </w:rPr>
        <w:t xml:space="preserve"> acquiring</w:t>
      </w:r>
      <w:r w:rsidR="003F19AB">
        <w:rPr>
          <w:rFonts w:ascii="Times New Roman" w:eastAsia="Times New Roman" w:hAnsi="Times New Roman" w:cs="Times New Roman"/>
          <w:sz w:val="24"/>
          <w:szCs w:val="24"/>
          <w:lang w:val="en-US" w:eastAsia="zh-CN"/>
        </w:rPr>
        <w:t xml:space="preserve"> firms</w:t>
      </w:r>
      <w:r w:rsidR="00D252BF" w:rsidRPr="002B3E1D">
        <w:rPr>
          <w:rFonts w:ascii="Times New Roman" w:hAnsi="Times New Roman" w:cs="Times New Roman"/>
          <w:sz w:val="24"/>
          <w:szCs w:val="24"/>
          <w:lang w:val="en-US"/>
        </w:rPr>
        <w:t xml:space="preserve"> reveal</w:t>
      </w:r>
      <w:r w:rsidR="00B132AC">
        <w:rPr>
          <w:rFonts w:ascii="Times New Roman" w:hAnsi="Times New Roman" w:cs="Times New Roman"/>
          <w:sz w:val="24"/>
          <w:szCs w:val="24"/>
          <w:lang w:val="en-US"/>
        </w:rPr>
        <w:t>ed</w:t>
      </w:r>
      <w:r w:rsidRPr="002B3E1D">
        <w:rPr>
          <w:rFonts w:ascii="Times New Roman" w:hAnsi="Times New Roman" w:cs="Times New Roman"/>
          <w:sz w:val="24"/>
          <w:szCs w:val="24"/>
          <w:lang w:val="en-US"/>
        </w:rPr>
        <w:t xml:space="preserve"> that: (1) knowledge sharing</w:t>
      </w:r>
      <w:r w:rsidR="00D252BF" w:rsidRPr="002B3E1D">
        <w:rPr>
          <w:rFonts w:ascii="Times New Roman" w:hAnsi="Times New Roman" w:cs="Times New Roman"/>
          <w:sz w:val="24"/>
          <w:szCs w:val="24"/>
          <w:lang w:val="en-US"/>
        </w:rPr>
        <w:t xml:space="preserve"> between the acquirer and the acquired</w:t>
      </w:r>
      <w:r w:rsidRPr="002B3E1D">
        <w:rPr>
          <w:rFonts w:ascii="Times New Roman" w:hAnsi="Times New Roman" w:cs="Times New Roman"/>
          <w:sz w:val="24"/>
          <w:szCs w:val="24"/>
          <w:lang w:val="en-US"/>
        </w:rPr>
        <w:t xml:space="preserve"> leads to organizational ambidexterity; (2) increased use of the acquired target’s capabilities has a negative effect on organizational ambidexterity; (3) </w:t>
      </w:r>
      <w:r w:rsidR="009F07F7">
        <w:rPr>
          <w:rFonts w:ascii="Times New Roman" w:hAnsi="Times New Roman" w:cs="Times New Roman"/>
          <w:sz w:val="24"/>
          <w:szCs w:val="24"/>
          <w:lang w:val="en-US"/>
        </w:rPr>
        <w:t xml:space="preserve">overall, </w:t>
      </w:r>
      <w:r w:rsidRPr="002B3E1D">
        <w:rPr>
          <w:rFonts w:ascii="Times New Roman" w:hAnsi="Times New Roman" w:cs="Times New Roman"/>
          <w:sz w:val="24"/>
          <w:szCs w:val="24"/>
          <w:lang w:val="en-US"/>
        </w:rPr>
        <w:t xml:space="preserve">capability sharing is positively related to organizational ambidexterity; (4) corporate entrepreneurship has both </w:t>
      </w:r>
      <w:r w:rsidR="006666B0" w:rsidRPr="002B3E1D">
        <w:rPr>
          <w:rFonts w:ascii="Times New Roman" w:hAnsi="Times New Roman" w:cs="Times New Roman"/>
          <w:sz w:val="24"/>
          <w:szCs w:val="24"/>
          <w:lang w:val="en-US"/>
        </w:rPr>
        <w:t xml:space="preserve">negative and </w:t>
      </w:r>
      <w:r w:rsidRPr="002B3E1D">
        <w:rPr>
          <w:rFonts w:ascii="Times New Roman" w:hAnsi="Times New Roman" w:cs="Times New Roman"/>
          <w:sz w:val="24"/>
          <w:szCs w:val="24"/>
          <w:lang w:val="en-US"/>
        </w:rPr>
        <w:t xml:space="preserve">positive moderating effects (on use of </w:t>
      </w:r>
      <w:r w:rsidR="00B132AC">
        <w:rPr>
          <w:rFonts w:ascii="Times New Roman" w:hAnsi="Times New Roman" w:cs="Times New Roman"/>
          <w:sz w:val="24"/>
          <w:szCs w:val="24"/>
          <w:lang w:val="en-US"/>
        </w:rPr>
        <w:t xml:space="preserve">the </w:t>
      </w:r>
      <w:r w:rsidRPr="002B3E1D">
        <w:rPr>
          <w:rFonts w:ascii="Times New Roman" w:hAnsi="Times New Roman" w:cs="Times New Roman"/>
          <w:sz w:val="24"/>
          <w:szCs w:val="24"/>
          <w:lang w:val="en-US"/>
        </w:rPr>
        <w:t>acquired target’s capabilities and capability sharing</w:t>
      </w:r>
      <w:r w:rsidR="00D252BF" w:rsidRPr="002B3E1D">
        <w:rPr>
          <w:rFonts w:ascii="Times New Roman" w:hAnsi="Times New Roman" w:cs="Times New Roman"/>
          <w:sz w:val="24"/>
          <w:szCs w:val="24"/>
          <w:lang w:val="en-US"/>
        </w:rPr>
        <w:t>,</w:t>
      </w:r>
      <w:r w:rsidRPr="002B3E1D">
        <w:rPr>
          <w:rFonts w:ascii="Times New Roman" w:hAnsi="Times New Roman" w:cs="Times New Roman"/>
          <w:sz w:val="24"/>
          <w:szCs w:val="24"/>
          <w:lang w:val="en-US"/>
        </w:rPr>
        <w:t xml:space="preserve"> respectively), while integration positively moderates the effects of knowledge sharing on organizational ambidexterity.</w:t>
      </w:r>
    </w:p>
    <w:p w14:paraId="4F58ECB4" w14:textId="77777777" w:rsidR="00A34261" w:rsidRPr="002B3E1D" w:rsidRDefault="00A34261" w:rsidP="00A34261">
      <w:pPr>
        <w:spacing w:after="0" w:line="480" w:lineRule="auto"/>
        <w:jc w:val="both"/>
        <w:rPr>
          <w:rFonts w:ascii="Times New Roman" w:hAnsi="Times New Roman" w:cs="Times New Roman"/>
          <w:sz w:val="24"/>
          <w:szCs w:val="24"/>
          <w:lang w:val="en-US"/>
        </w:rPr>
      </w:pPr>
    </w:p>
    <w:p w14:paraId="217D8BA3" w14:textId="77777777" w:rsidR="00A34261" w:rsidRPr="002B3E1D" w:rsidRDefault="00A34261" w:rsidP="00A34261">
      <w:pPr>
        <w:spacing w:after="0" w:line="480" w:lineRule="auto"/>
        <w:rPr>
          <w:rFonts w:ascii="Times New Roman" w:hAnsi="Times New Roman" w:cs="Times New Roman"/>
          <w:sz w:val="24"/>
          <w:szCs w:val="24"/>
          <w:lang w:val="en-US"/>
        </w:rPr>
      </w:pPr>
      <w:r w:rsidRPr="002B3E1D">
        <w:rPr>
          <w:rFonts w:ascii="Times New Roman" w:hAnsi="Times New Roman" w:cs="Times New Roman"/>
          <w:b/>
          <w:sz w:val="24"/>
          <w:szCs w:val="24"/>
          <w:lang w:val="en-US"/>
        </w:rPr>
        <w:t>Keywords:</w:t>
      </w:r>
      <w:r w:rsidRPr="002B3E1D">
        <w:rPr>
          <w:rFonts w:ascii="Times New Roman" w:hAnsi="Times New Roman" w:cs="Times New Roman"/>
          <w:sz w:val="24"/>
          <w:szCs w:val="24"/>
          <w:lang w:val="en-US"/>
        </w:rPr>
        <w:t xml:space="preserve"> micro-foundations; organizational ambidexterity; corporate entrepreneurship; merger and acquisitions; capabilities; knowledge sharing</w:t>
      </w:r>
    </w:p>
    <w:p w14:paraId="6862A250" w14:textId="77777777" w:rsidR="00A34261" w:rsidRPr="002B3E1D" w:rsidRDefault="00A34261" w:rsidP="00A34261">
      <w:pPr>
        <w:spacing w:after="0" w:line="480" w:lineRule="auto"/>
        <w:rPr>
          <w:rFonts w:ascii="Times New Roman" w:hAnsi="Times New Roman" w:cs="Times New Roman"/>
          <w:sz w:val="24"/>
          <w:szCs w:val="24"/>
          <w:lang w:val="en-US"/>
        </w:rPr>
      </w:pPr>
    </w:p>
    <w:p w14:paraId="48D91605" w14:textId="77777777" w:rsidR="00A34261" w:rsidRPr="002B3E1D" w:rsidRDefault="00A34261" w:rsidP="00A34261">
      <w:pPr>
        <w:spacing w:after="0" w:line="480" w:lineRule="auto"/>
        <w:rPr>
          <w:rFonts w:ascii="Times New Roman" w:hAnsi="Times New Roman" w:cs="Times New Roman"/>
          <w:b/>
          <w:sz w:val="24"/>
          <w:szCs w:val="24"/>
          <w:lang w:val="en-US"/>
        </w:rPr>
      </w:pPr>
      <w:r w:rsidRPr="002B3E1D">
        <w:rPr>
          <w:rFonts w:ascii="Times New Roman" w:hAnsi="Times New Roman" w:cs="Times New Roman"/>
          <w:b/>
          <w:sz w:val="24"/>
          <w:szCs w:val="24"/>
          <w:lang w:val="en-US"/>
        </w:rPr>
        <w:lastRenderedPageBreak/>
        <w:t>INTRODUCTION</w:t>
      </w:r>
    </w:p>
    <w:p w14:paraId="4B2E9927" w14:textId="6ECAF87A" w:rsidR="00A34261" w:rsidRDefault="002B3E1D" w:rsidP="00A34261">
      <w:pPr>
        <w:spacing w:after="0" w:line="480" w:lineRule="auto"/>
        <w:jc w:val="both"/>
        <w:rPr>
          <w:rFonts w:ascii="Times New Roman" w:hAnsi="Times New Roman" w:cs="Times New Roman"/>
          <w:sz w:val="24"/>
          <w:szCs w:val="24"/>
          <w:lang w:val="en-US"/>
        </w:rPr>
      </w:pPr>
      <w:r w:rsidRPr="002B3E1D">
        <w:rPr>
          <w:rFonts w:ascii="Times New Roman" w:hAnsi="Times New Roman" w:cs="Times New Roman"/>
          <w:sz w:val="24"/>
          <w:szCs w:val="24"/>
          <w:lang w:val="en-US"/>
        </w:rPr>
        <w:t>O</w:t>
      </w:r>
      <w:r w:rsidR="00A34261" w:rsidRPr="002B3E1D">
        <w:rPr>
          <w:rFonts w:ascii="Times New Roman" w:hAnsi="Times New Roman" w:cs="Times New Roman"/>
          <w:sz w:val="24"/>
          <w:szCs w:val="24"/>
          <w:lang w:val="en-US"/>
        </w:rPr>
        <w:t xml:space="preserve">rganizations </w:t>
      </w:r>
      <w:r w:rsidRPr="002B3E1D">
        <w:rPr>
          <w:rFonts w:ascii="Times New Roman" w:hAnsi="Times New Roman" w:cs="Times New Roman"/>
          <w:sz w:val="24"/>
          <w:szCs w:val="24"/>
          <w:lang w:val="en-US"/>
        </w:rPr>
        <w:t xml:space="preserve">now </w:t>
      </w:r>
      <w:r w:rsidR="00A34261" w:rsidRPr="002B3E1D">
        <w:rPr>
          <w:rFonts w:ascii="Times New Roman" w:hAnsi="Times New Roman" w:cs="Times New Roman"/>
          <w:sz w:val="24"/>
          <w:szCs w:val="24"/>
          <w:lang w:val="en-US"/>
        </w:rPr>
        <w:t xml:space="preserve">operate </w:t>
      </w:r>
      <w:r w:rsidR="00922FC4">
        <w:rPr>
          <w:rFonts w:ascii="Times New Roman" w:hAnsi="Times New Roman" w:cs="Times New Roman"/>
          <w:sz w:val="24"/>
          <w:szCs w:val="24"/>
          <w:lang w:val="en-US"/>
        </w:rPr>
        <w:t>under</w:t>
      </w:r>
      <w:r w:rsidRPr="002B3E1D">
        <w:rPr>
          <w:rFonts w:ascii="Times New Roman" w:hAnsi="Times New Roman" w:cs="Times New Roman"/>
          <w:sz w:val="24"/>
          <w:szCs w:val="24"/>
          <w:lang w:val="en-US"/>
        </w:rPr>
        <w:t xml:space="preserve"> accelerated volatility, uncertainty, complexity and ambiguity</w:t>
      </w:r>
      <w:r w:rsidR="006C034F">
        <w:rPr>
          <w:rFonts w:ascii="Times New Roman" w:hAnsi="Times New Roman" w:cs="Times New Roman"/>
          <w:sz w:val="24"/>
          <w:szCs w:val="24"/>
          <w:lang w:val="en-US"/>
        </w:rPr>
        <w:t xml:space="preserve"> in</w:t>
      </w:r>
      <w:r>
        <w:rPr>
          <w:rFonts w:ascii="Times New Roman" w:hAnsi="Times New Roman" w:cs="Times New Roman"/>
          <w:sz w:val="24"/>
          <w:szCs w:val="24"/>
          <w:lang w:val="en-US"/>
        </w:rPr>
        <w:t xml:space="preserve"> </w:t>
      </w:r>
      <w:r w:rsidR="00A34261" w:rsidRPr="002B3E1D">
        <w:rPr>
          <w:rFonts w:ascii="Times New Roman" w:hAnsi="Times New Roman" w:cs="Times New Roman"/>
          <w:sz w:val="24"/>
          <w:szCs w:val="24"/>
          <w:lang w:val="en-US"/>
        </w:rPr>
        <w:t>environments that are prone to unforeseen, rapid and frequent transformations</w:t>
      </w:r>
      <w:r w:rsidR="009F07F7">
        <w:rPr>
          <w:rFonts w:ascii="Times New Roman" w:hAnsi="Times New Roman" w:cs="Times New Roman"/>
          <w:sz w:val="24"/>
          <w:szCs w:val="24"/>
          <w:lang w:val="en-US"/>
        </w:rPr>
        <w:t xml:space="preserve"> (Bennett and Lemoine, 2014)</w:t>
      </w:r>
      <w:r w:rsidR="00A34261" w:rsidRPr="002B3E1D">
        <w:rPr>
          <w:rFonts w:ascii="Times New Roman" w:hAnsi="Times New Roman" w:cs="Times New Roman"/>
          <w:sz w:val="24"/>
          <w:szCs w:val="24"/>
          <w:lang w:val="en-US"/>
        </w:rPr>
        <w:t xml:space="preserve">. </w:t>
      </w:r>
      <w:r w:rsidR="008A696C">
        <w:rPr>
          <w:rFonts w:ascii="Times New Roman" w:hAnsi="Times New Roman" w:cs="Times New Roman"/>
          <w:sz w:val="24"/>
          <w:szCs w:val="24"/>
          <w:lang w:val="en-US"/>
        </w:rPr>
        <w:t>Defined as an organization’s ability to</w:t>
      </w:r>
      <w:r w:rsidR="008A696C" w:rsidRPr="002B3E1D">
        <w:rPr>
          <w:rFonts w:ascii="Times New Roman" w:hAnsi="Times New Roman" w:cs="Times New Roman"/>
          <w:sz w:val="24"/>
          <w:szCs w:val="24"/>
          <w:lang w:val="en-US"/>
        </w:rPr>
        <w:t xml:space="preserve"> </w:t>
      </w:r>
      <w:r w:rsidR="009F07F7">
        <w:rPr>
          <w:rFonts w:ascii="Times New Roman" w:hAnsi="Times New Roman" w:cs="Times New Roman"/>
          <w:sz w:val="24"/>
          <w:szCs w:val="24"/>
          <w:lang w:val="en-US"/>
        </w:rPr>
        <w:t xml:space="preserve">pursue </w:t>
      </w:r>
      <w:r w:rsidR="008A696C" w:rsidRPr="002B3E1D">
        <w:rPr>
          <w:rFonts w:ascii="Times New Roman" w:hAnsi="Times New Roman" w:cs="Times New Roman"/>
          <w:sz w:val="24"/>
          <w:szCs w:val="24"/>
          <w:lang w:val="en-US"/>
        </w:rPr>
        <w:t>simultaneous exploitative (i.e. known, predictable and bounded) and explorative (i.e. less known, uncertain, innovative and novel) innovations (Tushman and O’Reilly, 1996)</w:t>
      </w:r>
      <w:r w:rsidR="008A696C">
        <w:rPr>
          <w:rFonts w:ascii="Times New Roman" w:hAnsi="Times New Roman" w:cs="Times New Roman"/>
          <w:sz w:val="24"/>
          <w:szCs w:val="24"/>
          <w:lang w:val="en-US"/>
        </w:rPr>
        <w:t xml:space="preserve">, </w:t>
      </w:r>
      <w:r w:rsidR="00922FC4">
        <w:rPr>
          <w:rFonts w:ascii="Times New Roman" w:hAnsi="Times New Roman" w:cs="Times New Roman"/>
          <w:sz w:val="24"/>
          <w:szCs w:val="24"/>
          <w:lang w:val="en-US"/>
        </w:rPr>
        <w:t>organizational ambidexterity (OA)</w:t>
      </w:r>
      <w:r w:rsidR="00EF2B92">
        <w:rPr>
          <w:rFonts w:ascii="Times New Roman" w:hAnsi="Times New Roman" w:cs="Times New Roman"/>
          <w:sz w:val="24"/>
          <w:szCs w:val="24"/>
          <w:lang w:val="en-US"/>
        </w:rPr>
        <w:t xml:space="preserve"> is essential for financial success </w:t>
      </w:r>
      <w:r w:rsidR="00EF2B92" w:rsidRPr="002B3E1D">
        <w:rPr>
          <w:rFonts w:ascii="Times New Roman" w:hAnsi="Times New Roman" w:cs="Times New Roman"/>
          <w:sz w:val="24"/>
          <w:szCs w:val="24"/>
          <w:lang w:val="en-US"/>
        </w:rPr>
        <w:t xml:space="preserve">(Cao et al., 2009; Junni et al., 2013) </w:t>
      </w:r>
      <w:r w:rsidR="00EF2B92">
        <w:rPr>
          <w:rFonts w:ascii="Times New Roman" w:hAnsi="Times New Roman" w:cs="Times New Roman"/>
          <w:sz w:val="24"/>
          <w:szCs w:val="24"/>
          <w:lang w:val="en-US"/>
        </w:rPr>
        <w:t xml:space="preserve">and the continued viability of the organization </w:t>
      </w:r>
      <w:r w:rsidR="00EF2B92" w:rsidRPr="002B3E1D">
        <w:rPr>
          <w:rFonts w:ascii="Times New Roman" w:hAnsi="Times New Roman" w:cs="Times New Roman"/>
          <w:sz w:val="24"/>
          <w:szCs w:val="24"/>
          <w:lang w:val="en-US"/>
        </w:rPr>
        <w:t>(O’Reilly and Tushman, 2013)</w:t>
      </w:r>
      <w:r w:rsidR="004E6C3A">
        <w:rPr>
          <w:rFonts w:ascii="Times New Roman" w:hAnsi="Times New Roman" w:cs="Times New Roman"/>
          <w:sz w:val="24"/>
          <w:szCs w:val="24"/>
          <w:lang w:val="en-US"/>
        </w:rPr>
        <w:t>.</w:t>
      </w:r>
      <w:r w:rsidR="008A696C">
        <w:rPr>
          <w:rFonts w:ascii="Times New Roman" w:hAnsi="Times New Roman" w:cs="Times New Roman"/>
          <w:sz w:val="24"/>
          <w:szCs w:val="24"/>
          <w:lang w:val="en-US"/>
        </w:rPr>
        <w:t xml:space="preserve"> However, the </w:t>
      </w:r>
      <w:r w:rsidR="009F07F7">
        <w:rPr>
          <w:rFonts w:ascii="Times New Roman" w:hAnsi="Times New Roman" w:cs="Times New Roman"/>
          <w:sz w:val="24"/>
          <w:szCs w:val="24"/>
          <w:lang w:val="en-US"/>
        </w:rPr>
        <w:t xml:space="preserve">detailed </w:t>
      </w:r>
      <w:r w:rsidR="008A696C">
        <w:rPr>
          <w:rFonts w:ascii="Times New Roman" w:hAnsi="Times New Roman" w:cs="Times New Roman"/>
          <w:sz w:val="24"/>
          <w:szCs w:val="24"/>
          <w:lang w:val="en-US"/>
        </w:rPr>
        <w:t xml:space="preserve">conditions for successful OA continue to puzzle scholars and elude managers. </w:t>
      </w:r>
      <w:r w:rsidR="00A34261" w:rsidRPr="002B3E1D">
        <w:rPr>
          <w:rFonts w:ascii="Times New Roman" w:hAnsi="Times New Roman" w:cs="Times New Roman"/>
          <w:sz w:val="24"/>
          <w:szCs w:val="24"/>
          <w:lang w:val="en-US"/>
        </w:rPr>
        <w:t xml:space="preserve">While </w:t>
      </w:r>
      <w:r w:rsidR="00EF2B92">
        <w:rPr>
          <w:rFonts w:ascii="Times New Roman" w:hAnsi="Times New Roman" w:cs="Times New Roman"/>
          <w:sz w:val="24"/>
          <w:szCs w:val="24"/>
          <w:lang w:val="en-US"/>
        </w:rPr>
        <w:t>various</w:t>
      </w:r>
      <w:r w:rsidR="00A34261" w:rsidRPr="002B3E1D">
        <w:rPr>
          <w:rFonts w:ascii="Times New Roman" w:hAnsi="Times New Roman" w:cs="Times New Roman"/>
          <w:sz w:val="24"/>
          <w:szCs w:val="24"/>
          <w:lang w:val="en-US"/>
        </w:rPr>
        <w:t xml:space="preserve"> organizational solutions </w:t>
      </w:r>
      <w:r w:rsidR="00922FC4">
        <w:rPr>
          <w:rFonts w:ascii="Times New Roman" w:hAnsi="Times New Roman" w:cs="Times New Roman"/>
          <w:sz w:val="24"/>
          <w:szCs w:val="24"/>
          <w:lang w:val="en-US"/>
        </w:rPr>
        <w:t>for</w:t>
      </w:r>
      <w:r w:rsidR="00922FC4" w:rsidRPr="002B3E1D">
        <w:rPr>
          <w:rFonts w:ascii="Times New Roman" w:hAnsi="Times New Roman" w:cs="Times New Roman"/>
          <w:sz w:val="24"/>
          <w:szCs w:val="24"/>
          <w:lang w:val="en-US"/>
        </w:rPr>
        <w:t xml:space="preserve"> </w:t>
      </w:r>
      <w:r w:rsidR="00A34261" w:rsidRPr="002B3E1D">
        <w:rPr>
          <w:rFonts w:ascii="Times New Roman" w:hAnsi="Times New Roman" w:cs="Times New Roman"/>
          <w:sz w:val="24"/>
          <w:szCs w:val="24"/>
          <w:lang w:val="en-US"/>
        </w:rPr>
        <w:t xml:space="preserve">OA abound, </w:t>
      </w:r>
      <w:r w:rsidR="009A08DC">
        <w:rPr>
          <w:rFonts w:ascii="Times New Roman" w:hAnsi="Times New Roman" w:cs="Times New Roman"/>
          <w:sz w:val="24"/>
          <w:szCs w:val="24"/>
          <w:lang w:val="en-US"/>
        </w:rPr>
        <w:t xml:space="preserve">mergers and acquisitions (M&amp;As) have emerged as novel </w:t>
      </w:r>
      <w:r w:rsidR="008A696C">
        <w:rPr>
          <w:rFonts w:ascii="Times New Roman" w:hAnsi="Times New Roman" w:cs="Times New Roman"/>
          <w:sz w:val="24"/>
          <w:szCs w:val="24"/>
          <w:lang w:val="en-US"/>
        </w:rPr>
        <w:t xml:space="preserve">inter-organizational </w:t>
      </w:r>
      <w:r w:rsidR="008A696C" w:rsidRPr="002B3E1D">
        <w:rPr>
          <w:rFonts w:ascii="Times New Roman" w:hAnsi="Times New Roman" w:cs="Times New Roman"/>
          <w:sz w:val="24"/>
          <w:szCs w:val="24"/>
          <w:lang w:val="en-US"/>
        </w:rPr>
        <w:t>solution</w:t>
      </w:r>
      <w:r w:rsidR="009A08DC">
        <w:rPr>
          <w:rFonts w:ascii="Times New Roman" w:hAnsi="Times New Roman" w:cs="Times New Roman"/>
          <w:sz w:val="24"/>
          <w:szCs w:val="24"/>
          <w:lang w:val="en-US"/>
        </w:rPr>
        <w:t>s</w:t>
      </w:r>
      <w:r w:rsidR="008A696C" w:rsidRPr="002B3E1D">
        <w:rPr>
          <w:rFonts w:ascii="Times New Roman" w:hAnsi="Times New Roman" w:cs="Times New Roman"/>
          <w:sz w:val="24"/>
          <w:szCs w:val="24"/>
          <w:lang w:val="en-US"/>
        </w:rPr>
        <w:t xml:space="preserve"> (</w:t>
      </w:r>
      <w:r w:rsidR="009A08DC">
        <w:rPr>
          <w:rFonts w:ascii="Times New Roman" w:hAnsi="Times New Roman" w:cs="Times New Roman"/>
          <w:sz w:val="24"/>
          <w:szCs w:val="24"/>
          <w:lang w:val="en-US"/>
        </w:rPr>
        <w:t xml:space="preserve">e.g., </w:t>
      </w:r>
      <w:r w:rsidR="008A696C" w:rsidRPr="002B3E1D">
        <w:rPr>
          <w:rFonts w:ascii="Times New Roman" w:hAnsi="Times New Roman" w:cs="Times New Roman"/>
          <w:sz w:val="24"/>
          <w:szCs w:val="24"/>
          <w:lang w:val="en-US"/>
        </w:rPr>
        <w:t xml:space="preserve">Bresciani et al., 2017; Lavie et al., 2010; </w:t>
      </w:r>
      <w:r w:rsidR="008B7478">
        <w:rPr>
          <w:rFonts w:ascii="Times New Roman" w:hAnsi="Times New Roman" w:cs="Times New Roman"/>
          <w:sz w:val="24"/>
          <w:szCs w:val="24"/>
          <w:lang w:val="en-US"/>
        </w:rPr>
        <w:t>Stettner and Lavie, 2014</w:t>
      </w:r>
      <w:r w:rsidR="008A696C" w:rsidRPr="002B3E1D">
        <w:rPr>
          <w:rFonts w:ascii="Times New Roman" w:hAnsi="Times New Roman" w:cs="Times New Roman"/>
          <w:sz w:val="24"/>
          <w:szCs w:val="24"/>
          <w:lang w:val="en-US"/>
        </w:rPr>
        <w:t>)</w:t>
      </w:r>
      <w:r w:rsidR="009A08DC">
        <w:rPr>
          <w:rFonts w:ascii="Times New Roman" w:hAnsi="Times New Roman" w:cs="Times New Roman"/>
          <w:sz w:val="24"/>
          <w:szCs w:val="24"/>
          <w:lang w:val="en-US"/>
        </w:rPr>
        <w:t xml:space="preserve">. However, </w:t>
      </w:r>
      <w:r w:rsidR="006C034F">
        <w:rPr>
          <w:rFonts w:ascii="Times New Roman" w:hAnsi="Times New Roman" w:cs="Times New Roman"/>
          <w:sz w:val="24"/>
          <w:szCs w:val="24"/>
          <w:lang w:val="en-US"/>
        </w:rPr>
        <w:t xml:space="preserve">to date, </w:t>
      </w:r>
      <w:r w:rsidR="009A08DC">
        <w:rPr>
          <w:rFonts w:ascii="Times New Roman" w:hAnsi="Times New Roman" w:cs="Times New Roman"/>
          <w:sz w:val="24"/>
          <w:szCs w:val="24"/>
          <w:lang w:val="en-US"/>
        </w:rPr>
        <w:t xml:space="preserve">we have very little theoretical or empirical insight into how OA may be achieved in the complex circumstances presented by M&amp;As. Therein, </w:t>
      </w:r>
      <w:r w:rsidR="008A696C">
        <w:rPr>
          <w:rFonts w:ascii="Times New Roman" w:hAnsi="Times New Roman" w:cs="Times New Roman"/>
          <w:sz w:val="24"/>
          <w:szCs w:val="24"/>
          <w:lang w:val="en-US"/>
        </w:rPr>
        <w:t xml:space="preserve">far less attention </w:t>
      </w:r>
      <w:r w:rsidR="009A08DC">
        <w:rPr>
          <w:rFonts w:ascii="Times New Roman" w:hAnsi="Times New Roman" w:cs="Times New Roman"/>
          <w:sz w:val="24"/>
          <w:szCs w:val="24"/>
          <w:lang w:val="en-US"/>
        </w:rPr>
        <w:t xml:space="preserve">has been given </w:t>
      </w:r>
      <w:r w:rsidR="008A696C">
        <w:rPr>
          <w:rFonts w:ascii="Times New Roman" w:hAnsi="Times New Roman" w:cs="Times New Roman"/>
          <w:sz w:val="24"/>
          <w:szCs w:val="24"/>
          <w:lang w:val="en-US"/>
        </w:rPr>
        <w:t xml:space="preserve">to </w:t>
      </w:r>
      <w:r w:rsidR="00761C7C" w:rsidRPr="002B3E1D">
        <w:rPr>
          <w:rFonts w:ascii="Times New Roman" w:hAnsi="Times New Roman" w:cs="Times New Roman"/>
          <w:sz w:val="24"/>
          <w:szCs w:val="24"/>
          <w:lang w:val="en-US"/>
        </w:rPr>
        <w:t>the micro</w:t>
      </w:r>
      <w:r w:rsidR="00D252BF" w:rsidRPr="002B3E1D">
        <w:rPr>
          <w:rFonts w:ascii="Times New Roman" w:hAnsi="Times New Roman" w:cs="Times New Roman"/>
          <w:sz w:val="24"/>
          <w:szCs w:val="24"/>
          <w:lang w:val="en-US"/>
        </w:rPr>
        <w:t>-</w:t>
      </w:r>
      <w:r w:rsidR="00761C7C" w:rsidRPr="002B3E1D">
        <w:rPr>
          <w:rFonts w:ascii="Times New Roman" w:hAnsi="Times New Roman" w:cs="Times New Roman"/>
          <w:sz w:val="24"/>
          <w:szCs w:val="24"/>
          <w:lang w:val="en-US"/>
        </w:rPr>
        <w:t>foundations of OA</w:t>
      </w:r>
      <w:r w:rsidR="00922FC4">
        <w:rPr>
          <w:rFonts w:ascii="Times New Roman" w:hAnsi="Times New Roman" w:cs="Times New Roman"/>
          <w:sz w:val="24"/>
          <w:szCs w:val="24"/>
          <w:lang w:val="en-US"/>
        </w:rPr>
        <w:t>. We know very little about</w:t>
      </w:r>
      <w:r w:rsidR="00761C7C" w:rsidRPr="002B3E1D">
        <w:rPr>
          <w:rFonts w:ascii="Times New Roman" w:hAnsi="Times New Roman" w:cs="Times New Roman"/>
          <w:sz w:val="24"/>
          <w:szCs w:val="24"/>
          <w:lang w:val="en-US"/>
        </w:rPr>
        <w:t xml:space="preserve"> </w:t>
      </w:r>
      <w:r w:rsidR="00A34261" w:rsidRPr="002B3E1D">
        <w:rPr>
          <w:rFonts w:ascii="Times New Roman" w:hAnsi="Times New Roman" w:cs="Times New Roman"/>
          <w:sz w:val="24"/>
          <w:szCs w:val="24"/>
          <w:lang w:val="en-US"/>
        </w:rPr>
        <w:t>how lower-level activities</w:t>
      </w:r>
      <w:r w:rsidR="00B132AC">
        <w:rPr>
          <w:rFonts w:ascii="Times New Roman" w:hAnsi="Times New Roman" w:cs="Times New Roman"/>
          <w:sz w:val="24"/>
          <w:szCs w:val="24"/>
          <w:lang w:val="en-US"/>
        </w:rPr>
        <w:t>,</w:t>
      </w:r>
      <w:r w:rsidR="00A34261" w:rsidRPr="002B3E1D">
        <w:rPr>
          <w:rFonts w:ascii="Times New Roman" w:hAnsi="Times New Roman" w:cs="Times New Roman"/>
          <w:sz w:val="24"/>
          <w:szCs w:val="24"/>
          <w:lang w:val="en-US"/>
        </w:rPr>
        <w:t xml:space="preserve"> coupled with </w:t>
      </w:r>
      <w:r w:rsidR="00922FC4">
        <w:rPr>
          <w:rFonts w:ascii="Times New Roman" w:hAnsi="Times New Roman" w:cs="Times New Roman"/>
          <w:sz w:val="24"/>
          <w:szCs w:val="24"/>
          <w:lang w:val="en-US"/>
        </w:rPr>
        <w:t>organizational</w:t>
      </w:r>
      <w:r w:rsidR="00922FC4" w:rsidRPr="002B3E1D">
        <w:rPr>
          <w:rFonts w:ascii="Times New Roman" w:hAnsi="Times New Roman" w:cs="Times New Roman"/>
          <w:sz w:val="24"/>
          <w:szCs w:val="24"/>
          <w:lang w:val="en-US"/>
        </w:rPr>
        <w:t xml:space="preserve"> </w:t>
      </w:r>
      <w:r w:rsidR="00A34261" w:rsidRPr="002B3E1D">
        <w:rPr>
          <w:rFonts w:ascii="Times New Roman" w:hAnsi="Times New Roman" w:cs="Times New Roman"/>
          <w:sz w:val="24"/>
          <w:szCs w:val="24"/>
          <w:lang w:val="en-US"/>
        </w:rPr>
        <w:t>mechanisms</w:t>
      </w:r>
      <w:r w:rsidR="00B132AC">
        <w:rPr>
          <w:rFonts w:ascii="Times New Roman" w:hAnsi="Times New Roman" w:cs="Times New Roman"/>
          <w:sz w:val="24"/>
          <w:szCs w:val="24"/>
          <w:lang w:val="en-US"/>
        </w:rPr>
        <w:t>,</w:t>
      </w:r>
      <w:r w:rsidR="00A34261" w:rsidRPr="002B3E1D">
        <w:rPr>
          <w:rFonts w:ascii="Times New Roman" w:hAnsi="Times New Roman" w:cs="Times New Roman"/>
          <w:sz w:val="24"/>
          <w:szCs w:val="24"/>
          <w:lang w:val="en-US"/>
        </w:rPr>
        <w:t xml:space="preserve"> influence </w:t>
      </w:r>
      <w:r w:rsidR="004E6C3A">
        <w:rPr>
          <w:rFonts w:ascii="Times New Roman" w:hAnsi="Times New Roman" w:cs="Times New Roman"/>
          <w:sz w:val="24"/>
          <w:szCs w:val="24"/>
          <w:lang w:val="en-US"/>
        </w:rPr>
        <w:t>an</w:t>
      </w:r>
      <w:r w:rsidR="00A34261" w:rsidRPr="002B3E1D">
        <w:rPr>
          <w:rFonts w:ascii="Times New Roman" w:hAnsi="Times New Roman" w:cs="Times New Roman"/>
          <w:sz w:val="24"/>
          <w:szCs w:val="24"/>
          <w:lang w:val="en-US"/>
        </w:rPr>
        <w:t xml:space="preserve"> organization</w:t>
      </w:r>
      <w:r w:rsidR="004E6C3A">
        <w:rPr>
          <w:rFonts w:ascii="Times New Roman" w:hAnsi="Times New Roman" w:cs="Times New Roman"/>
          <w:sz w:val="24"/>
          <w:szCs w:val="24"/>
          <w:lang w:val="en-US"/>
        </w:rPr>
        <w:t>’s</w:t>
      </w:r>
      <w:r w:rsidR="00A34261" w:rsidRPr="002B3E1D">
        <w:rPr>
          <w:rFonts w:ascii="Times New Roman" w:hAnsi="Times New Roman" w:cs="Times New Roman"/>
          <w:sz w:val="24"/>
          <w:szCs w:val="24"/>
          <w:lang w:val="en-US"/>
        </w:rPr>
        <w:t xml:space="preserve"> ability to achieve OA (</w:t>
      </w:r>
      <w:r w:rsidR="00A34261" w:rsidRPr="002B3E1D">
        <w:rPr>
          <w:rFonts w:ascii="Times New Roman" w:hAnsi="Times New Roman" w:cs="Times New Roman"/>
          <w:color w:val="222222"/>
          <w:sz w:val="24"/>
          <w:szCs w:val="24"/>
          <w:shd w:val="clear" w:color="auto" w:fill="FFFFFF"/>
          <w:lang w:val="en-US"/>
        </w:rPr>
        <w:t>Miron-Spektor</w:t>
      </w:r>
      <w:r w:rsidR="00A34261" w:rsidRPr="002B3E1D">
        <w:rPr>
          <w:rFonts w:ascii="Times New Roman" w:hAnsi="Times New Roman" w:cs="Times New Roman"/>
          <w:sz w:val="24"/>
          <w:szCs w:val="24"/>
          <w:lang w:val="en-US"/>
        </w:rPr>
        <w:t xml:space="preserve"> et al., 2018; Mom et al., 2018; Zimmermann et al., 2018). </w:t>
      </w:r>
      <w:r w:rsidR="003C385E">
        <w:rPr>
          <w:rFonts w:ascii="Times New Roman" w:hAnsi="Times New Roman" w:cs="Times New Roman"/>
          <w:sz w:val="24"/>
          <w:szCs w:val="24"/>
          <w:lang w:val="en-US"/>
        </w:rPr>
        <w:t xml:space="preserve">This oversight is troubling because in using M&amp;As as a pathway to OA, the circumstances needed to galvanize employees to achieve OA intersect with the complexity of managing and integrating </w:t>
      </w:r>
      <w:r w:rsidR="004E6C3A">
        <w:rPr>
          <w:rFonts w:ascii="Times New Roman" w:hAnsi="Times New Roman" w:cs="Times New Roman"/>
          <w:sz w:val="24"/>
          <w:szCs w:val="24"/>
          <w:lang w:val="en-US"/>
        </w:rPr>
        <w:t xml:space="preserve">various aspects of </w:t>
      </w:r>
      <w:r w:rsidR="003C385E">
        <w:rPr>
          <w:rFonts w:ascii="Times New Roman" w:hAnsi="Times New Roman" w:cs="Times New Roman"/>
          <w:sz w:val="24"/>
          <w:szCs w:val="24"/>
          <w:lang w:val="en-US"/>
        </w:rPr>
        <w:t>the acquired firm</w:t>
      </w:r>
      <w:r w:rsidR="009A08DC">
        <w:rPr>
          <w:rFonts w:ascii="Times New Roman" w:hAnsi="Times New Roman" w:cs="Times New Roman"/>
          <w:sz w:val="24"/>
          <w:szCs w:val="24"/>
          <w:lang w:val="en-US"/>
        </w:rPr>
        <w:t xml:space="preserve">. </w:t>
      </w:r>
    </w:p>
    <w:p w14:paraId="4F38ED98" w14:textId="624FBC92" w:rsidR="00A34261" w:rsidRPr="002B3E1D" w:rsidRDefault="00761C7C" w:rsidP="00A34261">
      <w:pPr>
        <w:spacing w:after="0" w:line="480" w:lineRule="auto"/>
        <w:ind w:firstLine="720"/>
        <w:jc w:val="both"/>
        <w:rPr>
          <w:rFonts w:ascii="Times New Roman" w:hAnsi="Times New Roman" w:cs="Times New Roman"/>
          <w:sz w:val="24"/>
          <w:szCs w:val="24"/>
          <w:lang w:val="en-US"/>
        </w:rPr>
      </w:pPr>
      <w:r w:rsidRPr="002B3E1D">
        <w:rPr>
          <w:rFonts w:ascii="Times New Roman" w:hAnsi="Times New Roman" w:cs="Times New Roman"/>
          <w:sz w:val="24"/>
          <w:szCs w:val="24"/>
          <w:lang w:val="en-US"/>
        </w:rPr>
        <w:t xml:space="preserve">The </w:t>
      </w:r>
      <w:r w:rsidR="00A34261" w:rsidRPr="002B3E1D">
        <w:rPr>
          <w:rFonts w:ascii="Times New Roman" w:hAnsi="Times New Roman" w:cs="Times New Roman"/>
          <w:sz w:val="24"/>
          <w:szCs w:val="24"/>
          <w:lang w:val="en-US"/>
        </w:rPr>
        <w:t xml:space="preserve">micro-foundations </w:t>
      </w:r>
      <w:r w:rsidR="00E87B62">
        <w:rPr>
          <w:rFonts w:ascii="Times New Roman" w:hAnsi="Times New Roman" w:cs="Times New Roman"/>
          <w:sz w:val="24"/>
          <w:szCs w:val="24"/>
          <w:lang w:val="en-US"/>
        </w:rPr>
        <w:t>approach</w:t>
      </w:r>
      <w:r w:rsidR="00E87B62" w:rsidRPr="002B3E1D">
        <w:rPr>
          <w:rFonts w:ascii="Times New Roman" w:hAnsi="Times New Roman" w:cs="Times New Roman"/>
          <w:sz w:val="24"/>
          <w:szCs w:val="24"/>
          <w:lang w:val="en-US"/>
        </w:rPr>
        <w:t xml:space="preserve"> </w:t>
      </w:r>
      <w:r w:rsidR="008C26FE">
        <w:rPr>
          <w:rFonts w:ascii="Times New Roman" w:hAnsi="Times New Roman" w:cs="Times New Roman"/>
          <w:sz w:val="24"/>
          <w:szCs w:val="24"/>
          <w:lang w:val="en-US"/>
        </w:rPr>
        <w:t>argues</w:t>
      </w:r>
      <w:r w:rsidR="008C26FE" w:rsidRPr="002B3E1D">
        <w:rPr>
          <w:rFonts w:ascii="Times New Roman" w:hAnsi="Times New Roman" w:cs="Times New Roman"/>
          <w:sz w:val="24"/>
          <w:szCs w:val="24"/>
          <w:lang w:val="en-US"/>
        </w:rPr>
        <w:t xml:space="preserve"> </w:t>
      </w:r>
      <w:r w:rsidRPr="002B3E1D">
        <w:rPr>
          <w:rFonts w:ascii="Times New Roman" w:hAnsi="Times New Roman" w:cs="Times New Roman"/>
          <w:sz w:val="24"/>
          <w:szCs w:val="24"/>
          <w:lang w:val="en-US"/>
        </w:rPr>
        <w:t>that organizational context</w:t>
      </w:r>
      <w:r w:rsidR="004E6C3A">
        <w:rPr>
          <w:rFonts w:ascii="Times New Roman" w:hAnsi="Times New Roman" w:cs="Times New Roman"/>
          <w:sz w:val="24"/>
          <w:szCs w:val="24"/>
          <w:lang w:val="en-US"/>
        </w:rPr>
        <w:t>s,</w:t>
      </w:r>
      <w:r w:rsidRPr="002B3E1D">
        <w:rPr>
          <w:rFonts w:ascii="Times New Roman" w:hAnsi="Times New Roman" w:cs="Times New Roman"/>
          <w:sz w:val="24"/>
          <w:szCs w:val="24"/>
          <w:lang w:val="en-US"/>
        </w:rPr>
        <w:t xml:space="preserve"> set or enable</w:t>
      </w:r>
      <w:r w:rsidR="004E6C3A">
        <w:rPr>
          <w:rFonts w:ascii="Times New Roman" w:hAnsi="Times New Roman" w:cs="Times New Roman"/>
          <w:sz w:val="24"/>
          <w:szCs w:val="24"/>
          <w:lang w:val="en-US"/>
        </w:rPr>
        <w:t>,</w:t>
      </w:r>
      <w:r w:rsidRPr="002B3E1D">
        <w:rPr>
          <w:rFonts w:ascii="Times New Roman" w:hAnsi="Times New Roman" w:cs="Times New Roman"/>
          <w:sz w:val="24"/>
          <w:szCs w:val="24"/>
          <w:lang w:val="en-US"/>
        </w:rPr>
        <w:t xml:space="preserve"> </w:t>
      </w:r>
      <w:r w:rsidR="00A34261" w:rsidRPr="002B3E1D">
        <w:rPr>
          <w:rFonts w:ascii="Times New Roman" w:hAnsi="Times New Roman" w:cs="Times New Roman"/>
          <w:sz w:val="24"/>
          <w:szCs w:val="24"/>
          <w:lang w:val="en-US"/>
        </w:rPr>
        <w:t xml:space="preserve">interactions between individuals </w:t>
      </w:r>
      <w:r w:rsidRPr="002B3E1D">
        <w:rPr>
          <w:rFonts w:ascii="Times New Roman" w:hAnsi="Times New Roman" w:cs="Times New Roman"/>
          <w:sz w:val="24"/>
          <w:szCs w:val="24"/>
          <w:lang w:val="en-US"/>
        </w:rPr>
        <w:t>in sharing</w:t>
      </w:r>
      <w:r w:rsidR="00A34261" w:rsidRPr="002B3E1D">
        <w:rPr>
          <w:rFonts w:ascii="Times New Roman" w:hAnsi="Times New Roman" w:cs="Times New Roman"/>
          <w:sz w:val="24"/>
          <w:szCs w:val="24"/>
          <w:lang w:val="en-US"/>
        </w:rPr>
        <w:t xml:space="preserve"> knowledge </w:t>
      </w:r>
      <w:r w:rsidRPr="002B3E1D">
        <w:rPr>
          <w:rFonts w:ascii="Times New Roman" w:hAnsi="Times New Roman" w:cs="Times New Roman"/>
          <w:sz w:val="24"/>
          <w:szCs w:val="24"/>
          <w:lang w:val="en-US"/>
        </w:rPr>
        <w:t>which give</w:t>
      </w:r>
      <w:r w:rsidR="004E6C3A">
        <w:rPr>
          <w:rFonts w:ascii="Times New Roman" w:hAnsi="Times New Roman" w:cs="Times New Roman"/>
          <w:sz w:val="24"/>
          <w:szCs w:val="24"/>
          <w:lang w:val="en-US"/>
        </w:rPr>
        <w:t>s</w:t>
      </w:r>
      <w:r w:rsidRPr="002B3E1D">
        <w:rPr>
          <w:rFonts w:ascii="Times New Roman" w:hAnsi="Times New Roman" w:cs="Times New Roman"/>
          <w:sz w:val="24"/>
          <w:szCs w:val="24"/>
          <w:lang w:val="en-US"/>
        </w:rPr>
        <w:t xml:space="preserve"> rise to new organizational phenomena (e.g., </w:t>
      </w:r>
      <w:r w:rsidR="00A34261" w:rsidRPr="002B3E1D">
        <w:rPr>
          <w:rFonts w:ascii="Times New Roman" w:hAnsi="Times New Roman" w:cs="Times New Roman"/>
          <w:sz w:val="24"/>
          <w:szCs w:val="24"/>
          <w:lang w:val="en-US"/>
        </w:rPr>
        <w:t xml:space="preserve">Felin et al., 2012; Foss and Pedersen, 2016; Tran et al., </w:t>
      </w:r>
      <w:r w:rsidR="00922FC4">
        <w:rPr>
          <w:rFonts w:ascii="Times New Roman" w:hAnsi="Times New Roman" w:cs="Times New Roman"/>
          <w:sz w:val="24"/>
          <w:szCs w:val="24"/>
          <w:lang w:val="en-US"/>
        </w:rPr>
        <w:t>2019</w:t>
      </w:r>
      <w:r w:rsidR="00A34261" w:rsidRPr="002B3E1D">
        <w:rPr>
          <w:rFonts w:ascii="Times New Roman" w:hAnsi="Times New Roman" w:cs="Times New Roman"/>
          <w:sz w:val="24"/>
          <w:szCs w:val="24"/>
          <w:lang w:val="en-US"/>
        </w:rPr>
        <w:t xml:space="preserve">). </w:t>
      </w:r>
      <w:r w:rsidR="003C385E">
        <w:rPr>
          <w:rFonts w:ascii="Times New Roman" w:hAnsi="Times New Roman" w:cs="Times New Roman"/>
          <w:sz w:val="24"/>
          <w:szCs w:val="24"/>
          <w:lang w:val="en-US"/>
        </w:rPr>
        <w:t>S</w:t>
      </w:r>
      <w:r w:rsidR="00A34261" w:rsidRPr="002B3E1D">
        <w:rPr>
          <w:rFonts w:ascii="Times New Roman" w:hAnsi="Times New Roman" w:cs="Times New Roman"/>
          <w:sz w:val="24"/>
          <w:szCs w:val="24"/>
          <w:lang w:val="en-US"/>
        </w:rPr>
        <w:t xml:space="preserve">enior managers deploy </w:t>
      </w:r>
      <w:r w:rsidR="00234B9E">
        <w:rPr>
          <w:rFonts w:ascii="Times New Roman" w:hAnsi="Times New Roman" w:cs="Times New Roman"/>
          <w:sz w:val="24"/>
          <w:szCs w:val="24"/>
          <w:lang w:val="en-US"/>
        </w:rPr>
        <w:t>M&amp;As</w:t>
      </w:r>
      <w:r w:rsidR="00234B9E" w:rsidRPr="002B3E1D">
        <w:rPr>
          <w:rFonts w:ascii="Times New Roman" w:hAnsi="Times New Roman" w:cs="Times New Roman"/>
          <w:sz w:val="24"/>
          <w:szCs w:val="24"/>
          <w:lang w:val="en-US"/>
        </w:rPr>
        <w:t xml:space="preserve"> </w:t>
      </w:r>
      <w:r w:rsidR="00A34261" w:rsidRPr="002B3E1D">
        <w:rPr>
          <w:rFonts w:ascii="Times New Roman" w:hAnsi="Times New Roman" w:cs="Times New Roman"/>
          <w:sz w:val="24"/>
          <w:szCs w:val="24"/>
          <w:lang w:val="en-US"/>
        </w:rPr>
        <w:t>to achieve OA</w:t>
      </w:r>
      <w:r w:rsidR="00234B9E">
        <w:rPr>
          <w:rFonts w:ascii="Times New Roman" w:hAnsi="Times New Roman" w:cs="Times New Roman"/>
          <w:sz w:val="24"/>
          <w:szCs w:val="24"/>
          <w:lang w:val="en-US"/>
        </w:rPr>
        <w:t>,</w:t>
      </w:r>
      <w:r w:rsidR="00E87B62">
        <w:rPr>
          <w:rFonts w:ascii="Times New Roman" w:hAnsi="Times New Roman" w:cs="Times New Roman"/>
          <w:sz w:val="24"/>
          <w:szCs w:val="24"/>
          <w:lang w:val="en-US"/>
        </w:rPr>
        <w:t xml:space="preserve"> but these can potentially generate OA </w:t>
      </w:r>
      <w:r w:rsidR="00B132AC">
        <w:rPr>
          <w:rFonts w:ascii="Times New Roman" w:hAnsi="Times New Roman" w:cs="Times New Roman"/>
          <w:sz w:val="24"/>
          <w:szCs w:val="24"/>
          <w:lang w:val="en-US"/>
        </w:rPr>
        <w:t xml:space="preserve">only </w:t>
      </w:r>
      <w:r w:rsidR="00E87B62">
        <w:rPr>
          <w:rFonts w:ascii="Times New Roman" w:hAnsi="Times New Roman" w:cs="Times New Roman"/>
          <w:sz w:val="24"/>
          <w:szCs w:val="24"/>
          <w:lang w:val="en-US"/>
        </w:rPr>
        <w:t xml:space="preserve">when </w:t>
      </w:r>
      <w:r w:rsidRPr="002B3E1D">
        <w:rPr>
          <w:rFonts w:ascii="Times New Roman" w:hAnsi="Times New Roman" w:cs="Times New Roman"/>
          <w:sz w:val="24"/>
          <w:szCs w:val="24"/>
          <w:lang w:val="en-US"/>
        </w:rPr>
        <w:t>the context</w:t>
      </w:r>
      <w:r w:rsidR="006D2F67">
        <w:rPr>
          <w:rFonts w:ascii="Times New Roman" w:hAnsi="Times New Roman" w:cs="Times New Roman"/>
          <w:sz w:val="24"/>
          <w:szCs w:val="24"/>
          <w:lang w:val="en-US"/>
        </w:rPr>
        <w:t>s</w:t>
      </w:r>
      <w:r w:rsidRPr="002B3E1D">
        <w:rPr>
          <w:rFonts w:ascii="Times New Roman" w:hAnsi="Times New Roman" w:cs="Times New Roman"/>
          <w:sz w:val="24"/>
          <w:szCs w:val="24"/>
          <w:lang w:val="en-US"/>
        </w:rPr>
        <w:t xml:space="preserve"> in </w:t>
      </w:r>
      <w:r w:rsidRPr="002B3E1D">
        <w:rPr>
          <w:rFonts w:ascii="Times New Roman" w:hAnsi="Times New Roman" w:cs="Times New Roman"/>
          <w:sz w:val="24"/>
          <w:szCs w:val="24"/>
          <w:lang w:val="en-US"/>
        </w:rPr>
        <w:lastRenderedPageBreak/>
        <w:t>which individuals act (</w:t>
      </w:r>
      <w:r w:rsidR="00234B9E">
        <w:rPr>
          <w:rFonts w:ascii="Times New Roman" w:hAnsi="Times New Roman" w:cs="Times New Roman"/>
          <w:sz w:val="24"/>
          <w:szCs w:val="24"/>
          <w:lang w:val="en-US"/>
        </w:rPr>
        <w:t xml:space="preserve">e.g., </w:t>
      </w:r>
      <w:r w:rsidR="00234B9E" w:rsidRPr="002B3E1D">
        <w:rPr>
          <w:rFonts w:ascii="Times New Roman" w:hAnsi="Times New Roman" w:cs="Times New Roman"/>
          <w:sz w:val="24"/>
          <w:szCs w:val="24"/>
          <w:lang w:val="en-US"/>
        </w:rPr>
        <w:t xml:space="preserve">Ahammad et al., 2015; </w:t>
      </w:r>
      <w:r w:rsidRPr="002B3E1D">
        <w:rPr>
          <w:rFonts w:ascii="Times New Roman" w:hAnsi="Times New Roman" w:cs="Times New Roman"/>
          <w:sz w:val="24"/>
          <w:szCs w:val="24"/>
          <w:lang w:val="en-US"/>
        </w:rPr>
        <w:t>Birkinshaw and Gupta, 2013</w:t>
      </w:r>
      <w:r w:rsidR="00234B9E" w:rsidRPr="002B3E1D">
        <w:rPr>
          <w:rFonts w:ascii="Times New Roman" w:hAnsi="Times New Roman" w:cs="Times New Roman"/>
          <w:sz w:val="24"/>
          <w:szCs w:val="24"/>
          <w:lang w:val="en-US"/>
        </w:rPr>
        <w:t>; Simsek, 2009</w:t>
      </w:r>
      <w:r w:rsidRPr="002B3E1D">
        <w:rPr>
          <w:rFonts w:ascii="Times New Roman" w:hAnsi="Times New Roman" w:cs="Times New Roman"/>
          <w:sz w:val="24"/>
          <w:szCs w:val="24"/>
          <w:lang w:val="en-US"/>
        </w:rPr>
        <w:t>) across levels (Mom et al., 2018) are coordinated.</w:t>
      </w:r>
      <w:r w:rsidR="008C26FE">
        <w:rPr>
          <w:rFonts w:ascii="Times New Roman" w:hAnsi="Times New Roman" w:cs="Times New Roman"/>
          <w:sz w:val="24"/>
          <w:szCs w:val="24"/>
          <w:lang w:val="en-US"/>
        </w:rPr>
        <w:t xml:space="preserve"> In M&amp;As, especially the cross-border variety, knowledge sharing is especially important (</w:t>
      </w:r>
      <w:r w:rsidR="008C26FE" w:rsidRPr="002B3E1D">
        <w:rPr>
          <w:rFonts w:ascii="Times New Roman" w:hAnsi="Times New Roman" w:cs="Times New Roman"/>
          <w:sz w:val="24"/>
          <w:szCs w:val="24"/>
          <w:lang w:val="en-US"/>
        </w:rPr>
        <w:t>Im and Rai, 2008</w:t>
      </w:r>
      <w:r w:rsidR="008C26FE">
        <w:rPr>
          <w:rFonts w:ascii="Times New Roman" w:hAnsi="Times New Roman" w:cs="Times New Roman"/>
          <w:sz w:val="24"/>
          <w:szCs w:val="24"/>
          <w:lang w:val="en-US"/>
        </w:rPr>
        <w:t>) to acquisition outcomes and is affected by integration activities (Meglio et al., 2015). I</w:t>
      </w:r>
      <w:r w:rsidR="00A34261" w:rsidRPr="002B3E1D">
        <w:rPr>
          <w:rFonts w:ascii="Times New Roman" w:hAnsi="Times New Roman" w:cs="Times New Roman"/>
          <w:sz w:val="24"/>
          <w:szCs w:val="24"/>
          <w:lang w:val="en-US"/>
        </w:rPr>
        <w:t>n OA</w:t>
      </w:r>
      <w:r w:rsidR="008C26FE">
        <w:rPr>
          <w:rFonts w:ascii="Times New Roman" w:hAnsi="Times New Roman" w:cs="Times New Roman"/>
          <w:sz w:val="24"/>
          <w:szCs w:val="24"/>
          <w:lang w:val="en-US"/>
        </w:rPr>
        <w:t xml:space="preserve"> literature</w:t>
      </w:r>
      <w:r w:rsidR="006D2F67">
        <w:rPr>
          <w:rFonts w:ascii="Times New Roman" w:hAnsi="Times New Roman" w:cs="Times New Roman"/>
          <w:sz w:val="24"/>
          <w:szCs w:val="24"/>
          <w:lang w:val="en-US"/>
        </w:rPr>
        <w:t>,</w:t>
      </w:r>
      <w:r w:rsidR="008C26FE">
        <w:rPr>
          <w:rFonts w:ascii="Times New Roman" w:hAnsi="Times New Roman" w:cs="Times New Roman"/>
          <w:sz w:val="24"/>
          <w:szCs w:val="24"/>
          <w:lang w:val="en-US"/>
        </w:rPr>
        <w:t xml:space="preserve"> studies of </w:t>
      </w:r>
      <w:r w:rsidR="00A34261" w:rsidRPr="002B3E1D">
        <w:rPr>
          <w:rFonts w:ascii="Times New Roman" w:hAnsi="Times New Roman" w:cs="Times New Roman"/>
          <w:sz w:val="24"/>
          <w:szCs w:val="24"/>
          <w:lang w:val="en-US"/>
        </w:rPr>
        <w:t xml:space="preserve">knowledge-sharing interactions are </w:t>
      </w:r>
      <w:r w:rsidR="005360C1" w:rsidRPr="002B3E1D">
        <w:rPr>
          <w:rFonts w:ascii="Times New Roman" w:hAnsi="Times New Roman" w:cs="Times New Roman"/>
          <w:sz w:val="24"/>
          <w:szCs w:val="24"/>
          <w:lang w:val="en-US"/>
        </w:rPr>
        <w:t xml:space="preserve">typically </w:t>
      </w:r>
      <w:r w:rsidR="00A34261" w:rsidRPr="002B3E1D">
        <w:rPr>
          <w:rFonts w:ascii="Times New Roman" w:hAnsi="Times New Roman" w:cs="Times New Roman"/>
          <w:sz w:val="24"/>
          <w:szCs w:val="24"/>
          <w:lang w:val="en-US"/>
        </w:rPr>
        <w:t xml:space="preserve">limited to standard exchanges within the line hierarchy (Mom et al., 2007, 2009). </w:t>
      </w:r>
      <w:r w:rsidR="00B132AC">
        <w:rPr>
          <w:rFonts w:ascii="Times New Roman" w:hAnsi="Times New Roman" w:cs="Times New Roman"/>
          <w:sz w:val="24"/>
          <w:szCs w:val="24"/>
          <w:lang w:val="en-US"/>
        </w:rPr>
        <w:t>However,</w:t>
      </w:r>
      <w:r w:rsidR="008C26FE">
        <w:rPr>
          <w:rFonts w:ascii="Times New Roman" w:hAnsi="Times New Roman" w:cs="Times New Roman"/>
          <w:sz w:val="24"/>
          <w:szCs w:val="24"/>
          <w:lang w:val="en-US"/>
        </w:rPr>
        <w:t xml:space="preserve"> in M&amp;As, these </w:t>
      </w:r>
      <w:r w:rsidR="006D2F67">
        <w:rPr>
          <w:rFonts w:ascii="Times New Roman" w:hAnsi="Times New Roman" w:cs="Times New Roman"/>
          <w:sz w:val="24"/>
          <w:szCs w:val="24"/>
          <w:lang w:val="en-US"/>
        </w:rPr>
        <w:t>occur in</w:t>
      </w:r>
      <w:r w:rsidR="00A34261" w:rsidRPr="002B3E1D">
        <w:rPr>
          <w:rFonts w:ascii="Times New Roman" w:hAnsi="Times New Roman" w:cs="Times New Roman"/>
          <w:sz w:val="24"/>
          <w:szCs w:val="24"/>
          <w:lang w:val="en-US"/>
        </w:rPr>
        <w:t xml:space="preserve"> less routinized </w:t>
      </w:r>
      <w:r w:rsidR="005360C1" w:rsidRPr="002B3E1D">
        <w:rPr>
          <w:rFonts w:ascii="Times New Roman" w:hAnsi="Times New Roman" w:cs="Times New Roman"/>
          <w:sz w:val="24"/>
          <w:szCs w:val="24"/>
          <w:lang w:val="en-US"/>
        </w:rPr>
        <w:t xml:space="preserve">contexts in which </w:t>
      </w:r>
      <w:r w:rsidR="00A34261" w:rsidRPr="002B3E1D">
        <w:rPr>
          <w:rFonts w:ascii="Times New Roman" w:hAnsi="Times New Roman" w:cs="Times New Roman"/>
          <w:sz w:val="24"/>
          <w:szCs w:val="24"/>
          <w:lang w:val="en-US"/>
        </w:rPr>
        <w:t xml:space="preserve">interactions are complex and </w:t>
      </w:r>
      <w:r w:rsidR="005360C1" w:rsidRPr="002B3E1D">
        <w:rPr>
          <w:rFonts w:ascii="Times New Roman" w:hAnsi="Times New Roman" w:cs="Times New Roman"/>
          <w:sz w:val="24"/>
          <w:szCs w:val="24"/>
          <w:lang w:val="en-US"/>
        </w:rPr>
        <w:t xml:space="preserve">subject to </w:t>
      </w:r>
      <w:r w:rsidR="00A34261" w:rsidRPr="002B3E1D">
        <w:rPr>
          <w:rFonts w:ascii="Times New Roman" w:hAnsi="Times New Roman" w:cs="Times New Roman"/>
          <w:sz w:val="24"/>
          <w:szCs w:val="24"/>
          <w:lang w:val="en-US"/>
        </w:rPr>
        <w:t>tensions</w:t>
      </w:r>
      <w:r w:rsidR="00A34261" w:rsidRPr="002B3E1D">
        <w:rPr>
          <w:rFonts w:ascii="Times New Roman" w:eastAsia="Times New Roman" w:hAnsi="Times New Roman" w:cs="Times New Roman"/>
          <w:color w:val="222222"/>
          <w:sz w:val="24"/>
          <w:szCs w:val="24"/>
          <w:lang w:val="en-US" w:eastAsia="en-GB"/>
        </w:rPr>
        <w:t xml:space="preserve"> (Bauer et al</w:t>
      </w:r>
      <w:r w:rsidR="00A34261" w:rsidRPr="002B3E1D">
        <w:rPr>
          <w:rFonts w:ascii="Times New Roman" w:eastAsia="Times New Roman" w:hAnsi="Times New Roman" w:cs="Times New Roman"/>
          <w:sz w:val="24"/>
          <w:szCs w:val="24"/>
          <w:lang w:val="en-US" w:eastAsia="en-GB"/>
        </w:rPr>
        <w:t xml:space="preserve">, 2016; </w:t>
      </w:r>
      <w:r w:rsidR="00A34261" w:rsidRPr="002B3E1D">
        <w:rPr>
          <w:rFonts w:ascii="Times New Roman" w:hAnsi="Times New Roman" w:cs="Times New Roman"/>
          <w:sz w:val="24"/>
          <w:szCs w:val="24"/>
          <w:lang w:val="en-US"/>
        </w:rPr>
        <w:t>Lavie et al., 2010; Stettner and Lavie, 2014</w:t>
      </w:r>
      <w:r w:rsidR="00A34261" w:rsidRPr="002B3E1D">
        <w:rPr>
          <w:rFonts w:ascii="Times New Roman" w:eastAsia="Times New Roman" w:hAnsi="Times New Roman" w:cs="Times New Roman"/>
          <w:sz w:val="24"/>
          <w:szCs w:val="24"/>
          <w:lang w:val="en-US" w:eastAsia="en-GB"/>
        </w:rPr>
        <w:t>)</w:t>
      </w:r>
      <w:r w:rsidR="00A34261" w:rsidRPr="002B3E1D">
        <w:rPr>
          <w:rFonts w:ascii="Times New Roman" w:hAnsi="Times New Roman" w:cs="Times New Roman"/>
          <w:sz w:val="24"/>
          <w:szCs w:val="24"/>
          <w:lang w:val="en-US"/>
        </w:rPr>
        <w:t xml:space="preserve">. </w:t>
      </w:r>
      <w:r w:rsidR="009C36C1">
        <w:rPr>
          <w:rFonts w:ascii="Times New Roman" w:hAnsi="Times New Roman" w:cs="Times New Roman"/>
          <w:sz w:val="24"/>
          <w:szCs w:val="24"/>
          <w:lang w:val="en-US"/>
        </w:rPr>
        <w:t>By not accounting for the interaction of organization and context, m</w:t>
      </w:r>
      <w:r w:rsidR="006D2F67">
        <w:rPr>
          <w:rFonts w:ascii="Times New Roman" w:hAnsi="Times New Roman" w:cs="Times New Roman"/>
          <w:sz w:val="24"/>
          <w:szCs w:val="24"/>
          <w:lang w:val="en-US"/>
        </w:rPr>
        <w:t xml:space="preserve">anagers are left </w:t>
      </w:r>
      <w:r w:rsidR="006D2F67" w:rsidRPr="002B3E1D">
        <w:rPr>
          <w:rFonts w:ascii="Times New Roman" w:hAnsi="Times New Roman" w:cs="Times New Roman"/>
          <w:sz w:val="24"/>
          <w:szCs w:val="24"/>
          <w:lang w:val="en-US"/>
        </w:rPr>
        <w:t xml:space="preserve">with significant challenges </w:t>
      </w:r>
      <w:r w:rsidR="006D2F67">
        <w:rPr>
          <w:rFonts w:ascii="Times New Roman" w:hAnsi="Times New Roman" w:cs="Times New Roman"/>
          <w:sz w:val="24"/>
          <w:szCs w:val="24"/>
          <w:lang w:val="en-US"/>
        </w:rPr>
        <w:t xml:space="preserve">in </w:t>
      </w:r>
      <w:r w:rsidR="006D2F67" w:rsidRPr="002B3E1D">
        <w:rPr>
          <w:rFonts w:ascii="Times New Roman" w:hAnsi="Times New Roman" w:cs="Times New Roman"/>
          <w:sz w:val="24"/>
          <w:szCs w:val="24"/>
          <w:lang w:val="en-US"/>
        </w:rPr>
        <w:t>implementin</w:t>
      </w:r>
      <w:r w:rsidR="006D2F67">
        <w:rPr>
          <w:rFonts w:ascii="Times New Roman" w:hAnsi="Times New Roman" w:cs="Times New Roman"/>
          <w:sz w:val="24"/>
          <w:szCs w:val="24"/>
          <w:lang w:val="en-US"/>
        </w:rPr>
        <w:t>g OA</w:t>
      </w:r>
      <w:r w:rsidR="006D2F67" w:rsidRPr="002B3E1D">
        <w:rPr>
          <w:rFonts w:ascii="Times New Roman" w:hAnsi="Times New Roman" w:cs="Times New Roman"/>
          <w:sz w:val="24"/>
          <w:szCs w:val="24"/>
          <w:lang w:val="en-US"/>
        </w:rPr>
        <w:t xml:space="preserve"> </w:t>
      </w:r>
      <w:r w:rsidR="006D2F67">
        <w:rPr>
          <w:rFonts w:ascii="Times New Roman" w:hAnsi="Times New Roman" w:cs="Times New Roman"/>
          <w:sz w:val="24"/>
          <w:szCs w:val="24"/>
          <w:lang w:val="en-US"/>
        </w:rPr>
        <w:t xml:space="preserve">precisely because the </w:t>
      </w:r>
      <w:r w:rsidR="006D2F67" w:rsidRPr="002B3E1D">
        <w:rPr>
          <w:rFonts w:ascii="Times New Roman" w:hAnsi="Times New Roman" w:cs="Times New Roman"/>
          <w:sz w:val="24"/>
          <w:szCs w:val="24"/>
          <w:lang w:val="en-US"/>
        </w:rPr>
        <w:t xml:space="preserve">methods, practices, and processes that an organization uses to attain OA </w:t>
      </w:r>
      <w:r w:rsidR="008B7478">
        <w:rPr>
          <w:rFonts w:ascii="Times New Roman" w:hAnsi="Times New Roman" w:cs="Times New Roman"/>
          <w:sz w:val="24"/>
          <w:szCs w:val="24"/>
          <w:lang w:val="en-US"/>
        </w:rPr>
        <w:t>are oversimplified (</w:t>
      </w:r>
      <w:r w:rsidR="008B7478" w:rsidRPr="002B3E1D">
        <w:rPr>
          <w:rFonts w:ascii="Times New Roman" w:hAnsi="Times New Roman" w:cs="Times New Roman"/>
          <w:sz w:val="24"/>
          <w:szCs w:val="24"/>
          <w:lang w:val="en-US"/>
        </w:rPr>
        <w:t>Birkinshaw and Gupta, 2013; O’Reilly and Tushman, 2013)</w:t>
      </w:r>
      <w:r w:rsidR="008B7478">
        <w:rPr>
          <w:rFonts w:ascii="Times New Roman" w:hAnsi="Times New Roman" w:cs="Times New Roman"/>
          <w:sz w:val="24"/>
          <w:szCs w:val="24"/>
          <w:lang w:val="en-US"/>
        </w:rPr>
        <w:t xml:space="preserve"> and </w:t>
      </w:r>
      <w:r w:rsidR="006D2F67" w:rsidRPr="002B3E1D">
        <w:rPr>
          <w:rFonts w:ascii="Times New Roman" w:hAnsi="Times New Roman" w:cs="Times New Roman"/>
          <w:sz w:val="24"/>
          <w:szCs w:val="24"/>
          <w:lang w:val="en-US"/>
        </w:rPr>
        <w:t>have escaped significant attention (Hughes, 2018; Koryak et al., 2018</w:t>
      </w:r>
      <w:r w:rsidR="009C36C1" w:rsidRPr="002B3E1D">
        <w:rPr>
          <w:rFonts w:ascii="Times New Roman" w:hAnsi="Times New Roman" w:cs="Times New Roman"/>
          <w:sz w:val="24"/>
          <w:szCs w:val="24"/>
          <w:lang w:val="en-US"/>
        </w:rPr>
        <w:t>; Stettner and Lavie, 2014</w:t>
      </w:r>
      <w:r w:rsidR="006D2F67" w:rsidRPr="002B3E1D">
        <w:rPr>
          <w:rFonts w:ascii="Times New Roman" w:hAnsi="Times New Roman" w:cs="Times New Roman"/>
          <w:sz w:val="24"/>
          <w:szCs w:val="24"/>
          <w:lang w:val="en-US"/>
        </w:rPr>
        <w:t>)</w:t>
      </w:r>
      <w:r w:rsidR="006D2F67">
        <w:rPr>
          <w:rFonts w:ascii="Times New Roman" w:hAnsi="Times New Roman" w:cs="Times New Roman"/>
          <w:sz w:val="24"/>
          <w:szCs w:val="24"/>
          <w:lang w:val="en-US"/>
        </w:rPr>
        <w:t>.</w:t>
      </w:r>
      <w:r w:rsidR="009C36C1">
        <w:rPr>
          <w:rFonts w:ascii="Times New Roman" w:hAnsi="Times New Roman" w:cs="Times New Roman"/>
          <w:sz w:val="24"/>
          <w:szCs w:val="24"/>
          <w:lang w:val="en-US"/>
        </w:rPr>
        <w:t xml:space="preserve"> </w:t>
      </w:r>
      <w:r w:rsidR="005360C1" w:rsidRPr="002B3E1D">
        <w:rPr>
          <w:rFonts w:ascii="Times New Roman" w:hAnsi="Times New Roman" w:cs="Times New Roman"/>
          <w:sz w:val="24"/>
          <w:szCs w:val="24"/>
          <w:lang w:val="en-US"/>
        </w:rPr>
        <w:t xml:space="preserve">To advance understanding of the foundations by which OA is achieved requires insights into circumstances </w:t>
      </w:r>
      <w:r w:rsidR="004E6C3A">
        <w:rPr>
          <w:rFonts w:ascii="Times New Roman" w:hAnsi="Times New Roman" w:cs="Times New Roman"/>
          <w:sz w:val="24"/>
          <w:szCs w:val="24"/>
          <w:lang w:val="en-US"/>
        </w:rPr>
        <w:t>of</w:t>
      </w:r>
      <w:r w:rsidR="00A34261" w:rsidRPr="002B3E1D">
        <w:rPr>
          <w:rFonts w:ascii="Times New Roman" w:hAnsi="Times New Roman" w:cs="Times New Roman"/>
          <w:sz w:val="24"/>
          <w:szCs w:val="24"/>
          <w:lang w:val="en-US"/>
        </w:rPr>
        <w:t xml:space="preserve"> knowledge sharing among individuals</w:t>
      </w:r>
      <w:r w:rsidR="004E6C3A">
        <w:rPr>
          <w:rFonts w:ascii="Times New Roman" w:hAnsi="Times New Roman" w:cs="Times New Roman"/>
          <w:sz w:val="24"/>
          <w:szCs w:val="24"/>
          <w:lang w:val="en-US"/>
        </w:rPr>
        <w:t>. This is</w:t>
      </w:r>
      <w:r w:rsidR="00A34261" w:rsidRPr="002B3E1D">
        <w:rPr>
          <w:rFonts w:ascii="Times New Roman" w:hAnsi="Times New Roman" w:cs="Times New Roman"/>
          <w:sz w:val="24"/>
          <w:szCs w:val="24"/>
          <w:lang w:val="en-US"/>
        </w:rPr>
        <w:t xml:space="preserve"> essential under </w:t>
      </w:r>
      <w:r w:rsidR="004E6C3A">
        <w:rPr>
          <w:rFonts w:ascii="Times New Roman" w:hAnsi="Times New Roman" w:cs="Times New Roman"/>
          <w:sz w:val="24"/>
          <w:szCs w:val="24"/>
          <w:lang w:val="en-US"/>
        </w:rPr>
        <w:t>changing</w:t>
      </w:r>
      <w:r w:rsidR="00A34261" w:rsidRPr="002B3E1D">
        <w:rPr>
          <w:rFonts w:ascii="Times New Roman" w:hAnsi="Times New Roman" w:cs="Times New Roman"/>
          <w:sz w:val="24"/>
          <w:szCs w:val="24"/>
          <w:lang w:val="en-US"/>
        </w:rPr>
        <w:t xml:space="preserve"> conditions and</w:t>
      </w:r>
      <w:r w:rsidR="009F07F7">
        <w:rPr>
          <w:rFonts w:ascii="Times New Roman" w:hAnsi="Times New Roman" w:cs="Times New Roman"/>
          <w:sz w:val="24"/>
          <w:szCs w:val="24"/>
          <w:lang w:val="en-US"/>
        </w:rPr>
        <w:t>,</w:t>
      </w:r>
      <w:r w:rsidR="00A34261" w:rsidRPr="002B3E1D">
        <w:rPr>
          <w:rFonts w:ascii="Times New Roman" w:hAnsi="Times New Roman" w:cs="Times New Roman"/>
          <w:sz w:val="24"/>
          <w:szCs w:val="24"/>
          <w:lang w:val="en-US"/>
        </w:rPr>
        <w:t xml:space="preserve"> so </w:t>
      </w:r>
      <w:r w:rsidR="004E6C3A">
        <w:rPr>
          <w:rFonts w:ascii="Times New Roman" w:hAnsi="Times New Roman" w:cs="Times New Roman"/>
          <w:sz w:val="24"/>
          <w:szCs w:val="24"/>
          <w:lang w:val="en-US"/>
        </w:rPr>
        <w:t xml:space="preserve">too </w:t>
      </w:r>
      <w:r w:rsidR="00A34261" w:rsidRPr="002B3E1D">
        <w:rPr>
          <w:rFonts w:ascii="Times New Roman" w:hAnsi="Times New Roman" w:cs="Times New Roman"/>
          <w:sz w:val="24"/>
          <w:szCs w:val="24"/>
          <w:lang w:val="en-US"/>
        </w:rPr>
        <w:t xml:space="preserve">the </w:t>
      </w:r>
      <w:r w:rsidR="004E6C3A">
        <w:rPr>
          <w:rFonts w:ascii="Times New Roman" w:hAnsi="Times New Roman" w:cs="Times New Roman"/>
          <w:sz w:val="24"/>
          <w:szCs w:val="24"/>
          <w:lang w:val="en-US"/>
        </w:rPr>
        <w:t xml:space="preserve">varying </w:t>
      </w:r>
      <w:r w:rsidR="00A34261" w:rsidRPr="002B3E1D">
        <w:rPr>
          <w:rFonts w:ascii="Times New Roman" w:hAnsi="Times New Roman" w:cs="Times New Roman"/>
          <w:sz w:val="24"/>
          <w:szCs w:val="24"/>
          <w:lang w:val="en-US"/>
        </w:rPr>
        <w:t>context</w:t>
      </w:r>
      <w:r w:rsidR="004E6C3A">
        <w:rPr>
          <w:rFonts w:ascii="Times New Roman" w:hAnsi="Times New Roman" w:cs="Times New Roman"/>
          <w:sz w:val="24"/>
          <w:szCs w:val="24"/>
          <w:lang w:val="en-US"/>
        </w:rPr>
        <w:t>s</w:t>
      </w:r>
      <w:r w:rsidR="00A34261" w:rsidRPr="002B3E1D">
        <w:rPr>
          <w:rFonts w:ascii="Times New Roman" w:hAnsi="Times New Roman" w:cs="Times New Roman"/>
          <w:sz w:val="24"/>
          <w:szCs w:val="24"/>
          <w:lang w:val="en-US"/>
        </w:rPr>
        <w:t xml:space="preserve"> in which such activity takes place.</w:t>
      </w:r>
      <w:r w:rsidR="005360C1" w:rsidRPr="002B3E1D">
        <w:rPr>
          <w:rFonts w:ascii="Times New Roman" w:hAnsi="Times New Roman" w:cs="Times New Roman"/>
          <w:sz w:val="24"/>
          <w:szCs w:val="24"/>
          <w:lang w:val="en-US"/>
        </w:rPr>
        <w:t xml:space="preserve"> This</w:t>
      </w:r>
      <w:r w:rsidR="009F07F7">
        <w:rPr>
          <w:rFonts w:ascii="Times New Roman" w:hAnsi="Times New Roman" w:cs="Times New Roman"/>
          <w:sz w:val="24"/>
          <w:szCs w:val="24"/>
          <w:lang w:val="en-US"/>
        </w:rPr>
        <w:t xml:space="preserve"> is</w:t>
      </w:r>
      <w:r w:rsidR="005360C1" w:rsidRPr="002B3E1D">
        <w:rPr>
          <w:rFonts w:ascii="Times New Roman" w:hAnsi="Times New Roman" w:cs="Times New Roman"/>
          <w:sz w:val="24"/>
          <w:szCs w:val="24"/>
          <w:lang w:val="en-US"/>
        </w:rPr>
        <w:t xml:space="preserve"> </w:t>
      </w:r>
      <w:r w:rsidR="009F07F7">
        <w:rPr>
          <w:rFonts w:ascii="Times New Roman" w:hAnsi="Times New Roman" w:cs="Times New Roman"/>
          <w:sz w:val="24"/>
          <w:szCs w:val="24"/>
          <w:lang w:val="en-US"/>
        </w:rPr>
        <w:t xml:space="preserve">therefore </w:t>
      </w:r>
      <w:r w:rsidR="005360C1" w:rsidRPr="002B3E1D">
        <w:rPr>
          <w:rFonts w:ascii="Times New Roman" w:hAnsi="Times New Roman" w:cs="Times New Roman"/>
          <w:sz w:val="24"/>
          <w:szCs w:val="24"/>
          <w:lang w:val="en-US"/>
        </w:rPr>
        <w:t>the aim of this study.</w:t>
      </w:r>
      <w:r w:rsidR="001F7882">
        <w:rPr>
          <w:rFonts w:ascii="Times New Roman" w:hAnsi="Times New Roman" w:cs="Times New Roman"/>
          <w:sz w:val="24"/>
          <w:szCs w:val="24"/>
          <w:lang w:val="en-US"/>
        </w:rPr>
        <w:t xml:space="preserve"> </w:t>
      </w:r>
      <w:r w:rsidR="005360C1" w:rsidRPr="002B3E1D">
        <w:rPr>
          <w:rFonts w:ascii="Times New Roman" w:hAnsi="Times New Roman" w:cs="Times New Roman"/>
          <w:sz w:val="24"/>
          <w:szCs w:val="24"/>
          <w:lang w:val="en-US"/>
        </w:rPr>
        <w:t xml:space="preserve">We </w:t>
      </w:r>
      <w:r w:rsidR="00E87B62">
        <w:rPr>
          <w:rFonts w:ascii="Times New Roman" w:hAnsi="Times New Roman" w:cs="Times New Roman"/>
          <w:sz w:val="24"/>
          <w:szCs w:val="24"/>
          <w:lang w:val="en-US"/>
        </w:rPr>
        <w:t xml:space="preserve">develop </w:t>
      </w:r>
      <w:r w:rsidR="005360C1" w:rsidRPr="002B3E1D">
        <w:rPr>
          <w:rFonts w:ascii="Times New Roman" w:hAnsi="Times New Roman" w:cs="Times New Roman"/>
          <w:sz w:val="24"/>
          <w:szCs w:val="24"/>
          <w:lang w:val="en-US"/>
        </w:rPr>
        <w:t>a theoretical and conceptual framework predicting how circumstances for knowledge exchange in an acquiring firm affect OA in the post-</w:t>
      </w:r>
      <w:r w:rsidR="00562D43" w:rsidRPr="002B3E1D">
        <w:rPr>
          <w:rFonts w:ascii="Times New Roman" w:hAnsi="Times New Roman" w:cs="Times New Roman"/>
          <w:sz w:val="24"/>
          <w:szCs w:val="24"/>
          <w:lang w:val="en-US"/>
        </w:rPr>
        <w:t>M&amp;A</w:t>
      </w:r>
      <w:r w:rsidR="005360C1" w:rsidRPr="002B3E1D">
        <w:rPr>
          <w:rFonts w:ascii="Times New Roman" w:hAnsi="Times New Roman" w:cs="Times New Roman"/>
          <w:sz w:val="24"/>
          <w:szCs w:val="24"/>
          <w:lang w:val="en-US"/>
        </w:rPr>
        <w:t xml:space="preserve"> stage. </w:t>
      </w:r>
      <w:r w:rsidR="00A34261" w:rsidRPr="002B3E1D">
        <w:rPr>
          <w:rFonts w:ascii="Times New Roman" w:hAnsi="Times New Roman" w:cs="Times New Roman"/>
          <w:sz w:val="24"/>
          <w:szCs w:val="24"/>
          <w:lang w:val="en-US"/>
        </w:rPr>
        <w:t xml:space="preserve">We posit that OA is a collective phenomenon that emerges from knowledge transfer in </w:t>
      </w:r>
      <w:r w:rsidR="00562D43" w:rsidRPr="002B3E1D">
        <w:rPr>
          <w:rFonts w:ascii="Times New Roman" w:hAnsi="Times New Roman" w:cs="Times New Roman"/>
          <w:sz w:val="24"/>
          <w:szCs w:val="24"/>
          <w:lang w:val="en-US"/>
        </w:rPr>
        <w:t>M&amp;A</w:t>
      </w:r>
      <w:r w:rsidR="00A34261" w:rsidRPr="002B3E1D">
        <w:rPr>
          <w:rFonts w:ascii="Times New Roman" w:hAnsi="Times New Roman" w:cs="Times New Roman"/>
          <w:sz w:val="24"/>
          <w:szCs w:val="24"/>
          <w:lang w:val="en-US"/>
        </w:rPr>
        <w:t>s. Drawing on the micro-foundations perspective, individuals are enmeshed in interactions within an organization (Felin et al., 2012) orchestrated by structure (Hodgson, 2012) and regulated by behavio</w:t>
      </w:r>
      <w:r w:rsidR="004E6C3A">
        <w:rPr>
          <w:rFonts w:ascii="Times New Roman" w:hAnsi="Times New Roman" w:cs="Times New Roman"/>
          <w:sz w:val="24"/>
          <w:szCs w:val="24"/>
          <w:lang w:val="en-US"/>
        </w:rPr>
        <w:t>u</w:t>
      </w:r>
      <w:r w:rsidR="00A34261" w:rsidRPr="002B3E1D">
        <w:rPr>
          <w:rFonts w:ascii="Times New Roman" w:hAnsi="Times New Roman" w:cs="Times New Roman"/>
          <w:sz w:val="24"/>
          <w:szCs w:val="24"/>
          <w:lang w:val="en-US"/>
        </w:rPr>
        <w:t>ral context (Coleman, 1990) that instigate</w:t>
      </w:r>
      <w:r w:rsidR="004E6C3A">
        <w:rPr>
          <w:rFonts w:ascii="Times New Roman" w:hAnsi="Times New Roman" w:cs="Times New Roman"/>
          <w:sz w:val="24"/>
          <w:szCs w:val="24"/>
          <w:lang w:val="en-US"/>
        </w:rPr>
        <w:t>s</w:t>
      </w:r>
      <w:r w:rsidR="00A34261" w:rsidRPr="002B3E1D">
        <w:rPr>
          <w:rFonts w:ascii="Times New Roman" w:hAnsi="Times New Roman" w:cs="Times New Roman"/>
          <w:sz w:val="24"/>
          <w:szCs w:val="24"/>
          <w:lang w:val="en-US"/>
        </w:rPr>
        <w:t xml:space="preserve"> those interactions required to compose collective phenomena such as OA (Felin and Foss, 2005, 2009; Barney and Felin, 2013). Without knowledge sharing routines among individuals, knowledge assets resident in employees remain inert. We further hypothesize that </w:t>
      </w:r>
      <w:r w:rsidR="00A34261" w:rsidRPr="002B3E1D">
        <w:rPr>
          <w:rFonts w:ascii="Times New Roman" w:hAnsi="Times New Roman" w:cs="Times New Roman"/>
          <w:sz w:val="24"/>
          <w:szCs w:val="24"/>
          <w:lang w:val="en-US"/>
        </w:rPr>
        <w:lastRenderedPageBreak/>
        <w:t xml:space="preserve">OA relies on </w:t>
      </w:r>
      <w:r w:rsidR="00E87B62">
        <w:rPr>
          <w:rFonts w:ascii="Times New Roman" w:hAnsi="Times New Roman" w:cs="Times New Roman"/>
          <w:sz w:val="24"/>
          <w:szCs w:val="24"/>
          <w:lang w:val="en-US"/>
        </w:rPr>
        <w:t>using</w:t>
      </w:r>
      <w:r w:rsidR="00E87B62" w:rsidRPr="002B3E1D">
        <w:rPr>
          <w:rFonts w:ascii="Times New Roman" w:hAnsi="Times New Roman" w:cs="Times New Roman"/>
          <w:sz w:val="24"/>
          <w:szCs w:val="24"/>
          <w:lang w:val="en-US"/>
        </w:rPr>
        <w:t xml:space="preserve"> </w:t>
      </w:r>
      <w:r w:rsidR="00A34261" w:rsidRPr="002B3E1D">
        <w:rPr>
          <w:rFonts w:ascii="Times New Roman" w:hAnsi="Times New Roman" w:cs="Times New Roman"/>
          <w:sz w:val="24"/>
          <w:szCs w:val="24"/>
          <w:lang w:val="en-US"/>
        </w:rPr>
        <w:t xml:space="preserve">capabilities drawn and shared among merging firms. </w:t>
      </w:r>
      <w:r w:rsidR="00D252BF" w:rsidRPr="002B3E1D">
        <w:rPr>
          <w:rFonts w:ascii="Times New Roman" w:hAnsi="Times New Roman" w:cs="Times New Roman"/>
          <w:sz w:val="24"/>
          <w:szCs w:val="24"/>
          <w:lang w:val="en-US"/>
        </w:rPr>
        <w:t>Specifically</w:t>
      </w:r>
      <w:r w:rsidR="00A34261" w:rsidRPr="002B3E1D">
        <w:rPr>
          <w:rFonts w:ascii="Times New Roman" w:hAnsi="Times New Roman" w:cs="Times New Roman"/>
          <w:sz w:val="24"/>
          <w:szCs w:val="24"/>
          <w:lang w:val="en-US"/>
        </w:rPr>
        <w:t xml:space="preserve">, we hypothesize that </w:t>
      </w:r>
      <w:r w:rsidR="00562D43" w:rsidRPr="002B3E1D">
        <w:rPr>
          <w:rFonts w:ascii="Times New Roman" w:hAnsi="Times New Roman" w:cs="Times New Roman"/>
          <w:sz w:val="24"/>
          <w:szCs w:val="24"/>
          <w:lang w:val="en-US"/>
        </w:rPr>
        <w:t>M&amp;A</w:t>
      </w:r>
      <w:r w:rsidR="00A34261" w:rsidRPr="002B3E1D">
        <w:rPr>
          <w:rFonts w:ascii="Times New Roman" w:hAnsi="Times New Roman" w:cs="Times New Roman"/>
          <w:sz w:val="24"/>
          <w:szCs w:val="24"/>
          <w:lang w:val="en-US"/>
        </w:rPr>
        <w:t xml:space="preserve"> integration and </w:t>
      </w:r>
      <w:r w:rsidR="005360C1" w:rsidRPr="002B3E1D">
        <w:rPr>
          <w:rFonts w:ascii="Times New Roman" w:hAnsi="Times New Roman" w:cs="Times New Roman"/>
          <w:sz w:val="24"/>
          <w:szCs w:val="24"/>
          <w:lang w:val="en-US"/>
        </w:rPr>
        <w:t>circumstances</w:t>
      </w:r>
      <w:r w:rsidR="00A34261" w:rsidRPr="002B3E1D">
        <w:rPr>
          <w:rFonts w:ascii="Times New Roman" w:hAnsi="Times New Roman" w:cs="Times New Roman"/>
          <w:sz w:val="24"/>
          <w:szCs w:val="24"/>
          <w:lang w:val="en-US"/>
        </w:rPr>
        <w:t xml:space="preserve"> through which individuals may conduct knowledge work, conceptualized as the firm’s corporate entrepreneurship (Burgers and Covin, 2016; Kuratko et al., 2015), regulate the effects of individual knowledge transfer and capability sharing and use on OA.</w:t>
      </w:r>
    </w:p>
    <w:p w14:paraId="55FFB5F0" w14:textId="0E9F65B1" w:rsidR="001219C8" w:rsidRDefault="00A34261" w:rsidP="00A34261">
      <w:pPr>
        <w:spacing w:after="0" w:line="480" w:lineRule="auto"/>
        <w:ind w:firstLine="720"/>
        <w:jc w:val="both"/>
        <w:rPr>
          <w:rFonts w:ascii="Times New Roman" w:hAnsi="Times New Roman" w:cs="Times New Roman"/>
          <w:sz w:val="24"/>
          <w:szCs w:val="24"/>
          <w:shd w:val="clear" w:color="auto" w:fill="FFFFFF"/>
          <w:lang w:val="en-US"/>
        </w:rPr>
      </w:pPr>
      <w:r w:rsidRPr="002B3E1D">
        <w:rPr>
          <w:rFonts w:ascii="Times New Roman" w:hAnsi="Times New Roman" w:cs="Times New Roman"/>
          <w:sz w:val="24"/>
          <w:szCs w:val="24"/>
          <w:lang w:val="en-US"/>
        </w:rPr>
        <w:t xml:space="preserve">Through a dataset of 143 responses from a sample of 593 UK firms having engaged in cross-border </w:t>
      </w:r>
      <w:r w:rsidR="00562D43" w:rsidRPr="002B3E1D">
        <w:rPr>
          <w:rFonts w:ascii="Times New Roman" w:hAnsi="Times New Roman" w:cs="Times New Roman"/>
          <w:sz w:val="24"/>
          <w:szCs w:val="24"/>
          <w:lang w:val="en-US"/>
        </w:rPr>
        <w:t>M&amp;A</w:t>
      </w:r>
      <w:r w:rsidRPr="002B3E1D">
        <w:rPr>
          <w:rFonts w:ascii="Times New Roman" w:hAnsi="Times New Roman" w:cs="Times New Roman"/>
          <w:sz w:val="24"/>
          <w:szCs w:val="24"/>
          <w:lang w:val="en-US"/>
        </w:rPr>
        <w:t xml:space="preserve">s, </w:t>
      </w:r>
      <w:r w:rsidR="005360C1" w:rsidRPr="002B3E1D">
        <w:rPr>
          <w:rFonts w:ascii="Times New Roman" w:hAnsi="Times New Roman" w:cs="Times New Roman"/>
          <w:sz w:val="24"/>
          <w:szCs w:val="24"/>
          <w:lang w:val="en-US"/>
        </w:rPr>
        <w:t xml:space="preserve">the </w:t>
      </w:r>
      <w:r w:rsidRPr="002B3E1D">
        <w:rPr>
          <w:rFonts w:ascii="Times New Roman" w:hAnsi="Times New Roman" w:cs="Times New Roman"/>
          <w:sz w:val="24"/>
          <w:szCs w:val="24"/>
          <w:lang w:val="en-US"/>
        </w:rPr>
        <w:t xml:space="preserve">study contributes new insights to micro-foundations of </w:t>
      </w:r>
      <w:r w:rsidR="00E87B62">
        <w:rPr>
          <w:rFonts w:ascii="Times New Roman" w:hAnsi="Times New Roman" w:cs="Times New Roman"/>
          <w:sz w:val="24"/>
          <w:szCs w:val="24"/>
          <w:lang w:val="en-US"/>
        </w:rPr>
        <w:t>OA</w:t>
      </w:r>
      <w:r w:rsidRPr="002B3E1D">
        <w:rPr>
          <w:rFonts w:ascii="Times New Roman" w:hAnsi="Times New Roman" w:cs="Times New Roman"/>
          <w:sz w:val="24"/>
          <w:szCs w:val="24"/>
          <w:lang w:val="en-US"/>
        </w:rPr>
        <w:t xml:space="preserve">. </w:t>
      </w:r>
      <w:r w:rsidR="00E87B62">
        <w:rPr>
          <w:rFonts w:ascii="Times New Roman" w:hAnsi="Times New Roman" w:cs="Times New Roman"/>
          <w:sz w:val="24"/>
          <w:szCs w:val="24"/>
          <w:lang w:val="en-US"/>
        </w:rPr>
        <w:t>First, t</w:t>
      </w:r>
      <w:r w:rsidRPr="002B3E1D">
        <w:rPr>
          <w:rFonts w:ascii="Times New Roman" w:hAnsi="Times New Roman" w:cs="Times New Roman"/>
          <w:sz w:val="24"/>
          <w:szCs w:val="24"/>
          <w:lang w:val="en-US"/>
        </w:rPr>
        <w:t>he micro-foundations view predicts that the drivers of a desired organizational outcome occur at levels lower than the phenomenon itself (Felin et al., 2012; Foss and Pedersen, 2016)</w:t>
      </w:r>
      <w:r w:rsidR="00D252BF" w:rsidRPr="002B3E1D">
        <w:rPr>
          <w:rFonts w:ascii="Times New Roman" w:hAnsi="Times New Roman" w:cs="Times New Roman"/>
          <w:sz w:val="24"/>
          <w:szCs w:val="24"/>
          <w:lang w:val="en-US"/>
        </w:rPr>
        <w:t>,</w:t>
      </w:r>
      <w:r w:rsidRPr="002B3E1D">
        <w:rPr>
          <w:rFonts w:ascii="Times New Roman" w:hAnsi="Times New Roman" w:cs="Times New Roman"/>
          <w:sz w:val="24"/>
          <w:szCs w:val="24"/>
          <w:lang w:val="en-US"/>
        </w:rPr>
        <w:t xml:space="preserve"> but, crucially, are regulated by the </w:t>
      </w:r>
      <w:r w:rsidR="005360C1" w:rsidRPr="002B3E1D">
        <w:rPr>
          <w:rFonts w:ascii="Times New Roman" w:hAnsi="Times New Roman" w:cs="Times New Roman"/>
          <w:sz w:val="24"/>
          <w:szCs w:val="24"/>
          <w:lang w:val="en-US"/>
        </w:rPr>
        <w:t xml:space="preserve">organizational </w:t>
      </w:r>
      <w:r w:rsidRPr="002B3E1D">
        <w:rPr>
          <w:rFonts w:ascii="Times New Roman" w:hAnsi="Times New Roman" w:cs="Times New Roman"/>
          <w:sz w:val="24"/>
          <w:szCs w:val="24"/>
          <w:lang w:val="en-US"/>
        </w:rPr>
        <w:t>context in which behavio</w:t>
      </w:r>
      <w:r w:rsidR="00BB517D">
        <w:rPr>
          <w:rFonts w:ascii="Times New Roman" w:hAnsi="Times New Roman" w:cs="Times New Roman"/>
          <w:sz w:val="24"/>
          <w:szCs w:val="24"/>
          <w:lang w:val="en-US"/>
        </w:rPr>
        <w:t>u</w:t>
      </w:r>
      <w:r w:rsidRPr="002B3E1D">
        <w:rPr>
          <w:rFonts w:ascii="Times New Roman" w:hAnsi="Times New Roman" w:cs="Times New Roman"/>
          <w:sz w:val="24"/>
          <w:szCs w:val="24"/>
          <w:lang w:val="en-US"/>
        </w:rPr>
        <w:t xml:space="preserve">r takes place (Coleman, 1990). </w:t>
      </w:r>
      <w:r w:rsidR="00D92264">
        <w:rPr>
          <w:rFonts w:ascii="Times New Roman" w:hAnsi="Times New Roman" w:cs="Times New Roman"/>
          <w:sz w:val="24"/>
          <w:szCs w:val="24"/>
          <w:lang w:val="en-US"/>
        </w:rPr>
        <w:t xml:space="preserve">To the best of our knowledge, our </w:t>
      </w:r>
      <w:r w:rsidR="00D92264" w:rsidRPr="00D92264">
        <w:rPr>
          <w:rFonts w:ascii="Times New Roman" w:hAnsi="Times New Roman" w:cs="Times New Roman"/>
          <w:sz w:val="24"/>
          <w:szCs w:val="24"/>
          <w:lang w:val="en-US"/>
        </w:rPr>
        <w:t xml:space="preserve">study </w:t>
      </w:r>
      <w:r w:rsidR="00D92264">
        <w:rPr>
          <w:rFonts w:ascii="Times New Roman" w:hAnsi="Times New Roman" w:cs="Times New Roman"/>
          <w:sz w:val="24"/>
          <w:szCs w:val="24"/>
          <w:lang w:val="en-US"/>
        </w:rPr>
        <w:t xml:space="preserve">is the </w:t>
      </w:r>
      <w:r w:rsidR="00D92264" w:rsidRPr="00D92264">
        <w:rPr>
          <w:rFonts w:ascii="Times New Roman" w:hAnsi="Times New Roman" w:cs="Times New Roman"/>
          <w:sz w:val="24"/>
          <w:szCs w:val="24"/>
          <w:lang w:val="en-US"/>
        </w:rPr>
        <w:t xml:space="preserve">first one specifically </w:t>
      </w:r>
      <w:r w:rsidR="00872D15">
        <w:rPr>
          <w:rFonts w:ascii="Times New Roman" w:hAnsi="Times New Roman" w:cs="Times New Roman"/>
          <w:sz w:val="24"/>
          <w:szCs w:val="24"/>
          <w:lang w:val="en-US"/>
        </w:rPr>
        <w:t xml:space="preserve">to </w:t>
      </w:r>
      <w:r w:rsidR="00D92264" w:rsidRPr="00D92264">
        <w:rPr>
          <w:rFonts w:ascii="Times New Roman" w:hAnsi="Times New Roman" w:cs="Times New Roman"/>
          <w:sz w:val="24"/>
          <w:szCs w:val="24"/>
          <w:lang w:val="en-US"/>
        </w:rPr>
        <w:t xml:space="preserve">theorize and empirically analyze knowledge sharing among individuals and sharing and use of capabilities between acquirer and acquired firms in </w:t>
      </w:r>
      <w:r w:rsidR="00822C1A">
        <w:rPr>
          <w:rFonts w:ascii="Times New Roman" w:hAnsi="Times New Roman" w:cs="Times New Roman"/>
          <w:sz w:val="24"/>
          <w:szCs w:val="24"/>
          <w:lang w:val="en-US"/>
        </w:rPr>
        <w:t xml:space="preserve">the context of </w:t>
      </w:r>
      <w:r w:rsidR="00D92264" w:rsidRPr="00D92264">
        <w:rPr>
          <w:rFonts w:ascii="Times New Roman" w:hAnsi="Times New Roman" w:cs="Times New Roman"/>
          <w:sz w:val="24"/>
          <w:szCs w:val="24"/>
          <w:lang w:val="en-US"/>
        </w:rPr>
        <w:t xml:space="preserve"> OA</w:t>
      </w:r>
      <w:r w:rsidRPr="002B3E1D">
        <w:rPr>
          <w:rFonts w:ascii="Times New Roman" w:hAnsi="Times New Roman" w:cs="Times New Roman"/>
          <w:sz w:val="24"/>
          <w:szCs w:val="24"/>
          <w:lang w:val="en-US"/>
        </w:rPr>
        <w:t xml:space="preserve">.  </w:t>
      </w:r>
      <w:r w:rsidR="00E87B62">
        <w:rPr>
          <w:rFonts w:ascii="Times New Roman" w:hAnsi="Times New Roman" w:cs="Times New Roman"/>
          <w:sz w:val="24"/>
          <w:szCs w:val="24"/>
          <w:lang w:val="en-US"/>
        </w:rPr>
        <w:t>Second</w:t>
      </w:r>
      <w:r w:rsidRPr="002B3E1D">
        <w:rPr>
          <w:rFonts w:ascii="Times New Roman" w:hAnsi="Times New Roman" w:cs="Times New Roman"/>
          <w:sz w:val="24"/>
          <w:szCs w:val="24"/>
          <w:lang w:val="en-US"/>
        </w:rPr>
        <w:t>, we demonstrate the sensitivity of the relationships between micro-foundational conditions and OA to organizational-level contingencies</w:t>
      </w:r>
      <w:r w:rsidR="00494CE1">
        <w:rPr>
          <w:rFonts w:ascii="Times New Roman" w:hAnsi="Times New Roman" w:cs="Times New Roman"/>
          <w:sz w:val="24"/>
          <w:szCs w:val="24"/>
          <w:lang w:val="en-US"/>
        </w:rPr>
        <w:t>, yielding two new boundary conditions</w:t>
      </w:r>
      <w:r w:rsidRPr="002B3E1D">
        <w:rPr>
          <w:rFonts w:ascii="Times New Roman" w:hAnsi="Times New Roman" w:cs="Times New Roman"/>
          <w:sz w:val="24"/>
          <w:szCs w:val="24"/>
          <w:lang w:val="en-US"/>
        </w:rPr>
        <w:t xml:space="preserve">. </w:t>
      </w:r>
      <w:r w:rsidR="005360C1" w:rsidRPr="002B3E1D">
        <w:rPr>
          <w:rFonts w:ascii="Times New Roman" w:hAnsi="Times New Roman" w:cs="Times New Roman"/>
          <w:sz w:val="24"/>
          <w:szCs w:val="24"/>
          <w:lang w:val="en-US"/>
        </w:rPr>
        <w:t>T</w:t>
      </w:r>
      <w:r w:rsidRPr="002B3E1D">
        <w:rPr>
          <w:rFonts w:ascii="Times New Roman" w:hAnsi="Times New Roman" w:cs="Times New Roman"/>
          <w:sz w:val="24"/>
          <w:szCs w:val="24"/>
          <w:lang w:val="en-US"/>
        </w:rPr>
        <w:t>he interactive effects among knowledge transfer activities</w:t>
      </w:r>
      <w:r w:rsidR="00450BAE">
        <w:rPr>
          <w:rFonts w:ascii="Times New Roman" w:hAnsi="Times New Roman" w:cs="Times New Roman"/>
          <w:sz w:val="24"/>
          <w:szCs w:val="24"/>
          <w:lang w:val="en-US"/>
        </w:rPr>
        <w:t>,</w:t>
      </w:r>
      <w:r w:rsidRPr="002B3E1D">
        <w:rPr>
          <w:rFonts w:ascii="Times New Roman" w:hAnsi="Times New Roman" w:cs="Times New Roman"/>
          <w:sz w:val="24"/>
          <w:szCs w:val="24"/>
          <w:lang w:val="en-US"/>
        </w:rPr>
        <w:t xml:space="preserve"> driven by individuals and the degree of corporate entrepreneurship and integration of the merging entities</w:t>
      </w:r>
      <w:r w:rsidR="00450BAE">
        <w:rPr>
          <w:rFonts w:ascii="Times New Roman" w:hAnsi="Times New Roman" w:cs="Times New Roman"/>
          <w:sz w:val="24"/>
          <w:szCs w:val="24"/>
          <w:lang w:val="en-US"/>
        </w:rPr>
        <w:t>,</w:t>
      </w:r>
      <w:r w:rsidRPr="002B3E1D">
        <w:rPr>
          <w:rFonts w:ascii="Times New Roman" w:hAnsi="Times New Roman" w:cs="Times New Roman"/>
          <w:sz w:val="24"/>
          <w:szCs w:val="24"/>
          <w:lang w:val="en-US"/>
        </w:rPr>
        <w:t xml:space="preserve"> shed light on new conditions that regulate micro-foundational activities to compose OA as a collective phenomenon. </w:t>
      </w:r>
      <w:r w:rsidR="00494CE1">
        <w:rPr>
          <w:rFonts w:ascii="Times New Roman" w:hAnsi="Times New Roman" w:cs="Times New Roman"/>
          <w:sz w:val="24"/>
          <w:szCs w:val="24"/>
          <w:lang w:val="en-US"/>
        </w:rPr>
        <w:t>M</w:t>
      </w:r>
      <w:r w:rsidR="00494CE1" w:rsidRPr="002B3E1D">
        <w:rPr>
          <w:rFonts w:ascii="Times New Roman" w:hAnsi="Times New Roman" w:cs="Times New Roman"/>
          <w:sz w:val="24"/>
          <w:szCs w:val="24"/>
          <w:lang w:val="en-US"/>
        </w:rPr>
        <w:t xml:space="preserve">icro-foundational activities alone are not sufficient in themselves to compose OA. </w:t>
      </w:r>
      <w:r w:rsidR="00E87B62">
        <w:rPr>
          <w:rFonts w:ascii="Times New Roman" w:hAnsi="Times New Roman" w:cs="Times New Roman"/>
          <w:sz w:val="24"/>
          <w:szCs w:val="24"/>
          <w:lang w:val="en-US"/>
        </w:rPr>
        <w:t>Third</w:t>
      </w:r>
      <w:r w:rsidRPr="002B3E1D">
        <w:rPr>
          <w:rFonts w:ascii="Times New Roman" w:hAnsi="Times New Roman" w:cs="Times New Roman"/>
          <w:sz w:val="24"/>
          <w:szCs w:val="24"/>
          <w:lang w:val="en-US"/>
        </w:rPr>
        <w:t>, we provid</w:t>
      </w:r>
      <w:r w:rsidR="00494CE1">
        <w:rPr>
          <w:rFonts w:ascii="Times New Roman" w:hAnsi="Times New Roman" w:cs="Times New Roman"/>
          <w:sz w:val="24"/>
          <w:szCs w:val="24"/>
          <w:lang w:val="en-US"/>
        </w:rPr>
        <w:t>e managers with</w:t>
      </w:r>
      <w:r w:rsidRPr="002B3E1D">
        <w:rPr>
          <w:rFonts w:ascii="Times New Roman" w:hAnsi="Times New Roman" w:cs="Times New Roman"/>
          <w:sz w:val="24"/>
          <w:szCs w:val="24"/>
          <w:lang w:val="en-US"/>
        </w:rPr>
        <w:t xml:space="preserve"> </w:t>
      </w:r>
      <w:r w:rsidR="00494CE1">
        <w:rPr>
          <w:rFonts w:ascii="Times New Roman" w:hAnsi="Times New Roman" w:cs="Times New Roman"/>
          <w:sz w:val="24"/>
          <w:szCs w:val="24"/>
          <w:lang w:val="en-US"/>
        </w:rPr>
        <w:t xml:space="preserve">new </w:t>
      </w:r>
      <w:r w:rsidRPr="002B3E1D">
        <w:rPr>
          <w:rFonts w:ascii="Times New Roman" w:hAnsi="Times New Roman" w:cs="Times New Roman"/>
          <w:sz w:val="24"/>
          <w:szCs w:val="24"/>
          <w:lang w:val="en-US"/>
        </w:rPr>
        <w:t xml:space="preserve">insights on </w:t>
      </w:r>
      <w:r w:rsidR="00494CE1">
        <w:rPr>
          <w:rFonts w:ascii="Times New Roman" w:hAnsi="Times New Roman" w:cs="Times New Roman"/>
          <w:sz w:val="24"/>
          <w:szCs w:val="24"/>
          <w:lang w:val="en-US"/>
        </w:rPr>
        <w:t>mechanisms that</w:t>
      </w:r>
      <w:r w:rsidRPr="002B3E1D">
        <w:rPr>
          <w:rFonts w:ascii="Times New Roman" w:hAnsi="Times New Roman" w:cs="Times New Roman"/>
          <w:sz w:val="24"/>
          <w:szCs w:val="24"/>
          <w:lang w:val="en-US"/>
        </w:rPr>
        <w:t xml:space="preserve"> support </w:t>
      </w:r>
      <w:r w:rsidR="00F010BD">
        <w:rPr>
          <w:rFonts w:ascii="Times New Roman" w:hAnsi="Times New Roman" w:cs="Times New Roman"/>
          <w:sz w:val="24"/>
          <w:szCs w:val="24"/>
          <w:lang w:val="en-US"/>
        </w:rPr>
        <w:t>initiatives</w:t>
      </w:r>
      <w:r w:rsidR="00F010BD" w:rsidRPr="002B3E1D">
        <w:rPr>
          <w:rFonts w:ascii="Times New Roman" w:hAnsi="Times New Roman" w:cs="Times New Roman"/>
          <w:sz w:val="24"/>
          <w:szCs w:val="24"/>
          <w:lang w:val="en-US"/>
        </w:rPr>
        <w:t xml:space="preserve"> </w:t>
      </w:r>
      <w:r w:rsidR="00BB517D">
        <w:rPr>
          <w:rFonts w:ascii="Times New Roman" w:hAnsi="Times New Roman" w:cs="Times New Roman"/>
          <w:sz w:val="24"/>
          <w:szCs w:val="24"/>
          <w:lang w:val="en-US"/>
        </w:rPr>
        <w:t>aimed at</w:t>
      </w:r>
      <w:r w:rsidRPr="002B3E1D">
        <w:rPr>
          <w:rFonts w:ascii="Times New Roman" w:hAnsi="Times New Roman" w:cs="Times New Roman"/>
          <w:sz w:val="24"/>
          <w:szCs w:val="24"/>
          <w:lang w:val="en-US"/>
        </w:rPr>
        <w:t xml:space="preserve"> generat</w:t>
      </w:r>
      <w:r w:rsidR="00BB517D">
        <w:rPr>
          <w:rFonts w:ascii="Times New Roman" w:hAnsi="Times New Roman" w:cs="Times New Roman"/>
          <w:sz w:val="24"/>
          <w:szCs w:val="24"/>
          <w:lang w:val="en-US"/>
        </w:rPr>
        <w:t>ing</w:t>
      </w:r>
      <w:r w:rsidR="00494CE1">
        <w:rPr>
          <w:rFonts w:ascii="Times New Roman" w:hAnsi="Times New Roman" w:cs="Times New Roman"/>
          <w:sz w:val="24"/>
          <w:szCs w:val="24"/>
          <w:lang w:val="en-US"/>
        </w:rPr>
        <w:t xml:space="preserve"> OA</w:t>
      </w:r>
      <w:r w:rsidR="00F010BD">
        <w:rPr>
          <w:rFonts w:ascii="Times New Roman" w:hAnsi="Times New Roman" w:cs="Times New Roman"/>
          <w:sz w:val="24"/>
          <w:szCs w:val="24"/>
          <w:lang w:val="en-US"/>
        </w:rPr>
        <w:t xml:space="preserve"> a</w:t>
      </w:r>
      <w:r w:rsidR="00494CE1">
        <w:rPr>
          <w:rFonts w:ascii="Times New Roman" w:hAnsi="Times New Roman" w:cs="Times New Roman"/>
          <w:sz w:val="24"/>
          <w:szCs w:val="24"/>
          <w:lang w:val="en-US"/>
        </w:rPr>
        <w:t>s a</w:t>
      </w:r>
      <w:r w:rsidRPr="002B3E1D">
        <w:rPr>
          <w:rFonts w:ascii="Times New Roman" w:hAnsi="Times New Roman" w:cs="Times New Roman"/>
          <w:sz w:val="24"/>
          <w:szCs w:val="24"/>
          <w:lang w:val="en-US"/>
        </w:rPr>
        <w:t xml:space="preserve"> successful </w:t>
      </w:r>
      <w:r w:rsidR="00562D43" w:rsidRPr="002B3E1D">
        <w:rPr>
          <w:rFonts w:ascii="Times New Roman" w:hAnsi="Times New Roman" w:cs="Times New Roman"/>
          <w:sz w:val="24"/>
          <w:szCs w:val="24"/>
          <w:lang w:val="en-US"/>
        </w:rPr>
        <w:t>M&amp;A</w:t>
      </w:r>
      <w:r w:rsidRPr="002B3E1D">
        <w:rPr>
          <w:rFonts w:ascii="Times New Roman" w:hAnsi="Times New Roman" w:cs="Times New Roman"/>
          <w:sz w:val="24"/>
          <w:szCs w:val="24"/>
          <w:lang w:val="en-US"/>
        </w:rPr>
        <w:t xml:space="preserve"> outcome</w:t>
      </w:r>
      <w:r w:rsidRPr="002B3E1D">
        <w:rPr>
          <w:rFonts w:ascii="Times New Roman" w:hAnsi="Times New Roman" w:cs="Times New Roman"/>
          <w:sz w:val="24"/>
          <w:szCs w:val="24"/>
          <w:shd w:val="clear" w:color="auto" w:fill="FFFFFF"/>
          <w:lang w:val="en-US"/>
        </w:rPr>
        <w:t>.</w:t>
      </w:r>
      <w:r w:rsidR="00F010BD">
        <w:rPr>
          <w:rFonts w:ascii="Times New Roman" w:hAnsi="Times New Roman" w:cs="Times New Roman"/>
          <w:sz w:val="24"/>
          <w:szCs w:val="24"/>
          <w:shd w:val="clear" w:color="auto" w:fill="FFFFFF"/>
          <w:lang w:val="en-US"/>
        </w:rPr>
        <w:t xml:space="preserve"> Embedding corporate entrepreneurship is </w:t>
      </w:r>
      <w:r w:rsidR="00BB517D">
        <w:rPr>
          <w:rFonts w:ascii="Times New Roman" w:hAnsi="Times New Roman" w:cs="Times New Roman"/>
          <w:sz w:val="24"/>
          <w:szCs w:val="24"/>
          <w:shd w:val="clear" w:color="auto" w:fill="FFFFFF"/>
          <w:lang w:val="en-US"/>
        </w:rPr>
        <w:t xml:space="preserve">a </w:t>
      </w:r>
      <w:r w:rsidR="00F010BD">
        <w:rPr>
          <w:rFonts w:ascii="Times New Roman" w:hAnsi="Times New Roman" w:cs="Times New Roman"/>
          <w:sz w:val="24"/>
          <w:szCs w:val="24"/>
          <w:shd w:val="clear" w:color="auto" w:fill="FFFFFF"/>
          <w:lang w:val="en-US"/>
        </w:rPr>
        <w:t xml:space="preserve">double-edged sword, increasing the benefits from using the acquired targets capabilities but diminishing the usefulness of sharing </w:t>
      </w:r>
      <w:r w:rsidR="00F010BD">
        <w:rPr>
          <w:rFonts w:ascii="Times New Roman" w:hAnsi="Times New Roman" w:cs="Times New Roman"/>
          <w:sz w:val="24"/>
          <w:szCs w:val="24"/>
          <w:shd w:val="clear" w:color="auto" w:fill="FFFFFF"/>
          <w:lang w:val="en-US"/>
        </w:rPr>
        <w:lastRenderedPageBreak/>
        <w:t>capabilities with the target, whereas post-merger integration provides a basis for vital knowledge sharing as the bedrock for OA.</w:t>
      </w:r>
    </w:p>
    <w:p w14:paraId="130AF5AB" w14:textId="0AA884B5" w:rsidR="001219C8" w:rsidRDefault="00F010BD" w:rsidP="00392830">
      <w:pPr>
        <w:spacing w:after="0" w:line="480" w:lineRule="auto"/>
        <w:ind w:firstLine="72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The remainder of the article is structured as follows</w:t>
      </w:r>
      <w:r w:rsidR="00450BAE">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 xml:space="preserve"> </w:t>
      </w:r>
      <w:r w:rsidR="00450BAE">
        <w:rPr>
          <w:rFonts w:ascii="Times New Roman" w:hAnsi="Times New Roman" w:cs="Times New Roman"/>
          <w:sz w:val="24"/>
          <w:szCs w:val="24"/>
          <w:shd w:val="clear" w:color="auto" w:fill="FFFFFF"/>
          <w:lang w:val="en-US"/>
        </w:rPr>
        <w:t>f</w:t>
      </w:r>
      <w:r>
        <w:rPr>
          <w:rFonts w:ascii="Times New Roman" w:hAnsi="Times New Roman" w:cs="Times New Roman"/>
          <w:sz w:val="24"/>
          <w:szCs w:val="24"/>
          <w:shd w:val="clear" w:color="auto" w:fill="FFFFFF"/>
          <w:lang w:val="en-US"/>
        </w:rPr>
        <w:t xml:space="preserve">irst, we review the </w:t>
      </w:r>
      <w:r w:rsidR="008D17CF">
        <w:rPr>
          <w:rFonts w:ascii="Times New Roman" w:hAnsi="Times New Roman" w:cs="Times New Roman"/>
          <w:sz w:val="24"/>
          <w:szCs w:val="24"/>
          <w:shd w:val="clear" w:color="auto" w:fill="FFFFFF"/>
          <w:lang w:val="en-US"/>
        </w:rPr>
        <w:t>literature</w:t>
      </w:r>
      <w:r>
        <w:rPr>
          <w:rFonts w:ascii="Times New Roman" w:hAnsi="Times New Roman" w:cs="Times New Roman"/>
          <w:sz w:val="24"/>
          <w:szCs w:val="24"/>
          <w:shd w:val="clear" w:color="auto" w:fill="FFFFFF"/>
          <w:lang w:val="en-US"/>
        </w:rPr>
        <w:t xml:space="preserve"> on OA and the</w:t>
      </w:r>
      <w:r w:rsidR="008D17CF">
        <w:rPr>
          <w:rFonts w:ascii="Times New Roman" w:hAnsi="Times New Roman" w:cs="Times New Roman"/>
          <w:sz w:val="24"/>
          <w:szCs w:val="24"/>
          <w:shd w:val="clear" w:color="auto" w:fill="FFFFFF"/>
          <w:lang w:val="en-US"/>
        </w:rPr>
        <w:t xml:space="preserve"> micro-foundations view to develop our conceptual model and hypotheses</w:t>
      </w:r>
      <w:r w:rsidR="00450BAE">
        <w:rPr>
          <w:rFonts w:ascii="Times New Roman" w:hAnsi="Times New Roman" w:cs="Times New Roman"/>
          <w:sz w:val="24"/>
          <w:szCs w:val="24"/>
          <w:shd w:val="clear" w:color="auto" w:fill="FFFFFF"/>
          <w:lang w:val="en-US"/>
        </w:rPr>
        <w:t>; s</w:t>
      </w:r>
      <w:r w:rsidR="008D17CF">
        <w:rPr>
          <w:rFonts w:ascii="Times New Roman" w:hAnsi="Times New Roman" w:cs="Times New Roman"/>
          <w:sz w:val="24"/>
          <w:szCs w:val="24"/>
          <w:shd w:val="clear" w:color="auto" w:fill="FFFFFF"/>
          <w:lang w:val="en-US"/>
        </w:rPr>
        <w:t>econd</w:t>
      </w:r>
      <w:r w:rsidR="00BB517D">
        <w:rPr>
          <w:rFonts w:ascii="Times New Roman" w:hAnsi="Times New Roman" w:cs="Times New Roman"/>
          <w:sz w:val="24"/>
          <w:szCs w:val="24"/>
          <w:shd w:val="clear" w:color="auto" w:fill="FFFFFF"/>
          <w:lang w:val="en-US"/>
        </w:rPr>
        <w:t>,</w:t>
      </w:r>
      <w:r w:rsidR="008D17CF">
        <w:rPr>
          <w:rFonts w:ascii="Times New Roman" w:hAnsi="Times New Roman" w:cs="Times New Roman"/>
          <w:sz w:val="24"/>
          <w:szCs w:val="24"/>
          <w:shd w:val="clear" w:color="auto" w:fill="FFFFFF"/>
          <w:lang w:val="en-US"/>
        </w:rPr>
        <w:t xml:space="preserve"> we report the methodology for our empirical investigation followed by the results</w:t>
      </w:r>
      <w:r w:rsidR="00450BAE">
        <w:rPr>
          <w:rFonts w:ascii="Times New Roman" w:hAnsi="Times New Roman" w:cs="Times New Roman"/>
          <w:sz w:val="24"/>
          <w:szCs w:val="24"/>
          <w:shd w:val="clear" w:color="auto" w:fill="FFFFFF"/>
          <w:lang w:val="en-US"/>
        </w:rPr>
        <w:t>; t</w:t>
      </w:r>
      <w:r w:rsidR="008D17CF">
        <w:rPr>
          <w:rFonts w:ascii="Times New Roman" w:hAnsi="Times New Roman" w:cs="Times New Roman"/>
          <w:sz w:val="24"/>
          <w:szCs w:val="24"/>
          <w:shd w:val="clear" w:color="auto" w:fill="FFFFFF"/>
          <w:lang w:val="en-US"/>
        </w:rPr>
        <w:t>hird, we discuss our findings in light of the literature and generate our contributions. Our article closes with implications and directions for further productive research.</w:t>
      </w:r>
    </w:p>
    <w:p w14:paraId="327AEA09" w14:textId="77777777" w:rsidR="00450BAE" w:rsidRPr="002B3E1D" w:rsidRDefault="00450BAE" w:rsidP="001219C8">
      <w:pPr>
        <w:spacing w:after="0" w:line="480" w:lineRule="auto"/>
        <w:jc w:val="both"/>
        <w:rPr>
          <w:rFonts w:ascii="Times New Roman" w:hAnsi="Times New Roman" w:cs="Times New Roman"/>
          <w:sz w:val="24"/>
          <w:szCs w:val="24"/>
          <w:shd w:val="clear" w:color="auto" w:fill="FFFFFF"/>
          <w:lang w:val="en-US"/>
        </w:rPr>
      </w:pPr>
    </w:p>
    <w:p w14:paraId="267F5ABE" w14:textId="77777777" w:rsidR="001219C8" w:rsidRPr="002B3E1D" w:rsidRDefault="001219C8" w:rsidP="001219C8">
      <w:pPr>
        <w:spacing w:after="0" w:line="480" w:lineRule="auto"/>
        <w:jc w:val="both"/>
        <w:rPr>
          <w:rFonts w:ascii="Times New Roman" w:hAnsi="Times New Roman" w:cs="Times New Roman"/>
          <w:b/>
          <w:sz w:val="24"/>
          <w:szCs w:val="24"/>
          <w:lang w:val="en-US"/>
        </w:rPr>
      </w:pPr>
      <w:r w:rsidRPr="002B3E1D">
        <w:rPr>
          <w:rFonts w:ascii="Times New Roman" w:hAnsi="Times New Roman" w:cs="Times New Roman"/>
          <w:b/>
          <w:sz w:val="24"/>
          <w:szCs w:val="24"/>
          <w:lang w:val="en-US"/>
        </w:rPr>
        <w:t>LITERATURE REVIEW AND CONCEPTUAL FRAMEWORK</w:t>
      </w:r>
    </w:p>
    <w:p w14:paraId="7EC8F8A5" w14:textId="77777777" w:rsidR="001219C8" w:rsidRPr="002B3E1D" w:rsidRDefault="001219C8" w:rsidP="001219C8">
      <w:pPr>
        <w:spacing w:after="0" w:line="480" w:lineRule="auto"/>
        <w:jc w:val="both"/>
        <w:rPr>
          <w:rFonts w:ascii="Times New Roman" w:hAnsi="Times New Roman" w:cs="Times New Roman"/>
          <w:b/>
          <w:sz w:val="24"/>
          <w:szCs w:val="24"/>
          <w:lang w:val="en-US"/>
        </w:rPr>
      </w:pPr>
      <w:r w:rsidRPr="002B3E1D">
        <w:rPr>
          <w:rFonts w:ascii="Times New Roman" w:hAnsi="Times New Roman" w:cs="Times New Roman"/>
          <w:b/>
          <w:sz w:val="24"/>
          <w:szCs w:val="24"/>
          <w:lang w:val="en-US"/>
        </w:rPr>
        <w:t>Organizational Ambidexterity</w:t>
      </w:r>
    </w:p>
    <w:p w14:paraId="7EF7D909" w14:textId="449C4514" w:rsidR="007C0173" w:rsidRDefault="001219C8" w:rsidP="001219C8">
      <w:pPr>
        <w:spacing w:after="0" w:line="480" w:lineRule="auto"/>
        <w:jc w:val="both"/>
        <w:rPr>
          <w:rFonts w:ascii="Times New Roman" w:hAnsi="Times New Roman" w:cs="Times New Roman"/>
          <w:sz w:val="24"/>
          <w:szCs w:val="24"/>
          <w:lang w:val="en-US"/>
        </w:rPr>
      </w:pPr>
      <w:r w:rsidRPr="002B3E1D">
        <w:rPr>
          <w:rFonts w:ascii="Times New Roman" w:hAnsi="Times New Roman" w:cs="Times New Roman"/>
          <w:sz w:val="24"/>
          <w:szCs w:val="24"/>
          <w:lang w:val="en-US"/>
        </w:rPr>
        <w:t>OA represents the degree to which organizations deploy exploitative and exploratory innovation modes (</w:t>
      </w:r>
      <w:r w:rsidRPr="002B3E1D">
        <w:rPr>
          <w:rFonts w:ascii="Times New Roman" w:hAnsi="Times New Roman" w:cs="Times New Roman"/>
          <w:color w:val="222222"/>
          <w:sz w:val="24"/>
          <w:szCs w:val="24"/>
          <w:shd w:val="clear" w:color="auto" w:fill="FFFFFF"/>
          <w:lang w:val="en-US"/>
        </w:rPr>
        <w:t>Andriopoulos and Lewis, 2009; Hughes, 2018) and reflects the simultaneous pursuit of both (e.g., Kouropalatis et al., 2012).</w:t>
      </w:r>
      <w:r w:rsidRPr="002B3E1D">
        <w:rPr>
          <w:rFonts w:ascii="Times New Roman" w:hAnsi="Times New Roman" w:cs="Times New Roman"/>
          <w:sz w:val="24"/>
          <w:szCs w:val="24"/>
          <w:lang w:val="en-US"/>
        </w:rPr>
        <w:t xml:space="preserve"> Exploitative modes </w:t>
      </w:r>
      <w:r w:rsidR="00130504">
        <w:rPr>
          <w:rFonts w:ascii="Times New Roman" w:hAnsi="Times New Roman" w:cs="Times New Roman"/>
          <w:sz w:val="24"/>
          <w:szCs w:val="24"/>
          <w:lang w:val="en-US"/>
        </w:rPr>
        <w:t xml:space="preserve">are </w:t>
      </w:r>
      <w:r w:rsidR="00130504" w:rsidRPr="002B3E1D">
        <w:rPr>
          <w:rFonts w:ascii="Times New Roman" w:hAnsi="Times New Roman" w:cs="Times New Roman"/>
          <w:sz w:val="24"/>
          <w:szCs w:val="24"/>
          <w:lang w:val="en-US"/>
        </w:rPr>
        <w:t xml:space="preserve">focused on improving current cash flows </w:t>
      </w:r>
      <w:r w:rsidR="00130504">
        <w:rPr>
          <w:rFonts w:ascii="Times New Roman" w:hAnsi="Times New Roman" w:cs="Times New Roman"/>
          <w:sz w:val="24"/>
          <w:szCs w:val="24"/>
          <w:lang w:val="en-US"/>
        </w:rPr>
        <w:t xml:space="preserve">and </w:t>
      </w:r>
      <w:r w:rsidRPr="002B3E1D">
        <w:rPr>
          <w:rFonts w:ascii="Times New Roman" w:hAnsi="Times New Roman" w:cs="Times New Roman"/>
          <w:sz w:val="24"/>
          <w:szCs w:val="24"/>
          <w:lang w:val="en-US"/>
        </w:rPr>
        <w:t>indicate conditions in which organizations operate within relatively known, predictable, and secure knowledge boundaries (</w:t>
      </w:r>
      <w:proofErr w:type="spellStart"/>
      <w:r w:rsidRPr="002B3E1D">
        <w:rPr>
          <w:rFonts w:ascii="Times New Roman" w:hAnsi="Times New Roman" w:cs="Times New Roman"/>
          <w:sz w:val="24"/>
          <w:szCs w:val="24"/>
          <w:lang w:val="en-US"/>
        </w:rPr>
        <w:t>Raisch</w:t>
      </w:r>
      <w:proofErr w:type="spellEnd"/>
      <w:r w:rsidRPr="002B3E1D">
        <w:rPr>
          <w:rFonts w:ascii="Times New Roman" w:hAnsi="Times New Roman" w:cs="Times New Roman"/>
          <w:sz w:val="24"/>
          <w:szCs w:val="24"/>
          <w:lang w:val="en-US"/>
        </w:rPr>
        <w:t xml:space="preserve"> and Birkinshaw, 2008; Simsek, 2009). Alternatively, because organizations also find themselves in less known, unpredictable, and more risk-filled environments where firm knowledge is either less well-developed or of little use, an exploratory mode is simultaneously required. An exploratory mode focuses on experimentation and discovery to create future cash flows (Hughes, 2018). </w:t>
      </w:r>
    </w:p>
    <w:p w14:paraId="054E1B4B" w14:textId="6C9271DA" w:rsidR="001219C8" w:rsidRPr="002B3E1D" w:rsidRDefault="001219C8" w:rsidP="00BB517D">
      <w:pPr>
        <w:spacing w:after="0" w:line="480" w:lineRule="auto"/>
        <w:ind w:firstLine="720"/>
        <w:jc w:val="both"/>
        <w:rPr>
          <w:rFonts w:ascii="Times New Roman" w:hAnsi="Times New Roman" w:cs="Times New Roman"/>
          <w:sz w:val="24"/>
          <w:szCs w:val="24"/>
          <w:lang w:val="en-US"/>
        </w:rPr>
      </w:pPr>
      <w:r w:rsidRPr="002B3E1D">
        <w:rPr>
          <w:rFonts w:ascii="Times New Roman" w:hAnsi="Times New Roman" w:cs="Times New Roman"/>
          <w:sz w:val="24"/>
          <w:szCs w:val="24"/>
          <w:lang w:val="en-US"/>
        </w:rPr>
        <w:t>Exploration and exploitation are in tension with each other because their foci, degree of uncertainty, and speed</w:t>
      </w:r>
      <w:r w:rsidR="00130504">
        <w:rPr>
          <w:rFonts w:ascii="Times New Roman" w:hAnsi="Times New Roman" w:cs="Times New Roman"/>
          <w:sz w:val="24"/>
          <w:szCs w:val="24"/>
          <w:lang w:val="en-US"/>
        </w:rPr>
        <w:t xml:space="preserve"> and probability</w:t>
      </w:r>
      <w:r w:rsidRPr="002B3E1D">
        <w:rPr>
          <w:rFonts w:ascii="Times New Roman" w:hAnsi="Times New Roman" w:cs="Times New Roman"/>
          <w:sz w:val="24"/>
          <w:szCs w:val="24"/>
          <w:lang w:val="en-US"/>
        </w:rPr>
        <w:t xml:space="preserve"> of return vary</w:t>
      </w:r>
      <w:r w:rsidR="00130504">
        <w:rPr>
          <w:rFonts w:ascii="Times New Roman" w:hAnsi="Times New Roman" w:cs="Times New Roman"/>
          <w:sz w:val="24"/>
          <w:szCs w:val="24"/>
          <w:lang w:val="en-US"/>
        </w:rPr>
        <w:t xml:space="preserve"> greatly</w:t>
      </w:r>
      <w:r w:rsidRPr="002B3E1D">
        <w:rPr>
          <w:rFonts w:ascii="Times New Roman" w:hAnsi="Times New Roman" w:cs="Times New Roman"/>
          <w:sz w:val="24"/>
          <w:szCs w:val="24"/>
          <w:lang w:val="en-US"/>
        </w:rPr>
        <w:t xml:space="preserve">. </w:t>
      </w:r>
      <w:r w:rsidR="0020370E">
        <w:rPr>
          <w:rFonts w:ascii="Times New Roman" w:hAnsi="Times New Roman" w:cs="Times New Roman"/>
          <w:sz w:val="24"/>
          <w:szCs w:val="24"/>
          <w:lang w:val="en-US"/>
        </w:rPr>
        <w:t>Consequently</w:t>
      </w:r>
      <w:r w:rsidR="00130504">
        <w:rPr>
          <w:rFonts w:ascii="Times New Roman" w:hAnsi="Times New Roman" w:cs="Times New Roman"/>
          <w:sz w:val="24"/>
          <w:szCs w:val="24"/>
          <w:lang w:val="en-US"/>
        </w:rPr>
        <w:t xml:space="preserve">, firms tend to specialize in one or the other, which increases the danger of succumbing to a </w:t>
      </w:r>
      <w:r w:rsidR="00130504" w:rsidRPr="001672D6">
        <w:rPr>
          <w:rFonts w:ascii="Times New Roman" w:hAnsi="Times New Roman" w:cs="Times New Roman"/>
          <w:i/>
          <w:sz w:val="24"/>
          <w:szCs w:val="24"/>
          <w:lang w:val="en-US"/>
        </w:rPr>
        <w:t>competency trap</w:t>
      </w:r>
      <w:r w:rsidR="00130504">
        <w:rPr>
          <w:rFonts w:ascii="Times New Roman" w:hAnsi="Times New Roman" w:cs="Times New Roman"/>
          <w:sz w:val="24"/>
          <w:szCs w:val="24"/>
          <w:lang w:val="en-US"/>
        </w:rPr>
        <w:t xml:space="preserve"> (too much exploitation, endangering </w:t>
      </w:r>
      <w:r w:rsidR="007C0173">
        <w:rPr>
          <w:rFonts w:ascii="Times New Roman" w:hAnsi="Times New Roman" w:cs="Times New Roman"/>
          <w:sz w:val="24"/>
          <w:szCs w:val="24"/>
          <w:lang w:val="en-US"/>
        </w:rPr>
        <w:t>long</w:t>
      </w:r>
      <w:r w:rsidR="00130504">
        <w:rPr>
          <w:rFonts w:ascii="Times New Roman" w:hAnsi="Times New Roman" w:cs="Times New Roman"/>
          <w:sz w:val="24"/>
          <w:szCs w:val="24"/>
          <w:lang w:val="en-US"/>
        </w:rPr>
        <w:t xml:space="preserve">-term survival) or a </w:t>
      </w:r>
      <w:r w:rsidR="00130504" w:rsidRPr="001672D6">
        <w:rPr>
          <w:rFonts w:ascii="Times New Roman" w:hAnsi="Times New Roman" w:cs="Times New Roman"/>
          <w:i/>
          <w:sz w:val="24"/>
          <w:szCs w:val="24"/>
          <w:lang w:val="en-US"/>
        </w:rPr>
        <w:t>failure trap</w:t>
      </w:r>
      <w:r w:rsidR="00130504">
        <w:rPr>
          <w:rFonts w:ascii="Times New Roman" w:hAnsi="Times New Roman" w:cs="Times New Roman"/>
          <w:sz w:val="24"/>
          <w:szCs w:val="24"/>
          <w:lang w:val="en-US"/>
        </w:rPr>
        <w:t xml:space="preserve"> (too much exploration, </w:t>
      </w:r>
      <w:r w:rsidR="00130504">
        <w:rPr>
          <w:rFonts w:ascii="Times New Roman" w:hAnsi="Times New Roman" w:cs="Times New Roman"/>
          <w:sz w:val="24"/>
          <w:szCs w:val="24"/>
          <w:lang w:val="en-US"/>
        </w:rPr>
        <w:lastRenderedPageBreak/>
        <w:t xml:space="preserve">endangering near-term survival). The </w:t>
      </w:r>
      <w:r w:rsidRPr="002B3E1D">
        <w:rPr>
          <w:rFonts w:ascii="Times New Roman" w:hAnsi="Times New Roman" w:cs="Times New Roman"/>
          <w:sz w:val="24"/>
          <w:szCs w:val="24"/>
          <w:lang w:val="en-US"/>
        </w:rPr>
        <w:t>long-term prosperity</w:t>
      </w:r>
      <w:r w:rsidR="00392830">
        <w:rPr>
          <w:rFonts w:ascii="Times New Roman" w:hAnsi="Times New Roman" w:cs="Times New Roman"/>
          <w:sz w:val="24"/>
          <w:szCs w:val="24"/>
          <w:lang w:val="en-US"/>
        </w:rPr>
        <w:t xml:space="preserve"> </w:t>
      </w:r>
      <w:bookmarkStart w:id="0" w:name="_Hlk27223768"/>
      <w:r w:rsidR="00392830">
        <w:rPr>
          <w:rFonts w:ascii="Times New Roman" w:hAnsi="Times New Roman" w:cs="Times New Roman"/>
          <w:sz w:val="24"/>
          <w:szCs w:val="24"/>
          <w:lang w:val="en-US"/>
        </w:rPr>
        <w:t>(i.e</w:t>
      </w:r>
      <w:r w:rsidR="00461589">
        <w:rPr>
          <w:rFonts w:ascii="Times New Roman" w:hAnsi="Times New Roman" w:cs="Times New Roman"/>
          <w:sz w:val="24"/>
          <w:szCs w:val="24"/>
          <w:lang w:val="en-US"/>
        </w:rPr>
        <w:t>.</w:t>
      </w:r>
      <w:r w:rsidR="00392830">
        <w:rPr>
          <w:rFonts w:ascii="Times New Roman" w:hAnsi="Times New Roman" w:cs="Times New Roman"/>
          <w:sz w:val="24"/>
          <w:szCs w:val="24"/>
          <w:lang w:val="en-US"/>
        </w:rPr>
        <w:t xml:space="preserve"> </w:t>
      </w:r>
      <w:r w:rsidR="00461589">
        <w:rPr>
          <w:rFonts w:ascii="Times New Roman" w:hAnsi="Times New Roman" w:cs="Times New Roman"/>
          <w:sz w:val="24"/>
          <w:szCs w:val="24"/>
          <w:lang w:val="en-US"/>
        </w:rPr>
        <w:t xml:space="preserve">pertaining to </w:t>
      </w:r>
      <w:r w:rsidR="00392830">
        <w:rPr>
          <w:rFonts w:ascii="Times New Roman" w:hAnsi="Times New Roman" w:cs="Times New Roman"/>
          <w:sz w:val="24"/>
          <w:szCs w:val="24"/>
          <w:lang w:val="en-US"/>
        </w:rPr>
        <w:t>profitability, growth and success)</w:t>
      </w:r>
      <w:r w:rsidRPr="002B3E1D">
        <w:rPr>
          <w:rFonts w:ascii="Times New Roman" w:hAnsi="Times New Roman" w:cs="Times New Roman"/>
          <w:sz w:val="24"/>
          <w:szCs w:val="24"/>
          <w:lang w:val="en-US"/>
        </w:rPr>
        <w:t xml:space="preserve"> </w:t>
      </w:r>
      <w:bookmarkEnd w:id="0"/>
      <w:r w:rsidR="00130504">
        <w:rPr>
          <w:rFonts w:ascii="Times New Roman" w:hAnsi="Times New Roman" w:cs="Times New Roman"/>
          <w:sz w:val="24"/>
          <w:szCs w:val="24"/>
          <w:lang w:val="en-US"/>
        </w:rPr>
        <w:t xml:space="preserve">of the firm </w:t>
      </w:r>
      <w:r w:rsidRPr="002B3E1D">
        <w:rPr>
          <w:rFonts w:ascii="Times New Roman" w:hAnsi="Times New Roman" w:cs="Times New Roman"/>
          <w:sz w:val="24"/>
          <w:szCs w:val="24"/>
          <w:lang w:val="en-US"/>
        </w:rPr>
        <w:t xml:space="preserve">requires </w:t>
      </w:r>
      <w:r w:rsidR="00130504">
        <w:rPr>
          <w:rFonts w:ascii="Times New Roman" w:hAnsi="Times New Roman" w:cs="Times New Roman"/>
          <w:sz w:val="24"/>
          <w:szCs w:val="24"/>
          <w:lang w:val="en-US"/>
        </w:rPr>
        <w:t>it</w:t>
      </w:r>
      <w:r w:rsidR="00130504" w:rsidRPr="002B3E1D">
        <w:rPr>
          <w:rFonts w:ascii="Times New Roman" w:hAnsi="Times New Roman" w:cs="Times New Roman"/>
          <w:sz w:val="24"/>
          <w:szCs w:val="24"/>
          <w:lang w:val="en-US"/>
        </w:rPr>
        <w:t xml:space="preserve"> </w:t>
      </w:r>
      <w:r w:rsidRPr="002B3E1D">
        <w:rPr>
          <w:rFonts w:ascii="Times New Roman" w:hAnsi="Times New Roman" w:cs="Times New Roman"/>
          <w:sz w:val="24"/>
          <w:szCs w:val="24"/>
          <w:lang w:val="en-US"/>
        </w:rPr>
        <w:t xml:space="preserve">to take this tension as a starting point </w:t>
      </w:r>
      <w:r w:rsidR="00130504">
        <w:rPr>
          <w:rFonts w:ascii="Times New Roman" w:hAnsi="Times New Roman" w:cs="Times New Roman"/>
          <w:sz w:val="24"/>
          <w:szCs w:val="24"/>
          <w:lang w:val="en-US"/>
        </w:rPr>
        <w:t>(</w:t>
      </w:r>
      <w:r w:rsidR="00130504" w:rsidRPr="002B3E1D">
        <w:rPr>
          <w:rFonts w:ascii="Times New Roman" w:hAnsi="Times New Roman" w:cs="Times New Roman"/>
          <w:sz w:val="24"/>
          <w:szCs w:val="24"/>
          <w:lang w:val="en-US"/>
        </w:rPr>
        <w:t>Simsek, 2009</w:t>
      </w:r>
      <w:r w:rsidR="00130504">
        <w:rPr>
          <w:rFonts w:ascii="Times New Roman" w:hAnsi="Times New Roman" w:cs="Times New Roman"/>
          <w:sz w:val="24"/>
          <w:szCs w:val="24"/>
          <w:lang w:val="en-US"/>
        </w:rPr>
        <w:t>)</w:t>
      </w:r>
      <w:r w:rsidR="00130504" w:rsidRPr="002B3E1D">
        <w:rPr>
          <w:rFonts w:ascii="Times New Roman" w:hAnsi="Times New Roman" w:cs="Times New Roman"/>
          <w:sz w:val="24"/>
          <w:szCs w:val="24"/>
          <w:lang w:val="en-US"/>
        </w:rPr>
        <w:t xml:space="preserve"> </w:t>
      </w:r>
      <w:r w:rsidR="00130504">
        <w:rPr>
          <w:rFonts w:ascii="Times New Roman" w:hAnsi="Times New Roman" w:cs="Times New Roman"/>
          <w:sz w:val="24"/>
          <w:szCs w:val="24"/>
          <w:lang w:val="en-US"/>
        </w:rPr>
        <w:t>and organizing for OA</w:t>
      </w:r>
      <w:r w:rsidR="00130504" w:rsidRPr="002B3E1D">
        <w:rPr>
          <w:rFonts w:ascii="Times New Roman" w:hAnsi="Times New Roman" w:cs="Times New Roman"/>
          <w:sz w:val="24"/>
          <w:szCs w:val="24"/>
          <w:lang w:val="en-US"/>
        </w:rPr>
        <w:t xml:space="preserve"> </w:t>
      </w:r>
      <w:r w:rsidR="00130504">
        <w:rPr>
          <w:rFonts w:ascii="Times New Roman" w:hAnsi="Times New Roman" w:cs="Times New Roman"/>
          <w:sz w:val="24"/>
          <w:szCs w:val="24"/>
          <w:lang w:val="en-US"/>
        </w:rPr>
        <w:t xml:space="preserve">in ways that </w:t>
      </w:r>
      <w:r w:rsidRPr="002B3E1D">
        <w:rPr>
          <w:rFonts w:ascii="Times New Roman" w:hAnsi="Times New Roman" w:cs="Times New Roman"/>
          <w:sz w:val="24"/>
          <w:szCs w:val="24"/>
          <w:lang w:val="en-US"/>
        </w:rPr>
        <w:t xml:space="preserve">balance </w:t>
      </w:r>
      <w:r w:rsidR="00130504">
        <w:rPr>
          <w:rFonts w:ascii="Times New Roman" w:hAnsi="Times New Roman" w:cs="Times New Roman"/>
          <w:sz w:val="24"/>
          <w:szCs w:val="24"/>
          <w:lang w:val="en-US"/>
        </w:rPr>
        <w:t xml:space="preserve">exploration and exploitation and archives </w:t>
      </w:r>
      <w:r w:rsidRPr="002B3E1D">
        <w:rPr>
          <w:rFonts w:ascii="Times New Roman" w:hAnsi="Times New Roman" w:cs="Times New Roman"/>
          <w:sz w:val="24"/>
          <w:szCs w:val="24"/>
          <w:lang w:val="en-US"/>
        </w:rPr>
        <w:t>both activities to a high standard (Simsek et al., 2009).</w:t>
      </w:r>
    </w:p>
    <w:p w14:paraId="2079CAD0" w14:textId="77777777" w:rsidR="00135516" w:rsidRPr="002B3E1D" w:rsidRDefault="00135516" w:rsidP="001219C8">
      <w:pPr>
        <w:spacing w:after="0" w:line="480" w:lineRule="auto"/>
        <w:jc w:val="both"/>
        <w:rPr>
          <w:rFonts w:ascii="Times New Roman" w:hAnsi="Times New Roman" w:cs="Times New Roman"/>
          <w:sz w:val="24"/>
          <w:szCs w:val="24"/>
          <w:lang w:val="en-US"/>
        </w:rPr>
      </w:pPr>
    </w:p>
    <w:p w14:paraId="7B665ABC" w14:textId="166B2CAE" w:rsidR="00135516" w:rsidRPr="002B3E1D" w:rsidRDefault="00135516" w:rsidP="001219C8">
      <w:pPr>
        <w:spacing w:after="0" w:line="480" w:lineRule="auto"/>
        <w:jc w:val="both"/>
        <w:rPr>
          <w:rFonts w:ascii="Times New Roman" w:hAnsi="Times New Roman" w:cs="Times New Roman"/>
          <w:b/>
          <w:sz w:val="24"/>
          <w:szCs w:val="24"/>
          <w:lang w:val="en-US"/>
        </w:rPr>
      </w:pPr>
      <w:r w:rsidRPr="002B3E1D">
        <w:rPr>
          <w:rFonts w:ascii="Times New Roman" w:hAnsi="Times New Roman" w:cs="Times New Roman"/>
          <w:b/>
          <w:sz w:val="24"/>
          <w:szCs w:val="24"/>
          <w:lang w:val="en-US"/>
        </w:rPr>
        <w:t>The Micro-</w:t>
      </w:r>
      <w:r w:rsidR="00CB51EE">
        <w:rPr>
          <w:rFonts w:ascii="Times New Roman" w:hAnsi="Times New Roman" w:cs="Times New Roman"/>
          <w:b/>
          <w:sz w:val="24"/>
          <w:szCs w:val="24"/>
          <w:lang w:val="en-US"/>
        </w:rPr>
        <w:t>f</w:t>
      </w:r>
      <w:r w:rsidRPr="002B3E1D">
        <w:rPr>
          <w:rFonts w:ascii="Times New Roman" w:hAnsi="Times New Roman" w:cs="Times New Roman"/>
          <w:b/>
          <w:sz w:val="24"/>
          <w:szCs w:val="24"/>
          <w:lang w:val="en-US"/>
        </w:rPr>
        <w:t>oundational View</w:t>
      </w:r>
    </w:p>
    <w:p w14:paraId="20B3E1F3" w14:textId="21E521BE" w:rsidR="00135516" w:rsidRPr="002B3E1D" w:rsidRDefault="00135516" w:rsidP="00135516">
      <w:pPr>
        <w:autoSpaceDE w:val="0"/>
        <w:autoSpaceDN w:val="0"/>
        <w:adjustRightInd w:val="0"/>
        <w:spacing w:after="0" w:line="480" w:lineRule="auto"/>
        <w:jc w:val="both"/>
        <w:rPr>
          <w:rFonts w:ascii="Times New Roman" w:eastAsia="Batang" w:hAnsi="Times New Roman" w:cs="Times New Roman"/>
          <w:sz w:val="24"/>
          <w:szCs w:val="24"/>
          <w:lang w:val="en-US"/>
        </w:rPr>
      </w:pPr>
      <w:r w:rsidRPr="002B3E1D">
        <w:rPr>
          <w:rFonts w:ascii="Times New Roman" w:hAnsi="Times New Roman" w:cs="Times New Roman"/>
          <w:sz w:val="24"/>
          <w:szCs w:val="24"/>
          <w:lang w:val="en-US"/>
        </w:rPr>
        <w:t xml:space="preserve">Commonly, by </w:t>
      </w:r>
      <w:r w:rsidRPr="002B3E1D">
        <w:rPr>
          <w:rFonts w:ascii="Times New Roman" w:hAnsi="Times New Roman" w:cs="Times New Roman"/>
          <w:i/>
          <w:sz w:val="24"/>
          <w:szCs w:val="24"/>
          <w:lang w:val="en-US"/>
        </w:rPr>
        <w:t>micro-foundations</w:t>
      </w:r>
      <w:r w:rsidRPr="002B3E1D">
        <w:rPr>
          <w:rFonts w:ascii="Times New Roman" w:hAnsi="Times New Roman" w:cs="Times New Roman"/>
          <w:sz w:val="24"/>
          <w:szCs w:val="24"/>
          <w:lang w:val="en-US"/>
        </w:rPr>
        <w:t xml:space="preserve"> we mean that the underlying conditions for an organizational or firm-level phenomenon occurs at one level below the focal level of analysis (Felin et al., 2012; Foss and Pedersen, 2016). This is commonly attributed to the individual level (e.g., Barney and Felin, 2013; Eisenhardt et al., 2010), but a strict focus on the individual is neither required nor best by itself. Rather, as set out by Felin et al. (2012) and Foss and Pedersen (2016), a baseline micro-foundation for a phenomenon at level N is at the level N-1, and these may include </w:t>
      </w:r>
      <w:r w:rsidR="007C0173" w:rsidRPr="002B3E1D">
        <w:rPr>
          <w:rFonts w:ascii="Times New Roman" w:hAnsi="Times New Roman" w:cs="Times New Roman"/>
          <w:sz w:val="24"/>
          <w:szCs w:val="24"/>
          <w:lang w:val="en-US"/>
        </w:rPr>
        <w:t>actors or</w:t>
      </w:r>
      <w:r w:rsidRPr="002B3E1D">
        <w:rPr>
          <w:rFonts w:ascii="Times New Roman" w:hAnsi="Times New Roman" w:cs="Times New Roman"/>
          <w:sz w:val="24"/>
          <w:szCs w:val="24"/>
          <w:lang w:val="en-US"/>
        </w:rPr>
        <w:t xml:space="preserve"> processes or structures. Micro-foundations need not be reduced to individuals; it is an effort in reduction to locate mechanisms to explain an outcome in terms of other fundamental phenomena (Foss and Pedersen, 2016). It is useful to transcend the organization to consider how actors and/or the context they operate in enable an organizational outcome of interest. In our model, we account for this with knowledge sharing among employees, the use of capabilities or know-how among the acquired and acquiring </w:t>
      </w:r>
      <w:r w:rsidR="00A215CE" w:rsidRPr="002B3E1D">
        <w:rPr>
          <w:rFonts w:ascii="Times New Roman" w:hAnsi="Times New Roman" w:cs="Times New Roman"/>
          <w:sz w:val="24"/>
          <w:szCs w:val="24"/>
          <w:lang w:val="en-US"/>
        </w:rPr>
        <w:t>firms</w:t>
      </w:r>
      <w:r w:rsidR="007C0173">
        <w:rPr>
          <w:rFonts w:ascii="Times New Roman" w:hAnsi="Times New Roman" w:cs="Times New Roman"/>
          <w:sz w:val="24"/>
          <w:szCs w:val="24"/>
          <w:lang w:val="en-US"/>
        </w:rPr>
        <w:t>,</w:t>
      </w:r>
      <w:r w:rsidRPr="002B3E1D">
        <w:rPr>
          <w:rFonts w:ascii="Times New Roman" w:hAnsi="Times New Roman" w:cs="Times New Roman"/>
          <w:sz w:val="24"/>
          <w:szCs w:val="24"/>
          <w:lang w:val="en-US"/>
        </w:rPr>
        <w:t xml:space="preserve"> and the context in </w:t>
      </w:r>
      <w:r w:rsidR="00D252BF" w:rsidRPr="002B3E1D">
        <w:rPr>
          <w:rFonts w:ascii="Times New Roman" w:hAnsi="Times New Roman" w:cs="Times New Roman"/>
          <w:sz w:val="24"/>
          <w:szCs w:val="24"/>
          <w:lang w:val="en-US"/>
        </w:rPr>
        <w:t xml:space="preserve">which </w:t>
      </w:r>
      <w:r w:rsidRPr="002B3E1D">
        <w:rPr>
          <w:rFonts w:ascii="Times New Roman" w:hAnsi="Times New Roman" w:cs="Times New Roman"/>
          <w:sz w:val="24"/>
          <w:szCs w:val="24"/>
          <w:lang w:val="en-US"/>
        </w:rPr>
        <w:t>organizational members are directed to behave. Interaction among employees (Abell et al., 2008) matters in the micro-foundations view because behavio</w:t>
      </w:r>
      <w:r w:rsidR="00363EC5">
        <w:rPr>
          <w:rFonts w:ascii="Times New Roman" w:hAnsi="Times New Roman" w:cs="Times New Roman"/>
          <w:sz w:val="24"/>
          <w:szCs w:val="24"/>
          <w:lang w:val="en-US"/>
        </w:rPr>
        <w:t>u</w:t>
      </w:r>
      <w:r w:rsidRPr="002B3E1D">
        <w:rPr>
          <w:rFonts w:ascii="Times New Roman" w:hAnsi="Times New Roman" w:cs="Times New Roman"/>
          <w:sz w:val="24"/>
          <w:szCs w:val="24"/>
          <w:lang w:val="en-US"/>
        </w:rPr>
        <w:t xml:space="preserve">r is not </w:t>
      </w:r>
      <w:r w:rsidR="00D252BF" w:rsidRPr="002B3E1D">
        <w:rPr>
          <w:rFonts w:ascii="Times New Roman" w:hAnsi="Times New Roman" w:cs="Times New Roman"/>
          <w:sz w:val="24"/>
          <w:szCs w:val="24"/>
          <w:lang w:val="en-US"/>
        </w:rPr>
        <w:t xml:space="preserve">a </w:t>
      </w:r>
      <w:r w:rsidRPr="002B3E1D">
        <w:rPr>
          <w:rFonts w:ascii="Times New Roman" w:hAnsi="Times New Roman" w:cs="Times New Roman"/>
          <w:sz w:val="24"/>
          <w:szCs w:val="24"/>
          <w:lang w:val="en-US"/>
        </w:rPr>
        <w:t xml:space="preserve">solely rational choice (maximization) </w:t>
      </w:r>
      <w:r w:rsidRPr="007C0173">
        <w:rPr>
          <w:rFonts w:ascii="Times New Roman" w:hAnsi="Times New Roman" w:cs="Times New Roman"/>
          <w:sz w:val="24"/>
          <w:szCs w:val="24"/>
          <w:lang w:val="en-US"/>
        </w:rPr>
        <w:t xml:space="preserve">but includes a concern </w:t>
      </w:r>
      <w:r w:rsidR="007C0173" w:rsidRPr="007C0173">
        <w:rPr>
          <w:rFonts w:ascii="Times New Roman" w:hAnsi="Times New Roman" w:cs="Times New Roman"/>
          <w:sz w:val="24"/>
          <w:szCs w:val="24"/>
          <w:lang w:val="en-US"/>
        </w:rPr>
        <w:t xml:space="preserve">about the context within which </w:t>
      </w:r>
      <w:r w:rsidRPr="007C0173">
        <w:rPr>
          <w:rFonts w:ascii="Times New Roman" w:hAnsi="Times New Roman" w:cs="Times New Roman"/>
          <w:sz w:val="24"/>
          <w:szCs w:val="24"/>
          <w:lang w:val="en-US"/>
        </w:rPr>
        <w:t>interaction</w:t>
      </w:r>
      <w:r w:rsidR="007C0173" w:rsidRPr="007C0173">
        <w:rPr>
          <w:rFonts w:ascii="Times New Roman" w:hAnsi="Times New Roman" w:cs="Times New Roman"/>
          <w:sz w:val="24"/>
          <w:szCs w:val="24"/>
          <w:lang w:val="en-US"/>
        </w:rPr>
        <w:t xml:space="preserve">s take place, </w:t>
      </w:r>
      <w:r w:rsidRPr="007C0173">
        <w:rPr>
          <w:rFonts w:ascii="Times New Roman" w:hAnsi="Times New Roman" w:cs="Times New Roman"/>
          <w:sz w:val="24"/>
          <w:szCs w:val="24"/>
          <w:lang w:val="en-US"/>
        </w:rPr>
        <w:t>in line with behavio</w:t>
      </w:r>
      <w:r w:rsidR="00E56818">
        <w:rPr>
          <w:rFonts w:ascii="Times New Roman" w:hAnsi="Times New Roman" w:cs="Times New Roman"/>
          <w:sz w:val="24"/>
          <w:szCs w:val="24"/>
          <w:lang w:val="en-US"/>
        </w:rPr>
        <w:t>u</w:t>
      </w:r>
      <w:r w:rsidRPr="007C0173">
        <w:rPr>
          <w:rFonts w:ascii="Times New Roman" w:hAnsi="Times New Roman" w:cs="Times New Roman"/>
          <w:sz w:val="24"/>
          <w:szCs w:val="24"/>
          <w:lang w:val="en-US"/>
        </w:rPr>
        <w:t>ral frameworks (cf. Foss, 2011).</w:t>
      </w:r>
    </w:p>
    <w:p w14:paraId="2FEFE04D" w14:textId="2F0E60B7" w:rsidR="00135516" w:rsidRPr="002B3E1D" w:rsidRDefault="00135516" w:rsidP="00135516">
      <w:pPr>
        <w:autoSpaceDE w:val="0"/>
        <w:autoSpaceDN w:val="0"/>
        <w:adjustRightInd w:val="0"/>
        <w:spacing w:after="0" w:line="480" w:lineRule="auto"/>
        <w:ind w:firstLine="720"/>
        <w:jc w:val="both"/>
        <w:rPr>
          <w:rFonts w:ascii="Times New Roman" w:hAnsi="Times New Roman" w:cs="Times New Roman"/>
          <w:sz w:val="24"/>
          <w:szCs w:val="24"/>
          <w:lang w:val="en-US"/>
        </w:rPr>
      </w:pPr>
      <w:r w:rsidRPr="002B3E1D">
        <w:rPr>
          <w:rFonts w:ascii="Times New Roman" w:hAnsi="Times New Roman" w:cs="Times New Roman"/>
          <w:sz w:val="24"/>
          <w:szCs w:val="24"/>
          <w:lang w:val="en-US"/>
        </w:rPr>
        <w:lastRenderedPageBreak/>
        <w:t xml:space="preserve">A micro-foundational view of a collective phenomenon, then, relies on individuals, processes and interactions, and the structures (or context) within which they operate (Felin et al., 2012). That is, macro (firm) phenomena do exert an influence on </w:t>
      </w:r>
      <w:r w:rsidR="00D252BF" w:rsidRPr="002B3E1D">
        <w:rPr>
          <w:rFonts w:ascii="Times New Roman" w:hAnsi="Times New Roman" w:cs="Times New Roman"/>
          <w:sz w:val="24"/>
          <w:szCs w:val="24"/>
          <w:lang w:val="en-US"/>
        </w:rPr>
        <w:t>lower-</w:t>
      </w:r>
      <w:r w:rsidRPr="002B3E1D">
        <w:rPr>
          <w:rFonts w:ascii="Times New Roman" w:hAnsi="Times New Roman" w:cs="Times New Roman"/>
          <w:sz w:val="24"/>
          <w:szCs w:val="24"/>
          <w:lang w:val="en-US"/>
        </w:rPr>
        <w:t xml:space="preserve">level phenomena (Coleman, 1990; Foss and Pedersen, 2016; Hodgson, 2012). We depict this as a function of the organizational context, structure, and effects it may have on OA in the context of cross-border </w:t>
      </w:r>
      <w:r w:rsidR="00562D43" w:rsidRPr="002B3E1D">
        <w:rPr>
          <w:rFonts w:ascii="Times New Roman" w:hAnsi="Times New Roman" w:cs="Times New Roman"/>
          <w:sz w:val="24"/>
          <w:szCs w:val="24"/>
          <w:lang w:val="en-US"/>
        </w:rPr>
        <w:t>M&amp;A</w:t>
      </w:r>
      <w:r w:rsidRPr="002B3E1D">
        <w:rPr>
          <w:rFonts w:ascii="Times New Roman" w:hAnsi="Times New Roman" w:cs="Times New Roman"/>
          <w:sz w:val="24"/>
          <w:szCs w:val="24"/>
          <w:lang w:val="en-US"/>
        </w:rPr>
        <w:t>s.</w:t>
      </w:r>
    </w:p>
    <w:p w14:paraId="207CA638" w14:textId="77777777" w:rsidR="00E62AA3" w:rsidRPr="002B3E1D" w:rsidRDefault="00E62AA3" w:rsidP="00135516">
      <w:pPr>
        <w:autoSpaceDE w:val="0"/>
        <w:autoSpaceDN w:val="0"/>
        <w:adjustRightInd w:val="0"/>
        <w:spacing w:after="0" w:line="480" w:lineRule="auto"/>
        <w:ind w:firstLine="720"/>
        <w:jc w:val="both"/>
        <w:rPr>
          <w:rFonts w:ascii="Times New Roman" w:hAnsi="Times New Roman" w:cs="Times New Roman"/>
          <w:sz w:val="24"/>
          <w:szCs w:val="24"/>
          <w:lang w:val="en-US"/>
        </w:rPr>
      </w:pPr>
    </w:p>
    <w:p w14:paraId="69016751" w14:textId="77777777" w:rsidR="00135516" w:rsidRPr="002B3E1D" w:rsidRDefault="00135516" w:rsidP="00135516">
      <w:pPr>
        <w:spacing w:after="0" w:line="480" w:lineRule="auto"/>
        <w:jc w:val="both"/>
        <w:rPr>
          <w:rFonts w:ascii="Times New Roman" w:hAnsi="Times New Roman" w:cs="Times New Roman"/>
          <w:b/>
          <w:sz w:val="24"/>
          <w:szCs w:val="24"/>
          <w:lang w:val="en-US"/>
        </w:rPr>
      </w:pPr>
      <w:r w:rsidRPr="002B3E1D">
        <w:rPr>
          <w:rFonts w:ascii="Times New Roman" w:hAnsi="Times New Roman" w:cs="Times New Roman"/>
          <w:b/>
          <w:sz w:val="24"/>
          <w:szCs w:val="24"/>
          <w:lang w:val="en-US"/>
        </w:rPr>
        <w:t xml:space="preserve">Micro-foundations, OA, and Cross-border </w:t>
      </w:r>
      <w:r w:rsidR="00562D43" w:rsidRPr="002B3E1D">
        <w:rPr>
          <w:rFonts w:ascii="Times New Roman" w:hAnsi="Times New Roman" w:cs="Times New Roman"/>
          <w:b/>
          <w:sz w:val="24"/>
          <w:szCs w:val="24"/>
          <w:lang w:val="en-US"/>
        </w:rPr>
        <w:t>M&amp;A</w:t>
      </w:r>
      <w:r w:rsidRPr="002B3E1D">
        <w:rPr>
          <w:rFonts w:ascii="Times New Roman" w:hAnsi="Times New Roman" w:cs="Times New Roman"/>
          <w:b/>
          <w:sz w:val="24"/>
          <w:szCs w:val="24"/>
          <w:lang w:val="en-US"/>
        </w:rPr>
        <w:t>s</w:t>
      </w:r>
    </w:p>
    <w:p w14:paraId="75E5785F" w14:textId="2E8BFFF3" w:rsidR="0016235F" w:rsidRDefault="00135516" w:rsidP="0016235F">
      <w:pPr>
        <w:spacing w:after="0" w:line="480" w:lineRule="auto"/>
        <w:jc w:val="both"/>
        <w:rPr>
          <w:rFonts w:ascii="Times New Roman" w:hAnsi="Times New Roman" w:cs="Times New Roman"/>
          <w:sz w:val="24"/>
          <w:szCs w:val="24"/>
          <w:lang w:val="en-US"/>
        </w:rPr>
      </w:pPr>
      <w:r w:rsidRPr="002B3E1D">
        <w:rPr>
          <w:rFonts w:ascii="Times New Roman" w:hAnsi="Times New Roman" w:cs="Times New Roman"/>
          <w:sz w:val="24"/>
          <w:szCs w:val="24"/>
          <w:lang w:val="en-US"/>
        </w:rPr>
        <w:t xml:space="preserve">Knowledge is a key micro-foundational aspect for enabling </w:t>
      </w:r>
      <w:r w:rsidR="0002490D">
        <w:rPr>
          <w:rFonts w:ascii="Times New Roman" w:hAnsi="Times New Roman" w:cs="Times New Roman"/>
          <w:sz w:val="24"/>
          <w:szCs w:val="24"/>
          <w:lang w:val="en-US"/>
        </w:rPr>
        <w:t>OA</w:t>
      </w:r>
      <w:r w:rsidRPr="002B3E1D">
        <w:rPr>
          <w:rFonts w:ascii="Times New Roman" w:hAnsi="Times New Roman" w:cs="Times New Roman"/>
          <w:sz w:val="24"/>
          <w:szCs w:val="24"/>
          <w:lang w:val="en-US"/>
        </w:rPr>
        <w:t xml:space="preserve">. Without knowledge sharing (Von Krogh et al., 2001), knowledge assets remain resident within individual employees and cannot be readily codified and transferred for the development of new and existing capabilities, innovation, or advantage (Grant, 1996), particularly within the organizational context of </w:t>
      </w:r>
      <w:r w:rsidR="00562D43" w:rsidRPr="002B3E1D">
        <w:rPr>
          <w:rFonts w:ascii="Times New Roman" w:hAnsi="Times New Roman" w:cs="Times New Roman"/>
          <w:sz w:val="24"/>
          <w:szCs w:val="24"/>
          <w:lang w:val="en-US"/>
        </w:rPr>
        <w:t>M&amp;A</w:t>
      </w:r>
      <w:r w:rsidRPr="002B3E1D">
        <w:rPr>
          <w:rFonts w:ascii="Times New Roman" w:hAnsi="Times New Roman" w:cs="Times New Roman"/>
          <w:sz w:val="24"/>
          <w:szCs w:val="24"/>
          <w:lang w:val="en-US"/>
        </w:rPr>
        <w:t>s (Sarala et al., 2016). Strategic interactions between individuals represent fundamental micro-level mechanisms (Abell et al., 2008)</w:t>
      </w:r>
      <w:r w:rsidR="00D252BF" w:rsidRPr="002B3E1D">
        <w:rPr>
          <w:rFonts w:ascii="Times New Roman" w:hAnsi="Times New Roman" w:cs="Times New Roman"/>
          <w:sz w:val="24"/>
          <w:szCs w:val="24"/>
          <w:lang w:val="en-US"/>
        </w:rPr>
        <w:t>,</w:t>
      </w:r>
      <w:r w:rsidRPr="002B3E1D">
        <w:rPr>
          <w:rFonts w:ascii="Times New Roman" w:hAnsi="Times New Roman" w:cs="Times New Roman"/>
          <w:sz w:val="24"/>
          <w:szCs w:val="24"/>
          <w:lang w:val="en-US"/>
        </w:rPr>
        <w:t xml:space="preserve"> while routines and actions to share</w:t>
      </w:r>
      <w:r w:rsidR="00EA039C">
        <w:rPr>
          <w:rFonts w:ascii="Times New Roman" w:hAnsi="Times New Roman" w:cs="Times New Roman"/>
          <w:sz w:val="24"/>
          <w:szCs w:val="24"/>
          <w:lang w:val="en-US"/>
        </w:rPr>
        <w:t>,</w:t>
      </w:r>
      <w:r w:rsidRPr="002B3E1D">
        <w:rPr>
          <w:rFonts w:ascii="Times New Roman" w:hAnsi="Times New Roman" w:cs="Times New Roman"/>
          <w:sz w:val="24"/>
          <w:szCs w:val="24"/>
          <w:lang w:val="en-US"/>
        </w:rPr>
        <w:t xml:space="preserve"> and make use of</w:t>
      </w:r>
      <w:r w:rsidR="00EA039C">
        <w:rPr>
          <w:rFonts w:ascii="Times New Roman" w:hAnsi="Times New Roman" w:cs="Times New Roman"/>
          <w:sz w:val="24"/>
          <w:szCs w:val="24"/>
          <w:lang w:val="en-US"/>
        </w:rPr>
        <w:t>,</w:t>
      </w:r>
      <w:r w:rsidRPr="002B3E1D">
        <w:rPr>
          <w:rFonts w:ascii="Times New Roman" w:hAnsi="Times New Roman" w:cs="Times New Roman"/>
          <w:sz w:val="24"/>
          <w:szCs w:val="24"/>
          <w:lang w:val="en-US"/>
        </w:rPr>
        <w:t xml:space="preserve"> knowledge represent the mechanisms of interaction and aggregation in a micro-foundational view of OA (Felin and Foss, 2005). </w:t>
      </w:r>
      <w:r w:rsidR="0016235F">
        <w:rPr>
          <w:rFonts w:ascii="Times New Roman" w:hAnsi="Times New Roman" w:cs="Times New Roman"/>
          <w:sz w:val="24"/>
          <w:szCs w:val="24"/>
          <w:lang w:val="en-US"/>
        </w:rPr>
        <w:t>Theoretically</w:t>
      </w:r>
      <w:r w:rsidRPr="002B3E1D">
        <w:rPr>
          <w:rFonts w:ascii="Times New Roman" w:hAnsi="Times New Roman" w:cs="Times New Roman"/>
          <w:sz w:val="24"/>
          <w:szCs w:val="24"/>
          <w:lang w:val="en-US"/>
        </w:rPr>
        <w:t xml:space="preserve">, Helfat and Peteraf (2015) </w:t>
      </w:r>
      <w:r w:rsidR="0016235F">
        <w:rPr>
          <w:rFonts w:ascii="Times New Roman" w:hAnsi="Times New Roman" w:cs="Times New Roman"/>
          <w:sz w:val="24"/>
          <w:szCs w:val="24"/>
          <w:lang w:val="en-US"/>
        </w:rPr>
        <w:t>assert</w:t>
      </w:r>
      <w:r w:rsidR="0016235F" w:rsidRPr="002B3E1D">
        <w:rPr>
          <w:rFonts w:ascii="Times New Roman" w:hAnsi="Times New Roman" w:cs="Times New Roman"/>
          <w:sz w:val="24"/>
          <w:szCs w:val="24"/>
          <w:lang w:val="en-US"/>
        </w:rPr>
        <w:t xml:space="preserve"> </w:t>
      </w:r>
      <w:r w:rsidRPr="002B3E1D">
        <w:rPr>
          <w:rFonts w:ascii="Times New Roman" w:hAnsi="Times New Roman" w:cs="Times New Roman"/>
          <w:sz w:val="24"/>
          <w:szCs w:val="24"/>
          <w:lang w:val="en-US"/>
        </w:rPr>
        <w:t xml:space="preserve">that proficiency </w:t>
      </w:r>
      <w:r w:rsidR="0016235F">
        <w:rPr>
          <w:rFonts w:ascii="Times New Roman" w:hAnsi="Times New Roman" w:cs="Times New Roman"/>
          <w:sz w:val="24"/>
          <w:szCs w:val="24"/>
          <w:lang w:val="en-US"/>
        </w:rPr>
        <w:t xml:space="preserve">among employees </w:t>
      </w:r>
      <w:r w:rsidRPr="002B3E1D">
        <w:rPr>
          <w:rFonts w:ascii="Times New Roman" w:hAnsi="Times New Roman" w:cs="Times New Roman"/>
          <w:sz w:val="24"/>
          <w:szCs w:val="24"/>
          <w:lang w:val="en-US"/>
        </w:rPr>
        <w:t>at exchanging and combining ideas and expertise with one another can lead to opportunity identification, new projects to be initiated and better problem-solving. Similarly, Gavetti (2005) suggests that employees’ knowledge drive</w:t>
      </w:r>
      <w:r w:rsidR="003E7AE4">
        <w:rPr>
          <w:rFonts w:ascii="Times New Roman" w:hAnsi="Times New Roman" w:cs="Times New Roman"/>
          <w:sz w:val="24"/>
          <w:szCs w:val="24"/>
          <w:lang w:val="en-US"/>
        </w:rPr>
        <w:t>s</w:t>
      </w:r>
      <w:r w:rsidRPr="002B3E1D">
        <w:rPr>
          <w:rFonts w:ascii="Times New Roman" w:hAnsi="Times New Roman" w:cs="Times New Roman"/>
          <w:sz w:val="24"/>
          <w:szCs w:val="24"/>
          <w:lang w:val="en-US"/>
        </w:rPr>
        <w:t xml:space="preserve"> organizational search individually and collectively in ways that support the accumulation of capabilities. </w:t>
      </w:r>
      <w:r w:rsidR="0016235F">
        <w:rPr>
          <w:rFonts w:ascii="Times New Roman" w:hAnsi="Times New Roman" w:cs="Times New Roman"/>
          <w:sz w:val="24"/>
          <w:szCs w:val="24"/>
          <w:lang w:val="en-US"/>
        </w:rPr>
        <w:t xml:space="preserve">We </w:t>
      </w:r>
      <w:r w:rsidR="003E7AE4">
        <w:rPr>
          <w:rFonts w:ascii="Times New Roman" w:hAnsi="Times New Roman" w:cs="Times New Roman"/>
          <w:sz w:val="24"/>
          <w:szCs w:val="24"/>
          <w:lang w:val="en-US"/>
        </w:rPr>
        <w:t xml:space="preserve">thus </w:t>
      </w:r>
      <w:r w:rsidR="0016235F">
        <w:rPr>
          <w:rFonts w:ascii="Times New Roman" w:hAnsi="Times New Roman" w:cs="Times New Roman"/>
          <w:sz w:val="24"/>
          <w:szCs w:val="24"/>
          <w:lang w:val="en-US"/>
        </w:rPr>
        <w:t>infer that knowledge sharing among employees is the micro-foundational basis for OA.</w:t>
      </w:r>
    </w:p>
    <w:p w14:paraId="7F47CE91" w14:textId="4BE6D79B" w:rsidR="00135516" w:rsidRPr="002B3E1D" w:rsidRDefault="00135516" w:rsidP="00BB517D">
      <w:pPr>
        <w:spacing w:after="0" w:line="480" w:lineRule="auto"/>
        <w:ind w:firstLine="720"/>
        <w:jc w:val="both"/>
        <w:rPr>
          <w:rFonts w:ascii="Times New Roman" w:hAnsi="Times New Roman" w:cs="Times New Roman"/>
          <w:sz w:val="24"/>
          <w:szCs w:val="24"/>
          <w:lang w:val="en-US"/>
        </w:rPr>
      </w:pPr>
      <w:r w:rsidRPr="002B3E1D">
        <w:rPr>
          <w:rFonts w:ascii="Times New Roman" w:hAnsi="Times New Roman" w:cs="Times New Roman"/>
          <w:sz w:val="24"/>
          <w:szCs w:val="24"/>
          <w:lang w:val="en-US"/>
        </w:rPr>
        <w:t xml:space="preserve">Knowledge exchange </w:t>
      </w:r>
      <w:r w:rsidR="0016235F">
        <w:rPr>
          <w:rFonts w:ascii="Times New Roman" w:hAnsi="Times New Roman" w:cs="Times New Roman"/>
          <w:sz w:val="24"/>
          <w:szCs w:val="24"/>
          <w:lang w:val="en-US"/>
        </w:rPr>
        <w:t xml:space="preserve">can </w:t>
      </w:r>
      <w:r w:rsidRPr="002B3E1D">
        <w:rPr>
          <w:rFonts w:ascii="Times New Roman" w:hAnsi="Times New Roman" w:cs="Times New Roman"/>
          <w:sz w:val="24"/>
          <w:szCs w:val="24"/>
          <w:lang w:val="en-US"/>
        </w:rPr>
        <w:t>further occur by using the capabilities of the target firm and sharing capabilities between the acquirer and the acquired. For example, Paruch</w:t>
      </w:r>
      <w:r w:rsidR="0002490D">
        <w:rPr>
          <w:rFonts w:ascii="Times New Roman" w:hAnsi="Times New Roman" w:cs="Times New Roman"/>
          <w:sz w:val="24"/>
          <w:szCs w:val="24"/>
          <w:lang w:val="en-US"/>
        </w:rPr>
        <w:t>ur</w:t>
      </w:r>
      <w:r w:rsidRPr="002B3E1D">
        <w:rPr>
          <w:rFonts w:ascii="Times New Roman" w:hAnsi="Times New Roman" w:cs="Times New Roman"/>
          <w:sz w:val="24"/>
          <w:szCs w:val="24"/>
          <w:lang w:val="en-US"/>
        </w:rPr>
        <w:t xml:space="preserve">i and Eisenman </w:t>
      </w:r>
      <w:r w:rsidRPr="002B3E1D">
        <w:rPr>
          <w:rFonts w:ascii="Times New Roman" w:hAnsi="Times New Roman" w:cs="Times New Roman"/>
          <w:sz w:val="24"/>
          <w:szCs w:val="24"/>
          <w:lang w:val="en-US"/>
        </w:rPr>
        <w:lastRenderedPageBreak/>
        <w:t xml:space="preserve">(2012) examine the micro-foundations of </w:t>
      </w:r>
      <w:r w:rsidR="0016235F">
        <w:rPr>
          <w:rFonts w:ascii="Times New Roman" w:hAnsi="Times New Roman" w:cs="Times New Roman"/>
          <w:sz w:val="24"/>
          <w:szCs w:val="24"/>
          <w:lang w:val="en-US"/>
        </w:rPr>
        <w:t>research and development (</w:t>
      </w:r>
      <w:r w:rsidR="008F5536" w:rsidRPr="002B3E1D">
        <w:rPr>
          <w:rFonts w:ascii="Times New Roman" w:hAnsi="Times New Roman" w:cs="Times New Roman"/>
          <w:sz w:val="24"/>
          <w:szCs w:val="24"/>
          <w:lang w:val="en-US"/>
        </w:rPr>
        <w:t>R&amp;D</w:t>
      </w:r>
      <w:r w:rsidR="0016235F">
        <w:rPr>
          <w:rFonts w:ascii="Times New Roman" w:hAnsi="Times New Roman" w:cs="Times New Roman"/>
          <w:sz w:val="24"/>
          <w:szCs w:val="24"/>
          <w:lang w:val="en-US"/>
        </w:rPr>
        <w:t>)</w:t>
      </w:r>
      <w:r w:rsidRPr="002B3E1D">
        <w:rPr>
          <w:rFonts w:ascii="Times New Roman" w:hAnsi="Times New Roman" w:cs="Times New Roman"/>
          <w:sz w:val="24"/>
          <w:szCs w:val="24"/>
          <w:lang w:val="en-US"/>
        </w:rPr>
        <w:t xml:space="preserve"> capabilities through </w:t>
      </w:r>
      <w:r w:rsidR="00562D43" w:rsidRPr="002B3E1D">
        <w:rPr>
          <w:rFonts w:ascii="Times New Roman" w:hAnsi="Times New Roman" w:cs="Times New Roman"/>
          <w:sz w:val="24"/>
          <w:szCs w:val="24"/>
          <w:lang w:val="en-US"/>
        </w:rPr>
        <w:t>M&amp;A</w:t>
      </w:r>
      <w:r w:rsidRPr="002B3E1D">
        <w:rPr>
          <w:rFonts w:ascii="Times New Roman" w:hAnsi="Times New Roman" w:cs="Times New Roman"/>
          <w:sz w:val="24"/>
          <w:szCs w:val="24"/>
          <w:lang w:val="en-US"/>
        </w:rPr>
        <w:t xml:space="preserve">s (where ‘research’ </w:t>
      </w:r>
      <w:r w:rsidR="00B87199">
        <w:rPr>
          <w:rFonts w:ascii="Times New Roman" w:hAnsi="Times New Roman" w:cs="Times New Roman"/>
          <w:sz w:val="24"/>
          <w:szCs w:val="24"/>
          <w:lang w:val="en-US"/>
        </w:rPr>
        <w:t>represents</w:t>
      </w:r>
      <w:r w:rsidRPr="002B3E1D">
        <w:rPr>
          <w:rFonts w:ascii="Times New Roman" w:hAnsi="Times New Roman" w:cs="Times New Roman"/>
          <w:sz w:val="24"/>
          <w:szCs w:val="24"/>
          <w:lang w:val="en-US"/>
        </w:rPr>
        <w:t xml:space="preserve"> exploration and ‘development’ </w:t>
      </w:r>
      <w:r w:rsidR="00B87199">
        <w:rPr>
          <w:rFonts w:ascii="Times New Roman" w:hAnsi="Times New Roman" w:cs="Times New Roman"/>
          <w:sz w:val="24"/>
          <w:szCs w:val="24"/>
          <w:lang w:val="en-US"/>
        </w:rPr>
        <w:t>represents</w:t>
      </w:r>
      <w:r w:rsidRPr="002B3E1D">
        <w:rPr>
          <w:rFonts w:ascii="Times New Roman" w:hAnsi="Times New Roman" w:cs="Times New Roman"/>
          <w:sz w:val="24"/>
          <w:szCs w:val="24"/>
          <w:lang w:val="en-US"/>
        </w:rPr>
        <w:t xml:space="preserve"> exploitation), finding that the disruption caused by </w:t>
      </w:r>
      <w:r w:rsidR="00562D43" w:rsidRPr="002B3E1D">
        <w:rPr>
          <w:rFonts w:ascii="Times New Roman" w:hAnsi="Times New Roman" w:cs="Times New Roman"/>
          <w:sz w:val="24"/>
          <w:szCs w:val="24"/>
          <w:lang w:val="en-US"/>
        </w:rPr>
        <w:t>M&amp;A</w:t>
      </w:r>
      <w:r w:rsidRPr="002B3E1D">
        <w:rPr>
          <w:rFonts w:ascii="Times New Roman" w:hAnsi="Times New Roman" w:cs="Times New Roman"/>
          <w:sz w:val="24"/>
          <w:szCs w:val="24"/>
          <w:lang w:val="en-US"/>
        </w:rPr>
        <w:t>s changes the behavio</w:t>
      </w:r>
      <w:r w:rsidR="003E7AE4">
        <w:rPr>
          <w:rFonts w:ascii="Times New Roman" w:hAnsi="Times New Roman" w:cs="Times New Roman"/>
          <w:sz w:val="24"/>
          <w:szCs w:val="24"/>
          <w:lang w:val="en-US"/>
        </w:rPr>
        <w:t>u</w:t>
      </w:r>
      <w:r w:rsidRPr="002B3E1D">
        <w:rPr>
          <w:rFonts w:ascii="Times New Roman" w:hAnsi="Times New Roman" w:cs="Times New Roman"/>
          <w:sz w:val="24"/>
          <w:szCs w:val="24"/>
          <w:lang w:val="en-US"/>
        </w:rPr>
        <w:t xml:space="preserve">r of inventors and their networks within the firm in ways that hinder the ability of the acquirer to obtain the </w:t>
      </w:r>
      <w:r w:rsidR="008F5536" w:rsidRPr="002B3E1D">
        <w:rPr>
          <w:rFonts w:ascii="Times New Roman" w:hAnsi="Times New Roman" w:cs="Times New Roman"/>
          <w:sz w:val="24"/>
          <w:szCs w:val="24"/>
          <w:lang w:val="en-US"/>
        </w:rPr>
        <w:t>R&amp;D</w:t>
      </w:r>
      <w:r w:rsidRPr="002B3E1D">
        <w:rPr>
          <w:rFonts w:ascii="Times New Roman" w:hAnsi="Times New Roman" w:cs="Times New Roman"/>
          <w:sz w:val="24"/>
          <w:szCs w:val="24"/>
          <w:lang w:val="en-US"/>
        </w:rPr>
        <w:t xml:space="preserve"> capabilities of the target. Extrapolated to the thesis of OA, we </w:t>
      </w:r>
      <w:r w:rsidR="0016235F">
        <w:rPr>
          <w:rFonts w:ascii="Times New Roman" w:hAnsi="Times New Roman" w:cs="Times New Roman"/>
          <w:sz w:val="24"/>
          <w:szCs w:val="24"/>
          <w:lang w:val="en-US"/>
        </w:rPr>
        <w:t>theorize</w:t>
      </w:r>
      <w:r w:rsidRPr="002B3E1D">
        <w:rPr>
          <w:rFonts w:ascii="Times New Roman" w:hAnsi="Times New Roman" w:cs="Times New Roman"/>
          <w:sz w:val="24"/>
          <w:szCs w:val="24"/>
          <w:lang w:val="en-US"/>
        </w:rPr>
        <w:t xml:space="preserve"> that knowledge sharing among employees in the target and acquiring firms, the use of the target</w:t>
      </w:r>
      <w:r w:rsidR="005D3363">
        <w:rPr>
          <w:rFonts w:ascii="Times New Roman" w:hAnsi="Times New Roman" w:cs="Times New Roman"/>
          <w:sz w:val="24"/>
          <w:szCs w:val="24"/>
          <w:lang w:val="en-US"/>
        </w:rPr>
        <w:t>’</w:t>
      </w:r>
      <w:r w:rsidRPr="002B3E1D">
        <w:rPr>
          <w:rFonts w:ascii="Times New Roman" w:hAnsi="Times New Roman" w:cs="Times New Roman"/>
          <w:sz w:val="24"/>
          <w:szCs w:val="24"/>
          <w:lang w:val="en-US"/>
        </w:rPr>
        <w:t>s capabilities</w:t>
      </w:r>
      <w:r w:rsidR="005D3363">
        <w:rPr>
          <w:rFonts w:ascii="Times New Roman" w:hAnsi="Times New Roman" w:cs="Times New Roman"/>
          <w:sz w:val="24"/>
          <w:szCs w:val="24"/>
          <w:lang w:val="en-US"/>
        </w:rPr>
        <w:t>,</w:t>
      </w:r>
      <w:r w:rsidRPr="002B3E1D">
        <w:rPr>
          <w:rFonts w:ascii="Times New Roman" w:hAnsi="Times New Roman" w:cs="Times New Roman"/>
          <w:sz w:val="24"/>
          <w:szCs w:val="24"/>
          <w:lang w:val="en-US"/>
        </w:rPr>
        <w:t xml:space="preserve"> and sharing capabilities with the target in an </w:t>
      </w:r>
      <w:r w:rsidR="00562D43" w:rsidRPr="002B3E1D">
        <w:rPr>
          <w:rFonts w:ascii="Times New Roman" w:hAnsi="Times New Roman" w:cs="Times New Roman"/>
          <w:sz w:val="24"/>
          <w:szCs w:val="24"/>
          <w:lang w:val="en-US"/>
        </w:rPr>
        <w:t>M&amp;A</w:t>
      </w:r>
      <w:r w:rsidRPr="002B3E1D">
        <w:rPr>
          <w:rFonts w:ascii="Times New Roman" w:hAnsi="Times New Roman" w:cs="Times New Roman"/>
          <w:sz w:val="24"/>
          <w:szCs w:val="24"/>
          <w:lang w:val="en-US"/>
        </w:rPr>
        <w:t xml:space="preserve"> transaction create the social integration and aggregation necessary for exploitation (as sharing knowledge will refine each other’s activities and produce </w:t>
      </w:r>
      <w:r w:rsidR="005D3363">
        <w:rPr>
          <w:rFonts w:ascii="Times New Roman" w:hAnsi="Times New Roman" w:cs="Times New Roman"/>
          <w:sz w:val="24"/>
          <w:szCs w:val="24"/>
          <w:lang w:val="en-US"/>
        </w:rPr>
        <w:t>consistency</w:t>
      </w:r>
      <w:r w:rsidR="005D3363" w:rsidRPr="002B3E1D">
        <w:rPr>
          <w:rFonts w:ascii="Times New Roman" w:hAnsi="Times New Roman" w:cs="Times New Roman"/>
          <w:sz w:val="24"/>
          <w:szCs w:val="24"/>
          <w:lang w:val="en-US"/>
        </w:rPr>
        <w:t xml:space="preserve"> </w:t>
      </w:r>
      <w:r w:rsidRPr="002B3E1D">
        <w:rPr>
          <w:rFonts w:ascii="Times New Roman" w:hAnsi="Times New Roman" w:cs="Times New Roman"/>
          <w:sz w:val="24"/>
          <w:szCs w:val="24"/>
          <w:lang w:val="en-US"/>
        </w:rPr>
        <w:t xml:space="preserve">between both firms) and exploration (as the combination of new and previously unrelated matrices of knowledge should spark experimentation and new discovery), </w:t>
      </w:r>
      <w:r w:rsidR="0016235F">
        <w:rPr>
          <w:rFonts w:ascii="Times New Roman" w:hAnsi="Times New Roman" w:cs="Times New Roman"/>
          <w:sz w:val="24"/>
          <w:szCs w:val="24"/>
          <w:lang w:val="en-US"/>
        </w:rPr>
        <w:t>enabling</w:t>
      </w:r>
      <w:r w:rsidR="0016235F" w:rsidRPr="002B3E1D">
        <w:rPr>
          <w:rFonts w:ascii="Times New Roman" w:hAnsi="Times New Roman" w:cs="Times New Roman"/>
          <w:sz w:val="24"/>
          <w:szCs w:val="24"/>
          <w:lang w:val="en-US"/>
        </w:rPr>
        <w:t xml:space="preserve"> </w:t>
      </w:r>
      <w:r w:rsidRPr="002B3E1D">
        <w:rPr>
          <w:rFonts w:ascii="Times New Roman" w:hAnsi="Times New Roman" w:cs="Times New Roman"/>
          <w:sz w:val="24"/>
          <w:szCs w:val="24"/>
          <w:lang w:val="en-US"/>
        </w:rPr>
        <w:t xml:space="preserve">OA to transpire. </w:t>
      </w:r>
    </w:p>
    <w:p w14:paraId="00CC8CD6" w14:textId="1CFC408D" w:rsidR="00135516" w:rsidRPr="002B3E1D" w:rsidRDefault="0016235F" w:rsidP="00FB1291">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Drawing from the micro-foundations view, we</w:t>
      </w:r>
      <w:r w:rsidRPr="002B3E1D">
        <w:rPr>
          <w:rFonts w:ascii="Times New Roman" w:hAnsi="Times New Roman" w:cs="Times New Roman"/>
          <w:sz w:val="24"/>
          <w:szCs w:val="24"/>
          <w:lang w:val="en-US"/>
        </w:rPr>
        <w:t xml:space="preserve"> </w:t>
      </w:r>
      <w:r w:rsidR="00135516" w:rsidRPr="002B3E1D">
        <w:rPr>
          <w:rFonts w:ascii="Times New Roman" w:hAnsi="Times New Roman" w:cs="Times New Roman"/>
          <w:sz w:val="24"/>
          <w:szCs w:val="24"/>
          <w:lang w:val="en-US"/>
        </w:rPr>
        <w:t>argue that the structure and context in which knowledge sharing, and the sharing and use of capabilities take place</w:t>
      </w:r>
      <w:r w:rsidR="00BA2618">
        <w:rPr>
          <w:rFonts w:ascii="Times New Roman" w:hAnsi="Times New Roman" w:cs="Times New Roman"/>
          <w:sz w:val="24"/>
          <w:szCs w:val="24"/>
          <w:lang w:val="en-US"/>
        </w:rPr>
        <w:t>,</w:t>
      </w:r>
      <w:r w:rsidR="00135516" w:rsidRPr="002B3E1D">
        <w:rPr>
          <w:rFonts w:ascii="Times New Roman" w:hAnsi="Times New Roman" w:cs="Times New Roman"/>
          <w:sz w:val="24"/>
          <w:szCs w:val="24"/>
          <w:lang w:val="en-US"/>
        </w:rPr>
        <w:t xml:space="preserve"> conditions the extent to which OA</w:t>
      </w:r>
      <w:r>
        <w:rPr>
          <w:rFonts w:ascii="Times New Roman" w:hAnsi="Times New Roman" w:cs="Times New Roman"/>
          <w:sz w:val="24"/>
          <w:szCs w:val="24"/>
          <w:lang w:val="en-US"/>
        </w:rPr>
        <w:t xml:space="preserve"> is achieved</w:t>
      </w:r>
      <w:r w:rsidR="00135516" w:rsidRPr="002B3E1D">
        <w:rPr>
          <w:rFonts w:ascii="Times New Roman" w:hAnsi="Times New Roman" w:cs="Times New Roman"/>
          <w:sz w:val="24"/>
          <w:szCs w:val="24"/>
          <w:lang w:val="en-US"/>
        </w:rPr>
        <w:t>.</w:t>
      </w:r>
      <w:r w:rsidR="00FB1291" w:rsidRPr="002B3E1D">
        <w:rPr>
          <w:rFonts w:ascii="Times New Roman" w:hAnsi="Times New Roman" w:cs="Times New Roman"/>
          <w:sz w:val="24"/>
          <w:szCs w:val="24"/>
          <w:lang w:val="en-US"/>
        </w:rPr>
        <w:t xml:space="preserve"> </w:t>
      </w:r>
      <w:r w:rsidR="00135516" w:rsidRPr="002B3E1D">
        <w:rPr>
          <w:rFonts w:ascii="Times New Roman" w:hAnsi="Times New Roman" w:cs="Times New Roman"/>
          <w:sz w:val="24"/>
          <w:szCs w:val="24"/>
          <w:lang w:val="en-US"/>
        </w:rPr>
        <w:t>In micro-foundations terms, employees are enmeshed in different interactions within an organization (Felin et al., 2012)</w:t>
      </w:r>
      <w:r w:rsidR="0032408D">
        <w:rPr>
          <w:rFonts w:ascii="Times New Roman" w:hAnsi="Times New Roman" w:cs="Times New Roman"/>
          <w:sz w:val="24"/>
          <w:szCs w:val="24"/>
          <w:lang w:val="en-US"/>
        </w:rPr>
        <w:t>. T</w:t>
      </w:r>
      <w:r w:rsidR="00135516" w:rsidRPr="002B3E1D">
        <w:rPr>
          <w:rFonts w:ascii="Times New Roman" w:hAnsi="Times New Roman" w:cs="Times New Roman"/>
          <w:sz w:val="24"/>
          <w:szCs w:val="24"/>
          <w:lang w:val="en-US"/>
        </w:rPr>
        <w:t xml:space="preserve">heir actions are informed by the structures and context of the organization and the extent to which these structures and contexts facilitate or hinder action (Foss and Pedersen, 2016; Hodgson, 2012). </w:t>
      </w:r>
      <w:r w:rsidR="0032408D">
        <w:rPr>
          <w:rFonts w:ascii="Times New Roman" w:hAnsi="Times New Roman" w:cs="Times New Roman"/>
          <w:sz w:val="24"/>
          <w:szCs w:val="24"/>
          <w:lang w:val="en-US"/>
        </w:rPr>
        <w:t xml:space="preserve">Conditions in the organization’s structure and context </w:t>
      </w:r>
      <w:r w:rsidR="00135516" w:rsidRPr="002B3E1D">
        <w:rPr>
          <w:rFonts w:ascii="Times New Roman" w:hAnsi="Times New Roman" w:cs="Times New Roman"/>
          <w:sz w:val="24"/>
          <w:szCs w:val="24"/>
          <w:lang w:val="en-US"/>
        </w:rPr>
        <w:t>incentiv</w:t>
      </w:r>
      <w:r w:rsidR="0032408D">
        <w:rPr>
          <w:rFonts w:ascii="Times New Roman" w:hAnsi="Times New Roman" w:cs="Times New Roman"/>
          <w:sz w:val="24"/>
          <w:szCs w:val="24"/>
          <w:lang w:val="en-US"/>
        </w:rPr>
        <w:t>iz</w:t>
      </w:r>
      <w:r w:rsidR="00135516" w:rsidRPr="002B3E1D">
        <w:rPr>
          <w:rFonts w:ascii="Times New Roman" w:hAnsi="Times New Roman" w:cs="Times New Roman"/>
          <w:sz w:val="24"/>
          <w:szCs w:val="24"/>
          <w:lang w:val="en-US"/>
        </w:rPr>
        <w:t>e</w:t>
      </w:r>
      <w:r w:rsidR="003E7AE4">
        <w:rPr>
          <w:rFonts w:ascii="Times New Roman" w:hAnsi="Times New Roman" w:cs="Times New Roman"/>
          <w:sz w:val="24"/>
          <w:szCs w:val="24"/>
          <w:lang w:val="en-US"/>
        </w:rPr>
        <w:t>,</w:t>
      </w:r>
      <w:r w:rsidR="00135516" w:rsidRPr="002B3E1D">
        <w:rPr>
          <w:rFonts w:ascii="Times New Roman" w:hAnsi="Times New Roman" w:cs="Times New Roman"/>
          <w:sz w:val="24"/>
          <w:szCs w:val="24"/>
          <w:lang w:val="en-US"/>
        </w:rPr>
        <w:t xml:space="preserve"> </w:t>
      </w:r>
      <w:r w:rsidR="0032408D">
        <w:rPr>
          <w:rFonts w:ascii="Times New Roman" w:hAnsi="Times New Roman" w:cs="Times New Roman"/>
          <w:sz w:val="24"/>
          <w:szCs w:val="24"/>
          <w:lang w:val="en-US"/>
        </w:rPr>
        <w:t>or otherwise adversely</w:t>
      </w:r>
      <w:r w:rsidR="00135516" w:rsidRPr="002B3E1D">
        <w:rPr>
          <w:rFonts w:ascii="Times New Roman" w:hAnsi="Times New Roman" w:cs="Times New Roman"/>
          <w:sz w:val="24"/>
          <w:szCs w:val="24"/>
          <w:lang w:val="en-US"/>
        </w:rPr>
        <w:t xml:space="preserve"> impact</w:t>
      </w:r>
      <w:r w:rsidR="003E7AE4">
        <w:rPr>
          <w:rFonts w:ascii="Times New Roman" w:hAnsi="Times New Roman" w:cs="Times New Roman"/>
          <w:sz w:val="24"/>
          <w:szCs w:val="24"/>
          <w:lang w:val="en-US"/>
        </w:rPr>
        <w:t>,</w:t>
      </w:r>
      <w:r w:rsidR="00135516" w:rsidRPr="002B3E1D">
        <w:rPr>
          <w:rFonts w:ascii="Times New Roman" w:hAnsi="Times New Roman" w:cs="Times New Roman"/>
          <w:sz w:val="24"/>
          <w:szCs w:val="24"/>
          <w:lang w:val="en-US"/>
        </w:rPr>
        <w:t xml:space="preserve"> employees’ motivation</w:t>
      </w:r>
      <w:r w:rsidR="00233342">
        <w:rPr>
          <w:rFonts w:ascii="Times New Roman" w:hAnsi="Times New Roman" w:cs="Times New Roman"/>
          <w:sz w:val="24"/>
          <w:szCs w:val="24"/>
          <w:lang w:val="en-US"/>
        </w:rPr>
        <w:t>s</w:t>
      </w:r>
      <w:r w:rsidR="0032408D">
        <w:rPr>
          <w:rFonts w:ascii="Times New Roman" w:hAnsi="Times New Roman" w:cs="Times New Roman"/>
          <w:sz w:val="24"/>
          <w:szCs w:val="24"/>
          <w:lang w:val="en-US"/>
        </w:rPr>
        <w:t xml:space="preserve"> and ability</w:t>
      </w:r>
      <w:r w:rsidR="00135516" w:rsidRPr="002B3E1D">
        <w:rPr>
          <w:rFonts w:ascii="Times New Roman" w:hAnsi="Times New Roman" w:cs="Times New Roman"/>
          <w:sz w:val="24"/>
          <w:szCs w:val="24"/>
          <w:lang w:val="en-US"/>
        </w:rPr>
        <w:t xml:space="preserve"> to </w:t>
      </w:r>
      <w:r w:rsidR="00135516" w:rsidRPr="002B3E1D">
        <w:rPr>
          <w:rFonts w:ascii="Times New Roman" w:hAnsi="Times New Roman" w:cs="Times New Roman"/>
          <w:color w:val="222222"/>
          <w:sz w:val="24"/>
          <w:szCs w:val="24"/>
          <w:shd w:val="clear" w:color="auto" w:fill="FFFFFF"/>
          <w:lang w:val="en-US"/>
        </w:rPr>
        <w:t>perform explorative or exploitative behavio</w:t>
      </w:r>
      <w:r w:rsidR="003E7AE4">
        <w:rPr>
          <w:rFonts w:ascii="Times New Roman" w:hAnsi="Times New Roman" w:cs="Times New Roman"/>
          <w:color w:val="222222"/>
          <w:sz w:val="24"/>
          <w:szCs w:val="24"/>
          <w:shd w:val="clear" w:color="auto" w:fill="FFFFFF"/>
          <w:lang w:val="en-US"/>
        </w:rPr>
        <w:t>u</w:t>
      </w:r>
      <w:r w:rsidR="00135516" w:rsidRPr="002B3E1D">
        <w:rPr>
          <w:rFonts w:ascii="Times New Roman" w:hAnsi="Times New Roman" w:cs="Times New Roman"/>
          <w:color w:val="222222"/>
          <w:sz w:val="24"/>
          <w:szCs w:val="24"/>
          <w:shd w:val="clear" w:color="auto" w:fill="FFFFFF"/>
          <w:lang w:val="en-US"/>
        </w:rPr>
        <w:t>rs</w:t>
      </w:r>
      <w:r w:rsidR="00135516" w:rsidRPr="002B3E1D">
        <w:rPr>
          <w:rFonts w:ascii="Times New Roman" w:hAnsi="Times New Roman" w:cs="Times New Roman"/>
          <w:sz w:val="24"/>
          <w:szCs w:val="24"/>
          <w:lang w:val="en-US"/>
        </w:rPr>
        <w:t xml:space="preserve">. </w:t>
      </w:r>
      <w:r w:rsidR="0002490D">
        <w:rPr>
          <w:rFonts w:ascii="Times New Roman" w:hAnsi="Times New Roman" w:cs="Times New Roman"/>
          <w:sz w:val="24"/>
          <w:szCs w:val="24"/>
          <w:lang w:val="en-US"/>
        </w:rPr>
        <w:t>For example, t</w:t>
      </w:r>
      <w:r w:rsidR="003F4AE0" w:rsidRPr="002B3E1D">
        <w:rPr>
          <w:rFonts w:ascii="Times New Roman" w:hAnsi="Times New Roman" w:cs="Times New Roman"/>
          <w:sz w:val="24"/>
          <w:szCs w:val="24"/>
          <w:lang w:val="en-US"/>
        </w:rPr>
        <w:t xml:space="preserve">he </w:t>
      </w:r>
      <w:r w:rsidR="00135516" w:rsidRPr="002B3E1D">
        <w:rPr>
          <w:rFonts w:ascii="Times New Roman" w:hAnsi="Times New Roman" w:cs="Times New Roman"/>
          <w:sz w:val="24"/>
          <w:szCs w:val="24"/>
          <w:lang w:val="en-US"/>
        </w:rPr>
        <w:t>ability of organizational structure</w:t>
      </w:r>
      <w:r w:rsidR="0032408D">
        <w:rPr>
          <w:rFonts w:ascii="Times New Roman" w:hAnsi="Times New Roman" w:cs="Times New Roman"/>
          <w:sz w:val="24"/>
          <w:szCs w:val="24"/>
          <w:lang w:val="en-US"/>
        </w:rPr>
        <w:t>s</w:t>
      </w:r>
      <w:r w:rsidR="00135516" w:rsidRPr="002B3E1D">
        <w:rPr>
          <w:rFonts w:ascii="Times New Roman" w:hAnsi="Times New Roman" w:cs="Times New Roman"/>
          <w:sz w:val="24"/>
          <w:szCs w:val="24"/>
          <w:lang w:val="en-US"/>
        </w:rPr>
        <w:t xml:space="preserve"> to mobilize human and </w:t>
      </w:r>
      <w:r w:rsidR="0032408D">
        <w:rPr>
          <w:rFonts w:ascii="Times New Roman" w:hAnsi="Times New Roman" w:cs="Times New Roman"/>
          <w:sz w:val="24"/>
          <w:szCs w:val="24"/>
          <w:lang w:val="en-US"/>
        </w:rPr>
        <w:t>intellectual</w:t>
      </w:r>
      <w:r w:rsidR="0032408D" w:rsidRPr="002B3E1D">
        <w:rPr>
          <w:rFonts w:ascii="Times New Roman" w:hAnsi="Times New Roman" w:cs="Times New Roman"/>
          <w:sz w:val="24"/>
          <w:szCs w:val="24"/>
          <w:lang w:val="en-US"/>
        </w:rPr>
        <w:t xml:space="preserve"> </w:t>
      </w:r>
      <w:r w:rsidR="00135516" w:rsidRPr="002B3E1D">
        <w:rPr>
          <w:rFonts w:ascii="Times New Roman" w:hAnsi="Times New Roman" w:cs="Times New Roman"/>
          <w:sz w:val="24"/>
          <w:szCs w:val="24"/>
          <w:lang w:val="en-US"/>
        </w:rPr>
        <w:t>capital</w:t>
      </w:r>
      <w:r w:rsidR="0032408D">
        <w:rPr>
          <w:rFonts w:ascii="Times New Roman" w:hAnsi="Times New Roman" w:cs="Times New Roman"/>
          <w:sz w:val="24"/>
          <w:szCs w:val="24"/>
          <w:lang w:val="en-US"/>
        </w:rPr>
        <w:t>s</w:t>
      </w:r>
      <w:r w:rsidR="00135516" w:rsidRPr="002B3E1D">
        <w:rPr>
          <w:rFonts w:ascii="Times New Roman" w:hAnsi="Times New Roman" w:cs="Times New Roman"/>
          <w:sz w:val="24"/>
          <w:szCs w:val="24"/>
          <w:lang w:val="en-US"/>
        </w:rPr>
        <w:t xml:space="preserve"> </w:t>
      </w:r>
      <w:r w:rsidR="0032408D">
        <w:rPr>
          <w:rFonts w:ascii="Times New Roman" w:hAnsi="Times New Roman" w:cs="Times New Roman"/>
          <w:sz w:val="24"/>
          <w:szCs w:val="24"/>
          <w:lang w:val="en-US"/>
        </w:rPr>
        <w:t xml:space="preserve">is tied theoretically to </w:t>
      </w:r>
      <w:r w:rsidR="00135516" w:rsidRPr="002B3E1D">
        <w:rPr>
          <w:rFonts w:ascii="Times New Roman" w:hAnsi="Times New Roman" w:cs="Times New Roman"/>
          <w:sz w:val="24"/>
          <w:szCs w:val="24"/>
          <w:lang w:val="en-US"/>
        </w:rPr>
        <w:t xml:space="preserve">individuals’ </w:t>
      </w:r>
      <w:r w:rsidR="0032408D">
        <w:rPr>
          <w:rFonts w:ascii="Times New Roman" w:hAnsi="Times New Roman" w:cs="Times New Roman"/>
          <w:sz w:val="24"/>
          <w:szCs w:val="24"/>
          <w:lang w:val="en-US"/>
        </w:rPr>
        <w:t xml:space="preserve">subsequent </w:t>
      </w:r>
      <w:r w:rsidR="0002490D">
        <w:rPr>
          <w:rFonts w:ascii="Times New Roman" w:hAnsi="Times New Roman" w:cs="Times New Roman"/>
          <w:sz w:val="24"/>
          <w:szCs w:val="24"/>
          <w:lang w:val="en-US"/>
        </w:rPr>
        <w:t>combination</w:t>
      </w:r>
      <w:r w:rsidR="0002490D" w:rsidRPr="002B3E1D" w:rsidDel="0002490D">
        <w:rPr>
          <w:rFonts w:ascii="Times New Roman" w:hAnsi="Times New Roman" w:cs="Times New Roman"/>
          <w:sz w:val="24"/>
          <w:szCs w:val="24"/>
          <w:lang w:val="en-US"/>
        </w:rPr>
        <w:t xml:space="preserve"> </w:t>
      </w:r>
      <w:r w:rsidR="00135516" w:rsidRPr="002B3E1D">
        <w:rPr>
          <w:rFonts w:ascii="Times New Roman" w:hAnsi="Times New Roman" w:cs="Times New Roman"/>
          <w:sz w:val="24"/>
          <w:szCs w:val="24"/>
          <w:lang w:val="en-US"/>
        </w:rPr>
        <w:t>of exploitative and explorative activities</w:t>
      </w:r>
      <w:r w:rsidR="0032408D">
        <w:rPr>
          <w:rFonts w:ascii="Times New Roman" w:hAnsi="Times New Roman" w:cs="Times New Roman"/>
          <w:sz w:val="24"/>
          <w:szCs w:val="24"/>
          <w:lang w:val="en-US"/>
        </w:rPr>
        <w:t xml:space="preserve"> (e.g., </w:t>
      </w:r>
      <w:r w:rsidR="0032408D" w:rsidRPr="002B3E1D">
        <w:rPr>
          <w:rFonts w:ascii="Times New Roman" w:hAnsi="Times New Roman" w:cs="Times New Roman"/>
          <w:sz w:val="24"/>
          <w:szCs w:val="24"/>
          <w:lang w:val="en-US"/>
        </w:rPr>
        <w:t>Hodgkinson et al.</w:t>
      </w:r>
      <w:r w:rsidR="0032408D">
        <w:rPr>
          <w:rFonts w:ascii="Times New Roman" w:hAnsi="Times New Roman" w:cs="Times New Roman"/>
          <w:sz w:val="24"/>
          <w:szCs w:val="24"/>
          <w:lang w:val="en-US"/>
        </w:rPr>
        <w:t>,</w:t>
      </w:r>
      <w:r w:rsidR="0032408D" w:rsidRPr="002B3E1D">
        <w:rPr>
          <w:rFonts w:ascii="Times New Roman" w:hAnsi="Times New Roman" w:cs="Times New Roman"/>
          <w:sz w:val="24"/>
          <w:szCs w:val="24"/>
          <w:lang w:val="en-US"/>
        </w:rPr>
        <w:t xml:space="preserve"> 2014</w:t>
      </w:r>
      <w:r w:rsidR="0032408D">
        <w:rPr>
          <w:rFonts w:ascii="Times New Roman" w:hAnsi="Times New Roman" w:cs="Times New Roman"/>
          <w:sz w:val="24"/>
          <w:szCs w:val="24"/>
          <w:lang w:val="en-US"/>
        </w:rPr>
        <w:t>; Hughes, 2018; Kang and Snell, 2009)</w:t>
      </w:r>
      <w:r w:rsidR="00135516" w:rsidRPr="002B3E1D">
        <w:rPr>
          <w:rFonts w:ascii="Times New Roman" w:hAnsi="Times New Roman" w:cs="Times New Roman"/>
          <w:sz w:val="24"/>
          <w:szCs w:val="24"/>
          <w:lang w:val="en-US"/>
        </w:rPr>
        <w:t xml:space="preserve">. We </w:t>
      </w:r>
      <w:r w:rsidR="003E7AE4">
        <w:rPr>
          <w:rFonts w:ascii="Times New Roman" w:hAnsi="Times New Roman" w:cs="Times New Roman"/>
          <w:sz w:val="24"/>
          <w:szCs w:val="24"/>
          <w:lang w:val="en-US"/>
        </w:rPr>
        <w:t xml:space="preserve">therefore </w:t>
      </w:r>
      <w:r w:rsidR="0032408D">
        <w:rPr>
          <w:rFonts w:ascii="Times New Roman" w:hAnsi="Times New Roman" w:cs="Times New Roman"/>
          <w:sz w:val="24"/>
          <w:szCs w:val="24"/>
          <w:lang w:val="en-US"/>
        </w:rPr>
        <w:t>put forward</w:t>
      </w:r>
      <w:r w:rsidR="0032408D" w:rsidRPr="002B3E1D">
        <w:rPr>
          <w:rFonts w:ascii="Times New Roman" w:hAnsi="Times New Roman" w:cs="Times New Roman"/>
          <w:sz w:val="24"/>
          <w:szCs w:val="24"/>
          <w:lang w:val="en-US"/>
        </w:rPr>
        <w:t xml:space="preserve"> </w:t>
      </w:r>
      <w:r w:rsidR="00135516" w:rsidRPr="002B3E1D">
        <w:rPr>
          <w:rFonts w:ascii="Times New Roman" w:hAnsi="Times New Roman" w:cs="Times New Roman"/>
          <w:sz w:val="24"/>
          <w:szCs w:val="24"/>
          <w:lang w:val="en-US"/>
        </w:rPr>
        <w:lastRenderedPageBreak/>
        <w:t>two contextual and structural contingencies: corporate entrepreneurship and post-</w:t>
      </w:r>
      <w:r w:rsidR="00562D43" w:rsidRPr="002B3E1D">
        <w:rPr>
          <w:rFonts w:ascii="Times New Roman" w:hAnsi="Times New Roman" w:cs="Times New Roman"/>
          <w:sz w:val="24"/>
          <w:szCs w:val="24"/>
          <w:lang w:val="en-US"/>
        </w:rPr>
        <w:t>M&amp;A</w:t>
      </w:r>
      <w:r w:rsidR="00135516" w:rsidRPr="002B3E1D">
        <w:rPr>
          <w:rFonts w:ascii="Times New Roman" w:hAnsi="Times New Roman" w:cs="Times New Roman"/>
          <w:sz w:val="24"/>
          <w:szCs w:val="24"/>
          <w:lang w:val="en-US"/>
        </w:rPr>
        <w:t xml:space="preserve"> integration. </w:t>
      </w:r>
    </w:p>
    <w:p w14:paraId="4243A078" w14:textId="684968D2" w:rsidR="00135516" w:rsidRPr="002B3E1D" w:rsidRDefault="00135516" w:rsidP="00135516">
      <w:pPr>
        <w:spacing w:after="0" w:line="480" w:lineRule="auto"/>
        <w:ind w:firstLine="720"/>
        <w:jc w:val="both"/>
        <w:rPr>
          <w:rFonts w:ascii="Times New Roman" w:hAnsi="Times New Roman" w:cs="Times New Roman"/>
          <w:sz w:val="24"/>
          <w:szCs w:val="24"/>
          <w:lang w:val="en-US"/>
        </w:rPr>
      </w:pPr>
      <w:r w:rsidRPr="002B3E1D">
        <w:rPr>
          <w:rFonts w:ascii="Times New Roman" w:hAnsi="Times New Roman" w:cs="Times New Roman"/>
          <w:sz w:val="24"/>
          <w:szCs w:val="24"/>
          <w:lang w:val="en-US"/>
        </w:rPr>
        <w:t>Corporate entrepreneurship (CE) (Burgers and Covin, 2016; Kuratko et al., 2015) reflects the attitudes and priorities of senior managers in their organization of the firm’s activities</w:t>
      </w:r>
      <w:r w:rsidRPr="00BB78C9">
        <w:rPr>
          <w:rFonts w:ascii="Times New Roman" w:hAnsi="Times New Roman" w:cs="Times New Roman"/>
          <w:sz w:val="24"/>
          <w:szCs w:val="24"/>
          <w:lang w:val="en-US"/>
        </w:rPr>
        <w:t>. CE involves creating structures within the organization that facilitate autonomy</w:t>
      </w:r>
      <w:r w:rsidR="00BB78C9" w:rsidRPr="00BB517D">
        <w:rPr>
          <w:rFonts w:ascii="Times New Roman" w:hAnsi="Times New Roman" w:cs="Times New Roman"/>
          <w:sz w:val="24"/>
          <w:szCs w:val="24"/>
          <w:lang w:val="en-US"/>
        </w:rPr>
        <w:t xml:space="preserve"> </w:t>
      </w:r>
      <w:r w:rsidRPr="00BB78C9">
        <w:rPr>
          <w:rFonts w:ascii="Times New Roman" w:hAnsi="Times New Roman" w:cs="Times New Roman"/>
          <w:sz w:val="24"/>
          <w:szCs w:val="24"/>
          <w:lang w:val="en-US"/>
        </w:rPr>
        <w:t>(</w:t>
      </w:r>
      <w:r w:rsidRPr="00BB78C9">
        <w:rPr>
          <w:rFonts w:ascii="Times New Roman" w:hAnsi="Times New Roman" w:cs="Times New Roman"/>
          <w:color w:val="222222"/>
          <w:sz w:val="24"/>
          <w:szCs w:val="24"/>
          <w:shd w:val="clear" w:color="auto" w:fill="FFFFFF"/>
          <w:lang w:val="en-US"/>
        </w:rPr>
        <w:t>Burgers and Covin, 2016</w:t>
      </w:r>
      <w:r w:rsidRPr="00BB78C9">
        <w:rPr>
          <w:rFonts w:ascii="Times New Roman" w:hAnsi="Times New Roman" w:cs="Times New Roman"/>
          <w:sz w:val="24"/>
          <w:szCs w:val="24"/>
          <w:lang w:val="en-US"/>
        </w:rPr>
        <w:t>; Zahra, 1996).</w:t>
      </w:r>
      <w:r w:rsidRPr="002B3E1D">
        <w:rPr>
          <w:rFonts w:ascii="Times New Roman" w:hAnsi="Times New Roman" w:cs="Times New Roman"/>
          <w:sz w:val="24"/>
          <w:szCs w:val="24"/>
          <w:lang w:val="en-US"/>
        </w:rPr>
        <w:t xml:space="preserve"> </w:t>
      </w:r>
      <w:r w:rsidR="00BB78C9">
        <w:rPr>
          <w:rFonts w:ascii="Times New Roman" w:hAnsi="Times New Roman" w:cs="Times New Roman"/>
          <w:sz w:val="24"/>
          <w:szCs w:val="24"/>
          <w:lang w:val="en-US"/>
        </w:rPr>
        <w:t>R</w:t>
      </w:r>
      <w:r w:rsidRPr="002B3E1D">
        <w:rPr>
          <w:rFonts w:ascii="Times New Roman" w:hAnsi="Times New Roman" w:cs="Times New Roman"/>
          <w:sz w:val="24"/>
          <w:szCs w:val="24"/>
          <w:lang w:val="en-US"/>
        </w:rPr>
        <w:t>isk-averse senior managers prioritize activities whose outcomes are proximate, certain and immediate (i.e. exploitative-mode innovation activities</w:t>
      </w:r>
      <w:r w:rsidR="00BB78C9">
        <w:rPr>
          <w:rFonts w:ascii="Times New Roman" w:hAnsi="Times New Roman" w:cs="Times New Roman"/>
          <w:sz w:val="24"/>
          <w:szCs w:val="24"/>
          <w:lang w:val="en-US"/>
        </w:rPr>
        <w:t xml:space="preserve"> at best</w:t>
      </w:r>
      <w:r w:rsidRPr="002B3E1D">
        <w:rPr>
          <w:rFonts w:ascii="Times New Roman" w:hAnsi="Times New Roman" w:cs="Times New Roman"/>
          <w:sz w:val="24"/>
          <w:szCs w:val="24"/>
          <w:lang w:val="en-US"/>
        </w:rPr>
        <w:t>)</w:t>
      </w:r>
      <w:r w:rsidR="0002490D">
        <w:rPr>
          <w:rFonts w:ascii="Times New Roman" w:hAnsi="Times New Roman" w:cs="Times New Roman"/>
          <w:sz w:val="24"/>
          <w:szCs w:val="24"/>
          <w:lang w:val="en-US"/>
        </w:rPr>
        <w:t>,</w:t>
      </w:r>
      <w:r w:rsidR="004B2958">
        <w:rPr>
          <w:rFonts w:ascii="Times New Roman" w:hAnsi="Times New Roman" w:cs="Times New Roman"/>
          <w:sz w:val="24"/>
          <w:szCs w:val="24"/>
          <w:lang w:val="en-US"/>
        </w:rPr>
        <w:t xml:space="preserve"> whereas embracing CE advocates structures that promote taking initiative, acting boldly, and moving quickly</w:t>
      </w:r>
      <w:r w:rsidRPr="002B3E1D">
        <w:rPr>
          <w:rFonts w:ascii="Times New Roman" w:hAnsi="Times New Roman" w:cs="Times New Roman"/>
          <w:sz w:val="24"/>
          <w:szCs w:val="24"/>
          <w:lang w:val="en-US"/>
        </w:rPr>
        <w:t>.</w:t>
      </w:r>
      <w:r w:rsidR="004B2958">
        <w:rPr>
          <w:rFonts w:ascii="Times New Roman" w:hAnsi="Times New Roman" w:cs="Times New Roman"/>
          <w:sz w:val="24"/>
          <w:szCs w:val="24"/>
          <w:lang w:val="en-US"/>
        </w:rPr>
        <w:t xml:space="preserve"> Autonomy </w:t>
      </w:r>
      <w:r w:rsidR="0002490D">
        <w:rPr>
          <w:rFonts w:ascii="Times New Roman" w:hAnsi="Times New Roman" w:cs="Times New Roman"/>
          <w:sz w:val="24"/>
          <w:szCs w:val="24"/>
          <w:lang w:val="en-US"/>
        </w:rPr>
        <w:t>becomes embedded across the organization</w:t>
      </w:r>
      <w:r w:rsidR="004B2958">
        <w:rPr>
          <w:rFonts w:ascii="Times New Roman" w:hAnsi="Times New Roman" w:cs="Times New Roman"/>
          <w:sz w:val="24"/>
          <w:szCs w:val="24"/>
          <w:lang w:val="en-US"/>
        </w:rPr>
        <w:t>.</w:t>
      </w:r>
      <w:r w:rsidRPr="002B3E1D">
        <w:rPr>
          <w:rFonts w:ascii="Times New Roman" w:hAnsi="Times New Roman" w:cs="Times New Roman"/>
          <w:sz w:val="24"/>
          <w:szCs w:val="24"/>
          <w:lang w:val="en-US"/>
        </w:rPr>
        <w:t xml:space="preserve"> On the other hand, a firm’s ability to manage exploration and exploitation simultaneously includes </w:t>
      </w:r>
      <w:r w:rsidR="004B2958">
        <w:rPr>
          <w:rFonts w:ascii="Times New Roman" w:hAnsi="Times New Roman" w:cs="Times New Roman"/>
          <w:sz w:val="24"/>
          <w:szCs w:val="24"/>
          <w:lang w:val="en-US"/>
        </w:rPr>
        <w:t>integrating</w:t>
      </w:r>
      <w:r w:rsidRPr="002B3E1D">
        <w:rPr>
          <w:rFonts w:ascii="Times New Roman" w:hAnsi="Times New Roman" w:cs="Times New Roman"/>
          <w:sz w:val="24"/>
          <w:szCs w:val="24"/>
          <w:lang w:val="en-US"/>
        </w:rPr>
        <w:t xml:space="preserve"> specializations that reside within and across the firm’s boundaries (Kauppila, 2010; Lavie et al., 2010;</w:t>
      </w:r>
      <w:r w:rsidRPr="002B3E1D">
        <w:rPr>
          <w:lang w:val="en-US"/>
        </w:rPr>
        <w:t xml:space="preserve"> </w:t>
      </w:r>
      <w:r w:rsidRPr="002B3E1D">
        <w:rPr>
          <w:rFonts w:ascii="Times New Roman" w:hAnsi="Times New Roman" w:cs="Times New Roman"/>
          <w:sz w:val="24"/>
          <w:szCs w:val="24"/>
          <w:lang w:val="en-US"/>
        </w:rPr>
        <w:t xml:space="preserve">Paruchuri and Eisenman, 2012). In </w:t>
      </w:r>
      <w:r w:rsidR="00562D43" w:rsidRPr="002B3E1D">
        <w:rPr>
          <w:rFonts w:ascii="Times New Roman" w:hAnsi="Times New Roman" w:cs="Times New Roman"/>
          <w:sz w:val="24"/>
          <w:szCs w:val="24"/>
          <w:lang w:val="en-US"/>
        </w:rPr>
        <w:t>M&amp;A</w:t>
      </w:r>
      <w:r w:rsidRPr="002B3E1D">
        <w:rPr>
          <w:rFonts w:ascii="Times New Roman" w:hAnsi="Times New Roman" w:cs="Times New Roman"/>
          <w:sz w:val="24"/>
          <w:szCs w:val="24"/>
          <w:lang w:val="en-US"/>
        </w:rPr>
        <w:t xml:space="preserve">s, </w:t>
      </w:r>
      <w:r w:rsidR="00FB1291" w:rsidRPr="002B3E1D">
        <w:rPr>
          <w:rFonts w:ascii="Times New Roman" w:hAnsi="Times New Roman" w:cs="Times New Roman"/>
          <w:sz w:val="24"/>
          <w:szCs w:val="24"/>
          <w:lang w:val="en-US"/>
        </w:rPr>
        <w:t>t</w:t>
      </w:r>
      <w:r w:rsidRPr="002B3E1D">
        <w:rPr>
          <w:rFonts w:ascii="Times New Roman" w:hAnsi="Times New Roman" w:cs="Times New Roman"/>
          <w:sz w:val="24"/>
          <w:szCs w:val="24"/>
          <w:lang w:val="en-US"/>
        </w:rPr>
        <w:t>he extent of post-</w:t>
      </w:r>
      <w:r w:rsidR="00562D43" w:rsidRPr="002B3E1D">
        <w:rPr>
          <w:rFonts w:ascii="Times New Roman" w:hAnsi="Times New Roman" w:cs="Times New Roman"/>
          <w:sz w:val="24"/>
          <w:szCs w:val="24"/>
          <w:lang w:val="en-US"/>
        </w:rPr>
        <w:t>M&amp;A</w:t>
      </w:r>
      <w:r w:rsidRPr="002B3E1D">
        <w:rPr>
          <w:rFonts w:ascii="Times New Roman" w:hAnsi="Times New Roman" w:cs="Times New Roman"/>
          <w:sz w:val="24"/>
          <w:szCs w:val="24"/>
          <w:lang w:val="en-US"/>
        </w:rPr>
        <w:t xml:space="preserve"> integration can alter the extent to which </w:t>
      </w:r>
      <w:r w:rsidR="0095639C">
        <w:rPr>
          <w:rFonts w:ascii="Times New Roman" w:hAnsi="Times New Roman" w:cs="Times New Roman"/>
          <w:sz w:val="24"/>
          <w:szCs w:val="24"/>
          <w:lang w:val="en-US"/>
        </w:rPr>
        <w:t>the firm</w:t>
      </w:r>
      <w:r w:rsidR="0095639C" w:rsidRPr="002B3E1D">
        <w:rPr>
          <w:rFonts w:ascii="Times New Roman" w:hAnsi="Times New Roman" w:cs="Times New Roman"/>
          <w:sz w:val="24"/>
          <w:szCs w:val="24"/>
          <w:lang w:val="en-US"/>
        </w:rPr>
        <w:t xml:space="preserve"> </w:t>
      </w:r>
      <w:r w:rsidRPr="002B3E1D">
        <w:rPr>
          <w:rFonts w:ascii="Times New Roman" w:hAnsi="Times New Roman" w:cs="Times New Roman"/>
          <w:sz w:val="24"/>
          <w:szCs w:val="24"/>
          <w:lang w:val="en-US"/>
        </w:rPr>
        <w:t xml:space="preserve">leverages knowledge and capabilities across the target and acquirer. A higher degree of </w:t>
      </w:r>
      <w:r w:rsidR="0095639C" w:rsidRPr="002B3E1D">
        <w:rPr>
          <w:rFonts w:ascii="Times New Roman" w:hAnsi="Times New Roman" w:cs="Times New Roman"/>
          <w:sz w:val="24"/>
          <w:szCs w:val="24"/>
          <w:lang w:val="en-US"/>
        </w:rPr>
        <w:t xml:space="preserve">integration </w:t>
      </w:r>
      <w:r w:rsidRPr="002B3E1D">
        <w:rPr>
          <w:rFonts w:ascii="Times New Roman" w:hAnsi="Times New Roman" w:cs="Times New Roman"/>
          <w:sz w:val="24"/>
          <w:szCs w:val="24"/>
          <w:lang w:val="en-US"/>
        </w:rPr>
        <w:t>changes the ways in which individuals across the target and acquirer work together</w:t>
      </w:r>
      <w:r w:rsidR="004B2958">
        <w:rPr>
          <w:rFonts w:ascii="Times New Roman" w:hAnsi="Times New Roman" w:cs="Times New Roman"/>
          <w:sz w:val="24"/>
          <w:szCs w:val="24"/>
          <w:lang w:val="en-US"/>
        </w:rPr>
        <w:t>,</w:t>
      </w:r>
      <w:r w:rsidR="0095639C">
        <w:rPr>
          <w:rFonts w:ascii="Times New Roman" w:hAnsi="Times New Roman" w:cs="Times New Roman"/>
          <w:sz w:val="24"/>
          <w:szCs w:val="24"/>
          <w:lang w:val="en-US"/>
        </w:rPr>
        <w:t xml:space="preserve"> with knowledge sharing opportunities more</w:t>
      </w:r>
      <w:r w:rsidR="0095639C" w:rsidRPr="0095639C">
        <w:rPr>
          <w:rFonts w:ascii="Times New Roman" w:hAnsi="Times New Roman" w:cs="Times New Roman"/>
          <w:sz w:val="24"/>
          <w:szCs w:val="24"/>
          <w:lang w:val="en-US"/>
        </w:rPr>
        <w:t xml:space="preserve"> </w:t>
      </w:r>
      <w:r w:rsidR="0095639C" w:rsidRPr="002B3E1D">
        <w:rPr>
          <w:rFonts w:ascii="Times New Roman" w:hAnsi="Times New Roman" w:cs="Times New Roman"/>
          <w:sz w:val="24"/>
          <w:szCs w:val="24"/>
          <w:lang w:val="en-US"/>
        </w:rPr>
        <w:t>widely available</w:t>
      </w:r>
      <w:r w:rsidR="0095639C">
        <w:rPr>
          <w:rFonts w:ascii="Times New Roman" w:hAnsi="Times New Roman" w:cs="Times New Roman"/>
          <w:sz w:val="24"/>
          <w:szCs w:val="24"/>
          <w:lang w:val="en-US"/>
        </w:rPr>
        <w:t>. Less integration means more autonomy, leaving individuals across the acquired and acquir</w:t>
      </w:r>
      <w:r w:rsidR="0002490D">
        <w:rPr>
          <w:rFonts w:ascii="Times New Roman" w:hAnsi="Times New Roman" w:cs="Times New Roman"/>
          <w:sz w:val="24"/>
          <w:szCs w:val="24"/>
          <w:lang w:val="en-US"/>
        </w:rPr>
        <w:t>ing firms</w:t>
      </w:r>
      <w:r w:rsidR="0095639C">
        <w:rPr>
          <w:rFonts w:ascii="Times New Roman" w:hAnsi="Times New Roman" w:cs="Times New Roman"/>
          <w:sz w:val="24"/>
          <w:szCs w:val="24"/>
          <w:lang w:val="en-US"/>
        </w:rPr>
        <w:t xml:space="preserve"> </w:t>
      </w:r>
      <w:r w:rsidR="004B2958">
        <w:rPr>
          <w:rFonts w:ascii="Times New Roman" w:hAnsi="Times New Roman" w:cs="Times New Roman"/>
          <w:sz w:val="24"/>
          <w:szCs w:val="24"/>
          <w:lang w:val="en-US"/>
        </w:rPr>
        <w:t xml:space="preserve">potentially </w:t>
      </w:r>
      <w:r w:rsidR="0095639C">
        <w:rPr>
          <w:rFonts w:ascii="Times New Roman" w:hAnsi="Times New Roman" w:cs="Times New Roman"/>
          <w:sz w:val="24"/>
          <w:szCs w:val="24"/>
          <w:lang w:val="en-US"/>
        </w:rPr>
        <w:t>isolated</w:t>
      </w:r>
      <w:r w:rsidR="000851E6">
        <w:rPr>
          <w:rFonts w:ascii="Times New Roman" w:hAnsi="Times New Roman" w:cs="Times New Roman"/>
          <w:sz w:val="24"/>
          <w:szCs w:val="24"/>
          <w:lang w:val="en-US"/>
        </w:rPr>
        <w:t xml:space="preserve"> (more so for cross-border M&amp;As)</w:t>
      </w:r>
      <w:r w:rsidR="0095639C">
        <w:rPr>
          <w:rFonts w:ascii="Times New Roman" w:hAnsi="Times New Roman" w:cs="Times New Roman"/>
          <w:sz w:val="24"/>
          <w:szCs w:val="24"/>
          <w:lang w:val="en-US"/>
        </w:rPr>
        <w:t>. In this circumstance, opportunities to</w:t>
      </w:r>
      <w:r w:rsidRPr="002B3E1D">
        <w:rPr>
          <w:rFonts w:ascii="Times New Roman" w:hAnsi="Times New Roman" w:cs="Times New Roman"/>
          <w:sz w:val="24"/>
          <w:szCs w:val="24"/>
          <w:lang w:val="en-US"/>
        </w:rPr>
        <w:t xml:space="preserve"> share knowledge </w:t>
      </w:r>
      <w:r w:rsidR="0002490D">
        <w:rPr>
          <w:rFonts w:ascii="Times New Roman" w:hAnsi="Times New Roman" w:cs="Times New Roman"/>
          <w:sz w:val="24"/>
          <w:szCs w:val="24"/>
          <w:lang w:val="en-US"/>
        </w:rPr>
        <w:t>are less noticeable</w:t>
      </w:r>
      <w:r w:rsidRPr="002B3E1D">
        <w:rPr>
          <w:rFonts w:ascii="Times New Roman" w:hAnsi="Times New Roman" w:cs="Times New Roman"/>
          <w:sz w:val="24"/>
          <w:szCs w:val="24"/>
          <w:lang w:val="en-US"/>
        </w:rPr>
        <w:t xml:space="preserve">. </w:t>
      </w:r>
    </w:p>
    <w:p w14:paraId="376FF450" w14:textId="773B165E" w:rsidR="00135516" w:rsidRPr="002B3E1D" w:rsidRDefault="000839D0" w:rsidP="00135516">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In sum, o</w:t>
      </w:r>
      <w:r w:rsidR="004B2958">
        <w:rPr>
          <w:rFonts w:ascii="Times New Roman" w:hAnsi="Times New Roman" w:cs="Times New Roman"/>
          <w:sz w:val="24"/>
          <w:szCs w:val="24"/>
          <w:lang w:val="en-US"/>
        </w:rPr>
        <w:t>rganizations undertake</w:t>
      </w:r>
      <w:r w:rsidR="004B2958" w:rsidRPr="002B3E1D">
        <w:rPr>
          <w:rFonts w:ascii="Times New Roman" w:hAnsi="Times New Roman" w:cs="Times New Roman"/>
          <w:sz w:val="24"/>
          <w:szCs w:val="24"/>
          <w:lang w:val="en-US"/>
        </w:rPr>
        <w:t xml:space="preserve"> M&amp;A</w:t>
      </w:r>
      <w:r w:rsidR="004B2958">
        <w:rPr>
          <w:rFonts w:ascii="Times New Roman" w:hAnsi="Times New Roman" w:cs="Times New Roman"/>
          <w:sz w:val="24"/>
          <w:szCs w:val="24"/>
          <w:lang w:val="en-US"/>
        </w:rPr>
        <w:t>s</w:t>
      </w:r>
      <w:r w:rsidR="004B2958" w:rsidRPr="002B3E1D">
        <w:rPr>
          <w:rFonts w:ascii="Times New Roman" w:hAnsi="Times New Roman" w:cs="Times New Roman"/>
          <w:sz w:val="24"/>
          <w:szCs w:val="24"/>
          <w:lang w:val="en-US"/>
        </w:rPr>
        <w:t xml:space="preserve"> </w:t>
      </w:r>
      <w:r w:rsidR="004B2958">
        <w:rPr>
          <w:rFonts w:ascii="Times New Roman" w:hAnsi="Times New Roman" w:cs="Times New Roman"/>
          <w:sz w:val="24"/>
          <w:szCs w:val="24"/>
          <w:lang w:val="en-US"/>
        </w:rPr>
        <w:t>to</w:t>
      </w:r>
      <w:r w:rsidR="004B2958" w:rsidRPr="002B3E1D">
        <w:rPr>
          <w:rFonts w:ascii="Times New Roman" w:hAnsi="Times New Roman" w:cs="Times New Roman"/>
          <w:sz w:val="24"/>
          <w:szCs w:val="24"/>
          <w:lang w:val="en-US"/>
        </w:rPr>
        <w:t xml:space="preserve"> gain access to essential </w:t>
      </w:r>
      <w:r>
        <w:rPr>
          <w:rFonts w:ascii="Times New Roman" w:hAnsi="Times New Roman" w:cs="Times New Roman"/>
          <w:sz w:val="24"/>
          <w:szCs w:val="24"/>
          <w:lang w:val="en-US"/>
        </w:rPr>
        <w:t>knowledge</w:t>
      </w:r>
      <w:r w:rsidR="004B2958" w:rsidRPr="002B3E1D">
        <w:rPr>
          <w:rFonts w:ascii="Times New Roman" w:hAnsi="Times New Roman" w:cs="Times New Roman"/>
          <w:sz w:val="24"/>
          <w:szCs w:val="24"/>
          <w:lang w:val="en-US"/>
        </w:rPr>
        <w:t xml:space="preserve"> and </w:t>
      </w:r>
      <w:r w:rsidR="004B2958">
        <w:rPr>
          <w:rFonts w:ascii="Times New Roman" w:hAnsi="Times New Roman" w:cs="Times New Roman"/>
          <w:sz w:val="24"/>
          <w:szCs w:val="24"/>
          <w:lang w:val="en-US"/>
        </w:rPr>
        <w:t>capabilities</w:t>
      </w:r>
      <w:r w:rsidR="004B2958" w:rsidRPr="002B3E1D">
        <w:rPr>
          <w:rFonts w:ascii="Times New Roman" w:hAnsi="Times New Roman" w:cs="Times New Roman"/>
          <w:sz w:val="24"/>
          <w:szCs w:val="24"/>
          <w:lang w:val="en-US"/>
        </w:rPr>
        <w:t xml:space="preserve"> (Hagedoorn and Duysters, 2002; Schneckenberg et al., 2015; Scuotto et al., 2017). But such capabilities are </w:t>
      </w:r>
      <w:r w:rsidR="004B2958">
        <w:rPr>
          <w:rFonts w:ascii="Times New Roman" w:hAnsi="Times New Roman" w:cs="Times New Roman"/>
          <w:sz w:val="24"/>
          <w:szCs w:val="24"/>
          <w:lang w:val="en-US"/>
        </w:rPr>
        <w:t>frequently</w:t>
      </w:r>
      <w:r w:rsidR="004B2958" w:rsidRPr="002B3E1D">
        <w:rPr>
          <w:rFonts w:ascii="Times New Roman" w:hAnsi="Times New Roman" w:cs="Times New Roman"/>
          <w:sz w:val="24"/>
          <w:szCs w:val="24"/>
          <w:lang w:val="en-US"/>
        </w:rPr>
        <w:t xml:space="preserve"> lost or destroyed </w:t>
      </w:r>
      <w:r w:rsidR="003E7AE4">
        <w:rPr>
          <w:rFonts w:ascii="Times New Roman" w:hAnsi="Times New Roman" w:cs="Times New Roman"/>
          <w:sz w:val="24"/>
          <w:szCs w:val="24"/>
          <w:lang w:val="en-US"/>
        </w:rPr>
        <w:t xml:space="preserve">- </w:t>
      </w:r>
      <w:r w:rsidR="004B2958" w:rsidRPr="002B3E1D">
        <w:rPr>
          <w:rFonts w:ascii="Times New Roman" w:hAnsi="Times New Roman" w:cs="Times New Roman"/>
          <w:sz w:val="24"/>
          <w:szCs w:val="24"/>
          <w:lang w:val="en-US"/>
        </w:rPr>
        <w:t>with innovation</w:t>
      </w:r>
      <w:r w:rsidR="004B2958">
        <w:rPr>
          <w:rFonts w:ascii="Times New Roman" w:hAnsi="Times New Roman" w:cs="Times New Roman"/>
          <w:sz w:val="24"/>
          <w:szCs w:val="24"/>
          <w:lang w:val="en-US"/>
        </w:rPr>
        <w:t xml:space="preserve"> outcomes</w:t>
      </w:r>
      <w:r w:rsidR="004B2958" w:rsidRPr="002B3E1D">
        <w:rPr>
          <w:rFonts w:ascii="Times New Roman" w:hAnsi="Times New Roman" w:cs="Times New Roman"/>
          <w:sz w:val="24"/>
          <w:szCs w:val="24"/>
          <w:lang w:val="en-US"/>
        </w:rPr>
        <w:t xml:space="preserve"> reduced </w:t>
      </w:r>
      <w:r w:rsidR="003E7AE4">
        <w:rPr>
          <w:rFonts w:ascii="Times New Roman" w:hAnsi="Times New Roman" w:cs="Times New Roman"/>
          <w:sz w:val="24"/>
          <w:szCs w:val="24"/>
          <w:lang w:val="en-US"/>
        </w:rPr>
        <w:t xml:space="preserve">- </w:t>
      </w:r>
      <w:r w:rsidR="004B2958" w:rsidRPr="002B3E1D">
        <w:rPr>
          <w:rFonts w:ascii="Times New Roman" w:hAnsi="Times New Roman" w:cs="Times New Roman"/>
          <w:sz w:val="24"/>
          <w:szCs w:val="24"/>
          <w:lang w:val="en-US"/>
        </w:rPr>
        <w:t xml:space="preserve">as a result (Paruchuri and Eisenman, 2012). We </w:t>
      </w:r>
      <w:r w:rsidR="004B2958">
        <w:rPr>
          <w:rFonts w:ascii="Times New Roman" w:hAnsi="Times New Roman" w:cs="Times New Roman"/>
          <w:sz w:val="24"/>
          <w:szCs w:val="24"/>
          <w:lang w:val="en-US"/>
        </w:rPr>
        <w:t>see</w:t>
      </w:r>
      <w:r w:rsidR="004B2958" w:rsidRPr="002B3E1D">
        <w:rPr>
          <w:rFonts w:ascii="Times New Roman" w:hAnsi="Times New Roman" w:cs="Times New Roman"/>
          <w:sz w:val="24"/>
          <w:szCs w:val="24"/>
          <w:lang w:val="en-US"/>
        </w:rPr>
        <w:t xml:space="preserve"> this </w:t>
      </w:r>
      <w:r w:rsidR="004B2958">
        <w:rPr>
          <w:rFonts w:ascii="Times New Roman" w:hAnsi="Times New Roman" w:cs="Times New Roman"/>
          <w:sz w:val="24"/>
          <w:szCs w:val="24"/>
          <w:lang w:val="en-US"/>
        </w:rPr>
        <w:t>as</w:t>
      </w:r>
      <w:r w:rsidR="004B2958" w:rsidRPr="002B3E1D">
        <w:rPr>
          <w:rFonts w:ascii="Times New Roman" w:hAnsi="Times New Roman" w:cs="Times New Roman"/>
          <w:sz w:val="24"/>
          <w:szCs w:val="24"/>
          <w:lang w:val="en-US"/>
        </w:rPr>
        <w:t xml:space="preserve"> a function of how the M&amp;A is organized in ways that support (or not) a micro-foundational view of OA. </w:t>
      </w:r>
      <w:r w:rsidR="00135516" w:rsidRPr="002B3E1D">
        <w:rPr>
          <w:rFonts w:ascii="Times New Roman" w:hAnsi="Times New Roman" w:cs="Times New Roman"/>
          <w:sz w:val="24"/>
          <w:szCs w:val="24"/>
          <w:lang w:val="en-US"/>
        </w:rPr>
        <w:t>Figure 1 presents</w:t>
      </w:r>
      <w:r w:rsidR="00A80818" w:rsidRPr="002B3E1D">
        <w:rPr>
          <w:rFonts w:ascii="Times New Roman" w:hAnsi="Times New Roman" w:cs="Times New Roman"/>
          <w:sz w:val="24"/>
          <w:szCs w:val="24"/>
          <w:lang w:val="en-US"/>
        </w:rPr>
        <w:t xml:space="preserve"> our conceptual </w:t>
      </w:r>
      <w:r w:rsidR="00A80818" w:rsidRPr="002B3E1D">
        <w:rPr>
          <w:rFonts w:ascii="Times New Roman" w:hAnsi="Times New Roman" w:cs="Times New Roman"/>
          <w:sz w:val="24"/>
          <w:szCs w:val="24"/>
          <w:lang w:val="en-US"/>
        </w:rPr>
        <w:lastRenderedPageBreak/>
        <w:t>model of</w:t>
      </w:r>
      <w:r w:rsidR="00135516" w:rsidRPr="002B3E1D">
        <w:rPr>
          <w:rFonts w:ascii="Times New Roman" w:hAnsi="Times New Roman" w:cs="Times New Roman"/>
          <w:sz w:val="24"/>
          <w:szCs w:val="24"/>
          <w:lang w:val="en-US"/>
        </w:rPr>
        <w:t xml:space="preserve"> the relationships </w:t>
      </w:r>
      <w:r w:rsidR="00A80818" w:rsidRPr="002B3E1D">
        <w:rPr>
          <w:rFonts w:ascii="Times New Roman" w:hAnsi="Times New Roman" w:cs="Times New Roman"/>
          <w:sz w:val="24"/>
          <w:szCs w:val="24"/>
          <w:lang w:val="en-US"/>
        </w:rPr>
        <w:t>among</w:t>
      </w:r>
      <w:r w:rsidR="00135516" w:rsidRPr="002B3E1D">
        <w:rPr>
          <w:rFonts w:ascii="Times New Roman" w:hAnsi="Times New Roman" w:cs="Times New Roman"/>
          <w:sz w:val="24"/>
          <w:szCs w:val="24"/>
          <w:lang w:val="en-US"/>
        </w:rPr>
        <w:t xml:space="preserve"> knowledge sharing, use of the target’s capabilities, and sharing of capabilities with the target; corporate entrepreneurship and integration; and OA. </w:t>
      </w:r>
    </w:p>
    <w:p w14:paraId="5CFC6266" w14:textId="77777777" w:rsidR="00135516" w:rsidRPr="002B3E1D" w:rsidRDefault="00135516" w:rsidP="00135516">
      <w:pPr>
        <w:spacing w:after="0" w:line="480" w:lineRule="auto"/>
        <w:ind w:firstLine="720"/>
        <w:jc w:val="both"/>
        <w:rPr>
          <w:rFonts w:ascii="Times New Roman" w:hAnsi="Times New Roman" w:cs="Times New Roman"/>
          <w:sz w:val="24"/>
          <w:szCs w:val="24"/>
          <w:lang w:val="en-US"/>
        </w:rPr>
      </w:pPr>
    </w:p>
    <w:p w14:paraId="5957CBE1" w14:textId="77777777" w:rsidR="00135516" w:rsidRPr="002B3E1D" w:rsidRDefault="00135516" w:rsidP="00135516">
      <w:pPr>
        <w:spacing w:after="0" w:line="480" w:lineRule="auto"/>
        <w:jc w:val="center"/>
        <w:rPr>
          <w:rFonts w:ascii="Times New Roman" w:hAnsi="Times New Roman" w:cs="Times New Roman"/>
          <w:b/>
          <w:sz w:val="24"/>
          <w:szCs w:val="24"/>
          <w:lang w:val="en-US"/>
        </w:rPr>
      </w:pPr>
      <w:r w:rsidRPr="002B3E1D">
        <w:rPr>
          <w:rFonts w:ascii="Times New Roman" w:hAnsi="Times New Roman" w:cs="Times New Roman"/>
          <w:b/>
          <w:sz w:val="24"/>
          <w:szCs w:val="24"/>
          <w:lang w:val="en-US"/>
        </w:rPr>
        <w:t>[Insert Figure 1 here]</w:t>
      </w:r>
    </w:p>
    <w:p w14:paraId="18355500" w14:textId="30D60691" w:rsidR="00135516" w:rsidRDefault="00135516" w:rsidP="001219C8">
      <w:pPr>
        <w:spacing w:after="0" w:line="480" w:lineRule="auto"/>
        <w:jc w:val="both"/>
        <w:rPr>
          <w:rFonts w:ascii="Times New Roman" w:hAnsi="Times New Roman" w:cs="Times New Roman"/>
          <w:sz w:val="24"/>
          <w:szCs w:val="24"/>
          <w:lang w:val="en-US"/>
        </w:rPr>
      </w:pPr>
    </w:p>
    <w:p w14:paraId="510AA7CE" w14:textId="77777777" w:rsidR="00F05E0B" w:rsidRPr="002B3E1D" w:rsidRDefault="00F05E0B" w:rsidP="00F05E0B">
      <w:pPr>
        <w:spacing w:after="0" w:line="480" w:lineRule="auto"/>
        <w:rPr>
          <w:rFonts w:ascii="Times New Roman" w:hAnsi="Times New Roman" w:cs="Times New Roman"/>
          <w:b/>
          <w:sz w:val="24"/>
          <w:szCs w:val="24"/>
          <w:lang w:val="en-US"/>
        </w:rPr>
      </w:pPr>
      <w:r w:rsidRPr="002B3E1D">
        <w:rPr>
          <w:rFonts w:ascii="Times New Roman" w:hAnsi="Times New Roman" w:cs="Times New Roman"/>
          <w:b/>
          <w:sz w:val="24"/>
          <w:szCs w:val="24"/>
          <w:lang w:val="en-US"/>
        </w:rPr>
        <w:t>HYPOTHESES</w:t>
      </w:r>
    </w:p>
    <w:p w14:paraId="20D47CA1" w14:textId="77777777" w:rsidR="00F05E0B" w:rsidRPr="002B3E1D" w:rsidRDefault="00F05E0B" w:rsidP="00F05E0B">
      <w:pPr>
        <w:autoSpaceDE w:val="0"/>
        <w:autoSpaceDN w:val="0"/>
        <w:adjustRightInd w:val="0"/>
        <w:spacing w:after="0" w:line="480" w:lineRule="auto"/>
        <w:jc w:val="both"/>
        <w:rPr>
          <w:rFonts w:ascii="Times New Roman" w:hAnsi="Times New Roman" w:cs="Times New Roman"/>
          <w:b/>
          <w:sz w:val="24"/>
          <w:szCs w:val="24"/>
          <w:lang w:val="en-US"/>
        </w:rPr>
      </w:pPr>
      <w:r w:rsidRPr="002B3E1D">
        <w:rPr>
          <w:rFonts w:ascii="Times New Roman" w:hAnsi="Times New Roman" w:cs="Times New Roman"/>
          <w:b/>
          <w:sz w:val="24"/>
          <w:szCs w:val="24"/>
          <w:lang w:val="en-US"/>
        </w:rPr>
        <w:t>Antecedents to Organizational Ambidexterity</w:t>
      </w:r>
    </w:p>
    <w:p w14:paraId="12BDEA75" w14:textId="4B296A10" w:rsidR="00F05E0B" w:rsidRPr="002B3E1D" w:rsidRDefault="00F05E0B" w:rsidP="00F05E0B">
      <w:pPr>
        <w:spacing w:after="0" w:line="480" w:lineRule="auto"/>
        <w:jc w:val="both"/>
        <w:rPr>
          <w:rFonts w:ascii="Times New Roman" w:hAnsi="Times New Roman" w:cs="Times New Roman"/>
          <w:sz w:val="24"/>
          <w:szCs w:val="24"/>
          <w:lang w:val="en-US"/>
        </w:rPr>
      </w:pPr>
      <w:r w:rsidRPr="002B3E1D">
        <w:rPr>
          <w:rFonts w:ascii="Times New Roman" w:hAnsi="Times New Roman" w:cs="Times New Roman"/>
          <w:sz w:val="24"/>
          <w:szCs w:val="24"/>
          <w:lang w:val="en-US"/>
        </w:rPr>
        <w:t>The utilization of knowledge is seen as essential for organizational transformation through innovation (Liu, Hodgkinson, and Chuang, 2014). Knowledge creation and learning occur at an individual level, and individuals provide their firm with</w:t>
      </w:r>
      <w:r w:rsidR="00102915">
        <w:rPr>
          <w:rFonts w:ascii="Times New Roman" w:hAnsi="Times New Roman" w:cs="Times New Roman"/>
          <w:sz w:val="24"/>
          <w:szCs w:val="24"/>
          <w:lang w:val="en-US"/>
        </w:rPr>
        <w:t xml:space="preserve"> </w:t>
      </w:r>
      <w:r w:rsidRPr="002B3E1D">
        <w:rPr>
          <w:rFonts w:ascii="Times New Roman" w:hAnsi="Times New Roman" w:cs="Times New Roman"/>
          <w:sz w:val="24"/>
          <w:szCs w:val="24"/>
          <w:lang w:val="en-US"/>
        </w:rPr>
        <w:t>the knowledge required (Spender, 1994). Therefore, it is not knowledge itself but rather employees’ capability to share knowledge with other individuals in the firm that drives sustainable advanta</w:t>
      </w:r>
      <w:r w:rsidR="00106001">
        <w:rPr>
          <w:rFonts w:ascii="Times New Roman" w:hAnsi="Times New Roman" w:cs="Times New Roman"/>
          <w:sz w:val="24"/>
          <w:szCs w:val="24"/>
          <w:lang w:val="en-US"/>
        </w:rPr>
        <w:t>ges (Grant, 1996). T</w:t>
      </w:r>
      <w:r w:rsidRPr="002B3E1D">
        <w:rPr>
          <w:rFonts w:ascii="Times New Roman" w:hAnsi="Times New Roman" w:cs="Times New Roman"/>
          <w:sz w:val="24"/>
          <w:szCs w:val="24"/>
          <w:lang w:val="en-US"/>
        </w:rPr>
        <w:t xml:space="preserve">his is noted by Almor et al. (2014) who underline company survival through </w:t>
      </w:r>
      <w:r w:rsidR="00562D43" w:rsidRPr="002B3E1D">
        <w:rPr>
          <w:rFonts w:ascii="Times New Roman" w:hAnsi="Times New Roman" w:cs="Times New Roman"/>
          <w:sz w:val="24"/>
          <w:szCs w:val="24"/>
          <w:lang w:val="en-US"/>
        </w:rPr>
        <w:t>M&amp;A</w:t>
      </w:r>
      <w:r w:rsidRPr="002B3E1D">
        <w:rPr>
          <w:rFonts w:ascii="Times New Roman" w:hAnsi="Times New Roman" w:cs="Times New Roman"/>
          <w:sz w:val="24"/>
          <w:szCs w:val="24"/>
          <w:lang w:val="en-US"/>
        </w:rPr>
        <w:t xml:space="preserve"> which accrue ongoing benefits such as sales, knowledge and product bases. Knowledge sharing is defined as the collective ability of acquiring and acquired firms’ employees to share and combine knowledge with each other (e.g. Collins and Smith, 2006). As acquiring and acquired firms share existing knowledge with each other, the combined firm can bring their advanced knowledge together and contribute to knowledge depth in each other (e.g., Prabhu et al., 2005). Thus, it is important to underline that as an antecedent to knowledge sharing, knowledge must exploitatively pre-exist in the firm prior to </w:t>
      </w:r>
      <w:r w:rsidR="00562D43" w:rsidRPr="002B3E1D">
        <w:rPr>
          <w:rFonts w:ascii="Times New Roman" w:hAnsi="Times New Roman" w:cs="Times New Roman"/>
          <w:sz w:val="24"/>
          <w:szCs w:val="24"/>
          <w:lang w:val="en-US"/>
        </w:rPr>
        <w:t>M&amp;A</w:t>
      </w:r>
      <w:r w:rsidRPr="002B3E1D">
        <w:rPr>
          <w:rFonts w:ascii="Times New Roman" w:hAnsi="Times New Roman" w:cs="Times New Roman"/>
          <w:sz w:val="24"/>
          <w:szCs w:val="24"/>
          <w:lang w:val="en-US"/>
        </w:rPr>
        <w:t xml:space="preserve">. This point does not of course suggest that knowledge is not created exploratively as a product of the </w:t>
      </w:r>
      <w:r w:rsidR="00562D43" w:rsidRPr="002B3E1D">
        <w:rPr>
          <w:rFonts w:ascii="Times New Roman" w:hAnsi="Times New Roman" w:cs="Times New Roman"/>
          <w:sz w:val="24"/>
          <w:szCs w:val="24"/>
          <w:lang w:val="en-US"/>
        </w:rPr>
        <w:t>M&amp;A</w:t>
      </w:r>
      <w:r w:rsidR="00A215CE" w:rsidRPr="002B3E1D">
        <w:rPr>
          <w:rFonts w:ascii="Times New Roman" w:hAnsi="Times New Roman" w:cs="Times New Roman"/>
          <w:sz w:val="24"/>
          <w:szCs w:val="24"/>
          <w:lang w:val="en-US"/>
        </w:rPr>
        <w:t>,</w:t>
      </w:r>
      <w:r w:rsidRPr="002B3E1D">
        <w:rPr>
          <w:rFonts w:ascii="Times New Roman" w:hAnsi="Times New Roman" w:cs="Times New Roman"/>
          <w:sz w:val="24"/>
          <w:szCs w:val="24"/>
          <w:lang w:val="en-US"/>
        </w:rPr>
        <w:t xml:space="preserve"> but it is </w:t>
      </w:r>
      <w:r w:rsidR="00A215CE" w:rsidRPr="002B3E1D">
        <w:rPr>
          <w:rFonts w:ascii="Times New Roman" w:hAnsi="Times New Roman" w:cs="Times New Roman"/>
          <w:sz w:val="24"/>
          <w:szCs w:val="24"/>
          <w:lang w:val="en-US"/>
        </w:rPr>
        <w:t xml:space="preserve">necessary </w:t>
      </w:r>
      <w:r w:rsidRPr="002B3E1D">
        <w:rPr>
          <w:rFonts w:ascii="Times New Roman" w:hAnsi="Times New Roman" w:cs="Times New Roman"/>
          <w:sz w:val="24"/>
          <w:szCs w:val="24"/>
          <w:lang w:val="en-US"/>
        </w:rPr>
        <w:t>to appreciate the impact and role of pre-standing knowledge.</w:t>
      </w:r>
    </w:p>
    <w:p w14:paraId="1AD8464D" w14:textId="79AEE854" w:rsidR="00F05E0B" w:rsidRDefault="00F05E0B" w:rsidP="00F05E0B">
      <w:pPr>
        <w:spacing w:after="0" w:line="480" w:lineRule="auto"/>
        <w:jc w:val="both"/>
        <w:rPr>
          <w:rFonts w:ascii="Times New Roman" w:hAnsi="Times New Roman" w:cs="Times New Roman"/>
          <w:sz w:val="24"/>
          <w:szCs w:val="24"/>
          <w:lang w:val="en-US"/>
        </w:rPr>
      </w:pPr>
      <w:r w:rsidRPr="002B3E1D">
        <w:rPr>
          <w:rFonts w:ascii="Times New Roman" w:hAnsi="Times New Roman" w:cs="Times New Roman"/>
          <w:sz w:val="24"/>
          <w:szCs w:val="24"/>
          <w:lang w:val="en-US"/>
        </w:rPr>
        <w:lastRenderedPageBreak/>
        <w:tab/>
        <w:t xml:space="preserve">Exploitation innovation can be realized when those who in charge of the relevant activities build an understanding of what knowledge is possessed and how it is used in solving existing problems (Tang et al., 2015; Xu, 2015), thereby creating opportunities to expand outwards and further exploit innovations. Simply put, existing products, services, technologies, processes and the like can be improved upon by sharing knowledge (Kamaşak and Bulutlar, 2010). New avenues to exploration innovation meanwhile can be developed by increased knowledge sharing as this knowledge forms a basis for innovating new products, services, technologies, processes and the like (Bierly et al., 2009). Organizational ambidexterity, then, as simultaneous exploitation and exploration in innovation, should similarly be reliant upon knowledge sharing and an increased prevalence of knowledge sharing should create the climate for both forms of innovation to grow in the firm post </w:t>
      </w:r>
      <w:r w:rsidR="00562D43" w:rsidRPr="002B3E1D">
        <w:rPr>
          <w:rFonts w:ascii="Times New Roman" w:hAnsi="Times New Roman" w:cs="Times New Roman"/>
          <w:sz w:val="24"/>
          <w:szCs w:val="24"/>
          <w:lang w:val="en-US"/>
        </w:rPr>
        <w:t>M&amp;A</w:t>
      </w:r>
      <w:r w:rsidRPr="002B3E1D">
        <w:rPr>
          <w:rFonts w:ascii="Times New Roman" w:hAnsi="Times New Roman" w:cs="Times New Roman"/>
          <w:sz w:val="24"/>
          <w:szCs w:val="24"/>
          <w:lang w:val="en-US"/>
        </w:rPr>
        <w:t>.</w:t>
      </w:r>
      <w:r w:rsidR="00102915">
        <w:rPr>
          <w:rFonts w:ascii="Times New Roman" w:hAnsi="Times New Roman" w:cs="Times New Roman"/>
          <w:sz w:val="24"/>
          <w:szCs w:val="24"/>
          <w:lang w:val="en-US"/>
        </w:rPr>
        <w:t xml:space="preserve"> Thus:</w:t>
      </w:r>
    </w:p>
    <w:p w14:paraId="4613C82A" w14:textId="77777777" w:rsidR="00102915" w:rsidRPr="002B3E1D" w:rsidRDefault="00102915" w:rsidP="00F05E0B">
      <w:pPr>
        <w:spacing w:after="0" w:line="480" w:lineRule="auto"/>
        <w:jc w:val="both"/>
        <w:rPr>
          <w:rFonts w:ascii="Times New Roman" w:hAnsi="Times New Roman" w:cs="Times New Roman"/>
          <w:sz w:val="24"/>
          <w:szCs w:val="24"/>
          <w:lang w:val="en-US"/>
        </w:rPr>
      </w:pPr>
    </w:p>
    <w:p w14:paraId="760DA97F" w14:textId="77777777" w:rsidR="00F05E0B" w:rsidRPr="00106001" w:rsidRDefault="00F05E0B" w:rsidP="00F05E0B">
      <w:pPr>
        <w:autoSpaceDE w:val="0"/>
        <w:autoSpaceDN w:val="0"/>
        <w:adjustRightInd w:val="0"/>
        <w:spacing w:after="0" w:line="480" w:lineRule="auto"/>
        <w:ind w:left="284" w:right="284"/>
        <w:jc w:val="both"/>
        <w:rPr>
          <w:rFonts w:ascii="Times New Roman" w:hAnsi="Times New Roman" w:cs="Times New Roman"/>
          <w:i/>
          <w:sz w:val="24"/>
          <w:szCs w:val="24"/>
          <w:lang w:val="en-US"/>
        </w:rPr>
      </w:pPr>
      <w:r w:rsidRPr="00106001">
        <w:rPr>
          <w:rFonts w:ascii="Times New Roman" w:hAnsi="Times New Roman" w:cs="Times New Roman"/>
          <w:i/>
          <w:sz w:val="24"/>
          <w:szCs w:val="24"/>
          <w:lang w:val="en-US"/>
        </w:rPr>
        <w:t>H1:</w:t>
      </w:r>
      <w:r w:rsidRPr="00106001">
        <w:rPr>
          <w:rFonts w:ascii="Times New Roman" w:eastAsia="Times New Roman" w:hAnsi="Times New Roman" w:cs="Times New Roman"/>
          <w:i/>
          <w:color w:val="222222"/>
          <w:sz w:val="24"/>
          <w:szCs w:val="24"/>
          <w:lang w:val="en-US" w:eastAsia="en-GB"/>
        </w:rPr>
        <w:t xml:space="preserve"> Knowledge sharing between the acquired and acquiring firm is positively related to organizational ambidexterity of the merged firm</w:t>
      </w:r>
      <w:r w:rsidRPr="00106001">
        <w:rPr>
          <w:rFonts w:ascii="Times New Roman" w:hAnsi="Times New Roman" w:cs="Times New Roman"/>
          <w:i/>
          <w:sz w:val="24"/>
          <w:szCs w:val="24"/>
          <w:lang w:val="en-US"/>
        </w:rPr>
        <w:t>.</w:t>
      </w:r>
    </w:p>
    <w:p w14:paraId="052C6FD1" w14:textId="77777777" w:rsidR="00F05E0B" w:rsidRPr="002B3E1D" w:rsidRDefault="00F05E0B" w:rsidP="00F05E0B">
      <w:pPr>
        <w:autoSpaceDE w:val="0"/>
        <w:autoSpaceDN w:val="0"/>
        <w:adjustRightInd w:val="0"/>
        <w:spacing w:after="0" w:line="480" w:lineRule="auto"/>
        <w:jc w:val="both"/>
        <w:rPr>
          <w:rFonts w:ascii="Times New Roman" w:hAnsi="Times New Roman" w:cs="Times New Roman"/>
          <w:sz w:val="24"/>
          <w:szCs w:val="24"/>
          <w:lang w:val="en-US"/>
        </w:rPr>
      </w:pPr>
    </w:p>
    <w:p w14:paraId="14CA5003" w14:textId="77777777" w:rsidR="00F05E0B" w:rsidRPr="002B3E1D" w:rsidRDefault="00F05E0B" w:rsidP="00F05E0B">
      <w:pPr>
        <w:autoSpaceDE w:val="0"/>
        <w:autoSpaceDN w:val="0"/>
        <w:adjustRightInd w:val="0"/>
        <w:spacing w:after="0" w:line="480" w:lineRule="auto"/>
        <w:jc w:val="both"/>
        <w:rPr>
          <w:rFonts w:ascii="Times New Roman" w:hAnsi="Times New Roman" w:cs="Times New Roman"/>
          <w:sz w:val="24"/>
          <w:szCs w:val="24"/>
          <w:lang w:val="en-US"/>
        </w:rPr>
      </w:pPr>
      <w:r w:rsidRPr="002B3E1D">
        <w:rPr>
          <w:rFonts w:ascii="Times New Roman" w:hAnsi="Times New Roman" w:cs="Times New Roman"/>
          <w:sz w:val="24"/>
          <w:szCs w:val="24"/>
          <w:lang w:val="en-US"/>
        </w:rPr>
        <w:tab/>
        <w:t xml:space="preserve">Capabilities are long seen as means to innovation and ambidexterity. However, the context of </w:t>
      </w:r>
      <w:r w:rsidR="00562D43" w:rsidRPr="002B3E1D">
        <w:rPr>
          <w:rFonts w:ascii="Times New Roman" w:hAnsi="Times New Roman" w:cs="Times New Roman"/>
          <w:sz w:val="24"/>
          <w:szCs w:val="24"/>
          <w:lang w:val="en-US"/>
        </w:rPr>
        <w:t>M&amp;A</w:t>
      </w:r>
      <w:r w:rsidRPr="002B3E1D">
        <w:rPr>
          <w:rFonts w:ascii="Times New Roman" w:hAnsi="Times New Roman" w:cs="Times New Roman"/>
          <w:sz w:val="24"/>
          <w:szCs w:val="24"/>
          <w:lang w:val="en-US"/>
        </w:rPr>
        <w:t xml:space="preserve">s, and in particular cross-border </w:t>
      </w:r>
      <w:r w:rsidR="00562D43" w:rsidRPr="002B3E1D">
        <w:rPr>
          <w:rFonts w:ascii="Times New Roman" w:hAnsi="Times New Roman" w:cs="Times New Roman"/>
          <w:sz w:val="24"/>
          <w:szCs w:val="24"/>
          <w:lang w:val="en-US"/>
        </w:rPr>
        <w:t>M&amp;A</w:t>
      </w:r>
      <w:r w:rsidRPr="002B3E1D">
        <w:rPr>
          <w:rFonts w:ascii="Times New Roman" w:hAnsi="Times New Roman" w:cs="Times New Roman"/>
          <w:sz w:val="24"/>
          <w:szCs w:val="24"/>
          <w:lang w:val="en-US"/>
        </w:rPr>
        <w:t xml:space="preserve">s, provides a platform for the acquiring and acquired firms to gain access to capabilities that they may otherwise not have or be able to develop in isolation. Both sides in an </w:t>
      </w:r>
      <w:r w:rsidR="00562D43" w:rsidRPr="002B3E1D">
        <w:rPr>
          <w:rFonts w:ascii="Times New Roman" w:hAnsi="Times New Roman" w:cs="Times New Roman"/>
          <w:sz w:val="24"/>
          <w:szCs w:val="24"/>
          <w:lang w:val="en-US"/>
        </w:rPr>
        <w:t>M&amp;A</w:t>
      </w:r>
      <w:r w:rsidRPr="002B3E1D">
        <w:rPr>
          <w:rFonts w:ascii="Times New Roman" w:hAnsi="Times New Roman" w:cs="Times New Roman"/>
          <w:sz w:val="24"/>
          <w:szCs w:val="24"/>
          <w:lang w:val="en-US"/>
        </w:rPr>
        <w:t xml:space="preserve"> can gain through increased use and sharing of each other side’s capabilities (e.g., managerial capabilities, technical capabilities). For instance, operational efficiency can be increased through the reconfiguration or use of existing capabilities (Capron et al., 1998) and their exploitation in revised competitive strategies. Beyond this, acquiring and acquired firms can complement the recipient firm’s weaknesses, perhaps in </w:t>
      </w:r>
      <w:r w:rsidRPr="002B3E1D">
        <w:rPr>
          <w:rFonts w:ascii="Times New Roman" w:hAnsi="Times New Roman" w:cs="Times New Roman"/>
          <w:sz w:val="24"/>
          <w:szCs w:val="24"/>
          <w:lang w:val="en-US"/>
        </w:rPr>
        <w:lastRenderedPageBreak/>
        <w:t>technical and commercial capabilities, with the sender firm’s relatively strong capabilities in such areas (Capron et al., 1998; c.f., Phene et al., 2012), which improves their firm’s market coverage and innovation capabilities (Capron, 1999). This raises the potential for combined firms to explore new avenues and arenas for innovation.</w:t>
      </w:r>
    </w:p>
    <w:p w14:paraId="306C4793" w14:textId="0ED6CDDE" w:rsidR="00F05E0B" w:rsidRDefault="00F05E0B" w:rsidP="00F05E0B">
      <w:pPr>
        <w:autoSpaceDE w:val="0"/>
        <w:autoSpaceDN w:val="0"/>
        <w:adjustRightInd w:val="0"/>
        <w:spacing w:after="0" w:line="480" w:lineRule="auto"/>
        <w:jc w:val="both"/>
        <w:rPr>
          <w:rFonts w:ascii="Times New Roman" w:hAnsi="Times New Roman" w:cs="Times New Roman"/>
          <w:sz w:val="24"/>
          <w:szCs w:val="24"/>
          <w:lang w:val="en-US"/>
        </w:rPr>
      </w:pPr>
      <w:r w:rsidRPr="002B3E1D">
        <w:rPr>
          <w:rFonts w:ascii="Times New Roman" w:hAnsi="Times New Roman" w:cs="Times New Roman"/>
          <w:sz w:val="24"/>
          <w:szCs w:val="24"/>
          <w:lang w:val="en-US"/>
        </w:rPr>
        <w:tab/>
        <w:t xml:space="preserve">To create capability-based advantages and ensure </w:t>
      </w:r>
      <w:r w:rsidR="00106001">
        <w:rPr>
          <w:rFonts w:ascii="Times New Roman" w:hAnsi="Times New Roman" w:cs="Times New Roman"/>
          <w:sz w:val="24"/>
          <w:szCs w:val="24"/>
          <w:lang w:val="en-US"/>
        </w:rPr>
        <w:t xml:space="preserve">that </w:t>
      </w:r>
      <w:r w:rsidRPr="002B3E1D">
        <w:rPr>
          <w:rFonts w:ascii="Times New Roman" w:hAnsi="Times New Roman" w:cs="Times New Roman"/>
          <w:sz w:val="24"/>
          <w:szCs w:val="24"/>
          <w:lang w:val="en-US"/>
        </w:rPr>
        <w:t>exploitation and exploration innovation can occur, it is important for increased use and sharing of capabilities between the target and the acquirer occurs at a high level. If not, then innovation and ambidexterity is likely to be stifled to the very same levels as pre-</w:t>
      </w:r>
      <w:r w:rsidR="00562D43" w:rsidRPr="002B3E1D">
        <w:rPr>
          <w:rFonts w:ascii="Times New Roman" w:hAnsi="Times New Roman" w:cs="Times New Roman"/>
          <w:sz w:val="24"/>
          <w:szCs w:val="24"/>
          <w:lang w:val="en-US"/>
        </w:rPr>
        <w:t>M&amp;A</w:t>
      </w:r>
      <w:r w:rsidRPr="002B3E1D">
        <w:rPr>
          <w:rFonts w:ascii="Times New Roman" w:hAnsi="Times New Roman" w:cs="Times New Roman"/>
          <w:sz w:val="24"/>
          <w:szCs w:val="24"/>
          <w:lang w:val="en-US"/>
        </w:rPr>
        <w:t xml:space="preserve"> within the acquiring and acquired firms as neither side is gaining through access to capabilities from each other to be able to improve. Intuitively then, we expect the following:</w:t>
      </w:r>
    </w:p>
    <w:p w14:paraId="494B015F" w14:textId="77777777" w:rsidR="00826B9D" w:rsidRPr="002B3E1D" w:rsidRDefault="00826B9D" w:rsidP="00F05E0B">
      <w:pPr>
        <w:autoSpaceDE w:val="0"/>
        <w:autoSpaceDN w:val="0"/>
        <w:adjustRightInd w:val="0"/>
        <w:spacing w:after="0" w:line="480" w:lineRule="auto"/>
        <w:jc w:val="both"/>
        <w:rPr>
          <w:rFonts w:ascii="Times New Roman" w:hAnsi="Times New Roman" w:cs="Times New Roman"/>
          <w:sz w:val="24"/>
          <w:szCs w:val="24"/>
          <w:lang w:val="en-US"/>
        </w:rPr>
      </w:pPr>
    </w:p>
    <w:p w14:paraId="4502ACFE" w14:textId="77777777" w:rsidR="00F05E0B" w:rsidRPr="00106001" w:rsidRDefault="00F05E0B" w:rsidP="00F05E0B">
      <w:pPr>
        <w:autoSpaceDE w:val="0"/>
        <w:autoSpaceDN w:val="0"/>
        <w:adjustRightInd w:val="0"/>
        <w:spacing w:after="0" w:line="480" w:lineRule="auto"/>
        <w:ind w:left="284" w:right="284"/>
        <w:jc w:val="both"/>
        <w:rPr>
          <w:rFonts w:asciiTheme="majorBidi" w:hAnsiTheme="majorBidi" w:cstheme="majorBidi"/>
          <w:bCs/>
          <w:i/>
          <w:sz w:val="24"/>
          <w:szCs w:val="24"/>
          <w:lang w:val="en-US"/>
        </w:rPr>
      </w:pPr>
      <w:r w:rsidRPr="00106001">
        <w:rPr>
          <w:rFonts w:asciiTheme="majorBidi" w:hAnsiTheme="majorBidi" w:cstheme="majorBidi"/>
          <w:bCs/>
          <w:i/>
          <w:sz w:val="24"/>
          <w:szCs w:val="24"/>
          <w:lang w:val="en-US"/>
        </w:rPr>
        <w:t xml:space="preserve">H2: Increased use of the acquired target’s capabilities has a positive effect on </w:t>
      </w:r>
      <w:r w:rsidRPr="00106001">
        <w:rPr>
          <w:rFonts w:ascii="Times New Roman" w:hAnsi="Times New Roman" w:cs="Times New Roman"/>
          <w:i/>
          <w:sz w:val="24"/>
          <w:szCs w:val="24"/>
          <w:lang w:val="en-US"/>
        </w:rPr>
        <w:t xml:space="preserve">organizational </w:t>
      </w:r>
      <w:r w:rsidRPr="00106001">
        <w:rPr>
          <w:rFonts w:asciiTheme="majorBidi" w:hAnsiTheme="majorBidi" w:cstheme="majorBidi"/>
          <w:bCs/>
          <w:i/>
          <w:sz w:val="24"/>
          <w:szCs w:val="24"/>
          <w:lang w:val="en-US"/>
        </w:rPr>
        <w:t>ambidexterity.</w:t>
      </w:r>
    </w:p>
    <w:p w14:paraId="12B356E8" w14:textId="77777777" w:rsidR="00F05E0B" w:rsidRPr="00106001" w:rsidRDefault="00F05E0B" w:rsidP="00F05E0B">
      <w:pPr>
        <w:autoSpaceDE w:val="0"/>
        <w:autoSpaceDN w:val="0"/>
        <w:adjustRightInd w:val="0"/>
        <w:spacing w:after="0" w:line="480" w:lineRule="auto"/>
        <w:ind w:left="284" w:right="284"/>
        <w:jc w:val="both"/>
        <w:rPr>
          <w:rFonts w:ascii="Times New Roman" w:hAnsi="Times New Roman" w:cs="Times New Roman"/>
          <w:i/>
          <w:sz w:val="24"/>
          <w:szCs w:val="24"/>
          <w:lang w:val="en-US"/>
        </w:rPr>
      </w:pPr>
      <w:r w:rsidRPr="00106001">
        <w:rPr>
          <w:rFonts w:ascii="Times New Roman" w:hAnsi="Times New Roman" w:cs="Times New Roman"/>
          <w:i/>
          <w:sz w:val="24"/>
          <w:szCs w:val="24"/>
          <w:lang w:val="en-US"/>
        </w:rPr>
        <w:t>H3: Capability sharing is positively related to organizational ambidexterity.</w:t>
      </w:r>
    </w:p>
    <w:p w14:paraId="0519B277" w14:textId="77777777" w:rsidR="00F05E0B" w:rsidRPr="00106001" w:rsidRDefault="00F05E0B" w:rsidP="00F05E0B">
      <w:pPr>
        <w:autoSpaceDE w:val="0"/>
        <w:autoSpaceDN w:val="0"/>
        <w:adjustRightInd w:val="0"/>
        <w:spacing w:after="0" w:line="480" w:lineRule="auto"/>
        <w:jc w:val="both"/>
        <w:rPr>
          <w:rFonts w:ascii="Times New Roman" w:hAnsi="Times New Roman" w:cs="Times New Roman"/>
          <w:i/>
          <w:sz w:val="24"/>
          <w:szCs w:val="24"/>
          <w:lang w:val="en-US"/>
        </w:rPr>
      </w:pPr>
    </w:p>
    <w:p w14:paraId="45E02AD7" w14:textId="77777777" w:rsidR="00F05E0B" w:rsidRPr="002B3E1D" w:rsidRDefault="00F05E0B" w:rsidP="00F05E0B">
      <w:pPr>
        <w:autoSpaceDE w:val="0"/>
        <w:autoSpaceDN w:val="0"/>
        <w:adjustRightInd w:val="0"/>
        <w:spacing w:after="0" w:line="480" w:lineRule="auto"/>
        <w:jc w:val="both"/>
        <w:rPr>
          <w:rFonts w:ascii="Times New Roman" w:hAnsi="Times New Roman" w:cs="Times New Roman"/>
          <w:b/>
          <w:sz w:val="24"/>
          <w:szCs w:val="24"/>
          <w:lang w:val="en-US"/>
        </w:rPr>
      </w:pPr>
      <w:r w:rsidRPr="002B3E1D">
        <w:rPr>
          <w:rFonts w:ascii="Times New Roman" w:hAnsi="Times New Roman" w:cs="Times New Roman"/>
          <w:b/>
          <w:sz w:val="24"/>
          <w:szCs w:val="24"/>
          <w:lang w:val="en-US"/>
        </w:rPr>
        <w:t>The Moderating Role of Corporate Entrepreneurship</w:t>
      </w:r>
    </w:p>
    <w:p w14:paraId="43D84901" w14:textId="61A48042" w:rsidR="00F05E0B" w:rsidRPr="002B3E1D" w:rsidRDefault="00F05E0B" w:rsidP="00F05E0B">
      <w:pPr>
        <w:autoSpaceDE w:val="0"/>
        <w:autoSpaceDN w:val="0"/>
        <w:adjustRightInd w:val="0"/>
        <w:spacing w:after="0" w:line="480" w:lineRule="auto"/>
        <w:jc w:val="both"/>
        <w:rPr>
          <w:rFonts w:ascii="Times New Roman" w:hAnsi="Times New Roman" w:cs="Times New Roman"/>
          <w:sz w:val="24"/>
          <w:szCs w:val="24"/>
          <w:lang w:val="en-US"/>
        </w:rPr>
      </w:pPr>
      <w:r w:rsidRPr="002B3E1D">
        <w:rPr>
          <w:rFonts w:ascii="Times New Roman" w:hAnsi="Times New Roman" w:cs="Times New Roman"/>
          <w:sz w:val="24"/>
          <w:szCs w:val="24"/>
          <w:lang w:val="en-US"/>
        </w:rPr>
        <w:t xml:space="preserve">In a spirit of entrepreneurship, a close interplay between firm and individual or micro-foundational activities is central to both exploitative and explorative processes of innovation, yet it might involve conflicting situations if the individual’s or micro-foundational activities clash with the firm’s rational models. In this regard, research on CE shows how firms can stimulate such processes of innovation and entrepreneurship (e.g., Burgelman, 1983; Covin and Miles, 1999; </w:t>
      </w:r>
      <w:r w:rsidRPr="002B3E1D">
        <w:rPr>
          <w:rFonts w:ascii="Times New Roman" w:hAnsi="Times New Roman" w:cs="Times New Roman"/>
          <w:color w:val="222222"/>
          <w:sz w:val="24"/>
          <w:szCs w:val="24"/>
          <w:shd w:val="clear" w:color="auto" w:fill="FFFFFF"/>
          <w:lang w:val="en-US"/>
        </w:rPr>
        <w:t>Hornsby et al., 1993</w:t>
      </w:r>
      <w:r w:rsidRPr="002B3E1D">
        <w:rPr>
          <w:rFonts w:ascii="Times New Roman" w:hAnsi="Times New Roman" w:cs="Times New Roman"/>
          <w:sz w:val="24"/>
          <w:szCs w:val="24"/>
          <w:lang w:val="en-US"/>
        </w:rPr>
        <w:t xml:space="preserve">; </w:t>
      </w:r>
      <w:r w:rsidRPr="002B3E1D">
        <w:rPr>
          <w:rFonts w:ascii="Times New Roman" w:hAnsi="Times New Roman" w:cs="Times New Roman"/>
          <w:color w:val="222222"/>
          <w:sz w:val="24"/>
          <w:szCs w:val="24"/>
          <w:shd w:val="clear" w:color="auto" w:fill="FFFFFF"/>
          <w:lang w:val="en-US"/>
        </w:rPr>
        <w:t>Ireland et al., 2009</w:t>
      </w:r>
      <w:r w:rsidRPr="002B3E1D">
        <w:rPr>
          <w:rFonts w:ascii="Times New Roman" w:eastAsia="Times New Roman" w:hAnsi="Times New Roman" w:cs="Times New Roman"/>
          <w:color w:val="222222"/>
          <w:sz w:val="24"/>
          <w:szCs w:val="24"/>
          <w:shd w:val="clear" w:color="auto" w:fill="FFFFFF"/>
          <w:lang w:val="en-US"/>
        </w:rPr>
        <w:t xml:space="preserve">). For example, Russell (1999) suggests that it is critical to have organizational support systems that offer resources, autonomy, and emotional </w:t>
      </w:r>
      <w:r w:rsidRPr="002B3E1D">
        <w:rPr>
          <w:rFonts w:ascii="Times New Roman" w:eastAsia="Times New Roman" w:hAnsi="Times New Roman" w:cs="Times New Roman"/>
          <w:color w:val="222222"/>
          <w:sz w:val="24"/>
          <w:szCs w:val="24"/>
          <w:shd w:val="clear" w:color="auto" w:fill="FFFFFF"/>
          <w:lang w:val="en-US"/>
        </w:rPr>
        <w:lastRenderedPageBreak/>
        <w:t xml:space="preserve">support for corporate entrepreneurs. This may be required in the context of </w:t>
      </w:r>
      <w:r w:rsidR="00562D43" w:rsidRPr="002B3E1D">
        <w:rPr>
          <w:rFonts w:ascii="Times New Roman" w:eastAsia="Times New Roman" w:hAnsi="Times New Roman" w:cs="Times New Roman"/>
          <w:color w:val="222222"/>
          <w:sz w:val="24"/>
          <w:szCs w:val="24"/>
          <w:shd w:val="clear" w:color="auto" w:fill="FFFFFF"/>
          <w:lang w:val="en-US"/>
        </w:rPr>
        <w:t>M&amp;A</w:t>
      </w:r>
      <w:r w:rsidRPr="002B3E1D">
        <w:rPr>
          <w:rFonts w:ascii="Times New Roman" w:eastAsia="Times New Roman" w:hAnsi="Times New Roman" w:cs="Times New Roman"/>
          <w:color w:val="222222"/>
          <w:sz w:val="24"/>
          <w:szCs w:val="24"/>
          <w:shd w:val="clear" w:color="auto" w:fill="FFFFFF"/>
          <w:lang w:val="en-US"/>
        </w:rPr>
        <w:t xml:space="preserve">s, and more so in cross-border </w:t>
      </w:r>
      <w:r w:rsidR="00562D43" w:rsidRPr="002B3E1D">
        <w:rPr>
          <w:rFonts w:ascii="Times New Roman" w:eastAsia="Times New Roman" w:hAnsi="Times New Roman" w:cs="Times New Roman"/>
          <w:color w:val="222222"/>
          <w:sz w:val="24"/>
          <w:szCs w:val="24"/>
          <w:shd w:val="clear" w:color="auto" w:fill="FFFFFF"/>
          <w:lang w:val="en-US"/>
        </w:rPr>
        <w:t>M&amp;A</w:t>
      </w:r>
      <w:r w:rsidRPr="002B3E1D">
        <w:rPr>
          <w:rFonts w:ascii="Times New Roman" w:eastAsia="Times New Roman" w:hAnsi="Times New Roman" w:cs="Times New Roman"/>
          <w:color w:val="222222"/>
          <w:sz w:val="24"/>
          <w:szCs w:val="24"/>
          <w:shd w:val="clear" w:color="auto" w:fill="FFFFFF"/>
          <w:lang w:val="en-US"/>
        </w:rPr>
        <w:t xml:space="preserve">s, as this context </w:t>
      </w:r>
      <w:r w:rsidRPr="002B3E1D">
        <w:rPr>
          <w:rFonts w:ascii="Times New Roman" w:hAnsi="Times New Roman" w:cs="Times New Roman"/>
          <w:sz w:val="24"/>
          <w:szCs w:val="24"/>
          <w:lang w:val="en-US"/>
        </w:rPr>
        <w:t>creates a potentially complex matrix as noted earlier in the paper (i.e., due to the confluence of two differing cultures and various levels of the organizations’ operations – all situated within an OA environment exhibiting exploitative and explorative dimensions).</w:t>
      </w:r>
    </w:p>
    <w:p w14:paraId="5B758F77" w14:textId="77777777" w:rsidR="00F05E0B" w:rsidRPr="002B3E1D" w:rsidRDefault="00F05E0B" w:rsidP="00F05E0B">
      <w:pPr>
        <w:autoSpaceDE w:val="0"/>
        <w:autoSpaceDN w:val="0"/>
        <w:adjustRightInd w:val="0"/>
        <w:spacing w:after="0" w:line="480" w:lineRule="auto"/>
        <w:jc w:val="both"/>
        <w:rPr>
          <w:rFonts w:ascii="Times New Roman" w:hAnsi="Times New Roman" w:cs="Times New Roman"/>
          <w:color w:val="222222"/>
          <w:sz w:val="24"/>
          <w:szCs w:val="24"/>
          <w:shd w:val="clear" w:color="auto" w:fill="FFFFFF"/>
          <w:lang w:val="en-US"/>
        </w:rPr>
      </w:pPr>
      <w:r w:rsidRPr="002B3E1D">
        <w:rPr>
          <w:rFonts w:ascii="Times New Roman" w:hAnsi="Times New Roman" w:cs="Times New Roman"/>
          <w:sz w:val="24"/>
          <w:szCs w:val="24"/>
          <w:lang w:val="en-US"/>
        </w:rPr>
        <w:tab/>
        <w:t xml:space="preserve">Within the CE literature, scholars have empirically demonstrated a linkage between corporate entrepreneurship and the role of managerial support (i.e., a form of micro-foundation) at multiple levels of the organization, as well as the importance of capabilities in effectively engaging CE (Burgers et al., 2009; </w:t>
      </w:r>
      <w:r w:rsidRPr="002B3E1D">
        <w:rPr>
          <w:rFonts w:ascii="Times New Roman" w:hAnsi="Times New Roman" w:cs="Times New Roman"/>
          <w:color w:val="222222"/>
          <w:sz w:val="24"/>
          <w:szCs w:val="24"/>
          <w:shd w:val="clear" w:color="auto" w:fill="FFFFFF"/>
          <w:lang w:val="en-US"/>
        </w:rPr>
        <w:t>Hornsby et al., 2009</w:t>
      </w:r>
      <w:r w:rsidRPr="002B3E1D">
        <w:rPr>
          <w:rFonts w:ascii="Times New Roman" w:hAnsi="Times New Roman" w:cs="Times New Roman"/>
          <w:sz w:val="24"/>
          <w:szCs w:val="24"/>
          <w:lang w:val="en-US"/>
        </w:rPr>
        <w:t xml:space="preserve">; </w:t>
      </w:r>
      <w:r w:rsidRPr="002B3E1D">
        <w:rPr>
          <w:rFonts w:ascii="Times New Roman" w:hAnsi="Times New Roman" w:cs="Times New Roman"/>
          <w:color w:val="222222"/>
          <w:sz w:val="24"/>
          <w:szCs w:val="24"/>
          <w:shd w:val="clear" w:color="auto" w:fill="FFFFFF"/>
          <w:lang w:val="en-US"/>
        </w:rPr>
        <w:t>Kelley et al., 2009</w:t>
      </w:r>
      <w:r w:rsidRPr="002B3E1D">
        <w:rPr>
          <w:rFonts w:ascii="Times New Roman" w:hAnsi="Times New Roman" w:cs="Times New Roman"/>
          <w:sz w:val="24"/>
          <w:szCs w:val="24"/>
          <w:lang w:val="en-US"/>
        </w:rPr>
        <w:t xml:space="preserve">). For example, Hornsby et al. (2009) found that the positive relationship between managerial support and the result of entrepreneurial actions was stronger for senior and middle managers than it was for lower level managers, whilst also suggesting that the capabilities to derive benefits for support of CE may vary by managerial level. Additionally, Burgers et al. (2009) employed the theoretical framework of ambidexterity and explorative/exploitative learning to examine how organizations structure their activities for successful corporate venturing and point to the capabilities needed to balance differentiation and integration to achieve the desired outcome. Also, </w:t>
      </w:r>
      <w:r w:rsidRPr="002B3E1D">
        <w:rPr>
          <w:rFonts w:ascii="Times New Roman" w:hAnsi="Times New Roman" w:cs="Times New Roman"/>
          <w:color w:val="222222"/>
          <w:sz w:val="24"/>
          <w:szCs w:val="24"/>
          <w:shd w:val="clear" w:color="auto" w:fill="FFFFFF"/>
          <w:lang w:val="en-US"/>
        </w:rPr>
        <w:t>Kelley et al.</w:t>
      </w:r>
      <w:r w:rsidRPr="002B3E1D">
        <w:rPr>
          <w:rFonts w:ascii="Times New Roman" w:hAnsi="Times New Roman" w:cs="Times New Roman"/>
          <w:sz w:val="24"/>
          <w:szCs w:val="24"/>
          <w:lang w:val="en-US"/>
        </w:rPr>
        <w:t xml:space="preserve"> (2009) highlighted that the capabilities of organizational members from all managerial levels and divisions are required to form and manage networks that facilitate non-routine activities (e.g. innovation-based CE). In fact, these examples of studies on CE cover and contribute to important aspects of CE activities including structural, role of management at multiple levels, and organizational and managerial capabilities (see e.g., </w:t>
      </w:r>
      <w:r w:rsidRPr="002B3E1D">
        <w:rPr>
          <w:rFonts w:ascii="Times New Roman" w:hAnsi="Times New Roman" w:cs="Times New Roman"/>
          <w:color w:val="222222"/>
          <w:sz w:val="24"/>
          <w:szCs w:val="24"/>
          <w:shd w:val="clear" w:color="auto" w:fill="FFFFFF"/>
          <w:lang w:val="en-US"/>
        </w:rPr>
        <w:t xml:space="preserve">Phan et al., 2009), and thus reflect important aspects of micro-foundations of organizational ambidexterity in the context of </w:t>
      </w:r>
      <w:r w:rsidR="00562D43" w:rsidRPr="002B3E1D">
        <w:rPr>
          <w:rFonts w:ascii="Times New Roman" w:hAnsi="Times New Roman" w:cs="Times New Roman"/>
          <w:color w:val="222222"/>
          <w:sz w:val="24"/>
          <w:szCs w:val="24"/>
          <w:shd w:val="clear" w:color="auto" w:fill="FFFFFF"/>
          <w:lang w:val="en-US"/>
        </w:rPr>
        <w:t>M&amp;A</w:t>
      </w:r>
      <w:r w:rsidRPr="002B3E1D">
        <w:rPr>
          <w:rFonts w:ascii="Times New Roman" w:hAnsi="Times New Roman" w:cs="Times New Roman"/>
          <w:color w:val="222222"/>
          <w:sz w:val="24"/>
          <w:szCs w:val="24"/>
          <w:shd w:val="clear" w:color="auto" w:fill="FFFFFF"/>
          <w:lang w:val="en-US"/>
        </w:rPr>
        <w:t>s.</w:t>
      </w:r>
    </w:p>
    <w:p w14:paraId="20343CC9" w14:textId="69836FA5" w:rsidR="00B92689" w:rsidRDefault="00F05E0B" w:rsidP="00F05E0B">
      <w:pPr>
        <w:autoSpaceDE w:val="0"/>
        <w:autoSpaceDN w:val="0"/>
        <w:adjustRightInd w:val="0"/>
        <w:spacing w:after="0" w:line="480" w:lineRule="auto"/>
        <w:jc w:val="both"/>
        <w:rPr>
          <w:rFonts w:ascii="Times New Roman" w:hAnsi="Times New Roman" w:cs="Times New Roman"/>
          <w:color w:val="222222"/>
          <w:sz w:val="24"/>
          <w:szCs w:val="24"/>
          <w:shd w:val="clear" w:color="auto" w:fill="FFFFFF"/>
          <w:lang w:val="en-US"/>
        </w:rPr>
      </w:pPr>
      <w:r w:rsidRPr="002B3E1D">
        <w:rPr>
          <w:rFonts w:ascii="Times New Roman" w:hAnsi="Times New Roman" w:cs="Times New Roman"/>
          <w:color w:val="222222"/>
          <w:sz w:val="24"/>
          <w:szCs w:val="24"/>
          <w:shd w:val="clear" w:color="auto" w:fill="FFFFFF"/>
          <w:lang w:val="en-US"/>
        </w:rPr>
        <w:lastRenderedPageBreak/>
        <w:tab/>
        <w:t>Based on the above discussions on CE, we argue that a greater need to consider and utilize knowledge-based resources (e.g. human capital, social capital and intellectual capital) is not only important for CE (</w:t>
      </w:r>
      <w:r w:rsidRPr="002B3E1D">
        <w:rPr>
          <w:rFonts w:ascii="Times New Roman" w:hAnsi="Times New Roman" w:cs="Times New Roman"/>
          <w:sz w:val="24"/>
          <w:szCs w:val="24"/>
          <w:lang w:val="en-US"/>
        </w:rPr>
        <w:t>Dess et al., 2003)</w:t>
      </w:r>
      <w:r w:rsidRPr="002B3E1D">
        <w:rPr>
          <w:rFonts w:ascii="Times New Roman" w:hAnsi="Times New Roman" w:cs="Times New Roman"/>
          <w:color w:val="222222"/>
          <w:sz w:val="24"/>
          <w:szCs w:val="24"/>
          <w:shd w:val="clear" w:color="auto" w:fill="FFFFFF"/>
          <w:lang w:val="en-US"/>
        </w:rPr>
        <w:t xml:space="preserve">, but can equally foster </w:t>
      </w:r>
      <w:r w:rsidRPr="002B3E1D">
        <w:rPr>
          <w:rFonts w:ascii="Times New Roman" w:hAnsi="Times New Roman" w:cs="Times New Roman"/>
          <w:sz w:val="24"/>
          <w:szCs w:val="24"/>
          <w:lang w:val="en-US"/>
        </w:rPr>
        <w:t xml:space="preserve">innovation ambidexterity especially in the context of cross-border </w:t>
      </w:r>
      <w:r w:rsidR="00562D43" w:rsidRPr="002B3E1D">
        <w:rPr>
          <w:rFonts w:ascii="Times New Roman" w:hAnsi="Times New Roman" w:cs="Times New Roman"/>
          <w:sz w:val="24"/>
          <w:szCs w:val="24"/>
          <w:lang w:val="en-US"/>
        </w:rPr>
        <w:t>M&amp;A</w:t>
      </w:r>
      <w:r w:rsidRPr="002B3E1D">
        <w:rPr>
          <w:rFonts w:ascii="Times New Roman" w:hAnsi="Times New Roman" w:cs="Times New Roman"/>
          <w:sz w:val="24"/>
          <w:szCs w:val="24"/>
          <w:lang w:val="en-US"/>
        </w:rPr>
        <w:t>s.</w:t>
      </w:r>
      <w:r w:rsidRPr="002B3E1D">
        <w:rPr>
          <w:rFonts w:ascii="Times New Roman" w:hAnsi="Times New Roman" w:cs="Times New Roman"/>
          <w:color w:val="222222"/>
          <w:sz w:val="24"/>
          <w:szCs w:val="24"/>
          <w:shd w:val="clear" w:color="auto" w:fill="FFFFFF"/>
          <w:lang w:val="en-US"/>
        </w:rPr>
        <w:t xml:space="preserve"> This is particularly true if </w:t>
      </w:r>
      <w:r w:rsidRPr="002B3E1D">
        <w:rPr>
          <w:rFonts w:ascii="Times New Roman" w:hAnsi="Times New Roman" w:cs="Times New Roman"/>
          <w:sz w:val="24"/>
          <w:szCs w:val="24"/>
          <w:lang w:val="en-US"/>
        </w:rPr>
        <w:t xml:space="preserve">committed and determined </w:t>
      </w:r>
      <w:r w:rsidRPr="002B3E1D">
        <w:rPr>
          <w:rFonts w:ascii="Times New Roman" w:hAnsi="Times New Roman" w:cs="Times New Roman"/>
          <w:color w:val="222222"/>
          <w:sz w:val="24"/>
          <w:szCs w:val="24"/>
          <w:shd w:val="clear" w:color="auto" w:fill="FFFFFF"/>
          <w:lang w:val="en-US"/>
        </w:rPr>
        <w:t>individual (or team of) senior and middle managers imbued with corporate entrepreneurial</w:t>
      </w:r>
      <w:r w:rsidRPr="002B3E1D">
        <w:rPr>
          <w:rFonts w:ascii="Times New Roman" w:hAnsi="Times New Roman" w:cs="Times New Roman"/>
          <w:sz w:val="24"/>
          <w:szCs w:val="24"/>
          <w:lang w:val="en-US"/>
        </w:rPr>
        <w:t xml:space="preserve"> characteristics</w:t>
      </w:r>
      <w:r w:rsidR="00D871E4">
        <w:rPr>
          <w:rFonts w:ascii="Times New Roman" w:hAnsi="Times New Roman" w:cs="Times New Roman"/>
          <w:color w:val="222222"/>
          <w:sz w:val="24"/>
          <w:szCs w:val="24"/>
          <w:shd w:val="clear" w:color="auto" w:fill="FFFFFF"/>
          <w:lang w:val="en-US"/>
        </w:rPr>
        <w:t xml:space="preserve"> </w:t>
      </w:r>
      <w:r w:rsidRPr="002B3E1D">
        <w:rPr>
          <w:rFonts w:ascii="Times New Roman" w:hAnsi="Times New Roman" w:cs="Times New Roman"/>
          <w:color w:val="222222"/>
          <w:sz w:val="24"/>
          <w:szCs w:val="24"/>
          <w:shd w:val="clear" w:color="auto" w:fill="FFFFFF"/>
          <w:lang w:val="en-US"/>
        </w:rPr>
        <w:t>can effectively steer structural, managerial support at dif</w:t>
      </w:r>
      <w:r w:rsidR="00D871E4">
        <w:rPr>
          <w:rFonts w:ascii="Times New Roman" w:hAnsi="Times New Roman" w:cs="Times New Roman"/>
          <w:color w:val="222222"/>
          <w:sz w:val="24"/>
          <w:szCs w:val="24"/>
          <w:shd w:val="clear" w:color="auto" w:fill="FFFFFF"/>
          <w:lang w:val="en-US"/>
        </w:rPr>
        <w:t>ferent levels and capabilities. In such cases,</w:t>
      </w:r>
      <w:r w:rsidRPr="002B3E1D">
        <w:rPr>
          <w:rFonts w:ascii="Times New Roman" w:hAnsi="Times New Roman" w:cs="Times New Roman"/>
          <w:color w:val="222222"/>
          <w:sz w:val="24"/>
          <w:szCs w:val="24"/>
          <w:shd w:val="clear" w:color="auto" w:fill="FFFFFF"/>
          <w:lang w:val="en-US"/>
        </w:rPr>
        <w:t xml:space="preserve"> CE will favorably impact knowledge sharing and the use and sharing of capabilities post-</w:t>
      </w:r>
      <w:r w:rsidR="00562D43" w:rsidRPr="002B3E1D">
        <w:rPr>
          <w:rFonts w:ascii="Times New Roman" w:hAnsi="Times New Roman" w:cs="Times New Roman"/>
          <w:color w:val="222222"/>
          <w:sz w:val="24"/>
          <w:szCs w:val="24"/>
          <w:shd w:val="clear" w:color="auto" w:fill="FFFFFF"/>
          <w:lang w:val="en-US"/>
        </w:rPr>
        <w:t>M&amp;A</w:t>
      </w:r>
      <w:r w:rsidRPr="002B3E1D">
        <w:rPr>
          <w:rFonts w:ascii="Times New Roman" w:hAnsi="Times New Roman" w:cs="Times New Roman"/>
          <w:color w:val="222222"/>
          <w:sz w:val="24"/>
          <w:szCs w:val="24"/>
          <w:shd w:val="clear" w:color="auto" w:fill="FFFFFF"/>
          <w:lang w:val="en-US"/>
        </w:rPr>
        <w:t xml:space="preserve"> for enhanced innovation ambidexterity. </w:t>
      </w:r>
      <w:r w:rsidR="00B92689">
        <w:rPr>
          <w:rFonts w:ascii="Times New Roman" w:hAnsi="Times New Roman" w:cs="Times New Roman"/>
          <w:color w:val="222222"/>
          <w:sz w:val="24"/>
          <w:szCs w:val="24"/>
          <w:shd w:val="clear" w:color="auto" w:fill="FFFFFF"/>
          <w:lang w:val="en-US"/>
        </w:rPr>
        <w:t>Thus we propose:</w:t>
      </w:r>
    </w:p>
    <w:p w14:paraId="398414D8" w14:textId="77777777" w:rsidR="00B92689" w:rsidRPr="00D871E4" w:rsidRDefault="00B92689" w:rsidP="00B92689">
      <w:pPr>
        <w:autoSpaceDE w:val="0"/>
        <w:autoSpaceDN w:val="0"/>
        <w:adjustRightInd w:val="0"/>
        <w:spacing w:after="0" w:line="480" w:lineRule="auto"/>
        <w:ind w:left="284" w:right="284"/>
        <w:jc w:val="both"/>
        <w:rPr>
          <w:rFonts w:ascii="Times New Roman" w:hAnsi="Times New Roman" w:cs="Times New Roman"/>
          <w:i/>
          <w:sz w:val="24"/>
          <w:szCs w:val="24"/>
          <w:lang w:val="en-US"/>
        </w:rPr>
      </w:pPr>
      <w:r w:rsidRPr="00D871E4">
        <w:rPr>
          <w:rFonts w:ascii="Times New Roman" w:hAnsi="Times New Roman" w:cs="Times New Roman"/>
          <w:i/>
          <w:sz w:val="24"/>
          <w:szCs w:val="24"/>
          <w:lang w:val="en-US"/>
        </w:rPr>
        <w:t>H4: Corporate entrepreneurship positively moderates the effect of knowledge sharing on organizational ambidexterity.</w:t>
      </w:r>
    </w:p>
    <w:p w14:paraId="7376B0CE" w14:textId="77777777" w:rsidR="00B92689" w:rsidRDefault="00B92689" w:rsidP="00F05E0B">
      <w:pPr>
        <w:autoSpaceDE w:val="0"/>
        <w:autoSpaceDN w:val="0"/>
        <w:adjustRightInd w:val="0"/>
        <w:spacing w:after="0" w:line="480" w:lineRule="auto"/>
        <w:jc w:val="both"/>
        <w:rPr>
          <w:rFonts w:ascii="Times New Roman" w:hAnsi="Times New Roman" w:cs="Times New Roman"/>
          <w:color w:val="222222"/>
          <w:sz w:val="24"/>
          <w:szCs w:val="24"/>
          <w:shd w:val="clear" w:color="auto" w:fill="FFFFFF"/>
          <w:lang w:val="en-US"/>
        </w:rPr>
      </w:pPr>
    </w:p>
    <w:p w14:paraId="480DBBD8" w14:textId="6E4C4BD0" w:rsidR="00F05E0B" w:rsidRDefault="00F05E0B" w:rsidP="00972B28">
      <w:pPr>
        <w:autoSpaceDE w:val="0"/>
        <w:autoSpaceDN w:val="0"/>
        <w:adjustRightInd w:val="0"/>
        <w:spacing w:after="0" w:line="480" w:lineRule="auto"/>
        <w:ind w:firstLine="720"/>
        <w:jc w:val="both"/>
        <w:rPr>
          <w:rFonts w:ascii="Times New Roman" w:hAnsi="Times New Roman" w:cs="Times New Roman"/>
          <w:color w:val="222222"/>
          <w:sz w:val="24"/>
          <w:szCs w:val="24"/>
          <w:shd w:val="clear" w:color="auto" w:fill="FFFFFF"/>
          <w:lang w:val="en-US"/>
        </w:rPr>
      </w:pPr>
      <w:r w:rsidRPr="002B3E1D">
        <w:rPr>
          <w:rFonts w:ascii="Times New Roman" w:hAnsi="Times New Roman" w:cs="Times New Roman"/>
          <w:color w:val="222222"/>
          <w:sz w:val="24"/>
          <w:szCs w:val="24"/>
          <w:shd w:val="clear" w:color="auto" w:fill="FFFFFF"/>
          <w:lang w:val="en-US"/>
        </w:rPr>
        <w:t xml:space="preserve">In support of our argument, prior </w:t>
      </w:r>
      <w:r w:rsidR="00562D43" w:rsidRPr="002B3E1D">
        <w:rPr>
          <w:rFonts w:ascii="Times New Roman" w:hAnsi="Times New Roman" w:cs="Times New Roman"/>
          <w:color w:val="222222"/>
          <w:sz w:val="24"/>
          <w:szCs w:val="24"/>
          <w:shd w:val="clear" w:color="auto" w:fill="FFFFFF"/>
          <w:lang w:val="en-US"/>
        </w:rPr>
        <w:t>M&amp;A</w:t>
      </w:r>
      <w:r w:rsidRPr="002B3E1D">
        <w:rPr>
          <w:rFonts w:ascii="Times New Roman" w:hAnsi="Times New Roman" w:cs="Times New Roman"/>
          <w:color w:val="222222"/>
          <w:sz w:val="24"/>
          <w:szCs w:val="24"/>
          <w:shd w:val="clear" w:color="auto" w:fill="FFFFFF"/>
          <w:lang w:val="en-US"/>
        </w:rPr>
        <w:t xml:space="preserve"> research avers that the appropriation of knowledge-based assets of target firms’ poses a challenge especially in knowledge-intensive </w:t>
      </w:r>
      <w:r w:rsidR="00562D43" w:rsidRPr="002B3E1D">
        <w:rPr>
          <w:rFonts w:ascii="Times New Roman" w:hAnsi="Times New Roman" w:cs="Times New Roman"/>
          <w:color w:val="222222"/>
          <w:sz w:val="24"/>
          <w:szCs w:val="24"/>
          <w:shd w:val="clear" w:color="auto" w:fill="FFFFFF"/>
          <w:lang w:val="en-US"/>
        </w:rPr>
        <w:t>M&amp;A</w:t>
      </w:r>
      <w:r w:rsidRPr="002B3E1D">
        <w:rPr>
          <w:rFonts w:ascii="Times New Roman" w:hAnsi="Times New Roman" w:cs="Times New Roman"/>
          <w:color w:val="222222"/>
          <w:sz w:val="24"/>
          <w:szCs w:val="24"/>
          <w:shd w:val="clear" w:color="auto" w:fill="FFFFFF"/>
          <w:lang w:val="en-US"/>
        </w:rPr>
        <w:t xml:space="preserve">s (Degbey 2015, 2016), as they may be tacit (Polanyi, 1963), embedded in individual managers, group or networks and “bundled” with other resources (Nonaka </w:t>
      </w:r>
      <w:r w:rsidR="008F5536" w:rsidRPr="002B3E1D">
        <w:rPr>
          <w:rFonts w:ascii="Times New Roman" w:hAnsi="Times New Roman" w:cs="Times New Roman"/>
          <w:color w:val="222222"/>
          <w:sz w:val="24"/>
          <w:szCs w:val="24"/>
          <w:shd w:val="clear" w:color="auto" w:fill="FFFFFF"/>
          <w:lang w:val="en-US"/>
        </w:rPr>
        <w:t>and</w:t>
      </w:r>
      <w:r w:rsidRPr="002B3E1D">
        <w:rPr>
          <w:rFonts w:ascii="Times New Roman" w:hAnsi="Times New Roman" w:cs="Times New Roman"/>
          <w:color w:val="222222"/>
          <w:sz w:val="24"/>
          <w:szCs w:val="24"/>
          <w:shd w:val="clear" w:color="auto" w:fill="FFFFFF"/>
          <w:lang w:val="en-US"/>
        </w:rPr>
        <w:t xml:space="preserve"> Von Krogh, 2009), and thus emphasizing the primacy of CE to aid their sharing and use for improved OA. Similarly, Aklamanu et al. (2016) proposed an integrative model that emphasizes specific HRM practices and social capital mechanisms concurrently to influence employees’ KSAs</w:t>
      </w:r>
      <w:r w:rsidRPr="002B3E1D">
        <w:rPr>
          <w:rStyle w:val="FootnoteReference"/>
          <w:rFonts w:ascii="Times New Roman" w:hAnsi="Times New Roman" w:cs="Times New Roman"/>
          <w:color w:val="222222"/>
          <w:sz w:val="24"/>
          <w:szCs w:val="24"/>
          <w:shd w:val="clear" w:color="auto" w:fill="FFFFFF"/>
          <w:lang w:val="en-US"/>
        </w:rPr>
        <w:footnoteReference w:id="1"/>
      </w:r>
      <w:r w:rsidRPr="002B3E1D">
        <w:rPr>
          <w:rFonts w:ascii="Times New Roman" w:hAnsi="Times New Roman" w:cs="Times New Roman"/>
          <w:color w:val="222222"/>
          <w:sz w:val="24"/>
          <w:szCs w:val="24"/>
          <w:shd w:val="clear" w:color="auto" w:fill="FFFFFF"/>
          <w:lang w:val="en-US"/>
        </w:rPr>
        <w:t xml:space="preserve"> for improved knowledge sharing in </w:t>
      </w:r>
      <w:r w:rsidR="00562D43" w:rsidRPr="002B3E1D">
        <w:rPr>
          <w:rFonts w:ascii="Times New Roman" w:hAnsi="Times New Roman" w:cs="Times New Roman"/>
          <w:color w:val="222222"/>
          <w:sz w:val="24"/>
          <w:szCs w:val="24"/>
          <w:shd w:val="clear" w:color="auto" w:fill="FFFFFF"/>
          <w:lang w:val="en-US"/>
        </w:rPr>
        <w:t>M&amp;A</w:t>
      </w:r>
      <w:r w:rsidRPr="002B3E1D">
        <w:rPr>
          <w:rFonts w:ascii="Times New Roman" w:hAnsi="Times New Roman" w:cs="Times New Roman"/>
          <w:color w:val="222222"/>
          <w:sz w:val="24"/>
          <w:szCs w:val="24"/>
          <w:shd w:val="clear" w:color="auto" w:fill="FFFFFF"/>
          <w:lang w:val="en-US"/>
        </w:rPr>
        <w:t>s. As CE provides a valuable source of sociocultural and behavio</w:t>
      </w:r>
      <w:r w:rsidR="00E56818">
        <w:rPr>
          <w:rFonts w:ascii="Times New Roman" w:hAnsi="Times New Roman" w:cs="Times New Roman"/>
          <w:color w:val="222222"/>
          <w:sz w:val="24"/>
          <w:szCs w:val="24"/>
          <w:shd w:val="clear" w:color="auto" w:fill="FFFFFF"/>
          <w:lang w:val="en-US"/>
        </w:rPr>
        <w:t>u</w:t>
      </w:r>
      <w:r w:rsidRPr="002B3E1D">
        <w:rPr>
          <w:rFonts w:ascii="Times New Roman" w:hAnsi="Times New Roman" w:cs="Times New Roman"/>
          <w:color w:val="222222"/>
          <w:sz w:val="24"/>
          <w:szCs w:val="24"/>
          <w:shd w:val="clear" w:color="auto" w:fill="FFFFFF"/>
          <w:lang w:val="en-US"/>
        </w:rPr>
        <w:t xml:space="preserve">ral effects on employees’ KSAs, such concurrent configurations of human and social capital micro-foundations are likely to stimulate not only increased knowledge sharing but also increased use and sharing of capabilities from (and with) target firm for enhanced ambidexterity following </w:t>
      </w:r>
      <w:r w:rsidR="00562D43" w:rsidRPr="002B3E1D">
        <w:rPr>
          <w:rFonts w:ascii="Times New Roman" w:hAnsi="Times New Roman" w:cs="Times New Roman"/>
          <w:color w:val="222222"/>
          <w:sz w:val="24"/>
          <w:szCs w:val="24"/>
          <w:shd w:val="clear" w:color="auto" w:fill="FFFFFF"/>
          <w:lang w:val="en-US"/>
        </w:rPr>
        <w:t>M&amp;A</w:t>
      </w:r>
      <w:r w:rsidRPr="002B3E1D">
        <w:rPr>
          <w:rFonts w:ascii="Times New Roman" w:hAnsi="Times New Roman" w:cs="Times New Roman"/>
          <w:color w:val="222222"/>
          <w:sz w:val="24"/>
          <w:szCs w:val="24"/>
          <w:shd w:val="clear" w:color="auto" w:fill="FFFFFF"/>
          <w:lang w:val="en-US"/>
        </w:rPr>
        <w:t>s</w:t>
      </w:r>
      <w:r w:rsidR="00B92689">
        <w:rPr>
          <w:rFonts w:ascii="Times New Roman" w:hAnsi="Times New Roman" w:cs="Times New Roman"/>
          <w:color w:val="222222"/>
          <w:sz w:val="24"/>
          <w:szCs w:val="24"/>
          <w:shd w:val="clear" w:color="auto" w:fill="FFFFFF"/>
          <w:lang w:val="en-US"/>
        </w:rPr>
        <w:t>:</w:t>
      </w:r>
    </w:p>
    <w:p w14:paraId="2AA96BC5" w14:textId="77777777" w:rsidR="00B92689" w:rsidRDefault="00B92689" w:rsidP="00F05E0B">
      <w:pPr>
        <w:autoSpaceDE w:val="0"/>
        <w:autoSpaceDN w:val="0"/>
        <w:adjustRightInd w:val="0"/>
        <w:spacing w:after="0" w:line="480" w:lineRule="auto"/>
        <w:jc w:val="both"/>
        <w:rPr>
          <w:rFonts w:ascii="Times New Roman" w:hAnsi="Times New Roman" w:cs="Times New Roman"/>
          <w:color w:val="222222"/>
          <w:sz w:val="24"/>
          <w:szCs w:val="24"/>
          <w:shd w:val="clear" w:color="auto" w:fill="FFFFFF"/>
          <w:lang w:val="en-US"/>
        </w:rPr>
      </w:pPr>
    </w:p>
    <w:p w14:paraId="494B4ED7" w14:textId="77777777" w:rsidR="00B92689" w:rsidRPr="00602CDF" w:rsidRDefault="00B92689" w:rsidP="00B92689">
      <w:pPr>
        <w:autoSpaceDE w:val="0"/>
        <w:autoSpaceDN w:val="0"/>
        <w:adjustRightInd w:val="0"/>
        <w:spacing w:after="0" w:line="480" w:lineRule="auto"/>
        <w:ind w:left="284" w:right="284"/>
        <w:jc w:val="both"/>
        <w:rPr>
          <w:rFonts w:ascii="Times New Roman" w:hAnsi="Times New Roman" w:cs="Times New Roman"/>
          <w:i/>
          <w:sz w:val="24"/>
          <w:szCs w:val="24"/>
          <w:lang w:val="en-US"/>
        </w:rPr>
      </w:pPr>
      <w:r w:rsidRPr="00602CDF">
        <w:rPr>
          <w:rFonts w:ascii="Times New Roman" w:hAnsi="Times New Roman" w:cs="Times New Roman"/>
          <w:i/>
          <w:sz w:val="24"/>
          <w:szCs w:val="24"/>
          <w:lang w:val="en-US"/>
        </w:rPr>
        <w:t>H5: Increased use of the acquired target’s capabilities has a positive effect on organizational ambidexterity, and this effect is greater as corporate entrepreneurship increases.</w:t>
      </w:r>
    </w:p>
    <w:p w14:paraId="6983A619" w14:textId="77777777" w:rsidR="00B92689" w:rsidRPr="002B3E1D" w:rsidRDefault="00B92689" w:rsidP="00F05E0B">
      <w:pPr>
        <w:autoSpaceDE w:val="0"/>
        <w:autoSpaceDN w:val="0"/>
        <w:adjustRightInd w:val="0"/>
        <w:spacing w:after="0" w:line="480" w:lineRule="auto"/>
        <w:jc w:val="both"/>
        <w:rPr>
          <w:rFonts w:ascii="Times New Roman" w:hAnsi="Times New Roman" w:cs="Times New Roman"/>
          <w:color w:val="222222"/>
          <w:sz w:val="24"/>
          <w:szCs w:val="24"/>
          <w:shd w:val="clear" w:color="auto" w:fill="FFFFFF"/>
          <w:lang w:val="en-US"/>
        </w:rPr>
      </w:pPr>
    </w:p>
    <w:p w14:paraId="51EC31B9" w14:textId="5F5D7F96" w:rsidR="00F05E0B" w:rsidRDefault="00F05E0B" w:rsidP="00F05E0B">
      <w:pPr>
        <w:autoSpaceDE w:val="0"/>
        <w:autoSpaceDN w:val="0"/>
        <w:adjustRightInd w:val="0"/>
        <w:spacing w:after="0" w:line="480" w:lineRule="auto"/>
        <w:jc w:val="both"/>
        <w:rPr>
          <w:rFonts w:ascii="Times New Roman" w:hAnsi="Times New Roman" w:cs="Times New Roman"/>
          <w:sz w:val="24"/>
          <w:szCs w:val="24"/>
          <w:lang w:val="en-US"/>
        </w:rPr>
      </w:pPr>
      <w:r w:rsidRPr="002B3E1D">
        <w:rPr>
          <w:rFonts w:ascii="Times New Roman" w:hAnsi="Times New Roman" w:cs="Times New Roman"/>
          <w:color w:val="222222"/>
          <w:sz w:val="24"/>
          <w:szCs w:val="24"/>
          <w:shd w:val="clear" w:color="auto" w:fill="FFFFFF"/>
          <w:lang w:val="en-US"/>
        </w:rPr>
        <w:tab/>
        <w:t xml:space="preserve">Simply put, the increased role of CE </w:t>
      </w:r>
      <w:r w:rsidRPr="002B3E1D">
        <w:rPr>
          <w:rFonts w:ascii="Times New Roman" w:hAnsi="Times New Roman" w:cs="Times New Roman"/>
          <w:sz w:val="24"/>
          <w:szCs w:val="24"/>
          <w:lang w:val="en-US"/>
        </w:rPr>
        <w:t xml:space="preserve">between acquiring and acquired firms in </w:t>
      </w:r>
      <w:r w:rsidR="00562D43" w:rsidRPr="002B3E1D">
        <w:rPr>
          <w:rFonts w:ascii="Times New Roman" w:hAnsi="Times New Roman" w:cs="Times New Roman"/>
          <w:sz w:val="24"/>
          <w:szCs w:val="24"/>
          <w:lang w:val="en-US"/>
        </w:rPr>
        <w:t>M&amp;A</w:t>
      </w:r>
      <w:r w:rsidRPr="002B3E1D">
        <w:rPr>
          <w:rFonts w:ascii="Times New Roman" w:hAnsi="Times New Roman" w:cs="Times New Roman"/>
          <w:sz w:val="24"/>
          <w:szCs w:val="24"/>
          <w:lang w:val="en-US"/>
        </w:rPr>
        <w:t>s is predicted to favorably moderate knowledge sharing as well as the use and sharing of capabilities from and with target firm to enhance ambidexterity. Consequently, we hypothesize that:</w:t>
      </w:r>
    </w:p>
    <w:p w14:paraId="20F47FCD" w14:textId="2BD3E912" w:rsidR="00B92689" w:rsidRPr="00602CDF" w:rsidRDefault="00B92689" w:rsidP="00B92689">
      <w:pPr>
        <w:autoSpaceDE w:val="0"/>
        <w:autoSpaceDN w:val="0"/>
        <w:adjustRightInd w:val="0"/>
        <w:spacing w:after="0" w:line="480" w:lineRule="auto"/>
        <w:ind w:left="284"/>
        <w:jc w:val="both"/>
        <w:rPr>
          <w:rFonts w:ascii="Times New Roman" w:hAnsi="Times New Roman" w:cs="Times New Roman"/>
          <w:i/>
          <w:color w:val="222222"/>
          <w:sz w:val="24"/>
          <w:szCs w:val="24"/>
          <w:shd w:val="clear" w:color="auto" w:fill="FFFFFF"/>
          <w:lang w:val="en-US"/>
        </w:rPr>
      </w:pPr>
      <w:r w:rsidRPr="00602CDF">
        <w:rPr>
          <w:rFonts w:ascii="Times New Roman" w:hAnsi="Times New Roman" w:cs="Times New Roman"/>
          <w:i/>
          <w:sz w:val="24"/>
          <w:szCs w:val="24"/>
          <w:lang w:val="en-US"/>
        </w:rPr>
        <w:t>H6: Corporate entrepreneurship positively moderates the effect of capability sharing on organizational ambidexterity</w:t>
      </w:r>
      <w:r w:rsidR="00602CDF" w:rsidRPr="00602CDF">
        <w:rPr>
          <w:rFonts w:ascii="Times New Roman" w:hAnsi="Times New Roman" w:cs="Times New Roman"/>
          <w:i/>
          <w:sz w:val="24"/>
          <w:szCs w:val="24"/>
          <w:lang w:val="en-US"/>
        </w:rPr>
        <w:t>.</w:t>
      </w:r>
    </w:p>
    <w:p w14:paraId="18A61F7D" w14:textId="06694323" w:rsidR="00F05E0B" w:rsidRPr="002B3E1D" w:rsidRDefault="00F05E0B" w:rsidP="00602CDF">
      <w:pPr>
        <w:autoSpaceDE w:val="0"/>
        <w:autoSpaceDN w:val="0"/>
        <w:adjustRightInd w:val="0"/>
        <w:spacing w:after="0" w:line="480" w:lineRule="auto"/>
        <w:ind w:left="284" w:right="284"/>
        <w:jc w:val="both"/>
        <w:rPr>
          <w:rFonts w:ascii="Times New Roman" w:hAnsi="Times New Roman" w:cs="Times New Roman"/>
          <w:sz w:val="24"/>
          <w:szCs w:val="24"/>
          <w:lang w:val="en-US"/>
        </w:rPr>
      </w:pPr>
    </w:p>
    <w:p w14:paraId="3812B123" w14:textId="77777777" w:rsidR="00F05E0B" w:rsidRPr="002B3E1D" w:rsidRDefault="00F05E0B" w:rsidP="00F05E0B">
      <w:pPr>
        <w:autoSpaceDE w:val="0"/>
        <w:autoSpaceDN w:val="0"/>
        <w:adjustRightInd w:val="0"/>
        <w:spacing w:after="0" w:line="480" w:lineRule="auto"/>
        <w:rPr>
          <w:rFonts w:ascii="Times New Roman" w:hAnsi="Times New Roman" w:cs="Times New Roman"/>
          <w:b/>
          <w:sz w:val="24"/>
          <w:szCs w:val="24"/>
          <w:lang w:val="en-US"/>
        </w:rPr>
      </w:pPr>
      <w:r w:rsidRPr="002B3E1D">
        <w:rPr>
          <w:rFonts w:ascii="Times New Roman" w:hAnsi="Times New Roman" w:cs="Times New Roman"/>
          <w:b/>
          <w:sz w:val="24"/>
          <w:szCs w:val="24"/>
          <w:lang w:val="en-US"/>
        </w:rPr>
        <w:t>The Moderating Role of Integration</w:t>
      </w:r>
    </w:p>
    <w:p w14:paraId="4022646E" w14:textId="7CCDD4CA" w:rsidR="00F05E0B" w:rsidRDefault="00F05E0B" w:rsidP="00F05E0B">
      <w:pPr>
        <w:autoSpaceDE w:val="0"/>
        <w:autoSpaceDN w:val="0"/>
        <w:adjustRightInd w:val="0"/>
        <w:spacing w:after="0" w:line="480" w:lineRule="auto"/>
        <w:jc w:val="both"/>
        <w:rPr>
          <w:rFonts w:ascii="Times New Roman" w:hAnsi="Times New Roman" w:cs="Times New Roman"/>
          <w:sz w:val="24"/>
          <w:szCs w:val="24"/>
          <w:lang w:val="en-US"/>
        </w:rPr>
      </w:pPr>
      <w:r w:rsidRPr="002B3E1D">
        <w:rPr>
          <w:rFonts w:ascii="Times New Roman" w:hAnsi="Times New Roman" w:cs="Times New Roman"/>
          <w:sz w:val="24"/>
          <w:szCs w:val="24"/>
          <w:lang w:val="en-US"/>
        </w:rPr>
        <w:t>High levels of structural integration implies the standardization of operational processes, products, services, technologies and the like and to facilitate efficiency in decision-making, information-processing, problem-solving, and knowledge application across the combined firm (Jansen et al., 2006; Olson et al., 2005).</w:t>
      </w:r>
      <w:r w:rsidRPr="002B3E1D">
        <w:rPr>
          <w:lang w:val="en-US"/>
        </w:rPr>
        <w:t xml:space="preserve"> </w:t>
      </w:r>
      <w:r w:rsidRPr="002B3E1D">
        <w:rPr>
          <w:rFonts w:ascii="Times New Roman" w:hAnsi="Times New Roman" w:cs="Times New Roman"/>
          <w:sz w:val="24"/>
          <w:szCs w:val="24"/>
          <w:lang w:val="en-US"/>
        </w:rPr>
        <w:t xml:space="preserve">Integration, then, appears the most appropriate approach to realize exploitation innovation (Puranam et al., 2006). Low levels of integration though imply that autonomy is being imparted upon the acquired firm involved in the </w:t>
      </w:r>
      <w:r w:rsidR="00562D43" w:rsidRPr="002B3E1D">
        <w:rPr>
          <w:rFonts w:ascii="Times New Roman" w:hAnsi="Times New Roman" w:cs="Times New Roman"/>
          <w:sz w:val="24"/>
          <w:szCs w:val="24"/>
          <w:lang w:val="en-US"/>
        </w:rPr>
        <w:t>M&amp;A</w:t>
      </w:r>
      <w:r w:rsidRPr="002B3E1D">
        <w:rPr>
          <w:rFonts w:ascii="Times New Roman" w:hAnsi="Times New Roman" w:cs="Times New Roman"/>
          <w:sz w:val="24"/>
          <w:szCs w:val="24"/>
          <w:lang w:val="en-US"/>
        </w:rPr>
        <w:t xml:space="preserve">. Exploration innovation, within which a firm focuses its competitive strategy on a search for new ideas and solutions beyond its current knowledge sets and solves non-routine and emerging problems (Olson et al., 2005), requires organizational structuring that encourages flexibility. When competing in, or considering entry to, market or industry environments where customers and </w:t>
      </w:r>
      <w:r w:rsidRPr="002B3E1D">
        <w:rPr>
          <w:rFonts w:ascii="Times New Roman" w:hAnsi="Times New Roman" w:cs="Times New Roman"/>
          <w:sz w:val="24"/>
          <w:szCs w:val="24"/>
          <w:lang w:val="en-US"/>
        </w:rPr>
        <w:lastRenderedPageBreak/>
        <w:t xml:space="preserve">markets’ demands are uncertain, there is a greater need for autonomy (Burgelman, 2002; Nakata </w:t>
      </w:r>
      <w:r w:rsidR="008F5536" w:rsidRPr="002B3E1D">
        <w:rPr>
          <w:rFonts w:ascii="Times New Roman" w:hAnsi="Times New Roman" w:cs="Times New Roman"/>
          <w:sz w:val="24"/>
          <w:szCs w:val="24"/>
          <w:lang w:val="en-US"/>
        </w:rPr>
        <w:t>and</w:t>
      </w:r>
      <w:r w:rsidRPr="002B3E1D">
        <w:rPr>
          <w:rFonts w:ascii="Times New Roman" w:hAnsi="Times New Roman" w:cs="Times New Roman"/>
          <w:sz w:val="24"/>
          <w:szCs w:val="24"/>
          <w:lang w:val="en-US"/>
        </w:rPr>
        <w:t xml:space="preserve"> Im, 2010), or perhaps less integration structurally.</w:t>
      </w:r>
      <w:r w:rsidR="007F270F">
        <w:rPr>
          <w:rFonts w:ascii="Times New Roman" w:hAnsi="Times New Roman" w:cs="Times New Roman"/>
          <w:sz w:val="24"/>
          <w:szCs w:val="24"/>
          <w:lang w:val="en-US"/>
        </w:rPr>
        <w:t xml:space="preserve"> Thus:</w:t>
      </w:r>
    </w:p>
    <w:p w14:paraId="7F695319" w14:textId="77777777" w:rsidR="007F270F" w:rsidRDefault="007F270F" w:rsidP="00F05E0B">
      <w:pPr>
        <w:autoSpaceDE w:val="0"/>
        <w:autoSpaceDN w:val="0"/>
        <w:adjustRightInd w:val="0"/>
        <w:spacing w:after="0" w:line="480" w:lineRule="auto"/>
        <w:jc w:val="both"/>
        <w:rPr>
          <w:rFonts w:ascii="Times New Roman" w:hAnsi="Times New Roman" w:cs="Times New Roman"/>
          <w:sz w:val="24"/>
          <w:szCs w:val="24"/>
          <w:lang w:val="en-US"/>
        </w:rPr>
      </w:pPr>
    </w:p>
    <w:p w14:paraId="33B0CEE3" w14:textId="7AA0377C" w:rsidR="007F270F" w:rsidRPr="002968CC" w:rsidRDefault="007F270F" w:rsidP="007F270F">
      <w:pPr>
        <w:autoSpaceDE w:val="0"/>
        <w:autoSpaceDN w:val="0"/>
        <w:adjustRightInd w:val="0"/>
        <w:spacing w:after="0" w:line="480" w:lineRule="auto"/>
        <w:ind w:left="284" w:right="284"/>
        <w:jc w:val="both"/>
        <w:rPr>
          <w:rFonts w:ascii="Times New Roman" w:hAnsi="Times New Roman" w:cs="Times New Roman"/>
          <w:i/>
          <w:sz w:val="24"/>
          <w:szCs w:val="24"/>
          <w:lang w:val="en-US"/>
        </w:rPr>
      </w:pPr>
      <w:r w:rsidRPr="002968CC">
        <w:rPr>
          <w:rFonts w:ascii="Times New Roman" w:hAnsi="Times New Roman" w:cs="Times New Roman"/>
          <w:i/>
          <w:sz w:val="24"/>
          <w:szCs w:val="24"/>
          <w:lang w:val="en-US"/>
        </w:rPr>
        <w:t>H7: Integration positively moderates the effect of knowledge sharing on organizational ambidexterity.</w:t>
      </w:r>
    </w:p>
    <w:p w14:paraId="6F7D8562" w14:textId="77777777" w:rsidR="007F270F" w:rsidRPr="002B3E1D" w:rsidRDefault="007F270F" w:rsidP="007F270F">
      <w:pPr>
        <w:autoSpaceDE w:val="0"/>
        <w:autoSpaceDN w:val="0"/>
        <w:adjustRightInd w:val="0"/>
        <w:spacing w:after="0" w:line="480" w:lineRule="auto"/>
        <w:ind w:left="284" w:right="284"/>
        <w:jc w:val="both"/>
        <w:rPr>
          <w:rFonts w:ascii="Times New Roman" w:hAnsi="Times New Roman" w:cs="Times New Roman"/>
          <w:sz w:val="24"/>
          <w:szCs w:val="24"/>
          <w:lang w:val="en-US"/>
        </w:rPr>
      </w:pPr>
    </w:p>
    <w:p w14:paraId="0273AC34" w14:textId="77777777" w:rsidR="00F05E0B" w:rsidRPr="002B3E1D" w:rsidRDefault="00F05E0B" w:rsidP="00F05E0B">
      <w:pPr>
        <w:autoSpaceDE w:val="0"/>
        <w:autoSpaceDN w:val="0"/>
        <w:adjustRightInd w:val="0"/>
        <w:spacing w:after="0" w:line="480" w:lineRule="auto"/>
        <w:jc w:val="both"/>
        <w:rPr>
          <w:rFonts w:ascii="Times New Roman" w:hAnsi="Times New Roman" w:cs="Times New Roman"/>
          <w:sz w:val="24"/>
          <w:szCs w:val="24"/>
          <w:lang w:val="en-US"/>
        </w:rPr>
      </w:pPr>
      <w:r w:rsidRPr="002B3E1D">
        <w:rPr>
          <w:rFonts w:ascii="Times New Roman" w:hAnsi="Times New Roman" w:cs="Times New Roman"/>
          <w:sz w:val="24"/>
          <w:szCs w:val="24"/>
          <w:lang w:val="en-US"/>
        </w:rPr>
        <w:tab/>
        <w:t>In relation to integration and its effects on innovation, Zahra and Nielsen (2002) find that structural integration is required to benefit from explorative activity in order to provide the necessary structural conditions to integrate these innovations into existing activities. Furthermore, Jansen et al. (2006) examined large multi-unit firms and found no evidence to support a negative effect between elements of high integration (e.g., formalization) and explorative innovation while simultaneously finding support between increased connectedness and both exploration and exploitation in the large multiunit firms examined.</w:t>
      </w:r>
    </w:p>
    <w:p w14:paraId="2AA1EB02" w14:textId="4229C9F8" w:rsidR="00F05E0B" w:rsidRPr="002B3E1D" w:rsidRDefault="00F05E0B" w:rsidP="00F05E0B">
      <w:pPr>
        <w:autoSpaceDE w:val="0"/>
        <w:autoSpaceDN w:val="0"/>
        <w:adjustRightInd w:val="0"/>
        <w:spacing w:after="0" w:line="480" w:lineRule="auto"/>
        <w:jc w:val="both"/>
        <w:rPr>
          <w:rFonts w:ascii="Times New Roman" w:hAnsi="Times New Roman" w:cs="Times New Roman"/>
          <w:sz w:val="24"/>
          <w:szCs w:val="24"/>
          <w:lang w:val="en-US"/>
        </w:rPr>
      </w:pPr>
      <w:r w:rsidRPr="002B3E1D">
        <w:rPr>
          <w:rFonts w:ascii="Times New Roman" w:hAnsi="Times New Roman" w:cs="Times New Roman"/>
          <w:sz w:val="24"/>
          <w:szCs w:val="24"/>
          <w:lang w:val="en-US"/>
        </w:rPr>
        <w:tab/>
        <w:t>From the micro-foundation perspective then, integration implies increasing control and standardization in internal processes verses accepting lower levels for enhanced flexibility. For the purposes of this work however, we consider the moderating effect of structural integration on organizational ambidexterity. On balance, we expect positive moderation effects from structurally integrating the processes (</w:t>
      </w:r>
      <w:r w:rsidR="00A215CE" w:rsidRPr="002B3E1D">
        <w:rPr>
          <w:rFonts w:ascii="Times New Roman" w:hAnsi="Times New Roman" w:cs="Times New Roman"/>
          <w:sz w:val="24"/>
          <w:szCs w:val="24"/>
          <w:lang w:val="en-US"/>
        </w:rPr>
        <w:t>etc.</w:t>
      </w:r>
      <w:r w:rsidRPr="002B3E1D">
        <w:rPr>
          <w:rFonts w:ascii="Times New Roman" w:hAnsi="Times New Roman" w:cs="Times New Roman"/>
          <w:sz w:val="24"/>
          <w:szCs w:val="24"/>
          <w:lang w:val="en-US"/>
        </w:rPr>
        <w:t xml:space="preserve">) of the firms involved in an </w:t>
      </w:r>
      <w:r w:rsidR="00562D43" w:rsidRPr="002B3E1D">
        <w:rPr>
          <w:rFonts w:ascii="Times New Roman" w:hAnsi="Times New Roman" w:cs="Times New Roman"/>
          <w:sz w:val="24"/>
          <w:szCs w:val="24"/>
          <w:lang w:val="en-US"/>
        </w:rPr>
        <w:t>M&amp;A</w:t>
      </w:r>
      <w:r w:rsidRPr="002B3E1D">
        <w:rPr>
          <w:rFonts w:ascii="Times New Roman" w:hAnsi="Times New Roman" w:cs="Times New Roman"/>
          <w:sz w:val="24"/>
          <w:szCs w:val="24"/>
          <w:lang w:val="en-US"/>
        </w:rPr>
        <w:t>.</w:t>
      </w:r>
    </w:p>
    <w:p w14:paraId="391C6CEE" w14:textId="0A75BCC8" w:rsidR="007F270F" w:rsidRDefault="00F05E0B" w:rsidP="00F05E0B">
      <w:pPr>
        <w:autoSpaceDE w:val="0"/>
        <w:autoSpaceDN w:val="0"/>
        <w:adjustRightInd w:val="0"/>
        <w:spacing w:after="0" w:line="480" w:lineRule="auto"/>
        <w:jc w:val="both"/>
        <w:rPr>
          <w:rFonts w:ascii="Times New Roman" w:hAnsi="Times New Roman" w:cs="Times New Roman"/>
          <w:sz w:val="24"/>
          <w:szCs w:val="24"/>
          <w:lang w:val="en-US"/>
        </w:rPr>
      </w:pPr>
      <w:r w:rsidRPr="002B3E1D">
        <w:rPr>
          <w:rFonts w:ascii="Times New Roman" w:hAnsi="Times New Roman" w:cs="Times New Roman"/>
          <w:sz w:val="24"/>
          <w:szCs w:val="24"/>
          <w:lang w:val="en-US"/>
        </w:rPr>
        <w:tab/>
        <w:t xml:space="preserve">As discussed, knowledge sharing along with increased capability use and sharing between acquiring and acquired firms in </w:t>
      </w:r>
      <w:r w:rsidR="00562D43" w:rsidRPr="002B3E1D">
        <w:rPr>
          <w:rFonts w:ascii="Times New Roman" w:hAnsi="Times New Roman" w:cs="Times New Roman"/>
          <w:sz w:val="24"/>
          <w:szCs w:val="24"/>
          <w:lang w:val="en-US"/>
        </w:rPr>
        <w:t>M&amp;A</w:t>
      </w:r>
      <w:r w:rsidRPr="002B3E1D">
        <w:rPr>
          <w:rFonts w:ascii="Times New Roman" w:hAnsi="Times New Roman" w:cs="Times New Roman"/>
          <w:sz w:val="24"/>
          <w:szCs w:val="24"/>
          <w:lang w:val="en-US"/>
        </w:rPr>
        <w:t xml:space="preserve">s are predicted to enhance ambidexterity. Following the works of Jansen et al. (2006, 2009), we expect that higher degrees of structural integration will assist in leveraging knowledge and capabilities for the benefit of ambidexterity in innovation. Integration facilitates closer ties between the firms involved in the </w:t>
      </w:r>
      <w:r w:rsidR="00562D43" w:rsidRPr="002B3E1D">
        <w:rPr>
          <w:rFonts w:ascii="Times New Roman" w:hAnsi="Times New Roman" w:cs="Times New Roman"/>
          <w:sz w:val="24"/>
          <w:szCs w:val="24"/>
          <w:lang w:val="en-US"/>
        </w:rPr>
        <w:t>M&amp;A</w:t>
      </w:r>
      <w:r w:rsidRPr="002B3E1D">
        <w:rPr>
          <w:rFonts w:ascii="Times New Roman" w:hAnsi="Times New Roman" w:cs="Times New Roman"/>
          <w:sz w:val="24"/>
          <w:szCs w:val="24"/>
          <w:lang w:val="en-US"/>
        </w:rPr>
        <w:t xml:space="preserve"> and </w:t>
      </w:r>
      <w:r w:rsidRPr="002B3E1D">
        <w:rPr>
          <w:rFonts w:ascii="Times New Roman" w:hAnsi="Times New Roman" w:cs="Times New Roman"/>
          <w:sz w:val="24"/>
          <w:szCs w:val="24"/>
          <w:lang w:val="en-US"/>
        </w:rPr>
        <w:lastRenderedPageBreak/>
        <w:t xml:space="preserve">provides a climate for structural processes and procedures to be in place for the increased sharing and use of knowledge and capabilities across the firms involved. </w:t>
      </w:r>
      <w:r w:rsidR="007F270F">
        <w:rPr>
          <w:rFonts w:ascii="Times New Roman" w:hAnsi="Times New Roman" w:cs="Times New Roman"/>
          <w:sz w:val="24"/>
          <w:szCs w:val="24"/>
          <w:lang w:val="en-US"/>
        </w:rPr>
        <w:t>Therefore:</w:t>
      </w:r>
    </w:p>
    <w:p w14:paraId="61D80132" w14:textId="77777777" w:rsidR="007F270F" w:rsidRDefault="007F270F" w:rsidP="00F05E0B">
      <w:pPr>
        <w:autoSpaceDE w:val="0"/>
        <w:autoSpaceDN w:val="0"/>
        <w:adjustRightInd w:val="0"/>
        <w:spacing w:after="0" w:line="480" w:lineRule="auto"/>
        <w:jc w:val="both"/>
        <w:rPr>
          <w:rFonts w:ascii="Times New Roman" w:hAnsi="Times New Roman" w:cs="Times New Roman"/>
          <w:sz w:val="24"/>
          <w:szCs w:val="24"/>
          <w:lang w:val="en-US"/>
        </w:rPr>
      </w:pPr>
    </w:p>
    <w:p w14:paraId="07E8D666" w14:textId="77777777" w:rsidR="007F270F" w:rsidRPr="002968CC" w:rsidRDefault="007F270F" w:rsidP="007F270F">
      <w:pPr>
        <w:autoSpaceDE w:val="0"/>
        <w:autoSpaceDN w:val="0"/>
        <w:adjustRightInd w:val="0"/>
        <w:spacing w:after="0" w:line="480" w:lineRule="auto"/>
        <w:ind w:left="284" w:right="284"/>
        <w:jc w:val="both"/>
        <w:rPr>
          <w:rFonts w:ascii="Times New Roman" w:hAnsi="Times New Roman" w:cs="Times New Roman"/>
          <w:i/>
          <w:sz w:val="24"/>
          <w:szCs w:val="24"/>
          <w:lang w:val="en-US"/>
        </w:rPr>
      </w:pPr>
      <w:r w:rsidRPr="002968CC">
        <w:rPr>
          <w:rFonts w:ascii="Times New Roman" w:hAnsi="Times New Roman" w:cs="Times New Roman"/>
          <w:i/>
          <w:sz w:val="24"/>
          <w:szCs w:val="24"/>
          <w:lang w:val="en-US"/>
        </w:rPr>
        <w:t>H8: Increased use of the acquired target’s capabilities has a positive effect on organizational ambidexterity, and this effect is greater as integration increases.</w:t>
      </w:r>
    </w:p>
    <w:p w14:paraId="74116159" w14:textId="77777777" w:rsidR="007F270F" w:rsidRDefault="007F270F" w:rsidP="00F05E0B">
      <w:pPr>
        <w:autoSpaceDE w:val="0"/>
        <w:autoSpaceDN w:val="0"/>
        <w:adjustRightInd w:val="0"/>
        <w:spacing w:after="0" w:line="480" w:lineRule="auto"/>
        <w:jc w:val="both"/>
        <w:rPr>
          <w:rFonts w:ascii="Times New Roman" w:hAnsi="Times New Roman" w:cs="Times New Roman"/>
          <w:sz w:val="24"/>
          <w:szCs w:val="24"/>
          <w:lang w:val="en-US"/>
        </w:rPr>
      </w:pPr>
    </w:p>
    <w:p w14:paraId="20C17456" w14:textId="71562EA6" w:rsidR="00F05E0B" w:rsidRDefault="00F05E0B" w:rsidP="00972B28">
      <w:pPr>
        <w:autoSpaceDE w:val="0"/>
        <w:autoSpaceDN w:val="0"/>
        <w:adjustRightInd w:val="0"/>
        <w:spacing w:after="0" w:line="480" w:lineRule="auto"/>
        <w:ind w:firstLine="720"/>
        <w:jc w:val="both"/>
        <w:rPr>
          <w:rFonts w:ascii="Times New Roman" w:hAnsi="Times New Roman" w:cs="Times New Roman"/>
          <w:sz w:val="24"/>
          <w:szCs w:val="24"/>
          <w:lang w:val="en-US"/>
        </w:rPr>
      </w:pPr>
      <w:r w:rsidRPr="002B3E1D">
        <w:rPr>
          <w:rFonts w:ascii="Times New Roman" w:hAnsi="Times New Roman" w:cs="Times New Roman"/>
          <w:sz w:val="24"/>
          <w:szCs w:val="24"/>
          <w:lang w:val="en-US"/>
        </w:rPr>
        <w:t xml:space="preserve">In so doing we expect organizational ambidexterity to be boosted as a result. Conversely, lower integration (or greater autonomy) between the units or firms reduces the potential for this to occur and sacrifices organizational ambidexterity. Put simply, </w:t>
      </w:r>
      <w:r w:rsidR="00A215CE" w:rsidRPr="002B3E1D">
        <w:rPr>
          <w:rFonts w:ascii="Times New Roman" w:hAnsi="Times New Roman" w:cs="Times New Roman"/>
          <w:sz w:val="24"/>
          <w:szCs w:val="24"/>
          <w:lang w:val="en-US"/>
        </w:rPr>
        <w:t>neither exploitation nor exploration innovation can be fostered to the fullest extent possible as their underpinning knowledge nor</w:t>
      </w:r>
      <w:r w:rsidRPr="002B3E1D">
        <w:rPr>
          <w:rFonts w:ascii="Times New Roman" w:hAnsi="Times New Roman" w:cs="Times New Roman"/>
          <w:sz w:val="24"/>
          <w:szCs w:val="24"/>
          <w:lang w:val="en-US"/>
        </w:rPr>
        <w:t xml:space="preserve"> capabilit</w:t>
      </w:r>
      <w:r w:rsidR="00A215CE" w:rsidRPr="002B3E1D">
        <w:rPr>
          <w:rFonts w:ascii="Times New Roman" w:hAnsi="Times New Roman" w:cs="Times New Roman"/>
          <w:sz w:val="24"/>
          <w:szCs w:val="24"/>
          <w:lang w:val="en-US"/>
        </w:rPr>
        <w:t>ies</w:t>
      </w:r>
      <w:r w:rsidRPr="002B3E1D">
        <w:rPr>
          <w:rFonts w:ascii="Times New Roman" w:hAnsi="Times New Roman" w:cs="Times New Roman"/>
          <w:sz w:val="24"/>
          <w:szCs w:val="24"/>
          <w:lang w:val="en-US"/>
        </w:rPr>
        <w:t xml:space="preserve"> are fully utilized. Consequently:</w:t>
      </w:r>
    </w:p>
    <w:p w14:paraId="12489756" w14:textId="77777777" w:rsidR="002B58DD" w:rsidRPr="002B3E1D" w:rsidRDefault="002B58DD" w:rsidP="00F05E0B">
      <w:pPr>
        <w:autoSpaceDE w:val="0"/>
        <w:autoSpaceDN w:val="0"/>
        <w:adjustRightInd w:val="0"/>
        <w:spacing w:after="0" w:line="480" w:lineRule="auto"/>
        <w:jc w:val="both"/>
        <w:rPr>
          <w:rFonts w:ascii="Times New Roman" w:hAnsi="Times New Roman" w:cs="Times New Roman"/>
          <w:sz w:val="24"/>
          <w:szCs w:val="24"/>
          <w:lang w:val="en-US"/>
        </w:rPr>
      </w:pPr>
    </w:p>
    <w:p w14:paraId="54B20D3B" w14:textId="77777777" w:rsidR="00F05E0B" w:rsidRPr="002968CC" w:rsidRDefault="00F05E0B" w:rsidP="00F05E0B">
      <w:pPr>
        <w:autoSpaceDE w:val="0"/>
        <w:autoSpaceDN w:val="0"/>
        <w:adjustRightInd w:val="0"/>
        <w:spacing w:after="0" w:line="480" w:lineRule="auto"/>
        <w:ind w:left="284" w:right="284"/>
        <w:jc w:val="both"/>
        <w:rPr>
          <w:rFonts w:ascii="Times New Roman" w:hAnsi="Times New Roman" w:cs="Times New Roman"/>
          <w:i/>
          <w:sz w:val="24"/>
          <w:szCs w:val="24"/>
          <w:lang w:val="en-US"/>
        </w:rPr>
      </w:pPr>
      <w:r w:rsidRPr="002968CC">
        <w:rPr>
          <w:rFonts w:ascii="Times New Roman" w:hAnsi="Times New Roman" w:cs="Times New Roman"/>
          <w:i/>
          <w:sz w:val="24"/>
          <w:szCs w:val="24"/>
          <w:lang w:val="en-US"/>
        </w:rPr>
        <w:t>H9: Integration positively moderates the effect of capability sharing on organizational ambidexterity.</w:t>
      </w:r>
    </w:p>
    <w:p w14:paraId="76FCB0CB" w14:textId="571756C7" w:rsidR="001A4FE9" w:rsidRDefault="001A4FE9" w:rsidP="001219C8">
      <w:pPr>
        <w:spacing w:after="0" w:line="480" w:lineRule="auto"/>
        <w:jc w:val="both"/>
        <w:rPr>
          <w:rFonts w:ascii="Times New Roman" w:hAnsi="Times New Roman" w:cs="Times New Roman"/>
          <w:sz w:val="24"/>
          <w:szCs w:val="24"/>
          <w:lang w:val="en-US"/>
        </w:rPr>
      </w:pPr>
    </w:p>
    <w:p w14:paraId="4F2B420B" w14:textId="77777777" w:rsidR="00F05E0B" w:rsidRPr="002B3E1D" w:rsidRDefault="00F05E0B" w:rsidP="00F05E0B">
      <w:pPr>
        <w:autoSpaceDE w:val="0"/>
        <w:autoSpaceDN w:val="0"/>
        <w:adjustRightInd w:val="0"/>
        <w:spacing w:after="0" w:line="480" w:lineRule="auto"/>
        <w:jc w:val="both"/>
        <w:rPr>
          <w:rFonts w:ascii="Times New Roman" w:eastAsia="Times New Roman" w:hAnsi="Times New Roman" w:cs="Times New Roman"/>
          <w:b/>
          <w:bCs/>
          <w:sz w:val="24"/>
          <w:szCs w:val="24"/>
          <w:lang w:val="en-US" w:eastAsia="zh-CN"/>
        </w:rPr>
      </w:pPr>
      <w:r w:rsidRPr="002B3E1D">
        <w:rPr>
          <w:rFonts w:ascii="Times New Roman" w:eastAsia="Times New Roman" w:hAnsi="Times New Roman" w:cs="Times New Roman"/>
          <w:b/>
          <w:bCs/>
          <w:sz w:val="24"/>
          <w:szCs w:val="24"/>
          <w:lang w:val="en-US" w:eastAsia="zh-CN"/>
        </w:rPr>
        <w:t>RESEARCH METHOD</w:t>
      </w:r>
    </w:p>
    <w:p w14:paraId="49917C28" w14:textId="0562EF2F" w:rsidR="00F05E0B" w:rsidRPr="002B3E1D" w:rsidRDefault="00F05E0B" w:rsidP="00F05E0B">
      <w:pPr>
        <w:shd w:val="clear" w:color="auto" w:fill="FFFFFF"/>
        <w:spacing w:after="0" w:line="480" w:lineRule="auto"/>
        <w:jc w:val="both"/>
        <w:rPr>
          <w:rFonts w:ascii="Times New Roman" w:eastAsia="Batang" w:hAnsi="Times New Roman" w:cs="Times New Roman"/>
          <w:sz w:val="24"/>
          <w:szCs w:val="24"/>
          <w:lang w:val="en-US"/>
        </w:rPr>
      </w:pPr>
      <w:r w:rsidRPr="002B3E1D">
        <w:rPr>
          <w:rFonts w:ascii="Times New Roman" w:eastAsia="Malgun Gothic" w:hAnsi="Times New Roman" w:cs="Times New Roman"/>
          <w:sz w:val="24"/>
          <w:szCs w:val="24"/>
          <w:lang w:val="en-US" w:eastAsia="ko-KR"/>
        </w:rPr>
        <w:t xml:space="preserve">Cross-border </w:t>
      </w:r>
      <w:r w:rsidR="00562D43" w:rsidRPr="002B3E1D">
        <w:rPr>
          <w:rFonts w:ascii="Times New Roman" w:eastAsia="Malgun Gothic" w:hAnsi="Times New Roman" w:cs="Times New Roman"/>
          <w:sz w:val="24"/>
          <w:szCs w:val="24"/>
          <w:lang w:val="en-US" w:eastAsia="ko-KR"/>
        </w:rPr>
        <w:t>M&amp;A</w:t>
      </w:r>
      <w:r w:rsidRPr="002B3E1D">
        <w:rPr>
          <w:rFonts w:ascii="Times New Roman" w:eastAsia="Malgun Gothic" w:hAnsi="Times New Roman" w:cs="Times New Roman"/>
          <w:sz w:val="24"/>
          <w:szCs w:val="24"/>
          <w:lang w:val="en-US" w:eastAsia="ko-KR"/>
        </w:rPr>
        <w:t xml:space="preserve">s </w:t>
      </w:r>
      <w:r w:rsidRPr="002B3E1D">
        <w:rPr>
          <w:rFonts w:ascii="Times New Roman" w:eastAsiaTheme="minorEastAsia" w:hAnsi="Times New Roman" w:cs="Times New Roman"/>
          <w:sz w:val="24"/>
          <w:szCs w:val="24"/>
          <w:lang w:val="en-US"/>
        </w:rPr>
        <w:t xml:space="preserve">are </w:t>
      </w:r>
      <w:r w:rsidRPr="002B3E1D">
        <w:rPr>
          <w:rFonts w:ascii="Times New Roman" w:eastAsia="Batang" w:hAnsi="Times New Roman" w:cs="Times New Roman"/>
          <w:sz w:val="24"/>
          <w:szCs w:val="24"/>
          <w:lang w:val="en-US"/>
        </w:rPr>
        <w:t>a vehicle for explo</w:t>
      </w:r>
      <w:r w:rsidR="002B58DD">
        <w:rPr>
          <w:rFonts w:ascii="Times New Roman" w:eastAsia="Batang" w:hAnsi="Times New Roman" w:cs="Times New Roman"/>
          <w:sz w:val="24"/>
          <w:szCs w:val="24"/>
          <w:lang w:val="en-US"/>
        </w:rPr>
        <w:t>ring</w:t>
      </w:r>
      <w:r w:rsidRPr="002B3E1D">
        <w:rPr>
          <w:rFonts w:ascii="Times New Roman" w:eastAsia="Batang" w:hAnsi="Times New Roman" w:cs="Times New Roman"/>
          <w:sz w:val="24"/>
          <w:szCs w:val="24"/>
          <w:lang w:val="en-US"/>
        </w:rPr>
        <w:t xml:space="preserve"> and reinforcing existing strengths in a new setting and acquiring new knowledge and capabilities that are not domestically available (</w:t>
      </w:r>
      <w:r w:rsidRPr="002B3E1D">
        <w:rPr>
          <w:rFonts w:ascii="Times New Roman" w:eastAsiaTheme="minorEastAsia" w:hAnsi="Times New Roman" w:cs="Times New Roman"/>
          <w:sz w:val="24"/>
          <w:szCs w:val="24"/>
          <w:lang w:val="en-US"/>
        </w:rPr>
        <w:t>Seth et al., 2002</w:t>
      </w:r>
      <w:r w:rsidRPr="002B3E1D">
        <w:rPr>
          <w:rFonts w:ascii="Times New Roman" w:eastAsia="Batang" w:hAnsi="Times New Roman" w:cs="Times New Roman"/>
          <w:sz w:val="24"/>
          <w:szCs w:val="24"/>
          <w:lang w:val="en-US"/>
        </w:rPr>
        <w:t xml:space="preserve">). The achievement of OA is a highly salient dilemma in this context. For example, cross-border </w:t>
      </w:r>
      <w:r w:rsidR="00562D43" w:rsidRPr="002B3E1D">
        <w:rPr>
          <w:rFonts w:ascii="Times New Roman" w:eastAsia="Batang" w:hAnsi="Times New Roman" w:cs="Times New Roman"/>
          <w:sz w:val="24"/>
          <w:szCs w:val="24"/>
          <w:lang w:val="en-US"/>
        </w:rPr>
        <w:t>M&amp;A</w:t>
      </w:r>
      <w:r w:rsidRPr="002B3E1D">
        <w:rPr>
          <w:rFonts w:ascii="Times New Roman" w:eastAsia="Batang" w:hAnsi="Times New Roman" w:cs="Times New Roman"/>
          <w:sz w:val="24"/>
          <w:szCs w:val="24"/>
          <w:lang w:val="en-US"/>
        </w:rPr>
        <w:t>s enable the participants to replicate their competitive advantage in a new setting and exploit it with their partner firm’s existing knowledge and capabilities (</w:t>
      </w:r>
      <w:r w:rsidRPr="002B3E1D">
        <w:rPr>
          <w:rFonts w:ascii="Times New Roman" w:eastAsiaTheme="minorEastAsia" w:hAnsi="Times New Roman" w:cs="Times New Roman"/>
          <w:sz w:val="24"/>
          <w:szCs w:val="24"/>
          <w:lang w:val="en-US"/>
        </w:rPr>
        <w:t xml:space="preserve">Seth et al., 2002). In turn, cross-broader </w:t>
      </w:r>
      <w:r w:rsidR="00562D43" w:rsidRPr="002B3E1D">
        <w:rPr>
          <w:rFonts w:ascii="Times New Roman" w:eastAsiaTheme="minorEastAsia" w:hAnsi="Times New Roman" w:cs="Times New Roman"/>
          <w:sz w:val="24"/>
          <w:szCs w:val="24"/>
          <w:lang w:val="en-US"/>
        </w:rPr>
        <w:t>M&amp;A</w:t>
      </w:r>
      <w:r w:rsidRPr="002B3E1D">
        <w:rPr>
          <w:rFonts w:ascii="Times New Roman" w:eastAsiaTheme="minorEastAsia" w:hAnsi="Times New Roman" w:cs="Times New Roman"/>
          <w:sz w:val="24"/>
          <w:szCs w:val="24"/>
          <w:lang w:val="en-US"/>
        </w:rPr>
        <w:t>s can</w:t>
      </w:r>
      <w:r w:rsidRPr="002B3E1D">
        <w:rPr>
          <w:rFonts w:ascii="Times New Roman" w:eastAsia="Batang" w:hAnsi="Times New Roman" w:cs="Times New Roman"/>
          <w:sz w:val="24"/>
          <w:szCs w:val="24"/>
          <w:lang w:val="en-US"/>
        </w:rPr>
        <w:t xml:space="preserve"> contribute to increases in the productivity of</w:t>
      </w:r>
      <w:r w:rsidRPr="002B3E1D">
        <w:rPr>
          <w:rFonts w:ascii="Times New Roman" w:eastAsiaTheme="minorEastAsia" w:hAnsi="Times New Roman" w:cs="Times New Roman"/>
          <w:sz w:val="24"/>
          <w:szCs w:val="24"/>
          <w:lang w:val="en-US"/>
        </w:rPr>
        <w:t xml:space="preserve"> existing resources and economies of scale in manufacturing, </w:t>
      </w:r>
      <w:r w:rsidR="008F5536" w:rsidRPr="002B3E1D">
        <w:rPr>
          <w:rFonts w:ascii="Times New Roman" w:eastAsiaTheme="minorEastAsia" w:hAnsi="Times New Roman" w:cs="Times New Roman"/>
          <w:sz w:val="24"/>
          <w:szCs w:val="24"/>
          <w:lang w:val="en-US"/>
        </w:rPr>
        <w:t>R&amp;D</w:t>
      </w:r>
      <w:r w:rsidRPr="002B3E1D">
        <w:rPr>
          <w:rFonts w:ascii="Times New Roman" w:eastAsiaTheme="minorEastAsia" w:hAnsi="Times New Roman" w:cs="Times New Roman"/>
          <w:sz w:val="24"/>
          <w:szCs w:val="24"/>
          <w:lang w:val="en-US"/>
        </w:rPr>
        <w:t xml:space="preserve">, and sales (Bertrand, 2009; Bertrand </w:t>
      </w:r>
      <w:r w:rsidR="008F5536" w:rsidRPr="002B3E1D">
        <w:rPr>
          <w:rFonts w:ascii="Times New Roman" w:eastAsiaTheme="minorEastAsia" w:hAnsi="Times New Roman" w:cs="Times New Roman"/>
          <w:sz w:val="24"/>
          <w:szCs w:val="24"/>
          <w:lang w:val="en-US"/>
        </w:rPr>
        <w:lastRenderedPageBreak/>
        <w:t>and</w:t>
      </w:r>
      <w:r w:rsidRPr="002B3E1D">
        <w:rPr>
          <w:rFonts w:ascii="Times New Roman" w:eastAsiaTheme="minorEastAsia" w:hAnsi="Times New Roman" w:cs="Times New Roman"/>
          <w:sz w:val="24"/>
          <w:szCs w:val="24"/>
          <w:lang w:val="en-US"/>
        </w:rPr>
        <w:t xml:space="preserve"> Capron, 2015). </w:t>
      </w:r>
      <w:r w:rsidRPr="002B3E1D">
        <w:rPr>
          <w:rFonts w:ascii="Times New Roman" w:eastAsia="Batang" w:hAnsi="Times New Roman" w:cs="Times New Roman"/>
          <w:sz w:val="24"/>
          <w:szCs w:val="24"/>
          <w:lang w:val="en-US"/>
        </w:rPr>
        <w:t xml:space="preserve">Moreover, </w:t>
      </w:r>
      <w:r w:rsidRPr="002B3E1D">
        <w:rPr>
          <w:rFonts w:ascii="Times New Roman" w:eastAsiaTheme="minorEastAsia" w:hAnsi="Times New Roman" w:cs="Times New Roman"/>
          <w:sz w:val="24"/>
          <w:szCs w:val="24"/>
          <w:lang w:val="en-US"/>
        </w:rPr>
        <w:t xml:space="preserve">in a highly turbulent environment where firm survival and growth depend on speed, cross-border </w:t>
      </w:r>
      <w:r w:rsidR="00562D43" w:rsidRPr="002B3E1D">
        <w:rPr>
          <w:rFonts w:ascii="Times New Roman" w:eastAsiaTheme="minorEastAsia" w:hAnsi="Times New Roman" w:cs="Times New Roman"/>
          <w:sz w:val="24"/>
          <w:szCs w:val="24"/>
          <w:lang w:val="en-US"/>
        </w:rPr>
        <w:t>M&amp;A</w:t>
      </w:r>
      <w:r w:rsidRPr="002B3E1D">
        <w:rPr>
          <w:rFonts w:ascii="Times New Roman" w:eastAsiaTheme="minorEastAsia" w:hAnsi="Times New Roman" w:cs="Times New Roman"/>
          <w:sz w:val="24"/>
          <w:szCs w:val="24"/>
          <w:lang w:val="en-US"/>
        </w:rPr>
        <w:t xml:space="preserve">s emerge as </w:t>
      </w:r>
      <w:r w:rsidRPr="002B3E1D">
        <w:rPr>
          <w:rFonts w:ascii="Times New Roman" w:eastAsia="Calibri" w:hAnsi="Times New Roman" w:cs="Times New Roman"/>
          <w:sz w:val="24"/>
          <w:szCs w:val="24"/>
          <w:lang w:val="en-US"/>
        </w:rPr>
        <w:t xml:space="preserve">an effective means of searching </w:t>
      </w:r>
      <w:r w:rsidRPr="002B3E1D">
        <w:rPr>
          <w:rFonts w:ascii="Times New Roman" w:eastAsiaTheme="minorEastAsia" w:hAnsi="Times New Roman" w:cs="Times New Roman"/>
          <w:sz w:val="24"/>
          <w:szCs w:val="24"/>
          <w:lang w:val="en-US"/>
        </w:rPr>
        <w:t>for</w:t>
      </w:r>
      <w:r w:rsidRPr="002B3E1D">
        <w:rPr>
          <w:rFonts w:ascii="Times New Roman" w:eastAsia="Calibri" w:hAnsi="Times New Roman" w:cs="Times New Roman"/>
          <w:sz w:val="24"/>
          <w:szCs w:val="24"/>
          <w:lang w:val="en-US"/>
        </w:rPr>
        <w:t xml:space="preserve"> </w:t>
      </w:r>
      <w:r w:rsidRPr="002B3E1D">
        <w:rPr>
          <w:rFonts w:ascii="Times New Roman" w:eastAsia="Malgun Gothic" w:hAnsi="Times New Roman" w:cs="Times New Roman"/>
          <w:sz w:val="24"/>
          <w:szCs w:val="24"/>
          <w:lang w:val="en-US" w:eastAsia="ko-KR"/>
        </w:rPr>
        <w:t xml:space="preserve">external </w:t>
      </w:r>
      <w:r w:rsidRPr="002B3E1D">
        <w:rPr>
          <w:rFonts w:ascii="Times New Roman" w:eastAsia="Calibri" w:hAnsi="Times New Roman" w:cs="Times New Roman"/>
          <w:sz w:val="24"/>
          <w:szCs w:val="24"/>
          <w:lang w:val="en-US"/>
        </w:rPr>
        <w:t xml:space="preserve">knowledge and capabilities that </w:t>
      </w:r>
      <w:r w:rsidRPr="002B3E1D">
        <w:rPr>
          <w:rFonts w:ascii="Times New Roman" w:eastAsiaTheme="minorEastAsia" w:hAnsi="Times New Roman" w:cs="Times New Roman"/>
          <w:sz w:val="24"/>
          <w:szCs w:val="24"/>
          <w:lang w:val="en-US"/>
        </w:rPr>
        <w:t>increase</w:t>
      </w:r>
      <w:r w:rsidRPr="002B3E1D">
        <w:rPr>
          <w:rFonts w:ascii="Times New Roman" w:eastAsia="Calibri" w:hAnsi="Times New Roman" w:cs="Times New Roman"/>
          <w:sz w:val="24"/>
          <w:szCs w:val="24"/>
          <w:lang w:val="en-US"/>
        </w:rPr>
        <w:t xml:space="preserve"> existing knowledge </w:t>
      </w:r>
      <w:r w:rsidRPr="002B3E1D">
        <w:rPr>
          <w:rFonts w:ascii="Times New Roman" w:eastAsiaTheme="minorEastAsia" w:hAnsi="Times New Roman" w:cs="Times New Roman"/>
          <w:sz w:val="24"/>
          <w:szCs w:val="24"/>
          <w:lang w:val="en-US"/>
        </w:rPr>
        <w:t xml:space="preserve">bases </w:t>
      </w:r>
      <w:r w:rsidRPr="002B3E1D">
        <w:rPr>
          <w:rFonts w:ascii="Times New Roman" w:eastAsia="Calibri" w:hAnsi="Times New Roman" w:cs="Times New Roman"/>
          <w:sz w:val="24"/>
          <w:szCs w:val="24"/>
          <w:lang w:val="en-US"/>
        </w:rPr>
        <w:t>and can contribute to future innovation.</w:t>
      </w:r>
      <w:r w:rsidRPr="002B3E1D">
        <w:rPr>
          <w:rFonts w:ascii="Times New Roman" w:eastAsiaTheme="minorEastAsia" w:hAnsi="Times New Roman" w:cs="Times New Roman"/>
          <w:sz w:val="24"/>
          <w:szCs w:val="24"/>
          <w:lang w:val="en-US"/>
        </w:rPr>
        <w:t xml:space="preserve"> Countries have their own national innovation system that shapes firm-specific innovation knowledge (Bertrand, 2009). </w:t>
      </w:r>
      <w:r w:rsidRPr="002B3E1D">
        <w:rPr>
          <w:rFonts w:ascii="Times New Roman" w:eastAsia="Batang" w:hAnsi="Times New Roman" w:cs="Times New Roman"/>
          <w:sz w:val="24"/>
          <w:szCs w:val="24"/>
          <w:lang w:val="en-US"/>
        </w:rPr>
        <w:t>Firms in the same country are likely to share experience and develop similar practices</w:t>
      </w:r>
      <w:r w:rsidRPr="002B3E1D">
        <w:rPr>
          <w:rFonts w:ascii="Times New Roman" w:eastAsiaTheme="minorEastAsia" w:hAnsi="Times New Roman" w:cs="Times New Roman"/>
          <w:sz w:val="24"/>
          <w:szCs w:val="24"/>
          <w:lang w:val="en-US"/>
        </w:rPr>
        <w:t xml:space="preserve">, procedures, and resources (Bertrand, 2009; Björkman et al., 2007), which create redundancy that </w:t>
      </w:r>
      <w:r w:rsidRPr="002B3E1D">
        <w:rPr>
          <w:rFonts w:ascii="Times New Roman" w:eastAsia="Batang" w:hAnsi="Times New Roman" w:cs="Times New Roman"/>
          <w:sz w:val="24"/>
          <w:szCs w:val="24"/>
          <w:lang w:val="en-US"/>
        </w:rPr>
        <w:t xml:space="preserve">limit the potential for the </w:t>
      </w:r>
      <w:r w:rsidRPr="002B3E1D">
        <w:rPr>
          <w:rFonts w:ascii="Times New Roman" w:eastAsia="Batang" w:hAnsi="Times New Roman" w:cs="Times New Roman"/>
          <w:sz w:val="24"/>
          <w:szCs w:val="24"/>
          <w:lang w:val="en-US" w:eastAsia="ko-KR"/>
        </w:rPr>
        <w:t xml:space="preserve">sharing and </w:t>
      </w:r>
      <w:r w:rsidRPr="002B3E1D">
        <w:rPr>
          <w:rFonts w:ascii="Times New Roman" w:eastAsia="Batang" w:hAnsi="Times New Roman" w:cs="Times New Roman"/>
          <w:sz w:val="24"/>
          <w:szCs w:val="24"/>
          <w:lang w:val="en-US"/>
        </w:rPr>
        <w:t xml:space="preserve">combination of existing knowledge and capabilities </w:t>
      </w:r>
      <w:r w:rsidRPr="002B3E1D">
        <w:rPr>
          <w:rFonts w:ascii="Times New Roman" w:eastAsiaTheme="minorEastAsia" w:hAnsi="Times New Roman" w:cs="Times New Roman"/>
          <w:sz w:val="24"/>
          <w:szCs w:val="24"/>
          <w:lang w:val="en-US"/>
        </w:rPr>
        <w:t xml:space="preserve">(Larsson </w:t>
      </w:r>
      <w:r w:rsidR="008F5536" w:rsidRPr="002B3E1D">
        <w:rPr>
          <w:rFonts w:ascii="Times New Roman" w:eastAsiaTheme="minorEastAsia" w:hAnsi="Times New Roman" w:cs="Times New Roman"/>
          <w:sz w:val="24"/>
          <w:szCs w:val="24"/>
          <w:lang w:val="en-US"/>
        </w:rPr>
        <w:t>and</w:t>
      </w:r>
      <w:r w:rsidRPr="002B3E1D">
        <w:rPr>
          <w:rFonts w:ascii="Times New Roman" w:eastAsiaTheme="minorEastAsia" w:hAnsi="Times New Roman" w:cs="Times New Roman"/>
          <w:sz w:val="24"/>
          <w:szCs w:val="24"/>
          <w:lang w:val="en-US"/>
        </w:rPr>
        <w:t xml:space="preserve"> Finkelstein, 1999). From this point of view, a firm with reliance on a geographically local search for external knowledge and capabilities, which is the case of domestic </w:t>
      </w:r>
      <w:r w:rsidR="00562D43" w:rsidRPr="002B3E1D">
        <w:rPr>
          <w:rFonts w:ascii="Times New Roman" w:eastAsiaTheme="minorEastAsia" w:hAnsi="Times New Roman" w:cs="Times New Roman"/>
          <w:sz w:val="24"/>
          <w:szCs w:val="24"/>
          <w:lang w:val="en-US"/>
        </w:rPr>
        <w:t>M&amp;A</w:t>
      </w:r>
      <w:r w:rsidRPr="002B3E1D">
        <w:rPr>
          <w:rFonts w:ascii="Times New Roman" w:eastAsiaTheme="minorEastAsia" w:hAnsi="Times New Roman" w:cs="Times New Roman"/>
          <w:sz w:val="24"/>
          <w:szCs w:val="24"/>
          <w:lang w:val="en-US"/>
        </w:rPr>
        <w:t xml:space="preserve">s, can find them merely substituting for their existing knowledge sets. By contrast, external search </w:t>
      </w:r>
      <w:r w:rsidRPr="002B3E1D">
        <w:rPr>
          <w:rFonts w:ascii="Times New Roman" w:eastAsia="Batang" w:hAnsi="Times New Roman" w:cs="Times New Roman"/>
          <w:sz w:val="24"/>
          <w:szCs w:val="24"/>
          <w:lang w:val="en-US"/>
        </w:rPr>
        <w:t xml:space="preserve">beyond </w:t>
      </w:r>
      <w:r w:rsidRPr="002B3E1D">
        <w:rPr>
          <w:rFonts w:ascii="Times New Roman" w:eastAsiaTheme="minorEastAsia" w:hAnsi="Times New Roman" w:cs="Times New Roman"/>
          <w:sz w:val="24"/>
          <w:szCs w:val="24"/>
          <w:lang w:val="en-US"/>
        </w:rPr>
        <w:t>a firm’s</w:t>
      </w:r>
      <w:r w:rsidRPr="002B3E1D">
        <w:rPr>
          <w:rFonts w:ascii="Times New Roman" w:eastAsia="Batang" w:hAnsi="Times New Roman" w:cs="Times New Roman"/>
          <w:sz w:val="24"/>
          <w:szCs w:val="24"/>
          <w:lang w:val="en-US"/>
        </w:rPr>
        <w:t xml:space="preserve"> geographical boundary</w:t>
      </w:r>
      <w:r w:rsidRPr="002B3E1D">
        <w:rPr>
          <w:rFonts w:ascii="Times New Roman" w:eastAsiaTheme="minorEastAsia" w:hAnsi="Times New Roman" w:cs="Times New Roman"/>
          <w:sz w:val="24"/>
          <w:szCs w:val="24"/>
          <w:lang w:val="en-US"/>
        </w:rPr>
        <w:t xml:space="preserve"> offers the firm an opportunity to tap into new k</w:t>
      </w:r>
      <w:r w:rsidRPr="002B3E1D">
        <w:rPr>
          <w:rFonts w:ascii="Times New Roman" w:eastAsia="Batang" w:hAnsi="Times New Roman" w:cs="Times New Roman"/>
          <w:sz w:val="24"/>
          <w:szCs w:val="24"/>
          <w:lang w:val="en-US"/>
        </w:rPr>
        <w:t>nowledge and capabilities developed in the local market (</w:t>
      </w:r>
      <w:r w:rsidRPr="002B3E1D">
        <w:rPr>
          <w:rFonts w:ascii="Times New Roman" w:eastAsiaTheme="minorEastAsia" w:hAnsi="Times New Roman" w:cs="Times New Roman"/>
          <w:sz w:val="24"/>
          <w:szCs w:val="24"/>
          <w:lang w:val="en-US"/>
        </w:rPr>
        <w:t xml:space="preserve">Björkman et al., 2007; </w:t>
      </w:r>
      <w:r w:rsidRPr="002B3E1D">
        <w:rPr>
          <w:rFonts w:ascii="Times New Roman" w:eastAsia="Batang" w:hAnsi="Times New Roman" w:cs="Times New Roman"/>
          <w:sz w:val="24"/>
          <w:szCs w:val="24"/>
          <w:lang w:val="en-US"/>
        </w:rPr>
        <w:t xml:space="preserve">Bresman et al., 2010) </w:t>
      </w:r>
      <w:r w:rsidRPr="002B3E1D">
        <w:rPr>
          <w:rFonts w:ascii="Times New Roman" w:eastAsiaTheme="minorEastAsia" w:hAnsi="Times New Roman" w:cs="Times New Roman"/>
          <w:sz w:val="24"/>
          <w:szCs w:val="24"/>
          <w:lang w:val="en-US"/>
        </w:rPr>
        <w:t>and gain new ideas and insights that motivate new learning and innovation (Vaara et al., 2012).</w:t>
      </w:r>
    </w:p>
    <w:p w14:paraId="6D54F467" w14:textId="77777777" w:rsidR="00F05E0B" w:rsidRPr="002B3E1D" w:rsidRDefault="00F05E0B" w:rsidP="00F05E0B">
      <w:pPr>
        <w:autoSpaceDE w:val="0"/>
        <w:autoSpaceDN w:val="0"/>
        <w:adjustRightInd w:val="0"/>
        <w:spacing w:after="0" w:line="480" w:lineRule="auto"/>
        <w:jc w:val="both"/>
        <w:rPr>
          <w:rFonts w:ascii="Times New Roman" w:eastAsia="Times New Roman" w:hAnsi="Times New Roman" w:cs="Times New Roman"/>
          <w:bCs/>
          <w:sz w:val="24"/>
          <w:szCs w:val="24"/>
          <w:lang w:val="en-US" w:eastAsia="zh-CN"/>
        </w:rPr>
      </w:pPr>
    </w:p>
    <w:p w14:paraId="6F310681" w14:textId="77777777" w:rsidR="00F05E0B" w:rsidRPr="002B3E1D" w:rsidRDefault="00F05E0B" w:rsidP="00F05E0B">
      <w:pPr>
        <w:spacing w:after="0" w:line="480" w:lineRule="auto"/>
        <w:jc w:val="both"/>
        <w:rPr>
          <w:rFonts w:ascii="Times New Roman" w:eastAsia="Times New Roman" w:hAnsi="Times New Roman" w:cs="Times New Roman"/>
          <w:b/>
          <w:bCs/>
          <w:sz w:val="24"/>
          <w:szCs w:val="24"/>
          <w:lang w:val="en-US" w:eastAsia="zh-CN"/>
        </w:rPr>
      </w:pPr>
      <w:r w:rsidRPr="002B3E1D">
        <w:rPr>
          <w:rFonts w:ascii="Times New Roman" w:eastAsia="Times New Roman" w:hAnsi="Times New Roman" w:cs="Times New Roman"/>
          <w:b/>
          <w:bCs/>
          <w:sz w:val="24"/>
          <w:szCs w:val="24"/>
          <w:lang w:val="en-US" w:eastAsia="zh-CN"/>
        </w:rPr>
        <w:t xml:space="preserve">Data </w:t>
      </w:r>
      <w:r w:rsidR="00AF1718" w:rsidRPr="002B3E1D">
        <w:rPr>
          <w:rFonts w:ascii="Times New Roman" w:eastAsia="Times New Roman" w:hAnsi="Times New Roman" w:cs="Times New Roman"/>
          <w:b/>
          <w:bCs/>
          <w:sz w:val="24"/>
          <w:szCs w:val="24"/>
          <w:lang w:val="en-US" w:eastAsia="zh-CN"/>
        </w:rPr>
        <w:t>Generation</w:t>
      </w:r>
    </w:p>
    <w:p w14:paraId="46D38311" w14:textId="0E38FAFE" w:rsidR="00F05E0B" w:rsidRPr="002B3E1D" w:rsidRDefault="00F05E0B" w:rsidP="00F05E0B">
      <w:pPr>
        <w:shd w:val="clear" w:color="auto" w:fill="FFFFFF"/>
        <w:spacing w:after="0" w:line="480" w:lineRule="auto"/>
        <w:jc w:val="both"/>
        <w:rPr>
          <w:rFonts w:ascii="Times New Roman" w:eastAsia="Malgun Gothic" w:hAnsi="Times New Roman" w:cs="Times New Roman"/>
          <w:sz w:val="24"/>
          <w:szCs w:val="24"/>
          <w:lang w:val="en-US" w:eastAsia="ko-KR"/>
        </w:rPr>
      </w:pPr>
      <w:r w:rsidRPr="002B3E1D">
        <w:rPr>
          <w:rFonts w:ascii="Times New Roman" w:eastAsia="Times New Roman" w:hAnsi="Times New Roman" w:cs="Times New Roman"/>
          <w:sz w:val="24"/>
          <w:szCs w:val="24"/>
          <w:lang w:val="en-US" w:eastAsia="zh-CN"/>
        </w:rPr>
        <w:t xml:space="preserve">Cross-border </w:t>
      </w:r>
      <w:r w:rsidR="00562D43" w:rsidRPr="002B3E1D">
        <w:rPr>
          <w:rFonts w:ascii="Times New Roman" w:eastAsia="Times New Roman" w:hAnsi="Times New Roman" w:cs="Times New Roman"/>
          <w:sz w:val="24"/>
          <w:szCs w:val="24"/>
          <w:lang w:val="en-US" w:eastAsia="zh-CN"/>
        </w:rPr>
        <w:t>M&amp;A</w:t>
      </w:r>
      <w:r w:rsidRPr="002B3E1D">
        <w:rPr>
          <w:rFonts w:ascii="Times New Roman" w:eastAsia="Times New Roman" w:hAnsi="Times New Roman" w:cs="Times New Roman"/>
          <w:sz w:val="24"/>
          <w:szCs w:val="24"/>
          <w:lang w:val="en-US" w:eastAsia="zh-CN"/>
        </w:rPr>
        <w:t xml:space="preserve">s completed between UK acquiring firms and non-UK acquired firms between January 2012 and July 2015 and with a 100% full equity stake purchased by the acquiring firms form the core sample. </w:t>
      </w:r>
      <w:r w:rsidR="00701897">
        <w:rPr>
          <w:rFonts w:ascii="Times New Roman" w:eastAsia="Times New Roman" w:hAnsi="Times New Roman" w:cs="Times New Roman"/>
          <w:sz w:val="24"/>
          <w:szCs w:val="24"/>
          <w:lang w:val="en-US" w:eastAsia="zh-CN"/>
        </w:rPr>
        <w:t xml:space="preserve">As data collection was undertaken in the latter months of 2015, </w:t>
      </w:r>
      <w:r w:rsidR="00701897">
        <w:rPr>
          <w:rFonts w:ascii="Times New Roman" w:eastAsia="Batang" w:hAnsi="Times New Roman" w:cs="Times New Roman"/>
          <w:sz w:val="24"/>
          <w:szCs w:val="24"/>
          <w:lang w:val="en-US"/>
        </w:rPr>
        <w:t>t</w:t>
      </w:r>
      <w:r w:rsidRPr="002B3E1D">
        <w:rPr>
          <w:rFonts w:ascii="Times New Roman" w:eastAsia="Batang" w:hAnsi="Times New Roman" w:cs="Times New Roman"/>
          <w:sz w:val="24"/>
          <w:szCs w:val="24"/>
          <w:lang w:val="en-US"/>
        </w:rPr>
        <w:t xml:space="preserve">his time period was chosen to prevent memory and distortion problems of respondents, which could take place when observations include a longer time span (Papadakis </w:t>
      </w:r>
      <w:r w:rsidR="008F5536" w:rsidRPr="002B3E1D">
        <w:rPr>
          <w:rFonts w:ascii="Times New Roman" w:eastAsia="Batang" w:hAnsi="Times New Roman" w:cs="Times New Roman"/>
          <w:sz w:val="24"/>
          <w:szCs w:val="24"/>
          <w:lang w:val="en-US"/>
        </w:rPr>
        <w:t>and</w:t>
      </w:r>
      <w:r w:rsidRPr="002B3E1D">
        <w:rPr>
          <w:rFonts w:ascii="Times New Roman" w:eastAsia="Batang" w:hAnsi="Times New Roman" w:cs="Times New Roman"/>
          <w:sz w:val="24"/>
          <w:szCs w:val="24"/>
          <w:lang w:val="en-US"/>
        </w:rPr>
        <w:t xml:space="preserve"> Thanos, 2010); and to increase data reliability and validity, which can be impaired by the elapse of time due to high top management turnover (Capron, 1999; Sudarsanam </w:t>
      </w:r>
      <w:r w:rsidR="008F5536" w:rsidRPr="002B3E1D">
        <w:rPr>
          <w:rFonts w:ascii="Times New Roman" w:eastAsia="Batang" w:hAnsi="Times New Roman" w:cs="Times New Roman"/>
          <w:sz w:val="24"/>
          <w:szCs w:val="24"/>
          <w:lang w:val="en-US"/>
        </w:rPr>
        <w:t>and</w:t>
      </w:r>
      <w:r w:rsidRPr="002B3E1D">
        <w:rPr>
          <w:rFonts w:ascii="Times New Roman" w:eastAsia="Batang" w:hAnsi="Times New Roman" w:cs="Times New Roman"/>
          <w:sz w:val="24"/>
          <w:szCs w:val="24"/>
          <w:lang w:val="en-US"/>
        </w:rPr>
        <w:t xml:space="preserve"> Mahate, 2006). </w:t>
      </w:r>
      <w:r w:rsidRPr="002B3E1D">
        <w:rPr>
          <w:rFonts w:ascii="Times New Roman" w:eastAsia="Malgun Gothic" w:hAnsi="Times New Roman" w:cs="Times New Roman"/>
          <w:sz w:val="24"/>
          <w:szCs w:val="24"/>
          <w:lang w:val="en-US" w:eastAsia="ko-KR"/>
        </w:rPr>
        <w:t>The</w:t>
      </w:r>
      <w:r w:rsidRPr="002B3E1D">
        <w:rPr>
          <w:rFonts w:ascii="Times New Roman" w:eastAsia="Batang" w:hAnsi="Times New Roman" w:cs="Times New Roman"/>
          <w:sz w:val="24"/>
          <w:szCs w:val="24"/>
          <w:lang w:val="en-US"/>
        </w:rPr>
        <w:t xml:space="preserve"> </w:t>
      </w:r>
      <w:r w:rsidRPr="002B3E1D">
        <w:rPr>
          <w:rFonts w:ascii="Times New Roman" w:eastAsia="Batang" w:hAnsi="Times New Roman" w:cs="Times New Roman"/>
          <w:sz w:val="24"/>
          <w:szCs w:val="24"/>
          <w:lang w:val="en-US"/>
        </w:rPr>
        <w:lastRenderedPageBreak/>
        <w:t xml:space="preserve">sample selection criteria for this study were not restricted to industry sectors to </w:t>
      </w:r>
      <w:r w:rsidR="004042D8" w:rsidRPr="002B3E1D">
        <w:rPr>
          <w:rFonts w:ascii="Times New Roman" w:eastAsia="Batang" w:hAnsi="Times New Roman" w:cs="Times New Roman"/>
          <w:sz w:val="24"/>
          <w:szCs w:val="24"/>
          <w:lang w:val="en-US"/>
        </w:rPr>
        <w:t>enable</w:t>
      </w:r>
      <w:r w:rsidRPr="002B3E1D">
        <w:rPr>
          <w:rFonts w:ascii="Times New Roman" w:eastAsia="Batang" w:hAnsi="Times New Roman" w:cs="Times New Roman"/>
          <w:sz w:val="24"/>
          <w:szCs w:val="24"/>
          <w:lang w:val="en-US"/>
        </w:rPr>
        <w:t xml:space="preserve"> the generalization of research findings to a wider population.</w:t>
      </w:r>
    </w:p>
    <w:p w14:paraId="3B57F4EC" w14:textId="77777777" w:rsidR="00F05E0B" w:rsidRPr="002B3E1D" w:rsidRDefault="00F05E0B" w:rsidP="00F05E0B">
      <w:pPr>
        <w:spacing w:after="0" w:line="480" w:lineRule="auto"/>
        <w:ind w:firstLine="567"/>
        <w:jc w:val="both"/>
        <w:rPr>
          <w:rFonts w:ascii="Times New Roman" w:eastAsia="Times New Roman" w:hAnsi="Times New Roman" w:cs="Times New Roman"/>
          <w:sz w:val="24"/>
          <w:szCs w:val="24"/>
          <w:lang w:val="en-US" w:eastAsia="zh-CN"/>
        </w:rPr>
      </w:pPr>
      <w:r w:rsidRPr="002B3E1D">
        <w:rPr>
          <w:rFonts w:ascii="Times New Roman" w:eastAsia="Times New Roman" w:hAnsi="Times New Roman" w:cs="Times New Roman"/>
          <w:sz w:val="24"/>
          <w:szCs w:val="24"/>
          <w:lang w:val="en-US" w:eastAsia="zh-CN"/>
        </w:rPr>
        <w:t xml:space="preserve">The Thomson One Banker database was used to determine the population and subsequent sampling frame. This is an </w:t>
      </w:r>
      <w:r w:rsidR="00562D43" w:rsidRPr="002B3E1D">
        <w:rPr>
          <w:rFonts w:ascii="Times New Roman" w:eastAsia="Times New Roman" w:hAnsi="Times New Roman" w:cs="Times New Roman"/>
          <w:sz w:val="24"/>
          <w:szCs w:val="24"/>
          <w:lang w:val="en-US" w:eastAsia="zh-CN"/>
        </w:rPr>
        <w:t>M&amp;A</w:t>
      </w:r>
      <w:r w:rsidRPr="002B3E1D">
        <w:rPr>
          <w:rFonts w:ascii="Times New Roman" w:eastAsia="Times New Roman" w:hAnsi="Times New Roman" w:cs="Times New Roman"/>
          <w:sz w:val="24"/>
          <w:szCs w:val="24"/>
          <w:lang w:val="en-US" w:eastAsia="zh-CN"/>
        </w:rPr>
        <w:t xml:space="preserve"> specialized database providing a variety of information on bidders and target firms. The initial population consisted of 1,658 cross-border </w:t>
      </w:r>
      <w:r w:rsidR="00562D43" w:rsidRPr="002B3E1D">
        <w:rPr>
          <w:rFonts w:ascii="Times New Roman" w:eastAsia="Times New Roman" w:hAnsi="Times New Roman" w:cs="Times New Roman"/>
          <w:sz w:val="24"/>
          <w:szCs w:val="24"/>
          <w:lang w:val="en-US" w:eastAsia="zh-CN"/>
        </w:rPr>
        <w:t>M&amp;A</w:t>
      </w:r>
      <w:r w:rsidRPr="002B3E1D">
        <w:rPr>
          <w:rFonts w:ascii="Times New Roman" w:eastAsia="Times New Roman" w:hAnsi="Times New Roman" w:cs="Times New Roman"/>
          <w:sz w:val="24"/>
          <w:szCs w:val="24"/>
          <w:lang w:val="en-US" w:eastAsia="zh-CN"/>
        </w:rPr>
        <w:t xml:space="preserve"> deals completed by 1,022 UK acquiring firms with full equity share during the period between January 2012 and July 2015. To construct the sample for this study, the starting population of 1,022 acquiring firms was screened on the criteria of location, firm status, and data accessibility. First, the population was screened for acquiring firms that relocated to their host country or any other country afterward the </w:t>
      </w:r>
      <w:r w:rsidR="00562D43" w:rsidRPr="002B3E1D">
        <w:rPr>
          <w:rFonts w:ascii="Times New Roman" w:eastAsia="Times New Roman" w:hAnsi="Times New Roman" w:cs="Times New Roman"/>
          <w:sz w:val="24"/>
          <w:szCs w:val="24"/>
          <w:lang w:val="en-US" w:eastAsia="zh-CN"/>
        </w:rPr>
        <w:t>M&amp;A</w:t>
      </w:r>
      <w:r w:rsidRPr="002B3E1D">
        <w:rPr>
          <w:rFonts w:ascii="Times New Roman" w:eastAsia="Times New Roman" w:hAnsi="Times New Roman" w:cs="Times New Roman"/>
          <w:sz w:val="24"/>
          <w:szCs w:val="24"/>
          <w:lang w:val="en-US" w:eastAsia="zh-CN"/>
        </w:rPr>
        <w:t xml:space="preserve">. Location was confirmed from corporate websites and annual reports and defined as UK-based if their corporate websites and annual reports specified that they were addressed in the UK. Second, those firms who were not physically situated in the UK were eliminated. Some of the sample firms were registered as “a UK firm” to take advantage of double tax treaties though they were actually situated outside the UK. Physical location was confirmed by their replies to a survey invitation. For example, a firm replied that it was not in the UK but in another country in responding to a pre-notification correspondence. Third, firms who were acquired, ceased to exist, or went bankrupt after their most recent cross-border </w:t>
      </w:r>
      <w:r w:rsidR="00562D43" w:rsidRPr="002B3E1D">
        <w:rPr>
          <w:rFonts w:ascii="Times New Roman" w:eastAsia="Times New Roman" w:hAnsi="Times New Roman" w:cs="Times New Roman"/>
          <w:sz w:val="24"/>
          <w:szCs w:val="24"/>
          <w:lang w:val="en-US" w:eastAsia="zh-CN"/>
        </w:rPr>
        <w:t>M&amp;A</w:t>
      </w:r>
      <w:r w:rsidRPr="002B3E1D">
        <w:rPr>
          <w:rFonts w:ascii="Times New Roman" w:eastAsia="Times New Roman" w:hAnsi="Times New Roman" w:cs="Times New Roman"/>
          <w:sz w:val="24"/>
          <w:szCs w:val="24"/>
          <w:lang w:val="en-US" w:eastAsia="zh-CN"/>
        </w:rPr>
        <w:t xml:space="preserve"> were removed. Fourth, firms were excluded if no contact details were available or they exhibited a lack of data accessibility. Finally, firms that participated in cross-border </w:t>
      </w:r>
      <w:r w:rsidR="00562D43" w:rsidRPr="002B3E1D">
        <w:rPr>
          <w:rFonts w:ascii="Times New Roman" w:eastAsia="Times New Roman" w:hAnsi="Times New Roman" w:cs="Times New Roman"/>
          <w:sz w:val="24"/>
          <w:szCs w:val="24"/>
          <w:lang w:val="en-US" w:eastAsia="zh-CN"/>
        </w:rPr>
        <w:t>M&amp;A</w:t>
      </w:r>
      <w:r w:rsidRPr="002B3E1D">
        <w:rPr>
          <w:rFonts w:ascii="Times New Roman" w:eastAsia="Times New Roman" w:hAnsi="Times New Roman" w:cs="Times New Roman"/>
          <w:sz w:val="24"/>
          <w:szCs w:val="24"/>
          <w:lang w:val="en-US" w:eastAsia="zh-CN"/>
        </w:rPr>
        <w:t xml:space="preserve">s for investment purposes or on behalf of customers were excluded. Consulting firms such as investing and law firms purchased other firms without any intention to engage in post-acquisition conduct but merely for investing in them or on behalf of their customers. In this regard, it was inappropriate to include these investing and advisory firms in the sampling frame. This screening procedure </w:t>
      </w:r>
      <w:r w:rsidRPr="002B3E1D">
        <w:rPr>
          <w:rFonts w:ascii="Times New Roman" w:eastAsia="Times New Roman" w:hAnsi="Times New Roman" w:cs="Times New Roman"/>
          <w:sz w:val="24"/>
          <w:szCs w:val="24"/>
          <w:lang w:val="en-US" w:eastAsia="zh-CN"/>
        </w:rPr>
        <w:lastRenderedPageBreak/>
        <w:t>resulted in a workable sample of 593 acquiring firms. The survey instrument was pre-tested with a panel of academic experts in the field to ensure acceptable face and content validity. This led to some revisions in question and measurement item wording for clarity and key definitions were introduced into the instrument.</w:t>
      </w:r>
    </w:p>
    <w:p w14:paraId="385BE218" w14:textId="77777777" w:rsidR="00F05E0B" w:rsidRPr="002B3E1D" w:rsidRDefault="00F05E0B" w:rsidP="00F05E0B">
      <w:pPr>
        <w:spacing w:after="0" w:line="480" w:lineRule="auto"/>
        <w:ind w:firstLine="567"/>
        <w:jc w:val="both"/>
        <w:rPr>
          <w:rFonts w:ascii="Times New Roman" w:eastAsia="Times New Roman" w:hAnsi="Times New Roman" w:cs="Times New Roman"/>
          <w:sz w:val="24"/>
          <w:szCs w:val="24"/>
          <w:lang w:val="en-US" w:eastAsia="zh-CN"/>
        </w:rPr>
      </w:pPr>
      <w:r w:rsidRPr="002B3E1D">
        <w:rPr>
          <w:rFonts w:ascii="Times New Roman" w:eastAsia="Times New Roman" w:hAnsi="Times New Roman" w:cs="Times New Roman"/>
          <w:sz w:val="24"/>
          <w:szCs w:val="24"/>
          <w:lang w:val="en-US" w:eastAsia="zh-CN"/>
        </w:rPr>
        <w:t xml:space="preserve">In implementing the survey the classical four-stage protocol of pre-notification, survey, first reminder survey, and second reminder survey was used. </w:t>
      </w:r>
      <w:r w:rsidRPr="002B3E1D">
        <w:rPr>
          <w:rFonts w:ascii="Times New Roman" w:eastAsia="Batang" w:hAnsi="Times New Roman" w:cs="Times New Roman"/>
          <w:sz w:val="24"/>
          <w:szCs w:val="24"/>
          <w:lang w:val="en-US"/>
        </w:rPr>
        <w:t xml:space="preserve">Data collection commenced by sending a pre-notification in June 2015. After a week, a survey link was sent out and two subsequent reminders at two intervals of two weeks afterwards. Therefore, the whole process of data-collection from sending a pre-notification to two survey reminders occurred between June 2015 and December 2015. While data collection started in late June 2015, any further instance of a company that had completed a cross-border </w:t>
      </w:r>
      <w:r w:rsidR="00562D43" w:rsidRPr="002B3E1D">
        <w:rPr>
          <w:rFonts w:ascii="Times New Roman" w:eastAsia="Batang" w:hAnsi="Times New Roman" w:cs="Times New Roman"/>
          <w:sz w:val="24"/>
          <w:szCs w:val="24"/>
          <w:lang w:val="en-US"/>
        </w:rPr>
        <w:t>M&amp;A</w:t>
      </w:r>
      <w:r w:rsidRPr="002B3E1D">
        <w:rPr>
          <w:rFonts w:ascii="Times New Roman" w:eastAsia="Batang" w:hAnsi="Times New Roman" w:cs="Times New Roman"/>
          <w:sz w:val="24"/>
          <w:szCs w:val="24"/>
          <w:lang w:val="en-US"/>
        </w:rPr>
        <w:t xml:space="preserve"> by the end of June 2015 (i.e., the start of July 2015) was added. </w:t>
      </w:r>
      <w:r w:rsidRPr="002B3E1D">
        <w:rPr>
          <w:rFonts w:ascii="Times New Roman" w:eastAsia="Times New Roman" w:hAnsi="Times New Roman" w:cs="Times New Roman"/>
          <w:sz w:val="24"/>
          <w:szCs w:val="24"/>
          <w:lang w:val="en-US" w:eastAsia="zh-CN"/>
        </w:rPr>
        <w:t xml:space="preserve">The online survey for this study was sent to the UK-based senior-level managers of the 593 acquiring firms in the sample. The key respondents targeted included Chief Executive Officers, Chief Financial Officer, Chief Operating Officers, and Business Development Directors, who were likely to get engaged in </w:t>
      </w:r>
      <w:r w:rsidR="00562D43" w:rsidRPr="002B3E1D">
        <w:rPr>
          <w:rFonts w:ascii="Times New Roman" w:eastAsia="Times New Roman" w:hAnsi="Times New Roman" w:cs="Times New Roman"/>
          <w:sz w:val="24"/>
          <w:szCs w:val="24"/>
          <w:lang w:val="en-US" w:eastAsia="zh-CN"/>
        </w:rPr>
        <w:t>M&amp;A</w:t>
      </w:r>
      <w:r w:rsidRPr="002B3E1D">
        <w:rPr>
          <w:rFonts w:ascii="Times New Roman" w:eastAsia="Times New Roman" w:hAnsi="Times New Roman" w:cs="Times New Roman"/>
          <w:sz w:val="24"/>
          <w:szCs w:val="24"/>
          <w:lang w:val="en-US" w:eastAsia="zh-CN"/>
        </w:rPr>
        <w:t xml:space="preserve"> decisions and post-acquisition conduct and could provide accurate impression and perspectives on their </w:t>
      </w:r>
      <w:r w:rsidR="00562D43" w:rsidRPr="002B3E1D">
        <w:rPr>
          <w:rFonts w:ascii="Times New Roman" w:eastAsia="Times New Roman" w:hAnsi="Times New Roman" w:cs="Times New Roman"/>
          <w:sz w:val="24"/>
          <w:szCs w:val="24"/>
          <w:lang w:val="en-US" w:eastAsia="zh-CN"/>
        </w:rPr>
        <w:t>M&amp;A</w:t>
      </w:r>
      <w:r w:rsidRPr="002B3E1D">
        <w:rPr>
          <w:rFonts w:ascii="Times New Roman" w:eastAsia="Times New Roman" w:hAnsi="Times New Roman" w:cs="Times New Roman"/>
          <w:sz w:val="24"/>
          <w:szCs w:val="24"/>
          <w:lang w:val="en-US" w:eastAsia="zh-CN"/>
        </w:rPr>
        <w:t xml:space="preserve"> outcomes. Contact details were sourced from corporate websites, annual reports, and LEXIS/NEXUS UK.</w:t>
      </w:r>
    </w:p>
    <w:p w14:paraId="37FD7CD3" w14:textId="77777777" w:rsidR="00F05E0B" w:rsidRPr="002B3E1D" w:rsidRDefault="00F05E0B" w:rsidP="00F05E0B">
      <w:pPr>
        <w:spacing w:after="0" w:line="480" w:lineRule="auto"/>
        <w:ind w:firstLine="720"/>
        <w:jc w:val="both"/>
        <w:rPr>
          <w:rFonts w:ascii="Times New Roman" w:eastAsia="Times New Roman" w:hAnsi="Times New Roman" w:cs="Times New Roman"/>
          <w:sz w:val="24"/>
          <w:szCs w:val="24"/>
          <w:lang w:val="en-US" w:eastAsia="zh-CN"/>
        </w:rPr>
      </w:pPr>
      <w:r w:rsidRPr="002B3E1D">
        <w:rPr>
          <w:rFonts w:ascii="Times New Roman" w:eastAsia="Times New Roman" w:hAnsi="Times New Roman" w:cs="Times New Roman"/>
          <w:sz w:val="24"/>
          <w:szCs w:val="24"/>
          <w:lang w:val="en-US" w:eastAsia="zh-CN"/>
        </w:rPr>
        <w:t xml:space="preserve">In total, 143 fully complete responses were obtained after survey administration, representing a 24.1% response rate. 56 respondents were chief executives or in similar senior positions such as CEO, COO or CIO, (22.6%); 57 respondents were directors (11.3%); 8 respondents were vice presidents (5.5%); 9 respondents were senior managers (6.2%); 10 respondents were head of division (6.9%); and 3 respondents were ‘others’ such as associates (1.3%). In terms of specialist expertise or discipline declared by the respondents, 43 respondents </w:t>
      </w:r>
      <w:r w:rsidRPr="002B3E1D">
        <w:rPr>
          <w:rFonts w:ascii="Times New Roman" w:eastAsia="Times New Roman" w:hAnsi="Times New Roman" w:cs="Times New Roman"/>
          <w:sz w:val="24"/>
          <w:szCs w:val="24"/>
          <w:lang w:val="en-US" w:eastAsia="zh-CN"/>
        </w:rPr>
        <w:lastRenderedPageBreak/>
        <w:t xml:space="preserve">were in management (30%), 12 respondents in strategy (8.3%), 23 respondents in operations (16%), 10 respondents in finance (6.9%), 7 respondents as </w:t>
      </w:r>
      <w:r w:rsidR="00562D43" w:rsidRPr="002B3E1D">
        <w:rPr>
          <w:rFonts w:ascii="Times New Roman" w:eastAsia="Times New Roman" w:hAnsi="Times New Roman" w:cs="Times New Roman"/>
          <w:sz w:val="24"/>
          <w:szCs w:val="24"/>
          <w:lang w:val="en-US" w:eastAsia="zh-CN"/>
        </w:rPr>
        <w:t>M&amp;A</w:t>
      </w:r>
      <w:r w:rsidRPr="002B3E1D">
        <w:rPr>
          <w:rFonts w:ascii="Times New Roman" w:eastAsia="Times New Roman" w:hAnsi="Times New Roman" w:cs="Times New Roman"/>
          <w:sz w:val="24"/>
          <w:szCs w:val="24"/>
          <w:lang w:val="en-US" w:eastAsia="zh-CN"/>
        </w:rPr>
        <w:t xml:space="preserve"> specialist (4.8%), 21 respondents in business development (14.6%), 5 respondents in marketing (3.4%), 2 respondents in investment (1.3%), and 20 respondents in ‘others’ (13.9%) such as portfolio, performance and planning, global editor, technology, and product development. The average length of respondents’ firm tenure was 10.24 years. On average, the respondent firms had 5,692 employees; 77 firms (53.8%) were publicly traded while 62 firms (43.4%) were privately held.</w:t>
      </w:r>
    </w:p>
    <w:p w14:paraId="12AA76C8" w14:textId="77777777" w:rsidR="00F05E0B" w:rsidRPr="002B3E1D" w:rsidRDefault="00F05E0B" w:rsidP="00F05E0B">
      <w:pPr>
        <w:spacing w:after="0" w:line="480" w:lineRule="auto"/>
        <w:ind w:firstLine="720"/>
        <w:jc w:val="both"/>
        <w:rPr>
          <w:rFonts w:ascii="Times New Roman" w:eastAsia="Times New Roman" w:hAnsi="Times New Roman" w:cs="Times New Roman"/>
          <w:sz w:val="24"/>
          <w:szCs w:val="24"/>
          <w:lang w:val="en-US" w:eastAsia="zh-CN"/>
        </w:rPr>
      </w:pPr>
      <w:r w:rsidRPr="002B3E1D">
        <w:rPr>
          <w:rFonts w:ascii="Times New Roman" w:eastAsia="Times New Roman" w:hAnsi="Times New Roman" w:cs="Times New Roman"/>
          <w:sz w:val="24"/>
          <w:szCs w:val="24"/>
          <w:lang w:val="en-US" w:eastAsia="zh-CN"/>
        </w:rPr>
        <w:t xml:space="preserve">Non-response bias is initially examined by comparing early and late respondents. Statistical comparisons between groups reveal no significant differences. Then, a randomly selected a group of 20 non-respondents were assembled to compare against a random selection of 20 respondents along objective data relating to sales, net income, and number of employees. An ANOVA test revealed no significant differences between the respondents and non-respondents on these criteria (sales: </w:t>
      </w:r>
      <w:r w:rsidRPr="002B3E1D">
        <w:rPr>
          <w:rFonts w:ascii="Times New Roman" w:eastAsia="Times New Roman" w:hAnsi="Times New Roman" w:cs="Times New Roman"/>
          <w:i/>
          <w:sz w:val="24"/>
          <w:szCs w:val="24"/>
          <w:lang w:val="en-US" w:eastAsia="zh-CN"/>
        </w:rPr>
        <w:t>F</w:t>
      </w:r>
      <w:r w:rsidRPr="002B3E1D">
        <w:rPr>
          <w:rFonts w:ascii="Times New Roman" w:eastAsia="Times New Roman" w:hAnsi="Times New Roman" w:cs="Times New Roman"/>
          <w:sz w:val="24"/>
          <w:szCs w:val="24"/>
          <w:lang w:val="en-US" w:eastAsia="zh-CN"/>
        </w:rPr>
        <w:t xml:space="preserve"> = .07, </w:t>
      </w:r>
      <w:r w:rsidRPr="002B3E1D">
        <w:rPr>
          <w:rFonts w:ascii="Times New Roman" w:eastAsia="Times New Roman" w:hAnsi="Times New Roman" w:cs="Times New Roman"/>
          <w:i/>
          <w:sz w:val="24"/>
          <w:szCs w:val="24"/>
          <w:lang w:val="en-US" w:eastAsia="zh-CN"/>
        </w:rPr>
        <w:t>p</w:t>
      </w:r>
      <w:r w:rsidRPr="002B3E1D">
        <w:rPr>
          <w:rFonts w:ascii="Times New Roman" w:eastAsia="Times New Roman" w:hAnsi="Times New Roman" w:cs="Times New Roman"/>
          <w:sz w:val="24"/>
          <w:szCs w:val="24"/>
          <w:lang w:val="en-US" w:eastAsia="zh-CN"/>
        </w:rPr>
        <w:t xml:space="preserve"> = .80; net income: </w:t>
      </w:r>
      <w:r w:rsidRPr="002B3E1D">
        <w:rPr>
          <w:rFonts w:ascii="Times New Roman" w:eastAsia="Times New Roman" w:hAnsi="Times New Roman" w:cs="Times New Roman"/>
          <w:i/>
          <w:sz w:val="24"/>
          <w:szCs w:val="24"/>
          <w:lang w:val="en-US" w:eastAsia="zh-CN"/>
        </w:rPr>
        <w:t>F</w:t>
      </w:r>
      <w:r w:rsidRPr="002B3E1D">
        <w:rPr>
          <w:rFonts w:ascii="Times New Roman" w:eastAsia="Times New Roman" w:hAnsi="Times New Roman" w:cs="Times New Roman"/>
          <w:sz w:val="24"/>
          <w:szCs w:val="24"/>
          <w:lang w:val="en-US" w:eastAsia="zh-CN"/>
        </w:rPr>
        <w:t xml:space="preserve"> = 1.55, </w:t>
      </w:r>
      <w:r w:rsidRPr="002B3E1D">
        <w:rPr>
          <w:rFonts w:ascii="Times New Roman" w:eastAsia="Times New Roman" w:hAnsi="Times New Roman" w:cs="Times New Roman"/>
          <w:i/>
          <w:sz w:val="24"/>
          <w:szCs w:val="24"/>
          <w:lang w:val="en-US" w:eastAsia="zh-CN"/>
        </w:rPr>
        <w:t>p</w:t>
      </w:r>
      <w:r w:rsidRPr="002B3E1D">
        <w:rPr>
          <w:rFonts w:ascii="Times New Roman" w:eastAsia="Times New Roman" w:hAnsi="Times New Roman" w:cs="Times New Roman"/>
          <w:sz w:val="24"/>
          <w:szCs w:val="24"/>
          <w:lang w:val="en-US" w:eastAsia="zh-CN"/>
        </w:rPr>
        <w:t xml:space="preserve"> = .22; number of employees: </w:t>
      </w:r>
      <w:r w:rsidRPr="002B3E1D">
        <w:rPr>
          <w:rFonts w:ascii="Times New Roman" w:eastAsia="Times New Roman" w:hAnsi="Times New Roman" w:cs="Times New Roman"/>
          <w:i/>
          <w:sz w:val="24"/>
          <w:szCs w:val="24"/>
          <w:lang w:val="en-US" w:eastAsia="zh-CN"/>
        </w:rPr>
        <w:t>F</w:t>
      </w:r>
      <w:r w:rsidRPr="002B3E1D">
        <w:rPr>
          <w:rFonts w:ascii="Times New Roman" w:eastAsia="Times New Roman" w:hAnsi="Times New Roman" w:cs="Times New Roman"/>
          <w:sz w:val="24"/>
          <w:szCs w:val="24"/>
          <w:lang w:val="en-US" w:eastAsia="zh-CN"/>
        </w:rPr>
        <w:t xml:space="preserve"> = .34, </w:t>
      </w:r>
      <w:r w:rsidRPr="002B3E1D">
        <w:rPr>
          <w:rFonts w:ascii="Times New Roman" w:eastAsia="Times New Roman" w:hAnsi="Times New Roman" w:cs="Times New Roman"/>
          <w:i/>
          <w:sz w:val="24"/>
          <w:szCs w:val="24"/>
          <w:lang w:val="en-US" w:eastAsia="zh-CN"/>
        </w:rPr>
        <w:t>p</w:t>
      </w:r>
      <w:r w:rsidRPr="002B3E1D">
        <w:rPr>
          <w:rFonts w:ascii="Times New Roman" w:eastAsia="Times New Roman" w:hAnsi="Times New Roman" w:cs="Times New Roman"/>
          <w:sz w:val="24"/>
          <w:szCs w:val="24"/>
          <w:lang w:val="en-US" w:eastAsia="zh-CN"/>
        </w:rPr>
        <w:t xml:space="preserve"> = .57). It was concluded that non-response bias is unlikely in our dataset.</w:t>
      </w:r>
    </w:p>
    <w:p w14:paraId="309B9F1D" w14:textId="77777777" w:rsidR="00F05E0B" w:rsidRPr="002B3E1D" w:rsidRDefault="00F05E0B" w:rsidP="00F05E0B">
      <w:pPr>
        <w:spacing w:after="0" w:line="480" w:lineRule="auto"/>
        <w:ind w:firstLine="567"/>
        <w:jc w:val="both"/>
        <w:rPr>
          <w:rFonts w:ascii="Times New Roman" w:eastAsia="Times New Roman" w:hAnsi="Times New Roman" w:cs="Times New Roman"/>
          <w:sz w:val="24"/>
          <w:szCs w:val="24"/>
          <w:lang w:val="en-US" w:eastAsia="zh-CN"/>
        </w:rPr>
      </w:pPr>
    </w:p>
    <w:p w14:paraId="5D33E7D0" w14:textId="77777777" w:rsidR="00F05E0B" w:rsidRPr="002B3E1D" w:rsidRDefault="00F05E0B" w:rsidP="00F05E0B">
      <w:pPr>
        <w:spacing w:after="0" w:line="480" w:lineRule="auto"/>
        <w:jc w:val="both"/>
        <w:rPr>
          <w:rFonts w:ascii="Times New Roman" w:eastAsia="Times New Roman" w:hAnsi="Times New Roman" w:cs="Times New Roman"/>
          <w:b/>
          <w:bCs/>
          <w:sz w:val="24"/>
          <w:szCs w:val="24"/>
          <w:lang w:val="en-US" w:eastAsia="zh-CN"/>
        </w:rPr>
      </w:pPr>
      <w:r w:rsidRPr="002B3E1D">
        <w:rPr>
          <w:rFonts w:ascii="Times New Roman" w:eastAsia="Times New Roman" w:hAnsi="Times New Roman" w:cs="Times New Roman"/>
          <w:b/>
          <w:bCs/>
          <w:sz w:val="24"/>
          <w:szCs w:val="24"/>
          <w:lang w:val="en-US" w:eastAsia="zh-CN"/>
        </w:rPr>
        <w:t xml:space="preserve">Study </w:t>
      </w:r>
      <w:r w:rsidR="00AF1718" w:rsidRPr="002B3E1D">
        <w:rPr>
          <w:rFonts w:ascii="Times New Roman" w:eastAsia="Times New Roman" w:hAnsi="Times New Roman" w:cs="Times New Roman"/>
          <w:b/>
          <w:bCs/>
          <w:sz w:val="24"/>
          <w:szCs w:val="24"/>
          <w:lang w:val="en-US" w:eastAsia="zh-CN"/>
        </w:rPr>
        <w:t>Measures</w:t>
      </w:r>
    </w:p>
    <w:p w14:paraId="2B50ECF5" w14:textId="77777777" w:rsidR="00F05E0B" w:rsidRPr="002B3E1D" w:rsidRDefault="00F05E0B" w:rsidP="00A92433">
      <w:pPr>
        <w:spacing w:after="0" w:line="480" w:lineRule="auto"/>
        <w:jc w:val="both"/>
        <w:rPr>
          <w:rFonts w:ascii="Times New Roman" w:eastAsia="Times New Roman" w:hAnsi="Times New Roman" w:cs="Times New Roman"/>
          <w:sz w:val="24"/>
          <w:szCs w:val="24"/>
          <w:lang w:val="en-US" w:eastAsia="zh-CN"/>
        </w:rPr>
      </w:pPr>
      <w:r w:rsidRPr="002B3E1D">
        <w:rPr>
          <w:rFonts w:ascii="Times New Roman" w:eastAsia="Times New Roman" w:hAnsi="Times New Roman" w:cs="Times New Roman"/>
          <w:sz w:val="24"/>
          <w:szCs w:val="24"/>
          <w:lang w:val="en-US" w:eastAsia="zh-CN"/>
        </w:rPr>
        <w:t xml:space="preserve">The survey relied on pre-existing measurement scales (7-point) to capture data on the focal constructs. Knowledge sharing was assessed by relying on items sourced from the work of Collins and Smith (2006). Use and sharing of capabilities from/to the target was captured by items sourced from the work of Capron et al. (1998). </w:t>
      </w:r>
      <w:r w:rsidR="00B75B34" w:rsidRPr="002B3E1D">
        <w:rPr>
          <w:rFonts w:ascii="Times New Roman" w:eastAsia="Times New Roman" w:hAnsi="Times New Roman" w:cs="Times New Roman"/>
          <w:sz w:val="24"/>
          <w:szCs w:val="24"/>
          <w:lang w:val="en-US" w:eastAsia="zh-CN"/>
        </w:rPr>
        <w:t xml:space="preserve">Corporate entrepreneurship </w:t>
      </w:r>
      <w:r w:rsidRPr="002B3E1D">
        <w:rPr>
          <w:rFonts w:ascii="Times New Roman" w:eastAsia="Times New Roman" w:hAnsi="Times New Roman" w:cs="Times New Roman"/>
          <w:sz w:val="24"/>
          <w:szCs w:val="24"/>
          <w:lang w:val="en-US" w:eastAsia="zh-CN"/>
        </w:rPr>
        <w:t xml:space="preserve">measures were adapted from Miller (1989) and Hughes et al. (2007). </w:t>
      </w:r>
    </w:p>
    <w:p w14:paraId="5A9F370A" w14:textId="77777777" w:rsidR="00F05E0B" w:rsidRPr="002B3E1D" w:rsidRDefault="00F05E0B" w:rsidP="00F05E0B">
      <w:pPr>
        <w:spacing w:after="0" w:line="480" w:lineRule="auto"/>
        <w:ind w:firstLine="566"/>
        <w:jc w:val="both"/>
        <w:rPr>
          <w:rFonts w:ascii="Times New Roman" w:eastAsia="Times New Roman" w:hAnsi="Times New Roman" w:cs="Times New Roman"/>
          <w:sz w:val="24"/>
          <w:szCs w:val="24"/>
          <w:lang w:val="en-US" w:eastAsia="zh-CN"/>
        </w:rPr>
      </w:pPr>
      <w:r w:rsidRPr="002B3E1D">
        <w:rPr>
          <w:rFonts w:ascii="Times New Roman" w:eastAsia="Times New Roman" w:hAnsi="Times New Roman" w:cs="Times New Roman"/>
          <w:sz w:val="24"/>
          <w:szCs w:val="24"/>
          <w:lang w:val="en-US" w:eastAsia="zh-CN"/>
        </w:rPr>
        <w:t xml:space="preserve">Organizational ambidexterity was captured by items adapted from the exploration and exploitation innovation scales of Jansen et al. (2006). However, to orient the items to the context </w:t>
      </w:r>
      <w:r w:rsidRPr="002B3E1D">
        <w:rPr>
          <w:rFonts w:ascii="Times New Roman" w:eastAsia="Times New Roman" w:hAnsi="Times New Roman" w:cs="Times New Roman"/>
          <w:sz w:val="24"/>
          <w:szCs w:val="24"/>
          <w:lang w:val="en-US" w:eastAsia="zh-CN"/>
        </w:rPr>
        <w:lastRenderedPageBreak/>
        <w:t xml:space="preserve">of </w:t>
      </w:r>
      <w:r w:rsidR="00562D43" w:rsidRPr="002B3E1D">
        <w:rPr>
          <w:rFonts w:ascii="Times New Roman" w:eastAsia="Times New Roman" w:hAnsi="Times New Roman" w:cs="Times New Roman"/>
          <w:sz w:val="24"/>
          <w:szCs w:val="24"/>
          <w:lang w:val="en-US" w:eastAsia="zh-CN"/>
        </w:rPr>
        <w:t>M&amp;A</w:t>
      </w:r>
      <w:r w:rsidRPr="002B3E1D">
        <w:rPr>
          <w:rFonts w:ascii="Times New Roman" w:eastAsia="Times New Roman" w:hAnsi="Times New Roman" w:cs="Times New Roman"/>
          <w:sz w:val="24"/>
          <w:szCs w:val="24"/>
          <w:lang w:val="en-US" w:eastAsia="zh-CN"/>
        </w:rPr>
        <w:t>s, we added an introductory sentence that asked the respondent to explicitly consider the items from the point of view of their firm and the target firm of their most recent merger or acquisition: “Thinking about your firm and the target firm of your most recent merger (or acquisition) now, how strongly do you agree or disagree with each of the following statements?” Measure items for integration were adapted and sourced from Datta and Grant (1990) and Zaheer et al. (2013).</w:t>
      </w:r>
    </w:p>
    <w:p w14:paraId="290F51C7" w14:textId="77777777" w:rsidR="00414AFE" w:rsidRPr="002B3E1D" w:rsidRDefault="00414AFE" w:rsidP="00414AFE">
      <w:pPr>
        <w:spacing w:after="0" w:line="480" w:lineRule="auto"/>
        <w:jc w:val="both"/>
        <w:rPr>
          <w:rFonts w:ascii="Times New Roman" w:eastAsia="Times New Roman" w:hAnsi="Times New Roman" w:cs="Times New Roman"/>
          <w:sz w:val="24"/>
          <w:szCs w:val="24"/>
          <w:lang w:val="en-US" w:eastAsia="zh-CN"/>
        </w:rPr>
      </w:pPr>
      <w:r w:rsidRPr="002B3E1D">
        <w:rPr>
          <w:rFonts w:ascii="Times New Roman" w:eastAsia="Times New Roman" w:hAnsi="Times New Roman" w:cs="Times New Roman"/>
          <w:sz w:val="24"/>
          <w:szCs w:val="24"/>
          <w:lang w:val="en-US" w:eastAsia="zh-CN"/>
        </w:rPr>
        <w:tab/>
        <w:t xml:space="preserve">A number of pertinent control variables were included in the model as relevant variables that control for possible firm, industry, and time effects that could affect the success of the cross-border </w:t>
      </w:r>
      <w:r w:rsidR="00562D43" w:rsidRPr="002B3E1D">
        <w:rPr>
          <w:rFonts w:ascii="Times New Roman" w:eastAsia="Times New Roman" w:hAnsi="Times New Roman" w:cs="Times New Roman"/>
          <w:sz w:val="24"/>
          <w:szCs w:val="24"/>
          <w:lang w:val="en-US" w:eastAsia="zh-CN"/>
        </w:rPr>
        <w:t>M&amp;A</w:t>
      </w:r>
      <w:r w:rsidRPr="002B3E1D">
        <w:rPr>
          <w:rFonts w:ascii="Times New Roman" w:eastAsia="Times New Roman" w:hAnsi="Times New Roman" w:cs="Times New Roman"/>
          <w:sz w:val="24"/>
          <w:szCs w:val="24"/>
          <w:lang w:val="en-US" w:eastAsia="zh-CN"/>
        </w:rPr>
        <w:t xml:space="preserve"> and the degree of ambidexterity (as the dependent variable). To this end, nine control variables were included in the analysis. The </w:t>
      </w:r>
      <w:r w:rsidRPr="002B3E1D">
        <w:rPr>
          <w:rFonts w:ascii="Times New Roman" w:eastAsia="Times New Roman" w:hAnsi="Times New Roman" w:cs="Times New Roman"/>
          <w:i/>
          <w:sz w:val="24"/>
          <w:szCs w:val="24"/>
          <w:lang w:val="en-US" w:eastAsia="zh-CN"/>
        </w:rPr>
        <w:t xml:space="preserve">type of </w:t>
      </w:r>
      <w:r w:rsidR="00562D43" w:rsidRPr="002B3E1D">
        <w:rPr>
          <w:rFonts w:ascii="Times New Roman" w:eastAsia="Times New Roman" w:hAnsi="Times New Roman" w:cs="Times New Roman"/>
          <w:i/>
          <w:sz w:val="24"/>
          <w:szCs w:val="24"/>
          <w:lang w:val="en-US" w:eastAsia="zh-CN"/>
        </w:rPr>
        <w:t>M&amp;A</w:t>
      </w:r>
      <w:r w:rsidRPr="002B3E1D">
        <w:rPr>
          <w:rFonts w:ascii="Times New Roman" w:eastAsia="Times New Roman" w:hAnsi="Times New Roman" w:cs="Times New Roman"/>
          <w:sz w:val="24"/>
          <w:szCs w:val="24"/>
          <w:lang w:val="en-US" w:eastAsia="zh-CN"/>
        </w:rPr>
        <w:t xml:space="preserve"> was accounted for by a dummy variable (1 = Merger; 2 = Acquisition); </w:t>
      </w:r>
      <w:r w:rsidRPr="002B3E1D">
        <w:rPr>
          <w:rFonts w:ascii="Times New Roman" w:eastAsia="Times New Roman" w:hAnsi="Times New Roman" w:cs="Times New Roman"/>
          <w:i/>
          <w:sz w:val="24"/>
          <w:szCs w:val="24"/>
          <w:lang w:val="en-US" w:eastAsia="zh-CN"/>
        </w:rPr>
        <w:t xml:space="preserve">acquiring firm size </w:t>
      </w:r>
      <w:r w:rsidRPr="002B3E1D">
        <w:rPr>
          <w:rFonts w:ascii="Times New Roman" w:eastAsia="Times New Roman" w:hAnsi="Times New Roman" w:cs="Times New Roman"/>
          <w:sz w:val="24"/>
          <w:szCs w:val="24"/>
          <w:lang w:val="en-US" w:eastAsia="zh-CN"/>
        </w:rPr>
        <w:t>and</w:t>
      </w:r>
      <w:r w:rsidRPr="002B3E1D">
        <w:rPr>
          <w:rFonts w:ascii="Times New Roman" w:eastAsia="Times New Roman" w:hAnsi="Times New Roman" w:cs="Times New Roman"/>
          <w:i/>
          <w:sz w:val="24"/>
          <w:szCs w:val="24"/>
          <w:lang w:val="en-US" w:eastAsia="zh-CN"/>
        </w:rPr>
        <w:t xml:space="preserve"> firm age</w:t>
      </w:r>
      <w:r w:rsidRPr="002B3E1D">
        <w:rPr>
          <w:rFonts w:ascii="Times New Roman" w:eastAsia="Times New Roman" w:hAnsi="Times New Roman" w:cs="Times New Roman"/>
          <w:sz w:val="24"/>
          <w:szCs w:val="24"/>
          <w:lang w:val="en-US" w:eastAsia="zh-CN"/>
        </w:rPr>
        <w:t xml:space="preserve"> were accounted for by determining the number of employees and number of years of business operation respectively; the </w:t>
      </w:r>
      <w:r w:rsidRPr="002B3E1D">
        <w:rPr>
          <w:rFonts w:ascii="Times New Roman" w:eastAsia="Times New Roman" w:hAnsi="Times New Roman" w:cs="Times New Roman"/>
          <w:i/>
          <w:sz w:val="24"/>
          <w:szCs w:val="24"/>
          <w:lang w:val="en-US" w:eastAsia="zh-CN"/>
        </w:rPr>
        <w:t xml:space="preserve">time elapsed since completion of the focal </w:t>
      </w:r>
      <w:r w:rsidR="00562D43" w:rsidRPr="002B3E1D">
        <w:rPr>
          <w:rFonts w:ascii="Times New Roman" w:eastAsia="Times New Roman" w:hAnsi="Times New Roman" w:cs="Times New Roman"/>
          <w:i/>
          <w:sz w:val="24"/>
          <w:szCs w:val="24"/>
          <w:lang w:val="en-US" w:eastAsia="zh-CN"/>
        </w:rPr>
        <w:t>M&amp;A</w:t>
      </w:r>
      <w:r w:rsidRPr="002B3E1D">
        <w:rPr>
          <w:rFonts w:ascii="Times New Roman" w:eastAsia="Times New Roman" w:hAnsi="Times New Roman" w:cs="Times New Roman"/>
          <w:i/>
          <w:sz w:val="24"/>
          <w:szCs w:val="24"/>
          <w:lang w:val="en-US" w:eastAsia="zh-CN"/>
        </w:rPr>
        <w:t xml:space="preserve"> deal</w:t>
      </w:r>
      <w:r w:rsidRPr="002B3E1D">
        <w:rPr>
          <w:rFonts w:ascii="Times New Roman" w:eastAsia="Times New Roman" w:hAnsi="Times New Roman" w:cs="Times New Roman"/>
          <w:sz w:val="24"/>
          <w:szCs w:val="24"/>
          <w:lang w:val="en-US" w:eastAsia="zh-CN"/>
        </w:rPr>
        <w:t xml:space="preserve"> was controlled for through determining the time difference (in years) from the date of the completion of the focal </w:t>
      </w:r>
      <w:r w:rsidR="00562D43" w:rsidRPr="002B3E1D">
        <w:rPr>
          <w:rFonts w:ascii="Times New Roman" w:eastAsia="Times New Roman" w:hAnsi="Times New Roman" w:cs="Times New Roman"/>
          <w:sz w:val="24"/>
          <w:szCs w:val="24"/>
          <w:lang w:val="en-US" w:eastAsia="zh-CN"/>
        </w:rPr>
        <w:t>M&amp;A</w:t>
      </w:r>
      <w:r w:rsidRPr="002B3E1D">
        <w:rPr>
          <w:rFonts w:ascii="Times New Roman" w:eastAsia="Times New Roman" w:hAnsi="Times New Roman" w:cs="Times New Roman"/>
          <w:sz w:val="24"/>
          <w:szCs w:val="24"/>
          <w:lang w:val="en-US" w:eastAsia="zh-CN"/>
        </w:rPr>
        <w:t xml:space="preserve"> deal with the time of data collection (deals completed within a year of data collection were given a score of 1 and each year of time difference incremented the score by a further 1). </w:t>
      </w:r>
      <w:r w:rsidRPr="002B3E1D">
        <w:rPr>
          <w:rFonts w:ascii="Times New Roman" w:eastAsia="Times New Roman" w:hAnsi="Times New Roman" w:cs="Times New Roman"/>
          <w:i/>
          <w:sz w:val="24"/>
          <w:szCs w:val="24"/>
          <w:lang w:val="en-US" w:eastAsia="zh-CN"/>
        </w:rPr>
        <w:t xml:space="preserve">Years of </w:t>
      </w:r>
      <w:r w:rsidR="00562D43" w:rsidRPr="002B3E1D">
        <w:rPr>
          <w:rFonts w:ascii="Times New Roman" w:eastAsia="Times New Roman" w:hAnsi="Times New Roman" w:cs="Times New Roman"/>
          <w:i/>
          <w:sz w:val="24"/>
          <w:szCs w:val="24"/>
          <w:lang w:val="en-US" w:eastAsia="zh-CN"/>
        </w:rPr>
        <w:t>M&amp;A</w:t>
      </w:r>
      <w:r w:rsidRPr="002B3E1D">
        <w:rPr>
          <w:rFonts w:ascii="Times New Roman" w:eastAsia="Times New Roman" w:hAnsi="Times New Roman" w:cs="Times New Roman"/>
          <w:i/>
          <w:sz w:val="24"/>
          <w:szCs w:val="24"/>
          <w:lang w:val="en-US" w:eastAsia="zh-CN"/>
        </w:rPr>
        <w:t xml:space="preserve"> experience </w:t>
      </w:r>
      <w:r w:rsidRPr="002B3E1D">
        <w:rPr>
          <w:rFonts w:ascii="Times New Roman" w:eastAsia="Times New Roman" w:hAnsi="Times New Roman" w:cs="Times New Roman"/>
          <w:sz w:val="24"/>
          <w:szCs w:val="24"/>
          <w:lang w:val="en-US" w:eastAsia="zh-CN"/>
        </w:rPr>
        <w:t>and the</w:t>
      </w:r>
      <w:r w:rsidRPr="002B3E1D">
        <w:rPr>
          <w:rFonts w:ascii="Times New Roman" w:eastAsia="Times New Roman" w:hAnsi="Times New Roman" w:cs="Times New Roman"/>
          <w:i/>
          <w:sz w:val="24"/>
          <w:szCs w:val="24"/>
          <w:lang w:val="en-US" w:eastAsia="zh-CN"/>
        </w:rPr>
        <w:t xml:space="preserve"> number of previous </w:t>
      </w:r>
      <w:r w:rsidR="00562D43" w:rsidRPr="002B3E1D">
        <w:rPr>
          <w:rFonts w:ascii="Times New Roman" w:eastAsia="Times New Roman" w:hAnsi="Times New Roman" w:cs="Times New Roman"/>
          <w:i/>
          <w:sz w:val="24"/>
          <w:szCs w:val="24"/>
          <w:lang w:val="en-US" w:eastAsia="zh-CN"/>
        </w:rPr>
        <w:t>M&amp;A</w:t>
      </w:r>
      <w:r w:rsidRPr="002B3E1D">
        <w:rPr>
          <w:rFonts w:ascii="Times New Roman" w:eastAsia="Times New Roman" w:hAnsi="Times New Roman" w:cs="Times New Roman"/>
          <w:i/>
          <w:sz w:val="24"/>
          <w:szCs w:val="24"/>
          <w:lang w:val="en-US" w:eastAsia="zh-CN"/>
        </w:rPr>
        <w:t xml:space="preserve"> deals</w:t>
      </w:r>
      <w:r w:rsidRPr="002B3E1D">
        <w:rPr>
          <w:rFonts w:ascii="Times New Roman" w:eastAsia="Times New Roman" w:hAnsi="Times New Roman" w:cs="Times New Roman"/>
          <w:sz w:val="24"/>
          <w:szCs w:val="24"/>
          <w:lang w:val="en-US" w:eastAsia="zh-CN"/>
        </w:rPr>
        <w:t xml:space="preserve"> were captured in order to control for experience effects. Industry effects were considered through capturing data on the </w:t>
      </w:r>
      <w:r w:rsidRPr="002B3E1D">
        <w:rPr>
          <w:rFonts w:ascii="Times New Roman" w:eastAsia="Times New Roman" w:hAnsi="Times New Roman" w:cs="Times New Roman"/>
          <w:i/>
          <w:sz w:val="24"/>
          <w:szCs w:val="24"/>
          <w:lang w:val="en-US" w:eastAsia="zh-CN"/>
        </w:rPr>
        <w:t xml:space="preserve">years of target market experience </w:t>
      </w:r>
      <w:r w:rsidRPr="002B3E1D">
        <w:rPr>
          <w:rFonts w:ascii="Times New Roman" w:eastAsia="Times New Roman" w:hAnsi="Times New Roman" w:cs="Times New Roman"/>
          <w:sz w:val="24"/>
          <w:szCs w:val="24"/>
          <w:lang w:val="en-US" w:eastAsia="zh-CN"/>
        </w:rPr>
        <w:t xml:space="preserve">(were the cross-border </w:t>
      </w:r>
      <w:r w:rsidR="00562D43" w:rsidRPr="002B3E1D">
        <w:rPr>
          <w:rFonts w:ascii="Times New Roman" w:eastAsia="Times New Roman" w:hAnsi="Times New Roman" w:cs="Times New Roman"/>
          <w:sz w:val="24"/>
          <w:szCs w:val="24"/>
          <w:lang w:val="en-US" w:eastAsia="zh-CN"/>
        </w:rPr>
        <w:t>M&amp;A</w:t>
      </w:r>
      <w:r w:rsidRPr="002B3E1D">
        <w:rPr>
          <w:rFonts w:ascii="Times New Roman" w:eastAsia="Times New Roman" w:hAnsi="Times New Roman" w:cs="Times New Roman"/>
          <w:sz w:val="24"/>
          <w:szCs w:val="24"/>
          <w:lang w:val="en-US" w:eastAsia="zh-CN"/>
        </w:rPr>
        <w:t xml:space="preserve"> deals into entirely new markets for the firm or to ones in which they were very familiar with in terms of years of experience) and </w:t>
      </w:r>
      <w:r w:rsidRPr="002B3E1D">
        <w:rPr>
          <w:rFonts w:ascii="Times New Roman" w:eastAsia="Times New Roman" w:hAnsi="Times New Roman" w:cs="Times New Roman"/>
          <w:i/>
          <w:sz w:val="24"/>
          <w:szCs w:val="24"/>
          <w:lang w:val="en-US" w:eastAsia="zh-CN"/>
        </w:rPr>
        <w:t>industry relatedness</w:t>
      </w:r>
      <w:r w:rsidRPr="002B3E1D">
        <w:rPr>
          <w:rFonts w:ascii="Times New Roman" w:eastAsia="Times New Roman" w:hAnsi="Times New Roman" w:cs="Times New Roman"/>
          <w:sz w:val="24"/>
          <w:szCs w:val="24"/>
          <w:lang w:val="en-US" w:eastAsia="zh-CN"/>
        </w:rPr>
        <w:t xml:space="preserve">. Industry relatedness is a dummy variable capturing the degree of difference in SIC codes between the acquiring and acquired firms in the </w:t>
      </w:r>
      <w:r w:rsidR="00562D43" w:rsidRPr="002B3E1D">
        <w:rPr>
          <w:rFonts w:ascii="Times New Roman" w:eastAsia="Times New Roman" w:hAnsi="Times New Roman" w:cs="Times New Roman"/>
          <w:sz w:val="24"/>
          <w:szCs w:val="24"/>
          <w:lang w:val="en-US" w:eastAsia="zh-CN"/>
        </w:rPr>
        <w:t>M&amp;A</w:t>
      </w:r>
      <w:r w:rsidRPr="002B3E1D">
        <w:rPr>
          <w:rFonts w:ascii="Times New Roman" w:eastAsia="Times New Roman" w:hAnsi="Times New Roman" w:cs="Times New Roman"/>
          <w:sz w:val="24"/>
          <w:szCs w:val="24"/>
          <w:lang w:val="en-US" w:eastAsia="zh-CN"/>
        </w:rPr>
        <w:t xml:space="preserve"> deal (0 = identical SIC codes; 1 = two-digit differences in SIC codes; 2 = four-digit differences in SIC codes). Finally, </w:t>
      </w:r>
      <w:r w:rsidRPr="002B3E1D">
        <w:rPr>
          <w:rFonts w:ascii="Times New Roman" w:eastAsia="Times New Roman" w:hAnsi="Times New Roman" w:cs="Times New Roman"/>
          <w:i/>
          <w:sz w:val="24"/>
          <w:szCs w:val="24"/>
          <w:lang w:val="en-US" w:eastAsia="zh-CN"/>
        </w:rPr>
        <w:t>relative firm sizes</w:t>
      </w:r>
      <w:r w:rsidRPr="002B3E1D">
        <w:rPr>
          <w:rFonts w:ascii="Times New Roman" w:eastAsia="Times New Roman" w:hAnsi="Times New Roman" w:cs="Times New Roman"/>
          <w:sz w:val="24"/>
          <w:szCs w:val="24"/>
          <w:lang w:val="en-US" w:eastAsia="zh-CN"/>
        </w:rPr>
        <w:t xml:space="preserve"> were controlled </w:t>
      </w:r>
      <w:r w:rsidRPr="002B3E1D">
        <w:rPr>
          <w:rFonts w:ascii="Times New Roman" w:eastAsia="Times New Roman" w:hAnsi="Times New Roman" w:cs="Times New Roman"/>
          <w:sz w:val="24"/>
          <w:szCs w:val="24"/>
          <w:lang w:val="en-US" w:eastAsia="zh-CN"/>
        </w:rPr>
        <w:lastRenderedPageBreak/>
        <w:t xml:space="preserve">for by comparing the relative proportion of annual sales of the target firm of the cross-border </w:t>
      </w:r>
      <w:r w:rsidR="00562D43" w:rsidRPr="002B3E1D">
        <w:rPr>
          <w:rFonts w:ascii="Times New Roman" w:eastAsia="Times New Roman" w:hAnsi="Times New Roman" w:cs="Times New Roman"/>
          <w:sz w:val="24"/>
          <w:szCs w:val="24"/>
          <w:lang w:val="en-US" w:eastAsia="zh-CN"/>
        </w:rPr>
        <w:t>M&amp;A</w:t>
      </w:r>
      <w:r w:rsidRPr="002B3E1D">
        <w:rPr>
          <w:rFonts w:ascii="Times New Roman" w:eastAsia="Times New Roman" w:hAnsi="Times New Roman" w:cs="Times New Roman"/>
          <w:sz w:val="24"/>
          <w:szCs w:val="24"/>
          <w:lang w:val="en-US" w:eastAsia="zh-CN"/>
        </w:rPr>
        <w:t xml:space="preserve"> with that of the acquirer.</w:t>
      </w:r>
    </w:p>
    <w:p w14:paraId="4BC0FC49" w14:textId="77777777" w:rsidR="00414AFE" w:rsidRPr="002B3E1D" w:rsidRDefault="00414AFE" w:rsidP="00414AFE">
      <w:pPr>
        <w:spacing w:after="0" w:line="480" w:lineRule="auto"/>
        <w:ind w:firstLine="720"/>
        <w:jc w:val="both"/>
        <w:rPr>
          <w:rFonts w:ascii="Times New Roman" w:eastAsia="Times New Roman" w:hAnsi="Times New Roman" w:cs="Times New Roman"/>
          <w:sz w:val="24"/>
          <w:szCs w:val="24"/>
          <w:lang w:val="en-US" w:eastAsia="zh-CN"/>
        </w:rPr>
      </w:pPr>
      <w:r w:rsidRPr="002B3E1D">
        <w:rPr>
          <w:rFonts w:ascii="Times New Roman" w:eastAsia="Times New Roman" w:hAnsi="Times New Roman" w:cs="Times New Roman"/>
          <w:sz w:val="24"/>
          <w:szCs w:val="24"/>
          <w:lang w:val="en-US" w:eastAsia="zh-CN"/>
        </w:rPr>
        <w:t>For the purposes of confirming factor structures and determining the robustness of the constructs, all items were subjected to principal components analysis (with varimax rotation) in IBM SPSS 25 and then confirmatory factor analysis (CFA) in LISREL 8.80 with maximum likelihood estimation. Acceptable model fit is demonstrated: χ</w:t>
      </w:r>
      <w:r w:rsidRPr="002B3E1D">
        <w:rPr>
          <w:rFonts w:ascii="Times New Roman" w:eastAsia="Times New Roman" w:hAnsi="Times New Roman" w:cs="Times New Roman"/>
          <w:sz w:val="24"/>
          <w:szCs w:val="24"/>
          <w:vertAlign w:val="superscript"/>
          <w:lang w:val="en-US" w:eastAsia="zh-CN"/>
        </w:rPr>
        <w:t>2</w:t>
      </w:r>
      <w:r w:rsidRPr="002B3E1D">
        <w:rPr>
          <w:rFonts w:ascii="Times New Roman" w:eastAsia="Times New Roman" w:hAnsi="Times New Roman" w:cs="Times New Roman"/>
          <w:sz w:val="24"/>
          <w:szCs w:val="24"/>
          <w:lang w:val="en-US" w:eastAsia="zh-CN"/>
        </w:rPr>
        <w:t xml:space="preserve"> (df) = 878.55 (413); RMSEA = .08; CFI = .92; IFI = .92; Standardized RMR = .09. Measurement item properties are presented in Table 1 and construct robustness and descriptive statistics are presented in Table 2. All factor loadings are within acceptable ranges with all t-values being significant at </w:t>
      </w:r>
      <w:r w:rsidRPr="002B3E1D">
        <w:rPr>
          <w:rFonts w:ascii="Times New Roman" w:eastAsia="Times New Roman" w:hAnsi="Times New Roman" w:cs="Times New Roman"/>
          <w:i/>
          <w:sz w:val="24"/>
          <w:szCs w:val="24"/>
          <w:lang w:val="en-US" w:eastAsia="zh-CN"/>
        </w:rPr>
        <w:t>p</w:t>
      </w:r>
      <w:r w:rsidRPr="002B3E1D">
        <w:rPr>
          <w:rFonts w:ascii="Times New Roman" w:eastAsia="Times New Roman" w:hAnsi="Times New Roman" w:cs="Times New Roman"/>
          <w:sz w:val="24"/>
          <w:szCs w:val="24"/>
          <w:lang w:val="en-US" w:eastAsia="zh-CN"/>
        </w:rPr>
        <w:t xml:space="preserve"> ≤ .01 (Table 1). All constructs demonstrate good reliability and above minimum thresholds. Average variance extracted values are fine though the .44 for corporate entrepreneurship is below the preferred .50 threshold. Notwithstanding that however, the value is deemed acceptable as the square root of all AVE values exceed all correlations and so demonstrate discriminant validity (e.g., Kyriakopoulos et al., 2016).</w:t>
      </w:r>
    </w:p>
    <w:p w14:paraId="459B50D0" w14:textId="77777777" w:rsidR="00F05E0B" w:rsidRPr="002B3E1D" w:rsidRDefault="00F05E0B" w:rsidP="00F05E0B">
      <w:pPr>
        <w:spacing w:after="0" w:line="480" w:lineRule="auto"/>
        <w:jc w:val="both"/>
        <w:rPr>
          <w:rFonts w:ascii="Times New Roman" w:eastAsia="Times New Roman" w:hAnsi="Times New Roman" w:cs="Times New Roman"/>
          <w:sz w:val="24"/>
          <w:szCs w:val="24"/>
          <w:lang w:val="en-US" w:eastAsia="zh-CN"/>
        </w:rPr>
      </w:pPr>
    </w:p>
    <w:p w14:paraId="727822A9" w14:textId="77777777" w:rsidR="00F05E0B" w:rsidRPr="002B3E1D" w:rsidRDefault="00F05E0B" w:rsidP="00F05E0B">
      <w:pPr>
        <w:spacing w:after="0" w:line="480" w:lineRule="auto"/>
        <w:jc w:val="both"/>
        <w:rPr>
          <w:rFonts w:ascii="Times New Roman" w:eastAsia="Times New Roman" w:hAnsi="Times New Roman" w:cs="Times New Roman"/>
          <w:b/>
          <w:sz w:val="24"/>
          <w:szCs w:val="24"/>
          <w:lang w:val="en-US" w:eastAsia="zh-CN"/>
        </w:rPr>
      </w:pPr>
      <w:r w:rsidRPr="002B3E1D">
        <w:rPr>
          <w:rFonts w:ascii="Times New Roman" w:eastAsia="Times New Roman" w:hAnsi="Times New Roman" w:cs="Times New Roman"/>
          <w:b/>
          <w:sz w:val="24"/>
          <w:szCs w:val="24"/>
          <w:lang w:val="en-US" w:eastAsia="zh-CN"/>
        </w:rPr>
        <w:t xml:space="preserve">Common </w:t>
      </w:r>
      <w:r w:rsidR="00AF1718" w:rsidRPr="002B3E1D">
        <w:rPr>
          <w:rFonts w:ascii="Times New Roman" w:eastAsia="Times New Roman" w:hAnsi="Times New Roman" w:cs="Times New Roman"/>
          <w:b/>
          <w:sz w:val="24"/>
          <w:szCs w:val="24"/>
          <w:lang w:val="en-US" w:eastAsia="zh-CN"/>
        </w:rPr>
        <w:t>Method Bias</w:t>
      </w:r>
    </w:p>
    <w:p w14:paraId="05D6AB34" w14:textId="77777777" w:rsidR="00F05E0B" w:rsidRPr="002B3E1D" w:rsidRDefault="00F05E0B" w:rsidP="00F05E0B">
      <w:pPr>
        <w:spacing w:after="0" w:line="480" w:lineRule="auto"/>
        <w:ind w:firstLine="720"/>
        <w:jc w:val="both"/>
        <w:rPr>
          <w:rFonts w:asciiTheme="majorBidi" w:hAnsiTheme="majorBidi" w:cstheme="majorBidi"/>
          <w:sz w:val="24"/>
          <w:szCs w:val="24"/>
          <w:lang w:val="en-US"/>
        </w:rPr>
      </w:pPr>
      <w:r w:rsidRPr="002B3E1D">
        <w:rPr>
          <w:rFonts w:ascii="Times New Roman" w:eastAsia="Times New Roman" w:hAnsi="Times New Roman" w:cs="Times New Roman"/>
          <w:sz w:val="24"/>
          <w:szCs w:val="24"/>
          <w:lang w:val="en-US" w:eastAsia="zh-CN"/>
        </w:rPr>
        <w:t xml:space="preserve">A priori safeguards against common method bias were implemented following the suggestions of Podsakoff et al. (2003) and Spector and Brannick (1995): different response formats </w:t>
      </w:r>
      <w:r w:rsidR="00E62AA3" w:rsidRPr="002B3E1D">
        <w:rPr>
          <w:rFonts w:ascii="Times New Roman" w:eastAsia="Times New Roman" w:hAnsi="Times New Roman" w:cs="Times New Roman"/>
          <w:sz w:val="24"/>
          <w:szCs w:val="24"/>
          <w:lang w:val="en-US" w:eastAsia="zh-CN"/>
        </w:rPr>
        <w:t xml:space="preserve">were </w:t>
      </w:r>
      <w:r w:rsidRPr="002B3E1D">
        <w:rPr>
          <w:rFonts w:ascii="Times New Roman" w:eastAsia="Times New Roman" w:hAnsi="Times New Roman" w:cs="Times New Roman"/>
          <w:sz w:val="24"/>
          <w:szCs w:val="24"/>
          <w:lang w:val="en-US" w:eastAsia="zh-CN"/>
        </w:rPr>
        <w:t xml:space="preserve">used across questions; confidentiality and anonymity assurances given to respondents; emphasis placed on there being no ‘right’ or ‘wrong’ answers; measurement scales were placed in random order; non-idealized responses and wording neutrality were adopted; survey length was reduced; and detailed instructions for </w:t>
      </w:r>
      <w:r w:rsidR="00E62AA3" w:rsidRPr="002B3E1D">
        <w:rPr>
          <w:rFonts w:ascii="Times New Roman" w:eastAsia="Times New Roman" w:hAnsi="Times New Roman" w:cs="Times New Roman"/>
          <w:sz w:val="24"/>
          <w:szCs w:val="24"/>
          <w:lang w:val="en-US" w:eastAsia="zh-CN"/>
        </w:rPr>
        <w:t xml:space="preserve">completing the survey </w:t>
      </w:r>
      <w:r w:rsidRPr="002B3E1D">
        <w:rPr>
          <w:rFonts w:ascii="Times New Roman" w:eastAsia="Times New Roman" w:hAnsi="Times New Roman" w:cs="Times New Roman"/>
          <w:sz w:val="24"/>
          <w:szCs w:val="24"/>
          <w:lang w:val="en-US" w:eastAsia="zh-CN"/>
        </w:rPr>
        <w:t>were provided.</w:t>
      </w:r>
    </w:p>
    <w:p w14:paraId="17729C78" w14:textId="3B018A36" w:rsidR="00F05E0B" w:rsidRPr="002B3E1D" w:rsidRDefault="00F05E0B" w:rsidP="00F05E0B">
      <w:pPr>
        <w:spacing w:after="0" w:line="480" w:lineRule="auto"/>
        <w:ind w:firstLine="720"/>
        <w:jc w:val="both"/>
        <w:rPr>
          <w:rFonts w:asciiTheme="majorBidi" w:hAnsiTheme="majorBidi" w:cstheme="majorBidi"/>
          <w:bCs/>
          <w:sz w:val="24"/>
          <w:szCs w:val="24"/>
          <w:lang w:val="en-US"/>
        </w:rPr>
      </w:pPr>
      <w:r w:rsidRPr="002B3E1D">
        <w:rPr>
          <w:rFonts w:asciiTheme="majorBidi" w:hAnsiTheme="majorBidi" w:cstheme="majorBidi"/>
          <w:sz w:val="24"/>
          <w:szCs w:val="24"/>
          <w:lang w:val="en-US"/>
        </w:rPr>
        <w:lastRenderedPageBreak/>
        <w:t>Prior to hypothesis testing, we used a Harman one-factor test in which all items are specified in a single factor analysis (principal components analysis with varimax rotation) (Podsakoff et al.,</w:t>
      </w:r>
      <w:r w:rsidRPr="002B3E1D">
        <w:rPr>
          <w:rFonts w:asciiTheme="majorBidi" w:hAnsiTheme="majorBidi" w:cstheme="majorBidi"/>
          <w:iCs/>
          <w:sz w:val="24"/>
          <w:szCs w:val="24"/>
          <w:lang w:val="en-US"/>
        </w:rPr>
        <w:t xml:space="preserve"> </w:t>
      </w:r>
      <w:r w:rsidRPr="002B3E1D">
        <w:rPr>
          <w:rFonts w:asciiTheme="majorBidi" w:hAnsiTheme="majorBidi" w:cstheme="majorBidi"/>
          <w:sz w:val="24"/>
          <w:szCs w:val="24"/>
          <w:lang w:val="en-US"/>
        </w:rPr>
        <w:t xml:space="preserve">2003). The results demonstrate unacceptable fit and imply that common method concerns are not present as six factors are extracted with eigenvalues greater than 1. Together, all of the extracted factors explain 72.67% of variance and the largest factor identified only accounts for 18.81% of total variance. When the analysis is specified to look for only one single factor (and not extract any number of factors with an eigenvalue greater than 1), this single factor accounts for only 33.27% of variance, with all measure items in general demonstrating poor factor loading onto this single construct (loading range: 0.33 to 0.78). Second, and for robustness, this method was replicated in LISREL 8.8 using CFA. If common method bias is </w:t>
      </w:r>
      <w:r w:rsidR="0020370E" w:rsidRPr="002B3E1D">
        <w:rPr>
          <w:rFonts w:asciiTheme="majorBidi" w:hAnsiTheme="majorBidi" w:cstheme="majorBidi"/>
          <w:sz w:val="24"/>
          <w:szCs w:val="24"/>
          <w:lang w:val="en-US"/>
        </w:rPr>
        <w:t>present,</w:t>
      </w:r>
      <w:r w:rsidRPr="002B3E1D">
        <w:rPr>
          <w:rFonts w:asciiTheme="majorBidi" w:hAnsiTheme="majorBidi" w:cstheme="majorBidi"/>
          <w:sz w:val="24"/>
          <w:szCs w:val="24"/>
          <w:lang w:val="en-US"/>
        </w:rPr>
        <w:t xml:space="preserve"> then a single factor will fit the data. Once again, this assertion is rejected: χ</w:t>
      </w:r>
      <w:r w:rsidRPr="002B3E1D">
        <w:rPr>
          <w:rFonts w:asciiTheme="majorBidi" w:hAnsiTheme="majorBidi" w:cstheme="majorBidi"/>
          <w:sz w:val="24"/>
          <w:szCs w:val="24"/>
          <w:vertAlign w:val="superscript"/>
          <w:lang w:val="en-US"/>
        </w:rPr>
        <w:t>2</w:t>
      </w:r>
      <w:r w:rsidRPr="002B3E1D">
        <w:rPr>
          <w:rFonts w:asciiTheme="majorBidi" w:hAnsiTheme="majorBidi" w:cstheme="majorBidi"/>
          <w:sz w:val="24"/>
          <w:szCs w:val="24"/>
          <w:lang w:val="en-US"/>
        </w:rPr>
        <w:t xml:space="preserve"> = 2787.79; df = 434; χ</w:t>
      </w:r>
      <w:r w:rsidRPr="002B3E1D">
        <w:rPr>
          <w:rFonts w:asciiTheme="majorBidi" w:hAnsiTheme="majorBidi" w:cstheme="majorBidi"/>
          <w:sz w:val="24"/>
          <w:szCs w:val="24"/>
          <w:vertAlign w:val="superscript"/>
          <w:lang w:val="en-US"/>
        </w:rPr>
        <w:t>2</w:t>
      </w:r>
      <w:r w:rsidRPr="002B3E1D">
        <w:rPr>
          <w:rFonts w:asciiTheme="majorBidi" w:hAnsiTheme="majorBidi" w:cstheme="majorBidi"/>
          <w:sz w:val="24"/>
          <w:szCs w:val="24"/>
          <w:lang w:val="en-US"/>
        </w:rPr>
        <w:t xml:space="preserve">/df = 6.42; RMSEA = .20; CFI = 0.70; IFI = .70; NNFI = .68; GFI = .44; Standardized RMR = 0.15. </w:t>
      </w:r>
      <w:r w:rsidRPr="002B3E1D">
        <w:rPr>
          <w:rFonts w:asciiTheme="majorBidi" w:hAnsiTheme="majorBidi" w:cstheme="majorBidi"/>
          <w:bCs/>
          <w:sz w:val="24"/>
          <w:szCs w:val="24"/>
          <w:lang w:val="en-US"/>
        </w:rPr>
        <w:t>The χ</w:t>
      </w:r>
      <w:r w:rsidRPr="002B3E1D">
        <w:rPr>
          <w:rFonts w:asciiTheme="majorBidi" w:hAnsiTheme="majorBidi" w:cstheme="majorBidi"/>
          <w:bCs/>
          <w:sz w:val="24"/>
          <w:szCs w:val="24"/>
          <w:vertAlign w:val="superscript"/>
          <w:lang w:val="en-US"/>
        </w:rPr>
        <w:t>2</w:t>
      </w:r>
      <w:r w:rsidRPr="002B3E1D">
        <w:rPr>
          <w:rFonts w:asciiTheme="majorBidi" w:hAnsiTheme="majorBidi" w:cstheme="majorBidi"/>
          <w:bCs/>
          <w:sz w:val="24"/>
          <w:szCs w:val="24"/>
          <w:lang w:val="en-US"/>
        </w:rPr>
        <w:t>/df ratio exceeds the recommended ≤ 2.00 cut-off suggested by Bollen (1989), RMSEA exceeds the .08 level of acceptability as suggested by Hu and Bentler (1999), and the fit indices are far below the accepted 0.90 threshold. The model fit statistics along with the principal components analysis results imply a lack of common method bias in the data.</w:t>
      </w:r>
    </w:p>
    <w:p w14:paraId="22E97260" w14:textId="79862D75" w:rsidR="00F05E0B" w:rsidRPr="002B3E1D" w:rsidRDefault="00F05E0B" w:rsidP="00F05E0B">
      <w:pPr>
        <w:spacing w:after="0" w:line="480" w:lineRule="auto"/>
        <w:ind w:firstLine="720"/>
        <w:jc w:val="both"/>
        <w:rPr>
          <w:rFonts w:asciiTheme="majorBidi" w:hAnsiTheme="majorBidi" w:cstheme="majorBidi"/>
          <w:sz w:val="24"/>
          <w:szCs w:val="24"/>
          <w:lang w:val="en-US"/>
        </w:rPr>
      </w:pPr>
      <w:r w:rsidRPr="002B3E1D">
        <w:rPr>
          <w:rFonts w:asciiTheme="majorBidi" w:hAnsiTheme="majorBidi" w:cstheme="majorBidi"/>
          <w:sz w:val="24"/>
          <w:szCs w:val="24"/>
          <w:lang w:val="en-US"/>
        </w:rPr>
        <w:t xml:space="preserve">Subsequent to hypotheses testing, we identified a suitable marker variable and applied a partial correlation procedure (Lindell and Whitney, 2001; Podsakoff et al., 2003). </w:t>
      </w:r>
      <w:r w:rsidRPr="002B3E1D">
        <w:rPr>
          <w:rFonts w:ascii="Times New Roman" w:hAnsi="Times New Roman"/>
          <w:sz w:val="24"/>
          <w:szCs w:val="24"/>
          <w:lang w:val="en-US" w:eastAsia="ar-SA"/>
        </w:rPr>
        <w:t>‘The number of years the firm had been competing in the host market’ was identified as a suitable marker variable that is theoretically unrelated and uncorrelated to any other variable measured (c.f., Hughes et al., 2018; Hodgkinson et al., 2016). Non-significant correlations (</w:t>
      </w:r>
      <w:r w:rsidRPr="002B3E1D">
        <w:rPr>
          <w:rFonts w:ascii="Times New Roman" w:hAnsi="Times New Roman"/>
          <w:i/>
          <w:sz w:val="24"/>
          <w:szCs w:val="24"/>
          <w:lang w:val="en-US" w:eastAsia="ar-SA"/>
        </w:rPr>
        <w:t>p</w:t>
      </w:r>
      <w:r w:rsidRPr="002B3E1D">
        <w:rPr>
          <w:rFonts w:ascii="Times New Roman" w:hAnsi="Times New Roman"/>
          <w:sz w:val="24"/>
          <w:szCs w:val="24"/>
          <w:lang w:val="en-US" w:eastAsia="ar-SA"/>
        </w:rPr>
        <w:t xml:space="preserve"> &gt; .10) were found between this variable and all other study variables </w:t>
      </w:r>
      <w:r w:rsidRPr="002B3E1D">
        <w:rPr>
          <w:rFonts w:asciiTheme="majorBidi" w:hAnsiTheme="majorBidi" w:cstheme="majorBidi"/>
          <w:sz w:val="24"/>
          <w:szCs w:val="24"/>
          <w:lang w:val="en-US"/>
        </w:rPr>
        <w:t xml:space="preserve">(correlation value range: -.08 to .10). </w:t>
      </w:r>
      <w:r w:rsidRPr="002B3E1D">
        <w:rPr>
          <w:rFonts w:asciiTheme="majorBidi" w:hAnsiTheme="majorBidi" w:cstheme="majorBidi"/>
          <w:sz w:val="24"/>
          <w:szCs w:val="24"/>
          <w:lang w:val="en-US"/>
        </w:rPr>
        <w:lastRenderedPageBreak/>
        <w:t>Following this procedure, the correlations of the marker variable are partial</w:t>
      </w:r>
      <w:r w:rsidR="00A215CE" w:rsidRPr="002B3E1D">
        <w:rPr>
          <w:rFonts w:asciiTheme="majorBidi" w:hAnsiTheme="majorBidi" w:cstheme="majorBidi"/>
          <w:sz w:val="24"/>
          <w:szCs w:val="24"/>
          <w:lang w:val="en-US"/>
        </w:rPr>
        <w:t>l</w:t>
      </w:r>
      <w:r w:rsidRPr="002B3E1D">
        <w:rPr>
          <w:rFonts w:asciiTheme="majorBidi" w:hAnsiTheme="majorBidi" w:cstheme="majorBidi"/>
          <w:sz w:val="24"/>
          <w:szCs w:val="24"/>
          <w:lang w:val="en-US"/>
        </w:rPr>
        <w:t xml:space="preserve">ed out of the correlations of the study variables. In using this </w:t>
      </w:r>
      <w:r w:rsidR="0020370E" w:rsidRPr="002B3E1D">
        <w:rPr>
          <w:rFonts w:asciiTheme="majorBidi" w:hAnsiTheme="majorBidi" w:cstheme="majorBidi"/>
          <w:sz w:val="24"/>
          <w:szCs w:val="24"/>
          <w:lang w:val="en-US"/>
        </w:rPr>
        <w:t>adjustment,</w:t>
      </w:r>
      <w:r w:rsidRPr="002B3E1D">
        <w:rPr>
          <w:rFonts w:asciiTheme="majorBidi" w:hAnsiTheme="majorBidi" w:cstheme="majorBidi"/>
          <w:sz w:val="24"/>
          <w:szCs w:val="24"/>
          <w:lang w:val="en-US"/>
        </w:rPr>
        <w:t xml:space="preserve"> it is possible to examine whether the path coefficients and relationships differ in any way between the original results and the adjusted results. If significant changes </w:t>
      </w:r>
      <w:r w:rsidR="0020370E" w:rsidRPr="002B3E1D">
        <w:rPr>
          <w:rFonts w:asciiTheme="majorBidi" w:hAnsiTheme="majorBidi" w:cstheme="majorBidi"/>
          <w:sz w:val="24"/>
          <w:szCs w:val="24"/>
          <w:lang w:val="en-US"/>
        </w:rPr>
        <w:t>occur,</w:t>
      </w:r>
      <w:r w:rsidRPr="002B3E1D">
        <w:rPr>
          <w:rFonts w:asciiTheme="majorBidi" w:hAnsiTheme="majorBidi" w:cstheme="majorBidi"/>
          <w:sz w:val="24"/>
          <w:szCs w:val="24"/>
          <w:lang w:val="en-US"/>
        </w:rPr>
        <w:t xml:space="preserve"> then the presence of common method bias would seem likely. Examining the original results (Table 3) and the results obtained after using the partial correlation procedure (Appendix </w:t>
      </w:r>
      <w:r w:rsidR="00E62AA3" w:rsidRPr="002B3E1D">
        <w:rPr>
          <w:rFonts w:asciiTheme="majorBidi" w:hAnsiTheme="majorBidi" w:cstheme="majorBidi"/>
          <w:sz w:val="24"/>
          <w:szCs w:val="24"/>
          <w:lang w:val="en-US"/>
        </w:rPr>
        <w:t>1</w:t>
      </w:r>
      <w:r w:rsidRPr="002B3E1D">
        <w:rPr>
          <w:rFonts w:asciiTheme="majorBidi" w:hAnsiTheme="majorBidi" w:cstheme="majorBidi"/>
          <w:sz w:val="24"/>
          <w:szCs w:val="24"/>
          <w:lang w:val="en-US"/>
        </w:rPr>
        <w:t xml:space="preserve">) reveal no differences of note: no hypothesized paths lose statistical significance, nor change direction, nor are there any large deviations in regression coefficients or </w:t>
      </w:r>
      <w:r w:rsidRPr="002B3E1D">
        <w:rPr>
          <w:rFonts w:asciiTheme="majorBidi" w:hAnsiTheme="majorBidi" w:cstheme="majorBidi"/>
          <w:i/>
          <w:sz w:val="24"/>
          <w:szCs w:val="24"/>
          <w:lang w:val="en-US"/>
        </w:rPr>
        <w:t>t</w:t>
      </w:r>
      <w:r w:rsidRPr="002B3E1D">
        <w:rPr>
          <w:rFonts w:asciiTheme="majorBidi" w:hAnsiTheme="majorBidi" w:cstheme="majorBidi"/>
          <w:sz w:val="24"/>
          <w:szCs w:val="24"/>
          <w:lang w:val="en-US"/>
        </w:rPr>
        <w:t xml:space="preserve">-values, and all moderation conclusions remain the same. </w:t>
      </w:r>
      <w:r w:rsidR="00E62AA3" w:rsidRPr="002B3E1D">
        <w:rPr>
          <w:rFonts w:ascii="Times New Roman" w:hAnsi="Times New Roman"/>
          <w:sz w:val="24"/>
          <w:szCs w:val="24"/>
          <w:lang w:val="en-US" w:eastAsia="ar-SA"/>
        </w:rPr>
        <w:t>W</w:t>
      </w:r>
      <w:r w:rsidR="00E62AA3" w:rsidRPr="002B3E1D">
        <w:rPr>
          <w:rFonts w:asciiTheme="majorBidi" w:hAnsiTheme="majorBidi" w:cstheme="majorBidi"/>
          <w:sz w:val="24"/>
          <w:szCs w:val="24"/>
          <w:lang w:val="en-US"/>
        </w:rPr>
        <w:t xml:space="preserve">e accept that common method bias cannot be entirely excluded (Conway and Lance, 2010). </w:t>
      </w:r>
      <w:r w:rsidRPr="002B3E1D">
        <w:rPr>
          <w:rFonts w:asciiTheme="majorBidi" w:hAnsiTheme="majorBidi" w:cstheme="majorBidi"/>
          <w:sz w:val="24"/>
          <w:szCs w:val="24"/>
          <w:lang w:val="en-US"/>
        </w:rPr>
        <w:t xml:space="preserve">However, the safeguards </w:t>
      </w:r>
      <w:r w:rsidR="00E62AA3" w:rsidRPr="002B3E1D">
        <w:rPr>
          <w:rFonts w:asciiTheme="majorBidi" w:hAnsiTheme="majorBidi" w:cstheme="majorBidi"/>
          <w:sz w:val="24"/>
          <w:szCs w:val="24"/>
          <w:lang w:val="en-US"/>
        </w:rPr>
        <w:t xml:space="preserve">taken </w:t>
      </w:r>
      <w:r w:rsidRPr="002B3E1D">
        <w:rPr>
          <w:rFonts w:asciiTheme="majorBidi" w:hAnsiTheme="majorBidi" w:cstheme="majorBidi"/>
          <w:sz w:val="24"/>
          <w:szCs w:val="24"/>
          <w:lang w:val="en-US"/>
        </w:rPr>
        <w:t>against common method bias and the results of the post-hoc tests adopted suggest it is highly unlikely that common method bias explains the original results found (</w:t>
      </w:r>
      <w:r w:rsidRPr="002B3E1D">
        <w:rPr>
          <w:rFonts w:ascii="Times New Roman" w:hAnsi="Times New Roman"/>
          <w:sz w:val="24"/>
          <w:szCs w:val="24"/>
          <w:lang w:val="en-US" w:eastAsia="ar-SA"/>
        </w:rPr>
        <w:t xml:space="preserve">Hughes et al., 2018; Hodgkinson et al., 2016). </w:t>
      </w:r>
      <w:r w:rsidRPr="002B3E1D">
        <w:rPr>
          <w:rFonts w:asciiTheme="majorBidi" w:hAnsiTheme="majorBidi" w:cstheme="majorBidi"/>
          <w:sz w:val="24"/>
          <w:szCs w:val="24"/>
          <w:lang w:val="en-US"/>
        </w:rPr>
        <w:t>Accordingly, the original hypotheses testing results are presented henceforth.</w:t>
      </w:r>
    </w:p>
    <w:p w14:paraId="70D58AFD" w14:textId="77777777" w:rsidR="00F05E0B" w:rsidRPr="002B3E1D" w:rsidRDefault="00F05E0B" w:rsidP="00F05E0B">
      <w:pPr>
        <w:spacing w:after="0" w:line="480" w:lineRule="auto"/>
        <w:jc w:val="both"/>
        <w:rPr>
          <w:rFonts w:asciiTheme="majorBidi" w:hAnsiTheme="majorBidi" w:cstheme="majorBidi"/>
          <w:sz w:val="24"/>
          <w:szCs w:val="24"/>
          <w:lang w:val="en-US"/>
        </w:rPr>
      </w:pPr>
    </w:p>
    <w:p w14:paraId="4B41FC01" w14:textId="77777777" w:rsidR="00F05E0B" w:rsidRPr="002B3E1D" w:rsidRDefault="00F05E0B" w:rsidP="00F05E0B">
      <w:pPr>
        <w:spacing w:after="0" w:line="480" w:lineRule="auto"/>
        <w:jc w:val="center"/>
        <w:rPr>
          <w:rFonts w:ascii="Times New Roman" w:eastAsia="Times New Roman" w:hAnsi="Times New Roman" w:cs="Times New Roman"/>
          <w:b/>
          <w:sz w:val="24"/>
          <w:szCs w:val="24"/>
          <w:lang w:val="en-US" w:eastAsia="zh-CN"/>
        </w:rPr>
      </w:pPr>
      <w:r w:rsidRPr="002B3E1D">
        <w:rPr>
          <w:rFonts w:ascii="Times New Roman" w:eastAsia="Times New Roman" w:hAnsi="Times New Roman" w:cs="Times New Roman"/>
          <w:b/>
          <w:sz w:val="24"/>
          <w:szCs w:val="24"/>
          <w:lang w:val="en-US" w:eastAsia="zh-CN"/>
        </w:rPr>
        <w:t>[Insert Tables 1 and 2 here]</w:t>
      </w:r>
    </w:p>
    <w:p w14:paraId="3D6D8203" w14:textId="77777777" w:rsidR="00F05E0B" w:rsidRPr="002B3E1D" w:rsidRDefault="00F05E0B" w:rsidP="00F05E0B">
      <w:pPr>
        <w:spacing w:after="0" w:line="480" w:lineRule="auto"/>
        <w:rPr>
          <w:rFonts w:asciiTheme="majorBidi" w:hAnsiTheme="majorBidi" w:cstheme="majorBidi"/>
          <w:bCs/>
          <w:sz w:val="24"/>
          <w:szCs w:val="24"/>
          <w:lang w:val="en-US"/>
        </w:rPr>
      </w:pPr>
    </w:p>
    <w:p w14:paraId="2D218A27" w14:textId="77777777" w:rsidR="00E62AA3" w:rsidRPr="002B3E1D" w:rsidRDefault="00E62AA3" w:rsidP="00E62AA3">
      <w:pPr>
        <w:spacing w:after="0" w:line="480" w:lineRule="auto"/>
        <w:rPr>
          <w:rFonts w:asciiTheme="majorBidi" w:hAnsiTheme="majorBidi" w:cstheme="majorBidi"/>
          <w:b/>
          <w:bCs/>
          <w:sz w:val="24"/>
          <w:szCs w:val="24"/>
          <w:lang w:val="en-US"/>
        </w:rPr>
      </w:pPr>
      <w:r w:rsidRPr="002B3E1D">
        <w:rPr>
          <w:rFonts w:asciiTheme="majorBidi" w:hAnsiTheme="majorBidi" w:cstheme="majorBidi"/>
          <w:b/>
          <w:bCs/>
          <w:sz w:val="24"/>
          <w:szCs w:val="24"/>
          <w:lang w:val="en-US"/>
        </w:rPr>
        <w:t>RESULTS</w:t>
      </w:r>
    </w:p>
    <w:p w14:paraId="7ABDC492" w14:textId="77777777" w:rsidR="00E62AA3" w:rsidRPr="002B3E1D" w:rsidRDefault="00E62AA3" w:rsidP="00FC5B58">
      <w:pPr>
        <w:spacing w:after="0" w:line="480" w:lineRule="auto"/>
        <w:jc w:val="both"/>
        <w:rPr>
          <w:rFonts w:asciiTheme="majorBidi" w:hAnsiTheme="majorBidi" w:cstheme="majorBidi"/>
          <w:bCs/>
          <w:sz w:val="24"/>
          <w:szCs w:val="24"/>
          <w:lang w:val="en-US"/>
        </w:rPr>
      </w:pPr>
      <w:r w:rsidRPr="002B3E1D">
        <w:rPr>
          <w:rFonts w:asciiTheme="majorBidi" w:hAnsiTheme="majorBidi" w:cstheme="majorBidi"/>
          <w:bCs/>
          <w:sz w:val="24"/>
          <w:szCs w:val="24"/>
          <w:lang w:val="en-US"/>
        </w:rPr>
        <w:t>Hypotheses were tested through ordinary least squares regression in IBM SPSS 25. Careful consideration was given to the approach to calculate ambidexterity. For instance, there is the classical difference score (balance) approach (Cao et al., 2009) whereby ambidexterity is calculated through the</w:t>
      </w:r>
      <w:r w:rsidRPr="002B3E1D">
        <w:rPr>
          <w:lang w:val="en-US"/>
        </w:rPr>
        <w:t xml:space="preserve"> </w:t>
      </w:r>
      <w:r w:rsidRPr="002B3E1D">
        <w:rPr>
          <w:rFonts w:asciiTheme="majorBidi" w:hAnsiTheme="majorBidi" w:cstheme="majorBidi"/>
          <w:bCs/>
          <w:sz w:val="24"/>
          <w:szCs w:val="24"/>
          <w:lang w:val="en-US"/>
        </w:rPr>
        <w:t>absolute difference score of ‘explore – exploit’, and then there is the combined score [multiplicative] method of ‘explore * exploit’ (</w:t>
      </w:r>
      <w:r w:rsidRPr="002B3E1D">
        <w:rPr>
          <w:rFonts w:ascii="Times New Roman" w:eastAsia="Times New Roman" w:hAnsi="Times New Roman" w:cs="Times New Roman"/>
          <w:sz w:val="24"/>
          <w:szCs w:val="24"/>
          <w:lang w:val="en-US"/>
        </w:rPr>
        <w:t>Lubatkin et al., 2006</w:t>
      </w:r>
      <w:r w:rsidRPr="002B3E1D">
        <w:rPr>
          <w:rFonts w:asciiTheme="majorBidi" w:hAnsiTheme="majorBidi" w:cstheme="majorBidi"/>
          <w:bCs/>
          <w:sz w:val="24"/>
          <w:szCs w:val="24"/>
          <w:lang w:val="en-US"/>
        </w:rPr>
        <w:t xml:space="preserve">). These approaches are not without criticism but generally are well adopted in the literature (see Hughes, </w:t>
      </w:r>
      <w:r w:rsidRPr="002B3E1D">
        <w:rPr>
          <w:rFonts w:asciiTheme="majorBidi" w:hAnsiTheme="majorBidi" w:cstheme="majorBidi"/>
          <w:bCs/>
          <w:sz w:val="24"/>
          <w:szCs w:val="24"/>
          <w:lang w:val="en-US"/>
        </w:rPr>
        <w:lastRenderedPageBreak/>
        <w:t>2018, for a thorough discussion of this issue). Following guidance by Edwards (1994) and Lubatkin et al. (2006), we adopt the latter, multiplicative, approach to calculating ambidexterity. All results are presented in Table 3. For clarity and following established procedures, interaction terms are created from the mean-centered products of each interacting variable so as to reduce potential multicollinearity problems.</w:t>
      </w:r>
    </w:p>
    <w:p w14:paraId="5D2AFD0A" w14:textId="77777777" w:rsidR="00E62AA3" w:rsidRPr="002B3E1D" w:rsidRDefault="00E62AA3" w:rsidP="00E62AA3">
      <w:pPr>
        <w:spacing w:after="0" w:line="480" w:lineRule="auto"/>
        <w:rPr>
          <w:rFonts w:asciiTheme="majorBidi" w:hAnsiTheme="majorBidi" w:cstheme="majorBidi"/>
          <w:bCs/>
          <w:sz w:val="24"/>
          <w:szCs w:val="24"/>
          <w:lang w:val="en-US"/>
        </w:rPr>
      </w:pPr>
    </w:p>
    <w:p w14:paraId="553A46F7" w14:textId="77777777" w:rsidR="00E62AA3" w:rsidRPr="002B3E1D" w:rsidRDefault="00E62AA3" w:rsidP="00E62AA3">
      <w:pPr>
        <w:spacing w:after="0" w:line="480" w:lineRule="auto"/>
        <w:jc w:val="center"/>
        <w:rPr>
          <w:rFonts w:asciiTheme="majorBidi" w:hAnsiTheme="majorBidi" w:cstheme="majorBidi"/>
          <w:b/>
          <w:sz w:val="24"/>
          <w:szCs w:val="24"/>
          <w:lang w:val="en-US"/>
        </w:rPr>
      </w:pPr>
      <w:r w:rsidRPr="002B3E1D">
        <w:rPr>
          <w:rFonts w:asciiTheme="majorBidi" w:hAnsiTheme="majorBidi" w:cstheme="majorBidi"/>
          <w:b/>
          <w:sz w:val="24"/>
          <w:szCs w:val="24"/>
          <w:lang w:val="en-US"/>
        </w:rPr>
        <w:t>[Insert Table 3 here]</w:t>
      </w:r>
    </w:p>
    <w:p w14:paraId="37C165DF" w14:textId="77777777" w:rsidR="00E62AA3" w:rsidRPr="002B3E1D" w:rsidRDefault="00E62AA3" w:rsidP="00E62AA3">
      <w:pPr>
        <w:spacing w:after="0" w:line="480" w:lineRule="auto"/>
        <w:rPr>
          <w:rFonts w:asciiTheme="majorBidi" w:hAnsiTheme="majorBidi" w:cstheme="majorBidi"/>
          <w:bCs/>
          <w:sz w:val="24"/>
          <w:szCs w:val="24"/>
          <w:lang w:val="en-US"/>
        </w:rPr>
      </w:pPr>
    </w:p>
    <w:p w14:paraId="116DE452" w14:textId="1583640D" w:rsidR="00E62AA3" w:rsidRPr="002B3E1D" w:rsidRDefault="00E62AA3" w:rsidP="00E62AA3">
      <w:pPr>
        <w:spacing w:after="0" w:line="480" w:lineRule="auto"/>
        <w:ind w:firstLine="720"/>
        <w:jc w:val="both"/>
        <w:rPr>
          <w:rFonts w:asciiTheme="majorBidi" w:hAnsiTheme="majorBidi" w:cstheme="majorBidi"/>
          <w:bCs/>
          <w:sz w:val="24"/>
          <w:szCs w:val="24"/>
          <w:lang w:val="en-US"/>
        </w:rPr>
      </w:pPr>
      <w:r w:rsidRPr="002B3E1D">
        <w:rPr>
          <w:rFonts w:asciiTheme="majorBidi" w:hAnsiTheme="majorBidi" w:cstheme="majorBidi"/>
          <w:bCs/>
          <w:sz w:val="24"/>
          <w:szCs w:val="24"/>
          <w:lang w:val="en-US"/>
        </w:rPr>
        <w:t xml:space="preserve">Hypothesis 1 proposed that knowledge sharing would positively impact upon </w:t>
      </w:r>
      <w:r w:rsidR="00AF1718">
        <w:rPr>
          <w:rFonts w:asciiTheme="majorBidi" w:hAnsiTheme="majorBidi" w:cstheme="majorBidi"/>
          <w:bCs/>
          <w:sz w:val="24"/>
          <w:szCs w:val="24"/>
          <w:lang w:val="en-US"/>
        </w:rPr>
        <w:t>OA</w:t>
      </w:r>
      <w:r w:rsidRPr="002B3E1D">
        <w:rPr>
          <w:rFonts w:asciiTheme="majorBidi" w:hAnsiTheme="majorBidi" w:cstheme="majorBidi"/>
          <w:bCs/>
          <w:sz w:val="24"/>
          <w:szCs w:val="24"/>
          <w:lang w:val="en-US"/>
        </w:rPr>
        <w:t>. This is supported (</w:t>
      </w:r>
      <w:r w:rsidRPr="002B3E1D">
        <w:rPr>
          <w:rFonts w:asciiTheme="majorBidi" w:hAnsiTheme="majorBidi" w:cstheme="majorBidi"/>
          <w:bCs/>
          <w:i/>
          <w:sz w:val="24"/>
          <w:szCs w:val="24"/>
          <w:lang w:val="en-US"/>
        </w:rPr>
        <w:t>t</w:t>
      </w:r>
      <w:r w:rsidRPr="002B3E1D">
        <w:rPr>
          <w:rFonts w:asciiTheme="majorBidi" w:hAnsiTheme="majorBidi" w:cstheme="majorBidi"/>
          <w:bCs/>
          <w:sz w:val="24"/>
          <w:szCs w:val="24"/>
          <w:lang w:val="en-US"/>
        </w:rPr>
        <w:t xml:space="preserve"> = 1.75, </w:t>
      </w:r>
      <w:r w:rsidRPr="002B3E1D">
        <w:rPr>
          <w:rFonts w:asciiTheme="majorBidi" w:hAnsiTheme="majorBidi" w:cstheme="majorBidi"/>
          <w:bCs/>
          <w:i/>
          <w:sz w:val="24"/>
          <w:szCs w:val="24"/>
          <w:lang w:val="en-US"/>
        </w:rPr>
        <w:t>p</w:t>
      </w:r>
      <w:r w:rsidRPr="002B3E1D">
        <w:rPr>
          <w:rFonts w:asciiTheme="majorBidi" w:hAnsiTheme="majorBidi" w:cstheme="majorBidi"/>
          <w:bCs/>
          <w:sz w:val="24"/>
          <w:szCs w:val="24"/>
          <w:lang w:val="en-US"/>
        </w:rPr>
        <w:t xml:space="preserve"> ≤ .05). Hypothesis 2 supposes a positive effect from using the acquired target’s capabilities on </w:t>
      </w:r>
      <w:r w:rsidR="00AF1718">
        <w:rPr>
          <w:rFonts w:asciiTheme="majorBidi" w:hAnsiTheme="majorBidi" w:cstheme="majorBidi"/>
          <w:bCs/>
          <w:sz w:val="24"/>
          <w:szCs w:val="24"/>
          <w:lang w:val="en-US"/>
        </w:rPr>
        <w:t>OA</w:t>
      </w:r>
      <w:r w:rsidRPr="002B3E1D">
        <w:rPr>
          <w:rFonts w:asciiTheme="majorBidi" w:hAnsiTheme="majorBidi" w:cstheme="majorBidi"/>
          <w:bCs/>
          <w:sz w:val="24"/>
          <w:szCs w:val="24"/>
          <w:lang w:val="en-US"/>
        </w:rPr>
        <w:t xml:space="preserve"> but this is refuted in the results (</w:t>
      </w:r>
      <w:r w:rsidRPr="002B3E1D">
        <w:rPr>
          <w:rFonts w:asciiTheme="majorBidi" w:hAnsiTheme="majorBidi" w:cstheme="majorBidi"/>
          <w:bCs/>
          <w:i/>
          <w:sz w:val="24"/>
          <w:szCs w:val="24"/>
          <w:lang w:val="en-US"/>
        </w:rPr>
        <w:t>t</w:t>
      </w:r>
      <w:r w:rsidRPr="002B3E1D">
        <w:rPr>
          <w:rFonts w:asciiTheme="majorBidi" w:hAnsiTheme="majorBidi" w:cstheme="majorBidi"/>
          <w:bCs/>
          <w:sz w:val="24"/>
          <w:szCs w:val="24"/>
          <w:lang w:val="en-US"/>
        </w:rPr>
        <w:t xml:space="preserve"> = -1.76, </w:t>
      </w:r>
      <w:r w:rsidRPr="002B3E1D">
        <w:rPr>
          <w:rFonts w:asciiTheme="majorBidi" w:hAnsiTheme="majorBidi" w:cstheme="majorBidi"/>
          <w:bCs/>
          <w:i/>
          <w:sz w:val="24"/>
          <w:szCs w:val="24"/>
          <w:lang w:val="en-US"/>
        </w:rPr>
        <w:t>p</w:t>
      </w:r>
      <w:r w:rsidRPr="002B3E1D">
        <w:rPr>
          <w:rFonts w:asciiTheme="majorBidi" w:hAnsiTheme="majorBidi" w:cstheme="majorBidi"/>
          <w:bCs/>
          <w:sz w:val="24"/>
          <w:szCs w:val="24"/>
          <w:lang w:val="en-US"/>
        </w:rPr>
        <w:t xml:space="preserve"> ≤ .05). Hypothesis 3 relates to the direct positive effects on </w:t>
      </w:r>
      <w:r w:rsidR="00AF1718">
        <w:rPr>
          <w:rFonts w:asciiTheme="majorBidi" w:hAnsiTheme="majorBidi" w:cstheme="majorBidi"/>
          <w:bCs/>
          <w:sz w:val="24"/>
          <w:szCs w:val="24"/>
          <w:lang w:val="en-US"/>
        </w:rPr>
        <w:t>OA</w:t>
      </w:r>
      <w:r w:rsidRPr="002B3E1D">
        <w:rPr>
          <w:rFonts w:asciiTheme="majorBidi" w:hAnsiTheme="majorBidi" w:cstheme="majorBidi"/>
          <w:bCs/>
          <w:sz w:val="24"/>
          <w:szCs w:val="24"/>
          <w:lang w:val="en-US"/>
        </w:rPr>
        <w:t xml:space="preserve"> of sharing capabilities with the target company after </w:t>
      </w:r>
      <w:r w:rsidR="00562D43" w:rsidRPr="002B3E1D">
        <w:rPr>
          <w:rFonts w:asciiTheme="majorBidi" w:hAnsiTheme="majorBidi" w:cstheme="majorBidi"/>
          <w:bCs/>
          <w:sz w:val="24"/>
          <w:szCs w:val="24"/>
          <w:lang w:val="en-US"/>
        </w:rPr>
        <w:t>M&amp;A</w:t>
      </w:r>
      <w:r w:rsidRPr="002B3E1D">
        <w:rPr>
          <w:rFonts w:asciiTheme="majorBidi" w:hAnsiTheme="majorBidi" w:cstheme="majorBidi"/>
          <w:bCs/>
          <w:sz w:val="24"/>
          <w:szCs w:val="24"/>
          <w:lang w:val="en-US"/>
        </w:rPr>
        <w:t>. This is supported (</w:t>
      </w:r>
      <w:r w:rsidRPr="002B3E1D">
        <w:rPr>
          <w:rFonts w:asciiTheme="majorBidi" w:hAnsiTheme="majorBidi" w:cstheme="majorBidi"/>
          <w:bCs/>
          <w:i/>
          <w:sz w:val="24"/>
          <w:szCs w:val="24"/>
          <w:lang w:val="en-US"/>
        </w:rPr>
        <w:t>t</w:t>
      </w:r>
      <w:r w:rsidRPr="002B3E1D">
        <w:rPr>
          <w:rFonts w:asciiTheme="majorBidi" w:hAnsiTheme="majorBidi" w:cstheme="majorBidi"/>
          <w:bCs/>
          <w:sz w:val="24"/>
          <w:szCs w:val="24"/>
          <w:lang w:val="en-US"/>
        </w:rPr>
        <w:t xml:space="preserve"> = 3.75, </w:t>
      </w:r>
      <w:r w:rsidRPr="002B3E1D">
        <w:rPr>
          <w:rFonts w:asciiTheme="majorBidi" w:hAnsiTheme="majorBidi" w:cstheme="majorBidi"/>
          <w:bCs/>
          <w:i/>
          <w:sz w:val="24"/>
          <w:szCs w:val="24"/>
          <w:lang w:val="en-US"/>
        </w:rPr>
        <w:t>p</w:t>
      </w:r>
      <w:r w:rsidRPr="002B3E1D">
        <w:rPr>
          <w:rFonts w:asciiTheme="majorBidi" w:hAnsiTheme="majorBidi" w:cstheme="majorBidi"/>
          <w:bCs/>
          <w:sz w:val="24"/>
          <w:szCs w:val="24"/>
          <w:lang w:val="en-US"/>
        </w:rPr>
        <w:t xml:space="preserve"> ≤ .01).</w:t>
      </w:r>
    </w:p>
    <w:p w14:paraId="3FDCDC21" w14:textId="63CCA729" w:rsidR="00E62AA3" w:rsidRPr="002B3E1D" w:rsidRDefault="00E62AA3" w:rsidP="00E62AA3">
      <w:pPr>
        <w:spacing w:after="0" w:line="480" w:lineRule="auto"/>
        <w:ind w:firstLine="720"/>
        <w:jc w:val="both"/>
        <w:rPr>
          <w:rFonts w:asciiTheme="majorBidi" w:hAnsiTheme="majorBidi" w:cstheme="majorBidi"/>
          <w:bCs/>
          <w:sz w:val="24"/>
          <w:szCs w:val="24"/>
          <w:lang w:val="en-US"/>
        </w:rPr>
      </w:pPr>
      <w:r w:rsidRPr="002B3E1D">
        <w:rPr>
          <w:rFonts w:asciiTheme="majorBidi" w:hAnsiTheme="majorBidi" w:cstheme="majorBidi"/>
          <w:bCs/>
          <w:sz w:val="24"/>
          <w:szCs w:val="24"/>
          <w:lang w:val="en-US"/>
        </w:rPr>
        <w:t xml:space="preserve">We proposed that corporate entrepreneurship would have beneficial moderating effects on the previously hypothesized paths. Corporate entrepreneurship does not moderate the effect of knowledge sharing on </w:t>
      </w:r>
      <w:r w:rsidR="00AF1718">
        <w:rPr>
          <w:rFonts w:asciiTheme="majorBidi" w:hAnsiTheme="majorBidi" w:cstheme="majorBidi"/>
          <w:bCs/>
          <w:sz w:val="24"/>
          <w:szCs w:val="24"/>
          <w:lang w:val="en-US"/>
        </w:rPr>
        <w:t>OA</w:t>
      </w:r>
      <w:r w:rsidRPr="002B3E1D">
        <w:rPr>
          <w:rFonts w:asciiTheme="majorBidi" w:hAnsiTheme="majorBidi" w:cstheme="majorBidi"/>
          <w:bCs/>
          <w:sz w:val="24"/>
          <w:szCs w:val="24"/>
          <w:lang w:val="en-US"/>
        </w:rPr>
        <w:t xml:space="preserve"> (H4) (</w:t>
      </w:r>
      <w:r w:rsidRPr="002B3E1D">
        <w:rPr>
          <w:rFonts w:asciiTheme="majorBidi" w:hAnsiTheme="majorBidi" w:cstheme="majorBidi"/>
          <w:bCs/>
          <w:i/>
          <w:sz w:val="24"/>
          <w:szCs w:val="24"/>
          <w:lang w:val="en-US"/>
        </w:rPr>
        <w:t>t</w:t>
      </w:r>
      <w:r w:rsidRPr="002B3E1D">
        <w:rPr>
          <w:rFonts w:asciiTheme="majorBidi" w:hAnsiTheme="majorBidi" w:cstheme="majorBidi"/>
          <w:bCs/>
          <w:sz w:val="24"/>
          <w:szCs w:val="24"/>
          <w:lang w:val="en-US"/>
        </w:rPr>
        <w:t xml:space="preserve"> = .35, </w:t>
      </w:r>
      <w:r w:rsidRPr="002B3E1D">
        <w:rPr>
          <w:rFonts w:asciiTheme="majorBidi" w:hAnsiTheme="majorBidi" w:cstheme="majorBidi"/>
          <w:bCs/>
          <w:i/>
          <w:sz w:val="24"/>
          <w:szCs w:val="24"/>
          <w:lang w:val="en-US"/>
        </w:rPr>
        <w:t>n.s</w:t>
      </w:r>
      <w:r w:rsidRPr="002B3E1D">
        <w:rPr>
          <w:rFonts w:asciiTheme="majorBidi" w:hAnsiTheme="majorBidi" w:cstheme="majorBidi"/>
          <w:bCs/>
          <w:sz w:val="24"/>
          <w:szCs w:val="24"/>
          <w:lang w:val="en-US"/>
        </w:rPr>
        <w:t xml:space="preserve">). Simply put, knowledge sharing is beneficial for ambidexterity regardless of the level of entrepreneurship. Reflecting on H5, however, reveals that use of the target’s capabilities has a negative effect on </w:t>
      </w:r>
      <w:r w:rsidR="00AF1718">
        <w:rPr>
          <w:rFonts w:asciiTheme="majorBidi" w:hAnsiTheme="majorBidi" w:cstheme="majorBidi"/>
          <w:bCs/>
          <w:sz w:val="24"/>
          <w:szCs w:val="24"/>
          <w:lang w:val="en-US"/>
        </w:rPr>
        <w:t>OA</w:t>
      </w:r>
      <w:r w:rsidRPr="002B3E1D">
        <w:rPr>
          <w:rFonts w:asciiTheme="majorBidi" w:hAnsiTheme="majorBidi" w:cstheme="majorBidi"/>
          <w:bCs/>
          <w:sz w:val="24"/>
          <w:szCs w:val="24"/>
          <w:lang w:val="en-US"/>
        </w:rPr>
        <w:t xml:space="preserve"> under conditions of high corporate entrepreneurship (</w:t>
      </w:r>
      <w:r w:rsidRPr="002B3E1D">
        <w:rPr>
          <w:rFonts w:asciiTheme="majorBidi" w:hAnsiTheme="majorBidi" w:cstheme="majorBidi"/>
          <w:bCs/>
          <w:i/>
          <w:sz w:val="24"/>
          <w:szCs w:val="24"/>
          <w:lang w:val="en-US"/>
        </w:rPr>
        <w:t>t</w:t>
      </w:r>
      <w:r w:rsidRPr="002B3E1D">
        <w:rPr>
          <w:rFonts w:asciiTheme="majorBidi" w:hAnsiTheme="majorBidi" w:cstheme="majorBidi"/>
          <w:bCs/>
          <w:sz w:val="24"/>
          <w:szCs w:val="24"/>
          <w:lang w:val="en-US"/>
        </w:rPr>
        <w:t xml:space="preserve"> = -1.88, </w:t>
      </w:r>
      <w:r w:rsidRPr="002B3E1D">
        <w:rPr>
          <w:rFonts w:asciiTheme="majorBidi" w:hAnsiTheme="majorBidi" w:cstheme="majorBidi"/>
          <w:bCs/>
          <w:i/>
          <w:sz w:val="24"/>
          <w:szCs w:val="24"/>
          <w:lang w:val="en-US"/>
        </w:rPr>
        <w:t>p</w:t>
      </w:r>
      <w:r w:rsidRPr="002B3E1D">
        <w:rPr>
          <w:rFonts w:asciiTheme="majorBidi" w:hAnsiTheme="majorBidi" w:cstheme="majorBidi"/>
          <w:bCs/>
          <w:sz w:val="24"/>
          <w:szCs w:val="24"/>
          <w:lang w:val="en-US"/>
        </w:rPr>
        <w:t xml:space="preserve"> ≤ .05). Thus, high corporate entrepreneurship reinforces the negative effects found in H2. Finally, the positive moderating effect of corporate entrepreneurship on the relationship between sharing capabilities and </w:t>
      </w:r>
      <w:r w:rsidR="00AF1718">
        <w:rPr>
          <w:rFonts w:asciiTheme="majorBidi" w:hAnsiTheme="majorBidi" w:cstheme="majorBidi"/>
          <w:bCs/>
          <w:sz w:val="24"/>
          <w:szCs w:val="24"/>
          <w:lang w:val="en-US"/>
        </w:rPr>
        <w:t>OA</w:t>
      </w:r>
      <w:r w:rsidRPr="002B3E1D">
        <w:rPr>
          <w:rFonts w:asciiTheme="majorBidi" w:hAnsiTheme="majorBidi" w:cstheme="majorBidi"/>
          <w:bCs/>
          <w:sz w:val="24"/>
          <w:szCs w:val="24"/>
          <w:lang w:val="en-US"/>
        </w:rPr>
        <w:t xml:space="preserve"> (H6) (</w:t>
      </w:r>
      <w:r w:rsidRPr="002B3E1D">
        <w:rPr>
          <w:rFonts w:asciiTheme="majorBidi" w:hAnsiTheme="majorBidi" w:cstheme="majorBidi"/>
          <w:bCs/>
          <w:i/>
          <w:sz w:val="24"/>
          <w:szCs w:val="24"/>
          <w:lang w:val="en-US"/>
        </w:rPr>
        <w:t>t</w:t>
      </w:r>
      <w:r w:rsidRPr="002B3E1D">
        <w:rPr>
          <w:rFonts w:asciiTheme="majorBidi" w:hAnsiTheme="majorBidi" w:cstheme="majorBidi"/>
          <w:bCs/>
          <w:sz w:val="24"/>
          <w:szCs w:val="24"/>
          <w:lang w:val="en-US"/>
        </w:rPr>
        <w:t xml:space="preserve"> = 1.86, </w:t>
      </w:r>
      <w:r w:rsidRPr="002B3E1D">
        <w:rPr>
          <w:rFonts w:asciiTheme="majorBidi" w:hAnsiTheme="majorBidi" w:cstheme="majorBidi"/>
          <w:bCs/>
          <w:i/>
          <w:sz w:val="24"/>
          <w:szCs w:val="24"/>
          <w:lang w:val="en-US"/>
        </w:rPr>
        <w:t>p</w:t>
      </w:r>
      <w:r w:rsidRPr="002B3E1D">
        <w:rPr>
          <w:rFonts w:asciiTheme="majorBidi" w:hAnsiTheme="majorBidi" w:cstheme="majorBidi"/>
          <w:bCs/>
          <w:sz w:val="24"/>
          <w:szCs w:val="24"/>
          <w:lang w:val="en-US"/>
        </w:rPr>
        <w:t xml:space="preserve"> ≤ .05) is confirmed.</w:t>
      </w:r>
    </w:p>
    <w:p w14:paraId="16F5BCA0" w14:textId="522A1B86" w:rsidR="00E62AA3" w:rsidRPr="002B3E1D" w:rsidRDefault="00E62AA3" w:rsidP="00E62AA3">
      <w:pPr>
        <w:spacing w:after="0" w:line="480" w:lineRule="auto"/>
        <w:ind w:firstLine="720"/>
        <w:jc w:val="both"/>
        <w:rPr>
          <w:rFonts w:asciiTheme="majorBidi" w:hAnsiTheme="majorBidi" w:cstheme="majorBidi"/>
          <w:bCs/>
          <w:sz w:val="24"/>
          <w:szCs w:val="24"/>
          <w:lang w:val="en-US"/>
        </w:rPr>
      </w:pPr>
      <w:r w:rsidRPr="002B3E1D">
        <w:rPr>
          <w:rFonts w:asciiTheme="majorBidi" w:hAnsiTheme="majorBidi" w:cstheme="majorBidi"/>
          <w:bCs/>
          <w:sz w:val="24"/>
          <w:szCs w:val="24"/>
          <w:lang w:val="en-US"/>
        </w:rPr>
        <w:lastRenderedPageBreak/>
        <w:t xml:space="preserve">Integration was assumed in hypotheses H7, H8, and H9 to have a positive moderating influence on </w:t>
      </w:r>
      <w:r w:rsidR="00AF1718">
        <w:rPr>
          <w:rFonts w:asciiTheme="majorBidi" w:hAnsiTheme="majorBidi" w:cstheme="majorBidi"/>
          <w:bCs/>
          <w:sz w:val="24"/>
          <w:szCs w:val="24"/>
          <w:lang w:val="en-US"/>
        </w:rPr>
        <w:t>OA</w:t>
      </w:r>
      <w:r w:rsidRPr="002B3E1D">
        <w:rPr>
          <w:rFonts w:asciiTheme="majorBidi" w:hAnsiTheme="majorBidi" w:cstheme="majorBidi"/>
          <w:bCs/>
          <w:sz w:val="24"/>
          <w:szCs w:val="24"/>
          <w:lang w:val="en-US"/>
        </w:rPr>
        <w:t xml:space="preserve">. This is borne out in the results for H7 whereby a positive moderating effect is found for integration on the relationship between knowledge sharing and </w:t>
      </w:r>
      <w:r w:rsidR="00AF1718">
        <w:rPr>
          <w:rFonts w:asciiTheme="majorBidi" w:hAnsiTheme="majorBidi" w:cstheme="majorBidi"/>
          <w:bCs/>
          <w:sz w:val="24"/>
          <w:szCs w:val="24"/>
          <w:lang w:val="en-US"/>
        </w:rPr>
        <w:t>OA</w:t>
      </w:r>
      <w:r w:rsidRPr="002B3E1D">
        <w:rPr>
          <w:rFonts w:asciiTheme="majorBidi" w:hAnsiTheme="majorBidi" w:cstheme="majorBidi"/>
          <w:bCs/>
          <w:sz w:val="24"/>
          <w:szCs w:val="24"/>
          <w:lang w:val="en-US"/>
        </w:rPr>
        <w:t xml:space="preserve"> (</w:t>
      </w:r>
      <w:r w:rsidRPr="002B3E1D">
        <w:rPr>
          <w:rFonts w:asciiTheme="majorBidi" w:hAnsiTheme="majorBidi" w:cstheme="majorBidi"/>
          <w:bCs/>
          <w:i/>
          <w:sz w:val="24"/>
          <w:szCs w:val="24"/>
          <w:lang w:val="en-US"/>
        </w:rPr>
        <w:t>t</w:t>
      </w:r>
      <w:r w:rsidRPr="002B3E1D">
        <w:rPr>
          <w:rFonts w:asciiTheme="majorBidi" w:hAnsiTheme="majorBidi" w:cstheme="majorBidi"/>
          <w:bCs/>
          <w:sz w:val="24"/>
          <w:szCs w:val="24"/>
          <w:lang w:val="en-US"/>
        </w:rPr>
        <w:t xml:space="preserve"> = 3.33, </w:t>
      </w:r>
      <w:r w:rsidRPr="002B3E1D">
        <w:rPr>
          <w:rFonts w:asciiTheme="majorBidi" w:hAnsiTheme="majorBidi" w:cstheme="majorBidi"/>
          <w:bCs/>
          <w:i/>
          <w:sz w:val="24"/>
          <w:szCs w:val="24"/>
          <w:lang w:val="en-US"/>
        </w:rPr>
        <w:t>p</w:t>
      </w:r>
      <w:r w:rsidRPr="002B3E1D">
        <w:rPr>
          <w:rFonts w:asciiTheme="majorBidi" w:hAnsiTheme="majorBidi" w:cstheme="majorBidi"/>
          <w:bCs/>
          <w:sz w:val="24"/>
          <w:szCs w:val="24"/>
          <w:lang w:val="en-US"/>
        </w:rPr>
        <w:t xml:space="preserve"> ≤ .01). Hypotheses H8 and H9 are not supported and the degree of integration has no significant bearing here. All significant moderating effects are shown graphically as simple slopes in Figures 2 through 4.</w:t>
      </w:r>
    </w:p>
    <w:p w14:paraId="6C520969" w14:textId="77777777" w:rsidR="00E62AA3" w:rsidRPr="002B3E1D" w:rsidRDefault="00E62AA3" w:rsidP="00E62AA3">
      <w:pPr>
        <w:spacing w:after="0" w:line="480" w:lineRule="auto"/>
        <w:ind w:firstLine="720"/>
        <w:jc w:val="both"/>
        <w:rPr>
          <w:rFonts w:asciiTheme="majorBidi" w:hAnsiTheme="majorBidi" w:cstheme="majorBidi"/>
          <w:bCs/>
          <w:sz w:val="24"/>
          <w:szCs w:val="24"/>
          <w:lang w:val="en-US"/>
        </w:rPr>
      </w:pPr>
    </w:p>
    <w:p w14:paraId="223FDF55" w14:textId="77777777" w:rsidR="00E62AA3" w:rsidRDefault="00E62AA3" w:rsidP="00E62AA3">
      <w:pPr>
        <w:spacing w:after="0" w:line="480" w:lineRule="auto"/>
        <w:jc w:val="center"/>
        <w:rPr>
          <w:rFonts w:asciiTheme="majorBidi" w:hAnsiTheme="majorBidi" w:cstheme="majorBidi"/>
          <w:b/>
          <w:sz w:val="24"/>
          <w:szCs w:val="24"/>
          <w:lang w:val="en-US"/>
        </w:rPr>
      </w:pPr>
      <w:r w:rsidRPr="002B3E1D">
        <w:rPr>
          <w:rFonts w:asciiTheme="majorBidi" w:hAnsiTheme="majorBidi" w:cstheme="majorBidi"/>
          <w:b/>
          <w:sz w:val="24"/>
          <w:szCs w:val="24"/>
          <w:lang w:val="en-US"/>
        </w:rPr>
        <w:t>[Insert Figures 2, 3 and 4 here]</w:t>
      </w:r>
    </w:p>
    <w:p w14:paraId="07677FCC" w14:textId="77777777" w:rsidR="005D3363" w:rsidRPr="002B3E1D" w:rsidRDefault="005D3363" w:rsidP="00E62AA3">
      <w:pPr>
        <w:spacing w:after="0" w:line="480" w:lineRule="auto"/>
        <w:jc w:val="center"/>
        <w:rPr>
          <w:rFonts w:asciiTheme="majorBidi" w:hAnsiTheme="majorBidi" w:cstheme="majorBidi"/>
          <w:b/>
          <w:sz w:val="24"/>
          <w:szCs w:val="24"/>
          <w:lang w:val="en-US"/>
        </w:rPr>
      </w:pPr>
    </w:p>
    <w:p w14:paraId="289E6644" w14:textId="77777777" w:rsidR="003E0074" w:rsidRPr="002B3E1D" w:rsidRDefault="003E0074" w:rsidP="003E0074">
      <w:pPr>
        <w:autoSpaceDE w:val="0"/>
        <w:autoSpaceDN w:val="0"/>
        <w:adjustRightInd w:val="0"/>
        <w:spacing w:after="0" w:line="480" w:lineRule="auto"/>
        <w:rPr>
          <w:rFonts w:ascii="Times New Roman" w:hAnsi="Times New Roman" w:cs="Times New Roman"/>
          <w:b/>
          <w:sz w:val="24"/>
          <w:szCs w:val="24"/>
          <w:lang w:val="en-US"/>
        </w:rPr>
      </w:pPr>
      <w:r w:rsidRPr="002B3E1D">
        <w:rPr>
          <w:rFonts w:ascii="Times New Roman" w:hAnsi="Times New Roman" w:cs="Times New Roman"/>
          <w:b/>
          <w:sz w:val="24"/>
          <w:szCs w:val="24"/>
          <w:lang w:val="en-US"/>
        </w:rPr>
        <w:t>DISCUSSION</w:t>
      </w:r>
    </w:p>
    <w:p w14:paraId="5FC5F82C" w14:textId="4D517680" w:rsidR="003E0074" w:rsidRDefault="003E0074" w:rsidP="003E0074">
      <w:pPr>
        <w:autoSpaceDE w:val="0"/>
        <w:autoSpaceDN w:val="0"/>
        <w:adjustRightInd w:val="0"/>
        <w:spacing w:after="0" w:line="480" w:lineRule="auto"/>
        <w:jc w:val="both"/>
        <w:rPr>
          <w:rFonts w:ascii="Times New Roman" w:hAnsi="Times New Roman" w:cs="Times New Roman"/>
          <w:sz w:val="24"/>
          <w:szCs w:val="24"/>
          <w:lang w:val="en-US"/>
        </w:rPr>
      </w:pPr>
      <w:r w:rsidRPr="002B3E1D">
        <w:rPr>
          <w:rFonts w:ascii="Times New Roman" w:hAnsi="Times New Roman" w:cs="Times New Roman"/>
          <w:sz w:val="24"/>
          <w:szCs w:val="24"/>
          <w:lang w:val="en-US"/>
        </w:rPr>
        <w:t xml:space="preserve">We sought to rectify two </w:t>
      </w:r>
      <w:r w:rsidR="0081616F">
        <w:rPr>
          <w:rFonts w:ascii="Times New Roman" w:hAnsi="Times New Roman" w:cs="Times New Roman"/>
          <w:sz w:val="24"/>
          <w:szCs w:val="24"/>
          <w:lang w:val="en-US"/>
        </w:rPr>
        <w:t>significant</w:t>
      </w:r>
      <w:r w:rsidRPr="002B3E1D">
        <w:rPr>
          <w:rFonts w:ascii="Times New Roman" w:hAnsi="Times New Roman" w:cs="Times New Roman"/>
          <w:sz w:val="24"/>
          <w:szCs w:val="24"/>
          <w:lang w:val="en-US"/>
        </w:rPr>
        <w:t xml:space="preserve"> limitations in the </w:t>
      </w:r>
      <w:r w:rsidR="002968CC">
        <w:rPr>
          <w:rFonts w:ascii="Times New Roman" w:hAnsi="Times New Roman" w:cs="Times New Roman"/>
          <w:sz w:val="24"/>
          <w:szCs w:val="24"/>
          <w:lang w:val="en-US"/>
        </w:rPr>
        <w:t xml:space="preserve">existing </w:t>
      </w:r>
      <w:r w:rsidRPr="002B3E1D">
        <w:rPr>
          <w:rFonts w:ascii="Times New Roman" w:hAnsi="Times New Roman" w:cs="Times New Roman"/>
          <w:sz w:val="24"/>
          <w:szCs w:val="24"/>
          <w:lang w:val="en-US"/>
        </w:rPr>
        <w:t>OA literature. First, the methods, practices, and processes that an organization uses to attain OA have escaped significant attention (Hughes, 2018; Koryak et al., 2018; Simsek, 2009), leaving managers with significant implementation challenges (Nosella et al., 2012</w:t>
      </w:r>
      <w:r w:rsidR="00C10F3C">
        <w:rPr>
          <w:rFonts w:ascii="Times New Roman" w:hAnsi="Times New Roman" w:cs="Times New Roman"/>
          <w:sz w:val="24"/>
          <w:szCs w:val="24"/>
          <w:lang w:val="en-US"/>
        </w:rPr>
        <w:t xml:space="preserve">) </w:t>
      </w:r>
      <w:r w:rsidR="00AF1718">
        <w:rPr>
          <w:rFonts w:ascii="Times New Roman" w:hAnsi="Times New Roman" w:cs="Times New Roman"/>
          <w:sz w:val="24"/>
          <w:szCs w:val="24"/>
          <w:lang w:val="en-US"/>
        </w:rPr>
        <w:t>especially</w:t>
      </w:r>
      <w:r w:rsidR="00C10F3C">
        <w:rPr>
          <w:rFonts w:ascii="Times New Roman" w:hAnsi="Times New Roman" w:cs="Times New Roman"/>
          <w:sz w:val="24"/>
          <w:szCs w:val="24"/>
          <w:lang w:val="en-US"/>
        </w:rPr>
        <w:t xml:space="preserve"> in the context of M&amp;As</w:t>
      </w:r>
      <w:r w:rsidRPr="002B3E1D">
        <w:rPr>
          <w:rFonts w:ascii="Times New Roman" w:hAnsi="Times New Roman" w:cs="Times New Roman"/>
          <w:sz w:val="24"/>
          <w:szCs w:val="24"/>
          <w:lang w:val="en-US"/>
        </w:rPr>
        <w:t xml:space="preserve"> </w:t>
      </w:r>
      <w:r w:rsidR="00C10F3C">
        <w:rPr>
          <w:rFonts w:ascii="Times New Roman" w:hAnsi="Times New Roman" w:cs="Times New Roman"/>
          <w:sz w:val="24"/>
          <w:szCs w:val="24"/>
          <w:lang w:val="en-US"/>
        </w:rPr>
        <w:t>(</w:t>
      </w:r>
      <w:r w:rsidRPr="002B3E1D">
        <w:rPr>
          <w:rFonts w:ascii="Times New Roman" w:hAnsi="Times New Roman" w:cs="Times New Roman"/>
          <w:sz w:val="24"/>
          <w:szCs w:val="24"/>
          <w:lang w:val="en-US"/>
        </w:rPr>
        <w:t xml:space="preserve">Stettner and Lavie, 2014). We attribute this failure to ignorance of the micro-foundational aspects of OA. Second, a root cause of the significant implementation challenges facing managers is an oversimplification of OA by scholars (Birkinshaw and Gupta, 2013; Hughes, 2018; O’Reilly and Tushman, 2013). We attribute this problem to a failure to reconcile two competing theoretical assertions: the Marchian (e.g., March, 1991; Jensen et al., 2006; Tushman and O’Reilly, 1996) view that exploration and exploitation present irreconcilable differences </w:t>
      </w:r>
      <w:r w:rsidR="0063057D">
        <w:rPr>
          <w:rFonts w:ascii="Times New Roman" w:hAnsi="Times New Roman" w:cs="Times New Roman"/>
          <w:sz w:val="24"/>
          <w:szCs w:val="24"/>
          <w:lang w:val="en-US"/>
        </w:rPr>
        <w:t>solved by</w:t>
      </w:r>
      <w:r w:rsidR="0063057D" w:rsidRPr="002B3E1D">
        <w:rPr>
          <w:rFonts w:ascii="Times New Roman" w:hAnsi="Times New Roman" w:cs="Times New Roman"/>
          <w:sz w:val="24"/>
          <w:szCs w:val="24"/>
          <w:lang w:val="en-US"/>
        </w:rPr>
        <w:t xml:space="preserve"> </w:t>
      </w:r>
      <w:r w:rsidRPr="002B3E1D">
        <w:rPr>
          <w:rFonts w:ascii="Times New Roman" w:hAnsi="Times New Roman" w:cs="Times New Roman"/>
          <w:sz w:val="24"/>
          <w:szCs w:val="24"/>
          <w:lang w:val="en-US"/>
        </w:rPr>
        <w:t xml:space="preserve">complete structural separation versus the contextual view that the tension is a mere starting point in which ‘dexterity’ can be achieved by reconciling exploration and exploitation with </w:t>
      </w:r>
      <w:r w:rsidR="00C10F3C">
        <w:rPr>
          <w:rFonts w:ascii="Times New Roman" w:hAnsi="Times New Roman" w:cs="Times New Roman"/>
          <w:sz w:val="24"/>
          <w:szCs w:val="24"/>
          <w:lang w:val="en-US"/>
        </w:rPr>
        <w:t>contextual</w:t>
      </w:r>
      <w:r w:rsidRPr="002B3E1D">
        <w:rPr>
          <w:rFonts w:ascii="Times New Roman" w:hAnsi="Times New Roman" w:cs="Times New Roman"/>
          <w:sz w:val="24"/>
          <w:szCs w:val="24"/>
          <w:lang w:val="en-US"/>
        </w:rPr>
        <w:t xml:space="preserve"> levers in its operating environment (e</w:t>
      </w:r>
      <w:r w:rsidR="001200C9">
        <w:rPr>
          <w:rFonts w:ascii="Times New Roman" w:hAnsi="Times New Roman" w:cs="Times New Roman"/>
          <w:sz w:val="24"/>
          <w:szCs w:val="24"/>
          <w:lang w:val="en-US"/>
        </w:rPr>
        <w:t>.g., Gibson and Birkinshaw, 2004</w:t>
      </w:r>
      <w:r w:rsidRPr="002B3E1D">
        <w:rPr>
          <w:rFonts w:ascii="Times New Roman" w:hAnsi="Times New Roman" w:cs="Times New Roman"/>
          <w:sz w:val="24"/>
          <w:szCs w:val="24"/>
          <w:lang w:val="en-US"/>
        </w:rPr>
        <w:t xml:space="preserve">; Hughes, 2018; McCarthy and </w:t>
      </w:r>
      <w:r w:rsidRPr="002B3E1D">
        <w:rPr>
          <w:rFonts w:ascii="Times New Roman" w:hAnsi="Times New Roman" w:cs="Times New Roman"/>
          <w:sz w:val="24"/>
          <w:szCs w:val="24"/>
          <w:lang w:val="en-US"/>
        </w:rPr>
        <w:lastRenderedPageBreak/>
        <w:t xml:space="preserve">Gordon, 2011; Simsek, 2009). </w:t>
      </w:r>
      <w:r w:rsidR="00C10F3C">
        <w:rPr>
          <w:rFonts w:ascii="Times New Roman" w:hAnsi="Times New Roman" w:cs="Times New Roman"/>
          <w:sz w:val="24"/>
          <w:szCs w:val="24"/>
          <w:lang w:val="en-US"/>
        </w:rPr>
        <w:t xml:space="preserve">In our work, post-merger integration provides a structural solution while CE provides a contextual solution, and we find </w:t>
      </w:r>
      <w:r w:rsidR="00AF1718">
        <w:rPr>
          <w:rFonts w:ascii="Times New Roman" w:hAnsi="Times New Roman" w:cs="Times New Roman"/>
          <w:sz w:val="24"/>
          <w:szCs w:val="24"/>
          <w:lang w:val="en-US"/>
        </w:rPr>
        <w:t xml:space="preserve">that both </w:t>
      </w:r>
      <w:r w:rsidR="00C10F3C">
        <w:rPr>
          <w:rFonts w:ascii="Times New Roman" w:hAnsi="Times New Roman" w:cs="Times New Roman"/>
          <w:sz w:val="24"/>
          <w:szCs w:val="24"/>
          <w:lang w:val="en-US"/>
        </w:rPr>
        <w:t>set boundary conditions for how micro-foundational aspects</w:t>
      </w:r>
      <w:r w:rsidR="00AF1718">
        <w:rPr>
          <w:rFonts w:ascii="Times New Roman" w:hAnsi="Times New Roman" w:cs="Times New Roman"/>
          <w:sz w:val="24"/>
          <w:szCs w:val="24"/>
          <w:lang w:val="en-US"/>
        </w:rPr>
        <w:t xml:space="preserve"> of knowledge sharing, use of the target’s capabilities, and capability sharing with the target</w:t>
      </w:r>
      <w:r w:rsidR="00C10F3C">
        <w:rPr>
          <w:rFonts w:ascii="Times New Roman" w:hAnsi="Times New Roman" w:cs="Times New Roman"/>
          <w:sz w:val="24"/>
          <w:szCs w:val="24"/>
          <w:lang w:val="en-US"/>
        </w:rPr>
        <w:t xml:space="preserve"> steer the behavio</w:t>
      </w:r>
      <w:r w:rsidR="00E56818">
        <w:rPr>
          <w:rFonts w:ascii="Times New Roman" w:hAnsi="Times New Roman" w:cs="Times New Roman"/>
          <w:sz w:val="24"/>
          <w:szCs w:val="24"/>
          <w:lang w:val="en-US"/>
        </w:rPr>
        <w:t>u</w:t>
      </w:r>
      <w:r w:rsidR="00C10F3C">
        <w:rPr>
          <w:rFonts w:ascii="Times New Roman" w:hAnsi="Times New Roman" w:cs="Times New Roman"/>
          <w:sz w:val="24"/>
          <w:szCs w:val="24"/>
          <w:lang w:val="en-US"/>
        </w:rPr>
        <w:t xml:space="preserve">r of employees help give rise to OA. </w:t>
      </w:r>
      <w:r w:rsidRPr="002B3E1D">
        <w:rPr>
          <w:rFonts w:ascii="Times New Roman" w:hAnsi="Times New Roman" w:cs="Times New Roman"/>
          <w:sz w:val="24"/>
          <w:szCs w:val="24"/>
          <w:lang w:val="en-US"/>
        </w:rPr>
        <w:t xml:space="preserve">We </w:t>
      </w:r>
      <w:r w:rsidR="00AF1718">
        <w:rPr>
          <w:rFonts w:ascii="Times New Roman" w:hAnsi="Times New Roman" w:cs="Times New Roman"/>
          <w:sz w:val="24"/>
          <w:szCs w:val="24"/>
          <w:lang w:val="en-US"/>
        </w:rPr>
        <w:t>offer</w:t>
      </w:r>
      <w:r w:rsidR="00C10F3C" w:rsidRPr="002B3E1D">
        <w:rPr>
          <w:rFonts w:ascii="Times New Roman" w:hAnsi="Times New Roman" w:cs="Times New Roman"/>
          <w:sz w:val="24"/>
          <w:szCs w:val="24"/>
          <w:lang w:val="en-US"/>
        </w:rPr>
        <w:t xml:space="preserve"> </w:t>
      </w:r>
      <w:r w:rsidRPr="002B3E1D">
        <w:rPr>
          <w:rFonts w:ascii="Times New Roman" w:hAnsi="Times New Roman" w:cs="Times New Roman"/>
          <w:sz w:val="24"/>
          <w:szCs w:val="24"/>
          <w:lang w:val="en-US"/>
        </w:rPr>
        <w:t xml:space="preserve">two </w:t>
      </w:r>
      <w:r w:rsidR="00C10F3C">
        <w:rPr>
          <w:rFonts w:ascii="Times New Roman" w:hAnsi="Times New Roman" w:cs="Times New Roman"/>
          <w:sz w:val="24"/>
          <w:szCs w:val="24"/>
          <w:lang w:val="en-US"/>
        </w:rPr>
        <w:t xml:space="preserve">main </w:t>
      </w:r>
      <w:r w:rsidRPr="002B3E1D">
        <w:rPr>
          <w:rFonts w:ascii="Times New Roman" w:hAnsi="Times New Roman" w:cs="Times New Roman"/>
          <w:sz w:val="24"/>
          <w:szCs w:val="24"/>
          <w:lang w:val="en-US"/>
        </w:rPr>
        <w:t>contributions</w:t>
      </w:r>
      <w:r w:rsidR="00AF1718" w:rsidRPr="00AF1718">
        <w:rPr>
          <w:rFonts w:ascii="Times New Roman" w:hAnsi="Times New Roman" w:cs="Times New Roman"/>
          <w:sz w:val="24"/>
          <w:szCs w:val="24"/>
          <w:lang w:val="en-US"/>
        </w:rPr>
        <w:t xml:space="preserve"> </w:t>
      </w:r>
      <w:r w:rsidR="00AF1718">
        <w:rPr>
          <w:rFonts w:ascii="Times New Roman" w:hAnsi="Times New Roman" w:cs="Times New Roman"/>
          <w:sz w:val="24"/>
          <w:szCs w:val="24"/>
          <w:lang w:val="en-US"/>
        </w:rPr>
        <w:t>from these findings</w:t>
      </w:r>
      <w:r w:rsidRPr="002B3E1D">
        <w:rPr>
          <w:rFonts w:ascii="Times New Roman" w:hAnsi="Times New Roman" w:cs="Times New Roman"/>
          <w:sz w:val="24"/>
          <w:szCs w:val="24"/>
          <w:lang w:val="en-US"/>
        </w:rPr>
        <w:t xml:space="preserve">: (1) we provide a framework that reveals micro-foundations of OA in the context of </w:t>
      </w:r>
      <w:r w:rsidR="00562D43" w:rsidRPr="002B3E1D">
        <w:rPr>
          <w:rFonts w:ascii="Times New Roman" w:hAnsi="Times New Roman" w:cs="Times New Roman"/>
          <w:sz w:val="24"/>
          <w:szCs w:val="24"/>
          <w:lang w:val="en-US"/>
        </w:rPr>
        <w:t>M&amp;A</w:t>
      </w:r>
      <w:r w:rsidRPr="002B3E1D">
        <w:rPr>
          <w:rFonts w:ascii="Times New Roman" w:hAnsi="Times New Roman" w:cs="Times New Roman"/>
          <w:sz w:val="24"/>
          <w:szCs w:val="24"/>
          <w:lang w:val="en-US"/>
        </w:rPr>
        <w:t>s in which an outcome typically riddled with tensions can be facilitated by drivers at levels lower than the phenomenon itself; and, (2) we demonstrate the sensitivity of those micro-foundations to</w:t>
      </w:r>
      <w:r w:rsidR="00AF1718">
        <w:rPr>
          <w:rFonts w:ascii="Times New Roman" w:hAnsi="Times New Roman" w:cs="Times New Roman"/>
          <w:sz w:val="24"/>
          <w:szCs w:val="24"/>
          <w:lang w:val="en-US"/>
        </w:rPr>
        <w:t xml:space="preserve"> structural and contextual</w:t>
      </w:r>
      <w:r w:rsidRPr="002B3E1D">
        <w:rPr>
          <w:rFonts w:ascii="Times New Roman" w:hAnsi="Times New Roman" w:cs="Times New Roman"/>
          <w:sz w:val="24"/>
          <w:szCs w:val="24"/>
          <w:lang w:val="en-US"/>
        </w:rPr>
        <w:t xml:space="preserve"> organizational contingencies. </w:t>
      </w:r>
      <w:r w:rsidR="00AF1718">
        <w:rPr>
          <w:rFonts w:ascii="Times New Roman" w:hAnsi="Times New Roman" w:cs="Times New Roman"/>
          <w:sz w:val="24"/>
          <w:szCs w:val="24"/>
          <w:lang w:val="en-US"/>
        </w:rPr>
        <w:t>We now move to discuss these contributions to theory.</w:t>
      </w:r>
    </w:p>
    <w:p w14:paraId="48CE9609" w14:textId="77777777" w:rsidR="00AF1718" w:rsidRDefault="00AF1718" w:rsidP="003E0074">
      <w:pPr>
        <w:autoSpaceDE w:val="0"/>
        <w:autoSpaceDN w:val="0"/>
        <w:adjustRightInd w:val="0"/>
        <w:spacing w:after="0" w:line="480" w:lineRule="auto"/>
        <w:jc w:val="both"/>
        <w:rPr>
          <w:rFonts w:ascii="Times New Roman" w:hAnsi="Times New Roman" w:cs="Times New Roman"/>
          <w:sz w:val="24"/>
          <w:szCs w:val="24"/>
          <w:lang w:val="en-US"/>
        </w:rPr>
      </w:pPr>
    </w:p>
    <w:p w14:paraId="385EC03F" w14:textId="77777777" w:rsidR="00AF1718" w:rsidRPr="00BB517D" w:rsidRDefault="00AF1718" w:rsidP="003E0074">
      <w:pPr>
        <w:autoSpaceDE w:val="0"/>
        <w:autoSpaceDN w:val="0"/>
        <w:adjustRightInd w:val="0"/>
        <w:spacing w:after="0" w:line="480" w:lineRule="auto"/>
        <w:jc w:val="both"/>
        <w:rPr>
          <w:rFonts w:ascii="Times New Roman" w:hAnsi="Times New Roman" w:cs="Times New Roman"/>
          <w:b/>
          <w:sz w:val="24"/>
          <w:szCs w:val="24"/>
          <w:lang w:val="en-US"/>
        </w:rPr>
      </w:pPr>
      <w:r w:rsidRPr="00BB517D">
        <w:rPr>
          <w:rFonts w:ascii="Times New Roman" w:hAnsi="Times New Roman" w:cs="Times New Roman"/>
          <w:b/>
          <w:sz w:val="24"/>
          <w:szCs w:val="24"/>
          <w:lang w:val="en-US"/>
        </w:rPr>
        <w:t>Theoretical Implications</w:t>
      </w:r>
    </w:p>
    <w:p w14:paraId="2601F6B9" w14:textId="02C7C34E" w:rsidR="00AF1718" w:rsidRDefault="003E0074" w:rsidP="00BB517D">
      <w:pPr>
        <w:autoSpaceDE w:val="0"/>
        <w:autoSpaceDN w:val="0"/>
        <w:adjustRightInd w:val="0"/>
        <w:spacing w:after="0" w:line="480" w:lineRule="auto"/>
        <w:jc w:val="both"/>
        <w:rPr>
          <w:rFonts w:ascii="Times New Roman" w:hAnsi="Times New Roman" w:cs="Times New Roman"/>
          <w:sz w:val="24"/>
          <w:szCs w:val="24"/>
          <w:lang w:val="en-US"/>
        </w:rPr>
      </w:pPr>
      <w:r w:rsidRPr="002B3E1D">
        <w:rPr>
          <w:rFonts w:ascii="Times New Roman" w:hAnsi="Times New Roman" w:cs="Times New Roman"/>
          <w:sz w:val="24"/>
          <w:szCs w:val="24"/>
          <w:lang w:val="en-US"/>
        </w:rPr>
        <w:t>First, our findings form a framework demonstrating how micro-foundations can assist in both resolving the tensions between exploration and exploitation (by improving OA) and exacerbating those tensions (by reducing OA). Exploration and exploitation associate with diametrically opposed structures, processes, strategies, and behavio</w:t>
      </w:r>
      <w:r w:rsidR="00E56818">
        <w:rPr>
          <w:rFonts w:ascii="Times New Roman" w:hAnsi="Times New Roman" w:cs="Times New Roman"/>
          <w:sz w:val="24"/>
          <w:szCs w:val="24"/>
          <w:lang w:val="en-US"/>
        </w:rPr>
        <w:t>u</w:t>
      </w:r>
      <w:r w:rsidRPr="002B3E1D">
        <w:rPr>
          <w:rFonts w:ascii="Times New Roman" w:hAnsi="Times New Roman" w:cs="Times New Roman"/>
          <w:sz w:val="24"/>
          <w:szCs w:val="24"/>
          <w:lang w:val="en-US"/>
        </w:rPr>
        <w:t>rs (Hughes et al., 2007; Koryak et al., 2018</w:t>
      </w:r>
      <w:r w:rsidR="002968CC">
        <w:rPr>
          <w:rFonts w:ascii="Times New Roman" w:hAnsi="Times New Roman" w:cs="Times New Roman"/>
          <w:sz w:val="24"/>
          <w:szCs w:val="24"/>
          <w:lang w:val="en-US"/>
        </w:rPr>
        <w:t>; March, 1991</w:t>
      </w:r>
      <w:r w:rsidRPr="002B3E1D">
        <w:rPr>
          <w:rFonts w:ascii="Times New Roman" w:hAnsi="Times New Roman" w:cs="Times New Roman"/>
          <w:sz w:val="24"/>
          <w:szCs w:val="24"/>
          <w:lang w:val="en-US"/>
        </w:rPr>
        <w:t xml:space="preserve">). In cases of cross-border </w:t>
      </w:r>
      <w:r w:rsidR="00562D43" w:rsidRPr="002B3E1D">
        <w:rPr>
          <w:rFonts w:ascii="Times New Roman" w:hAnsi="Times New Roman" w:cs="Times New Roman"/>
          <w:sz w:val="24"/>
          <w:szCs w:val="24"/>
          <w:lang w:val="en-US"/>
        </w:rPr>
        <w:t>M&amp;A</w:t>
      </w:r>
      <w:r w:rsidRPr="002B3E1D">
        <w:rPr>
          <w:rFonts w:ascii="Times New Roman" w:hAnsi="Times New Roman" w:cs="Times New Roman"/>
          <w:sz w:val="24"/>
          <w:szCs w:val="24"/>
          <w:lang w:val="en-US"/>
        </w:rPr>
        <w:t>, we provide insight that knowledge sharing between the firm and the target and sharing capabilities with the target will enhance OA.</w:t>
      </w:r>
      <w:r w:rsidR="00AF1718">
        <w:rPr>
          <w:rFonts w:ascii="Times New Roman" w:hAnsi="Times New Roman" w:cs="Times New Roman"/>
          <w:sz w:val="24"/>
          <w:szCs w:val="24"/>
          <w:lang w:val="en-US"/>
        </w:rPr>
        <w:t xml:space="preserve"> To the best of our knowledge, our </w:t>
      </w:r>
      <w:r w:rsidR="00AF1718" w:rsidRPr="00D92264">
        <w:rPr>
          <w:rFonts w:ascii="Times New Roman" w:hAnsi="Times New Roman" w:cs="Times New Roman"/>
          <w:sz w:val="24"/>
          <w:szCs w:val="24"/>
          <w:lang w:val="en-US"/>
        </w:rPr>
        <w:t xml:space="preserve">study </w:t>
      </w:r>
      <w:r w:rsidR="00AF1718">
        <w:rPr>
          <w:rFonts w:ascii="Times New Roman" w:hAnsi="Times New Roman" w:cs="Times New Roman"/>
          <w:sz w:val="24"/>
          <w:szCs w:val="24"/>
          <w:lang w:val="en-US"/>
        </w:rPr>
        <w:t xml:space="preserve">is the </w:t>
      </w:r>
      <w:r w:rsidR="00AF1718" w:rsidRPr="00D92264">
        <w:rPr>
          <w:rFonts w:ascii="Times New Roman" w:hAnsi="Times New Roman" w:cs="Times New Roman"/>
          <w:sz w:val="24"/>
          <w:szCs w:val="24"/>
          <w:lang w:val="en-US"/>
        </w:rPr>
        <w:t xml:space="preserve">first one specifically </w:t>
      </w:r>
      <w:r w:rsidR="00C95FE0">
        <w:rPr>
          <w:rFonts w:ascii="Times New Roman" w:hAnsi="Times New Roman" w:cs="Times New Roman"/>
          <w:sz w:val="24"/>
          <w:szCs w:val="24"/>
          <w:lang w:val="en-US"/>
        </w:rPr>
        <w:t xml:space="preserve">to </w:t>
      </w:r>
      <w:r w:rsidR="00AF1718" w:rsidRPr="00D92264">
        <w:rPr>
          <w:rFonts w:ascii="Times New Roman" w:hAnsi="Times New Roman" w:cs="Times New Roman"/>
          <w:sz w:val="24"/>
          <w:szCs w:val="24"/>
          <w:lang w:val="en-US"/>
        </w:rPr>
        <w:t>theorize and empirically analyze knowledge sharing among individuals and sharing and use of capabilities between acquirer and acquired firms in relation to OA</w:t>
      </w:r>
      <w:r w:rsidRPr="002B3E1D">
        <w:rPr>
          <w:rFonts w:ascii="Times New Roman" w:hAnsi="Times New Roman" w:cs="Times New Roman"/>
          <w:sz w:val="24"/>
          <w:szCs w:val="24"/>
          <w:lang w:val="en-US"/>
        </w:rPr>
        <w:t xml:space="preserve"> We conclude that it is act</w:t>
      </w:r>
      <w:r w:rsidR="00AF1718">
        <w:rPr>
          <w:rFonts w:ascii="Times New Roman" w:hAnsi="Times New Roman" w:cs="Times New Roman"/>
          <w:sz w:val="24"/>
          <w:szCs w:val="24"/>
          <w:lang w:val="en-US"/>
        </w:rPr>
        <w:t>s</w:t>
      </w:r>
      <w:r w:rsidRPr="002B3E1D">
        <w:rPr>
          <w:rFonts w:ascii="Times New Roman" w:hAnsi="Times New Roman" w:cs="Times New Roman"/>
          <w:sz w:val="24"/>
          <w:szCs w:val="24"/>
          <w:lang w:val="en-US"/>
        </w:rPr>
        <w:t xml:space="preserve"> of </w:t>
      </w:r>
      <w:r w:rsidR="00AF1718">
        <w:rPr>
          <w:rFonts w:ascii="Times New Roman" w:hAnsi="Times New Roman" w:cs="Times New Roman"/>
          <w:sz w:val="24"/>
          <w:szCs w:val="24"/>
          <w:lang w:val="en-US"/>
        </w:rPr>
        <w:t xml:space="preserve">knowledge </w:t>
      </w:r>
      <w:r w:rsidRPr="002B3E1D">
        <w:rPr>
          <w:rFonts w:ascii="Times New Roman" w:hAnsi="Times New Roman" w:cs="Times New Roman"/>
          <w:sz w:val="24"/>
          <w:szCs w:val="24"/>
          <w:lang w:val="en-US"/>
        </w:rPr>
        <w:t xml:space="preserve">sharing </w:t>
      </w:r>
      <w:r w:rsidR="00AF1718">
        <w:rPr>
          <w:rFonts w:ascii="Times New Roman" w:hAnsi="Times New Roman" w:cs="Times New Roman"/>
          <w:sz w:val="24"/>
          <w:szCs w:val="24"/>
          <w:lang w:val="en-US"/>
        </w:rPr>
        <w:t xml:space="preserve">and sharing capabilities with the target that </w:t>
      </w:r>
      <w:r w:rsidR="00AF1718" w:rsidRPr="002B3E1D">
        <w:rPr>
          <w:rFonts w:ascii="Times New Roman" w:hAnsi="Times New Roman" w:cs="Times New Roman"/>
          <w:sz w:val="24"/>
          <w:szCs w:val="24"/>
          <w:lang w:val="en-US"/>
        </w:rPr>
        <w:t>sets the micro-foundation for OA</w:t>
      </w:r>
      <w:r w:rsidR="00AF1718">
        <w:rPr>
          <w:rFonts w:ascii="Times New Roman" w:hAnsi="Times New Roman" w:cs="Times New Roman"/>
          <w:sz w:val="24"/>
          <w:szCs w:val="24"/>
          <w:lang w:val="en-US"/>
        </w:rPr>
        <w:t xml:space="preserve">. Using the target’s capabilities has a negative effect on OA. </w:t>
      </w:r>
      <w:r w:rsidR="00AF1718" w:rsidRPr="002B3E1D">
        <w:rPr>
          <w:rFonts w:asciiTheme="majorBidi" w:hAnsiTheme="majorBidi" w:cstheme="majorBidi"/>
          <w:bCs/>
          <w:sz w:val="24"/>
          <w:szCs w:val="24"/>
          <w:lang w:val="en-US"/>
        </w:rPr>
        <w:t>This implies a lack of fit or synergy in the M&amp;A or that the newly-</w:t>
      </w:r>
      <w:r w:rsidR="00AF1718" w:rsidRPr="002B3E1D">
        <w:rPr>
          <w:rFonts w:asciiTheme="majorBidi" w:hAnsiTheme="majorBidi" w:cstheme="majorBidi"/>
          <w:bCs/>
          <w:sz w:val="24"/>
          <w:szCs w:val="24"/>
          <w:lang w:val="en-US"/>
        </w:rPr>
        <w:lastRenderedPageBreak/>
        <w:t>formed combined company is lacking in the necessary insight to understand how to best make use of the target’s capabilities</w:t>
      </w:r>
      <w:r w:rsidRPr="002B3E1D">
        <w:rPr>
          <w:rFonts w:ascii="Times New Roman" w:hAnsi="Times New Roman" w:cs="Times New Roman"/>
          <w:sz w:val="24"/>
          <w:szCs w:val="24"/>
          <w:lang w:val="en-US"/>
        </w:rPr>
        <w:t xml:space="preserve">. </w:t>
      </w:r>
    </w:p>
    <w:p w14:paraId="3462D5C6" w14:textId="64DFC93C" w:rsidR="003E0074" w:rsidRPr="002B3E1D" w:rsidRDefault="003E0074" w:rsidP="00AF1718">
      <w:pPr>
        <w:autoSpaceDE w:val="0"/>
        <w:autoSpaceDN w:val="0"/>
        <w:adjustRightInd w:val="0"/>
        <w:spacing w:after="0" w:line="480" w:lineRule="auto"/>
        <w:ind w:firstLine="720"/>
        <w:jc w:val="both"/>
        <w:rPr>
          <w:rFonts w:ascii="Times New Roman" w:hAnsi="Times New Roman" w:cs="Times New Roman"/>
          <w:sz w:val="24"/>
          <w:szCs w:val="24"/>
          <w:lang w:val="en-US"/>
        </w:rPr>
      </w:pPr>
      <w:r w:rsidRPr="002B3E1D">
        <w:rPr>
          <w:rFonts w:ascii="Times New Roman" w:hAnsi="Times New Roman" w:cs="Times New Roman"/>
          <w:sz w:val="24"/>
          <w:szCs w:val="24"/>
          <w:lang w:val="en-US"/>
        </w:rPr>
        <w:t xml:space="preserve">These findings agree with the tenets of micro-foundations research agenda that processes for vital organizational outcomes occur at levels beneath the phenomenon itself (Felin et al., 2012; Foss and Pedersen, 2016) and supports the view that an outcome riddled with tensions (such as OA) can be resolved by treating the micro-foundations (Miron-Spektor et al., 2018). However, we also found, unexpectedly, that micro-foundational efforts to use capabilities from the target </w:t>
      </w:r>
      <w:r w:rsidR="00A215CE" w:rsidRPr="002B3E1D">
        <w:rPr>
          <w:rFonts w:ascii="Times New Roman" w:hAnsi="Times New Roman" w:cs="Times New Roman"/>
          <w:sz w:val="24"/>
          <w:szCs w:val="24"/>
          <w:lang w:val="en-US"/>
        </w:rPr>
        <w:t>rise</w:t>
      </w:r>
      <w:r w:rsidRPr="002B3E1D">
        <w:rPr>
          <w:rFonts w:ascii="Times New Roman" w:hAnsi="Times New Roman" w:cs="Times New Roman"/>
          <w:sz w:val="24"/>
          <w:szCs w:val="24"/>
          <w:lang w:val="en-US"/>
        </w:rPr>
        <w:t>, as opposed to reduce, the tensions between exploration and exploitation and negatively affects OA. We conclude that using the target firm’s capabilities are not necessarily a catalyst for successful negotiation of OA. Contrary to much of the literature on micro-foundations then, we reveal an activity that exacerbates and not reduce this crucial tension. Recently, Koryak et al. (2018) suggested that OA is a problem of attention steering. For example, knowledge sharing facilitates a more fluent movement across exploitative and explorative OA boundaries (Prieto and Pérez Santana, 2012) in the new combined firm. However, we suggest that the mere use of the target’s capabilities orients managers’ attention to a one-direction target of capabilities from the target to the acquiring firm. We believe this sets a perverse micro-foundation mechanism which favo</w:t>
      </w:r>
      <w:r w:rsidR="00C95FE0">
        <w:rPr>
          <w:rFonts w:ascii="Times New Roman" w:hAnsi="Times New Roman" w:cs="Times New Roman"/>
          <w:sz w:val="24"/>
          <w:szCs w:val="24"/>
          <w:lang w:val="en-US"/>
        </w:rPr>
        <w:t>u</w:t>
      </w:r>
      <w:r w:rsidRPr="002B3E1D">
        <w:rPr>
          <w:rFonts w:ascii="Times New Roman" w:hAnsi="Times New Roman" w:cs="Times New Roman"/>
          <w:sz w:val="24"/>
          <w:szCs w:val="24"/>
          <w:lang w:val="en-US"/>
        </w:rPr>
        <w:t xml:space="preserve">rs exploitation only, and not exploration. </w:t>
      </w:r>
      <w:r w:rsidR="0063057D">
        <w:rPr>
          <w:rFonts w:ascii="Times New Roman" w:hAnsi="Times New Roman" w:cs="Times New Roman"/>
          <w:sz w:val="24"/>
          <w:szCs w:val="24"/>
          <w:lang w:val="en-US"/>
        </w:rPr>
        <w:t>T</w:t>
      </w:r>
      <w:r w:rsidRPr="002B3E1D">
        <w:rPr>
          <w:rFonts w:ascii="Times New Roman" w:hAnsi="Times New Roman" w:cs="Times New Roman"/>
          <w:sz w:val="24"/>
          <w:szCs w:val="24"/>
          <w:lang w:val="en-US"/>
        </w:rPr>
        <w:t xml:space="preserve">he drive to harness synergies and cost savings from </w:t>
      </w:r>
      <w:r w:rsidR="00562D43" w:rsidRPr="002B3E1D">
        <w:rPr>
          <w:rFonts w:ascii="Times New Roman" w:hAnsi="Times New Roman" w:cs="Times New Roman"/>
          <w:sz w:val="24"/>
          <w:szCs w:val="24"/>
          <w:lang w:val="en-US"/>
        </w:rPr>
        <w:t>M&amp;A</w:t>
      </w:r>
      <w:r w:rsidRPr="002B3E1D">
        <w:rPr>
          <w:rFonts w:ascii="Times New Roman" w:hAnsi="Times New Roman" w:cs="Times New Roman"/>
          <w:sz w:val="24"/>
          <w:szCs w:val="24"/>
          <w:lang w:val="en-US"/>
        </w:rPr>
        <w:t xml:space="preserve">s coupled with the complexity of cross-border </w:t>
      </w:r>
      <w:r w:rsidR="00562D43" w:rsidRPr="002B3E1D">
        <w:rPr>
          <w:rFonts w:ascii="Times New Roman" w:hAnsi="Times New Roman" w:cs="Times New Roman"/>
          <w:sz w:val="24"/>
          <w:szCs w:val="24"/>
          <w:lang w:val="en-US"/>
        </w:rPr>
        <w:t>M&amp;A</w:t>
      </w:r>
      <w:r w:rsidRPr="002B3E1D">
        <w:rPr>
          <w:rFonts w:ascii="Times New Roman" w:hAnsi="Times New Roman" w:cs="Times New Roman"/>
          <w:sz w:val="24"/>
          <w:szCs w:val="24"/>
          <w:lang w:val="en-US"/>
        </w:rPr>
        <w:t>s (Ahammad et al., 2016) heightens that danger</w:t>
      </w:r>
      <w:r w:rsidR="00791B61" w:rsidRPr="002B3E1D">
        <w:rPr>
          <w:rFonts w:ascii="Times New Roman" w:hAnsi="Times New Roman" w:cs="Times New Roman"/>
          <w:sz w:val="24"/>
          <w:szCs w:val="24"/>
          <w:lang w:val="en-US"/>
        </w:rPr>
        <w:t>:</w:t>
      </w:r>
      <w:r w:rsidRPr="002B3E1D">
        <w:rPr>
          <w:rFonts w:ascii="Times New Roman" w:hAnsi="Times New Roman" w:cs="Times New Roman"/>
          <w:sz w:val="24"/>
          <w:szCs w:val="24"/>
          <w:lang w:val="en-US"/>
        </w:rPr>
        <w:t xml:space="preserve"> one specialism (typically exploitation) may emerge causing its systems and routines to reproduce in a way that smother a capability from forming now and in the future for the missing specialism (typically exploration) (March, 1991). We conclude that the use of the target’s capabilities is one such mechanism, </w:t>
      </w:r>
      <w:r w:rsidRPr="002B3E1D">
        <w:rPr>
          <w:rFonts w:ascii="Times New Roman" w:hAnsi="Times New Roman" w:cs="Times New Roman"/>
          <w:sz w:val="24"/>
          <w:szCs w:val="24"/>
          <w:lang w:val="en-US"/>
        </w:rPr>
        <w:lastRenderedPageBreak/>
        <w:t xml:space="preserve">questioning and extending the literature on the micro-foundations of OA and the micro-foundations research agenda in turn. </w:t>
      </w:r>
    </w:p>
    <w:p w14:paraId="4EAFDA1B" w14:textId="77777777" w:rsidR="003E0074" w:rsidRPr="002B3E1D" w:rsidRDefault="003E0074" w:rsidP="003E0074">
      <w:pPr>
        <w:autoSpaceDE w:val="0"/>
        <w:autoSpaceDN w:val="0"/>
        <w:adjustRightInd w:val="0"/>
        <w:spacing w:after="0" w:line="480" w:lineRule="auto"/>
        <w:ind w:firstLine="720"/>
        <w:jc w:val="both"/>
        <w:rPr>
          <w:rFonts w:ascii="Times New Roman" w:hAnsi="Times New Roman" w:cs="Times New Roman"/>
          <w:sz w:val="24"/>
          <w:szCs w:val="24"/>
          <w:lang w:val="en-US"/>
        </w:rPr>
      </w:pPr>
      <w:r w:rsidRPr="002B3E1D">
        <w:rPr>
          <w:rFonts w:ascii="Times New Roman" w:hAnsi="Times New Roman" w:cs="Times New Roman"/>
          <w:sz w:val="24"/>
          <w:szCs w:val="24"/>
          <w:lang w:val="en-US"/>
        </w:rPr>
        <w:t>Second, we demonstrate the sensitivity of the relationships between micro-foundational conditions and OA to organizational level contingencies. The micro-foundations research agenda is interesting because it seeks to reduce proximate causes of a phenomenon (the explanations of an outcome) to levels of analysis lower than that of the phenomenon itself (Felin et al., 2012; Foss and Pedersen, 2016). Many micro-foundational papers have emphasized individuals for this reason (Felin and Hesterly, 2007) although it does not have necessarily to involve a reduction to an individual person (Foss and Pedersen, 2016). Moreover, it is important to acknowledge that the micro-foundations view does not deny that higher-level phenomena may exert a causal influence on lower-level phenomena (Coleman, 1990; Foss and Pedersen, 2016). We find that CE and post-</w:t>
      </w:r>
      <w:r w:rsidR="00562D43" w:rsidRPr="002B3E1D">
        <w:rPr>
          <w:rFonts w:ascii="Times New Roman" w:hAnsi="Times New Roman" w:cs="Times New Roman"/>
          <w:sz w:val="24"/>
          <w:szCs w:val="24"/>
          <w:lang w:val="en-US"/>
        </w:rPr>
        <w:t>M&amp;A</w:t>
      </w:r>
      <w:r w:rsidRPr="002B3E1D">
        <w:rPr>
          <w:rFonts w:ascii="Times New Roman" w:hAnsi="Times New Roman" w:cs="Times New Roman"/>
          <w:sz w:val="24"/>
          <w:szCs w:val="24"/>
          <w:lang w:val="en-US"/>
        </w:rPr>
        <w:t xml:space="preserve"> integration can moderate (differently) the effects of knowledge sharing, use of the target’s capabilities and sharing of capabilities with the target on OA. CE worsens the negative effect of use the target’s capabilities on OA but augments the effect of sharing capabilities with the target on OA. Integration only augments the effects of knowledge sharing on OA. </w:t>
      </w:r>
      <w:r w:rsidR="00791B61" w:rsidRPr="002B3E1D">
        <w:rPr>
          <w:rFonts w:ascii="Times New Roman" w:hAnsi="Times New Roman" w:cs="Times New Roman"/>
          <w:sz w:val="24"/>
          <w:szCs w:val="24"/>
          <w:lang w:val="en-US"/>
        </w:rPr>
        <w:t>Nevertheless, integration does not have deleterious effects in this study and should be taken as a means to support OA creation.</w:t>
      </w:r>
    </w:p>
    <w:p w14:paraId="4B4F1B18" w14:textId="1CF60D10" w:rsidR="003E0074" w:rsidRDefault="0063057D" w:rsidP="00BB517D">
      <w:pPr>
        <w:autoSpaceDE w:val="0"/>
        <w:autoSpaceDN w:val="0"/>
        <w:adjustRightInd w:val="0"/>
        <w:spacing w:after="0" w:line="480" w:lineRule="auto"/>
        <w:ind w:firstLine="720"/>
        <w:jc w:val="both"/>
        <w:rPr>
          <w:rFonts w:asciiTheme="majorBidi" w:hAnsiTheme="majorBidi" w:cstheme="majorBidi"/>
          <w:bCs/>
          <w:sz w:val="24"/>
          <w:szCs w:val="24"/>
          <w:lang w:val="en-US"/>
        </w:rPr>
      </w:pPr>
      <w:r>
        <w:rPr>
          <w:rFonts w:ascii="Times New Roman" w:hAnsi="Times New Roman" w:cs="Times New Roman"/>
          <w:sz w:val="24"/>
          <w:szCs w:val="24"/>
          <w:lang w:val="en-US"/>
        </w:rPr>
        <w:t>Extending this contribution</w:t>
      </w:r>
      <w:r w:rsidR="003E0074" w:rsidRPr="002B3E1D">
        <w:rPr>
          <w:rFonts w:ascii="Times New Roman" w:hAnsi="Times New Roman" w:cs="Times New Roman"/>
          <w:sz w:val="24"/>
          <w:szCs w:val="24"/>
          <w:lang w:val="en-US"/>
        </w:rPr>
        <w:t xml:space="preserve">, we have demonstrated that knowledge </w:t>
      </w:r>
      <w:r w:rsidR="003E0074" w:rsidRPr="002B3E1D">
        <w:rPr>
          <w:rFonts w:ascii="Times New Roman" w:hAnsi="Times New Roman" w:cs="Times New Roman"/>
          <w:i/>
          <w:sz w:val="24"/>
          <w:szCs w:val="24"/>
          <w:lang w:val="en-US"/>
        </w:rPr>
        <w:t>per se</w:t>
      </w:r>
      <w:r w:rsidR="003E0074" w:rsidRPr="002B3E1D">
        <w:rPr>
          <w:rFonts w:ascii="Times New Roman" w:hAnsi="Times New Roman" w:cs="Times New Roman"/>
          <w:sz w:val="24"/>
          <w:szCs w:val="24"/>
          <w:lang w:val="en-US"/>
        </w:rPr>
        <w:t xml:space="preserve"> is not mutually shared and generated by the presence of CE. Alternatively, capabilities</w:t>
      </w:r>
      <w:r w:rsidR="003E0074" w:rsidRPr="002B3E1D">
        <w:rPr>
          <w:rFonts w:ascii="Times New Roman" w:hAnsi="Times New Roman" w:cs="Times New Roman"/>
          <w:i/>
          <w:sz w:val="24"/>
          <w:szCs w:val="24"/>
          <w:lang w:val="en-US"/>
        </w:rPr>
        <w:t xml:space="preserve"> </w:t>
      </w:r>
      <w:r w:rsidR="003E0074" w:rsidRPr="002B3E1D">
        <w:rPr>
          <w:rFonts w:ascii="Times New Roman" w:hAnsi="Times New Roman" w:cs="Times New Roman"/>
          <w:sz w:val="24"/>
          <w:szCs w:val="24"/>
          <w:lang w:val="en-US"/>
        </w:rPr>
        <w:t xml:space="preserve">(Abell et al., 2008) were nevertheless shown to be shared across the two organizations. </w:t>
      </w:r>
      <w:r>
        <w:rPr>
          <w:rFonts w:ascii="Times New Roman" w:hAnsi="Times New Roman" w:cs="Times New Roman"/>
          <w:sz w:val="24"/>
          <w:szCs w:val="24"/>
          <w:lang w:val="en-US"/>
        </w:rPr>
        <w:t>CE</w:t>
      </w:r>
      <w:r w:rsidR="003E0074" w:rsidRPr="002B3E1D">
        <w:rPr>
          <w:rFonts w:ascii="Times New Roman" w:hAnsi="Times New Roman" w:cs="Times New Roman"/>
          <w:sz w:val="24"/>
          <w:szCs w:val="24"/>
          <w:lang w:val="en-US"/>
        </w:rPr>
        <w:t xml:space="preserve"> can assist the newly combined entity in addressing challenges in the OA environment. This affirms and confirms the postulations of H6. While CE has been demonstrated not to play a significant role in knowledge sharing, it should nevertheless be noted that knowledge sharing still has a potent role to play </w:t>
      </w:r>
      <w:r w:rsidR="003E0074" w:rsidRPr="002B3E1D">
        <w:rPr>
          <w:rFonts w:ascii="Times New Roman" w:hAnsi="Times New Roman" w:cs="Times New Roman"/>
          <w:sz w:val="24"/>
          <w:szCs w:val="24"/>
          <w:lang w:val="en-US"/>
        </w:rPr>
        <w:lastRenderedPageBreak/>
        <w:t>within organizational ambidexterity (following H1 and H3).</w:t>
      </w:r>
      <w:r>
        <w:rPr>
          <w:rFonts w:ascii="Times New Roman" w:hAnsi="Times New Roman" w:cs="Times New Roman"/>
          <w:sz w:val="24"/>
          <w:szCs w:val="24"/>
          <w:lang w:val="en-US"/>
        </w:rPr>
        <w:t xml:space="preserve"> Further, w</w:t>
      </w:r>
      <w:r w:rsidR="003E0074" w:rsidRPr="002B3E1D">
        <w:rPr>
          <w:rFonts w:ascii="Times New Roman" w:hAnsi="Times New Roman" w:cs="Times New Roman"/>
          <w:sz w:val="24"/>
          <w:szCs w:val="24"/>
          <w:lang w:val="en-US"/>
        </w:rPr>
        <w:t xml:space="preserve">hile CE is not significant in relation to knowledge sharing, </w:t>
      </w:r>
      <w:r w:rsidR="00EC2641">
        <w:rPr>
          <w:rFonts w:ascii="Times New Roman" w:hAnsi="Times New Roman" w:cs="Times New Roman"/>
          <w:sz w:val="24"/>
          <w:szCs w:val="24"/>
          <w:lang w:val="en-US"/>
        </w:rPr>
        <w:t>we</w:t>
      </w:r>
      <w:r w:rsidR="003E0074" w:rsidRPr="002B3E1D">
        <w:rPr>
          <w:rFonts w:ascii="Times New Roman" w:hAnsi="Times New Roman" w:cs="Times New Roman"/>
          <w:sz w:val="24"/>
          <w:szCs w:val="24"/>
          <w:lang w:val="en-US"/>
        </w:rPr>
        <w:t xml:space="preserve"> provide some insights into how the presence and operation of CE behavio</w:t>
      </w:r>
      <w:r w:rsidR="00E56818">
        <w:rPr>
          <w:rFonts w:ascii="Times New Roman" w:hAnsi="Times New Roman" w:cs="Times New Roman"/>
          <w:sz w:val="24"/>
          <w:szCs w:val="24"/>
          <w:lang w:val="en-US"/>
        </w:rPr>
        <w:t>u</w:t>
      </w:r>
      <w:r w:rsidR="003E0074" w:rsidRPr="002B3E1D">
        <w:rPr>
          <w:rFonts w:ascii="Times New Roman" w:hAnsi="Times New Roman" w:cs="Times New Roman"/>
          <w:sz w:val="24"/>
          <w:szCs w:val="24"/>
          <w:lang w:val="en-US"/>
        </w:rPr>
        <w:t xml:space="preserve">r occurs in </w:t>
      </w:r>
      <w:r w:rsidR="00562D43" w:rsidRPr="002B3E1D">
        <w:rPr>
          <w:rFonts w:ascii="Times New Roman" w:hAnsi="Times New Roman" w:cs="Times New Roman"/>
          <w:sz w:val="24"/>
          <w:szCs w:val="24"/>
          <w:lang w:val="en-US"/>
        </w:rPr>
        <w:t>M&amp;A</w:t>
      </w:r>
      <w:r w:rsidR="003E0074" w:rsidRPr="002B3E1D">
        <w:rPr>
          <w:rFonts w:ascii="Times New Roman" w:hAnsi="Times New Roman" w:cs="Times New Roman"/>
          <w:sz w:val="24"/>
          <w:szCs w:val="24"/>
          <w:lang w:val="en-US"/>
        </w:rPr>
        <w:t xml:space="preserve"> settings. CE can potentially play a role in engendering innovative behavio</w:t>
      </w:r>
      <w:r w:rsidR="00E56818">
        <w:rPr>
          <w:rFonts w:ascii="Times New Roman" w:hAnsi="Times New Roman" w:cs="Times New Roman"/>
          <w:sz w:val="24"/>
          <w:szCs w:val="24"/>
          <w:lang w:val="en-US"/>
        </w:rPr>
        <w:t>u</w:t>
      </w:r>
      <w:r w:rsidR="003E0074" w:rsidRPr="002B3E1D">
        <w:rPr>
          <w:rFonts w:ascii="Times New Roman" w:hAnsi="Times New Roman" w:cs="Times New Roman"/>
          <w:sz w:val="24"/>
          <w:szCs w:val="24"/>
          <w:lang w:val="en-US"/>
        </w:rPr>
        <w:t xml:space="preserve">rs thus allowing both self-aggregated groups of individuals to move between exploitative and explorative states. </w:t>
      </w:r>
      <w:r>
        <w:rPr>
          <w:rFonts w:ascii="Times New Roman" w:hAnsi="Times New Roman" w:cs="Times New Roman"/>
          <w:sz w:val="24"/>
          <w:szCs w:val="24"/>
          <w:lang w:val="en-US"/>
        </w:rPr>
        <w:t>I</w:t>
      </w:r>
      <w:r w:rsidR="003E0074" w:rsidRPr="002B3E1D">
        <w:rPr>
          <w:rFonts w:ascii="Times New Roman" w:hAnsi="Times New Roman" w:cs="Times New Roman"/>
          <w:sz w:val="24"/>
          <w:szCs w:val="24"/>
          <w:lang w:val="en-US"/>
        </w:rPr>
        <w:t xml:space="preserve">mportantly, CE may also work to shape the structural aspects of mergers thus facilitating value that can be derived and exchanged with the acquired company. This might engender a degree of promotion of integration while respecting unit autonomy. In the light of the well-cited failure rate </w:t>
      </w:r>
      <w:r w:rsidR="00316275" w:rsidRPr="002B3E1D">
        <w:rPr>
          <w:rFonts w:ascii="Times New Roman" w:hAnsi="Times New Roman" w:cs="Times New Roman"/>
          <w:sz w:val="24"/>
          <w:szCs w:val="24"/>
          <w:lang w:val="en-US"/>
        </w:rPr>
        <w:t xml:space="preserve">of many M&amp;As </w:t>
      </w:r>
      <w:r w:rsidR="003E0074" w:rsidRPr="002B3E1D">
        <w:rPr>
          <w:rFonts w:ascii="Times New Roman" w:hAnsi="Times New Roman" w:cs="Times New Roman"/>
          <w:sz w:val="24"/>
          <w:szCs w:val="24"/>
          <w:lang w:val="en-US"/>
        </w:rPr>
        <w:t>(Gomes et al., 2013</w:t>
      </w:r>
      <w:r w:rsidR="00494CE1">
        <w:rPr>
          <w:rFonts w:ascii="Times New Roman" w:hAnsi="Times New Roman" w:cs="Times New Roman"/>
          <w:sz w:val="24"/>
          <w:szCs w:val="24"/>
          <w:lang w:val="en-US"/>
        </w:rPr>
        <w:t>; Weber and Tarba, 2010</w:t>
      </w:r>
      <w:r w:rsidR="003E0074" w:rsidRPr="002B3E1D">
        <w:rPr>
          <w:rFonts w:ascii="Times New Roman" w:hAnsi="Times New Roman" w:cs="Times New Roman"/>
          <w:sz w:val="24"/>
          <w:szCs w:val="24"/>
          <w:lang w:val="en-US"/>
        </w:rPr>
        <w:t xml:space="preserve">), the development of a quantitatively verified, data-informed approach which combines structural and contextual </w:t>
      </w:r>
      <w:r>
        <w:rPr>
          <w:rFonts w:ascii="Times New Roman" w:hAnsi="Times New Roman" w:cs="Times New Roman"/>
          <w:sz w:val="24"/>
          <w:szCs w:val="24"/>
          <w:lang w:val="en-US"/>
        </w:rPr>
        <w:t xml:space="preserve">solutions to </w:t>
      </w:r>
      <w:r w:rsidR="003E0074" w:rsidRPr="002B3E1D">
        <w:rPr>
          <w:rFonts w:ascii="Times New Roman" w:hAnsi="Times New Roman" w:cs="Times New Roman"/>
          <w:sz w:val="24"/>
          <w:szCs w:val="24"/>
          <w:lang w:val="en-US"/>
        </w:rPr>
        <w:t>OA is a valuable device for managers responsible for assuring the success of the post-merger business. By integrating a micro-foundational appreciation and understanding into strategic planning, actions and reactions, managers and employees are likely to build stronger contextual ambidextrous fabric in the organization, leading to potentially improved organizational outcomes.</w:t>
      </w:r>
      <w:r w:rsidR="003E0074" w:rsidRPr="002B3E1D">
        <w:rPr>
          <w:rFonts w:asciiTheme="majorBidi" w:hAnsiTheme="majorBidi" w:cstheme="majorBidi"/>
          <w:bCs/>
          <w:sz w:val="24"/>
          <w:szCs w:val="24"/>
          <w:lang w:val="en-US"/>
        </w:rPr>
        <w:t xml:space="preserve"> </w:t>
      </w:r>
    </w:p>
    <w:p w14:paraId="34CF4707" w14:textId="77777777" w:rsidR="006666B0" w:rsidRPr="002B3E1D" w:rsidRDefault="006666B0" w:rsidP="003E0074">
      <w:pPr>
        <w:autoSpaceDE w:val="0"/>
        <w:autoSpaceDN w:val="0"/>
        <w:adjustRightInd w:val="0"/>
        <w:spacing w:after="0" w:line="480" w:lineRule="auto"/>
        <w:jc w:val="both"/>
        <w:rPr>
          <w:rFonts w:asciiTheme="majorBidi" w:hAnsiTheme="majorBidi" w:cstheme="majorBidi"/>
          <w:bCs/>
          <w:sz w:val="24"/>
          <w:szCs w:val="24"/>
          <w:lang w:val="en-US"/>
        </w:rPr>
      </w:pPr>
    </w:p>
    <w:p w14:paraId="0EE4B32F" w14:textId="77777777" w:rsidR="006666B0" w:rsidRPr="002B3E1D" w:rsidRDefault="006666B0" w:rsidP="006666B0">
      <w:pPr>
        <w:autoSpaceDE w:val="0"/>
        <w:autoSpaceDN w:val="0"/>
        <w:adjustRightInd w:val="0"/>
        <w:spacing w:after="0" w:line="480" w:lineRule="auto"/>
        <w:jc w:val="both"/>
        <w:rPr>
          <w:rFonts w:asciiTheme="majorBidi" w:hAnsiTheme="majorBidi" w:cstheme="majorBidi"/>
          <w:b/>
          <w:bCs/>
          <w:sz w:val="24"/>
          <w:szCs w:val="24"/>
          <w:lang w:val="en-US"/>
        </w:rPr>
      </w:pPr>
      <w:r w:rsidRPr="002B3E1D">
        <w:rPr>
          <w:rFonts w:asciiTheme="majorBidi" w:hAnsiTheme="majorBidi" w:cstheme="majorBidi"/>
          <w:b/>
          <w:bCs/>
          <w:sz w:val="24"/>
          <w:szCs w:val="24"/>
          <w:lang w:val="en-US"/>
        </w:rPr>
        <w:t>Managerial Implications</w:t>
      </w:r>
    </w:p>
    <w:p w14:paraId="76BACB2B" w14:textId="4762D805" w:rsidR="006666B0" w:rsidRPr="002B3E1D" w:rsidRDefault="006666B0" w:rsidP="006666B0">
      <w:pPr>
        <w:autoSpaceDE w:val="0"/>
        <w:autoSpaceDN w:val="0"/>
        <w:adjustRightInd w:val="0"/>
        <w:spacing w:after="0" w:line="480" w:lineRule="auto"/>
        <w:jc w:val="both"/>
        <w:rPr>
          <w:rFonts w:asciiTheme="majorBidi" w:hAnsiTheme="majorBidi" w:cstheme="majorBidi"/>
          <w:bCs/>
          <w:sz w:val="24"/>
          <w:szCs w:val="24"/>
          <w:lang w:val="en-US"/>
        </w:rPr>
      </w:pPr>
      <w:r>
        <w:rPr>
          <w:rFonts w:asciiTheme="majorBidi" w:hAnsiTheme="majorBidi" w:cstheme="majorBidi"/>
          <w:bCs/>
          <w:sz w:val="24"/>
          <w:szCs w:val="24"/>
          <w:lang w:val="en-US"/>
        </w:rPr>
        <w:t>M</w:t>
      </w:r>
      <w:r w:rsidRPr="002B3E1D">
        <w:rPr>
          <w:rFonts w:asciiTheme="majorBidi" w:hAnsiTheme="majorBidi" w:cstheme="majorBidi"/>
          <w:bCs/>
          <w:sz w:val="24"/>
          <w:szCs w:val="24"/>
          <w:lang w:val="en-US"/>
        </w:rPr>
        <w:t>anage</w:t>
      </w:r>
      <w:r>
        <w:rPr>
          <w:rFonts w:asciiTheme="majorBidi" w:hAnsiTheme="majorBidi" w:cstheme="majorBidi"/>
          <w:bCs/>
          <w:sz w:val="24"/>
          <w:szCs w:val="24"/>
          <w:lang w:val="en-US"/>
        </w:rPr>
        <w:t>rs</w:t>
      </w:r>
      <w:r w:rsidRPr="002B3E1D">
        <w:rPr>
          <w:rFonts w:asciiTheme="majorBidi" w:hAnsiTheme="majorBidi" w:cstheme="majorBidi"/>
          <w:bCs/>
          <w:sz w:val="24"/>
          <w:szCs w:val="24"/>
          <w:lang w:val="en-US"/>
        </w:rPr>
        <w:t xml:space="preserve"> should work to create spaces and processes where </w:t>
      </w:r>
      <w:r>
        <w:rPr>
          <w:rFonts w:asciiTheme="majorBidi" w:hAnsiTheme="majorBidi" w:cstheme="majorBidi"/>
          <w:bCs/>
          <w:sz w:val="24"/>
          <w:szCs w:val="24"/>
          <w:lang w:val="en-US"/>
        </w:rPr>
        <w:t>the micro-foundations of OA may</w:t>
      </w:r>
      <w:r w:rsidRPr="002B3E1D">
        <w:rPr>
          <w:rFonts w:asciiTheme="majorBidi" w:hAnsiTheme="majorBidi" w:cstheme="majorBidi"/>
          <w:bCs/>
          <w:sz w:val="24"/>
          <w:szCs w:val="24"/>
          <w:lang w:val="en-US"/>
        </w:rPr>
        <w:t xml:space="preserve"> occur. These </w:t>
      </w:r>
      <w:r>
        <w:rPr>
          <w:rFonts w:asciiTheme="majorBidi" w:hAnsiTheme="majorBidi" w:cstheme="majorBidi"/>
          <w:bCs/>
          <w:sz w:val="24"/>
          <w:szCs w:val="24"/>
          <w:lang w:val="en-US"/>
        </w:rPr>
        <w:t>sh</w:t>
      </w:r>
      <w:r w:rsidRPr="002B3E1D">
        <w:rPr>
          <w:rFonts w:asciiTheme="majorBidi" w:hAnsiTheme="majorBidi" w:cstheme="majorBidi"/>
          <w:bCs/>
          <w:sz w:val="24"/>
          <w:szCs w:val="24"/>
          <w:lang w:val="en-US"/>
        </w:rPr>
        <w:t xml:space="preserve">ould comprise, for example, </w:t>
      </w:r>
      <w:r w:rsidR="00316275">
        <w:rPr>
          <w:rFonts w:asciiTheme="majorBidi" w:hAnsiTheme="majorBidi" w:cstheme="majorBidi"/>
          <w:bCs/>
          <w:sz w:val="24"/>
          <w:szCs w:val="24"/>
          <w:lang w:val="en-US"/>
        </w:rPr>
        <w:t xml:space="preserve">of </w:t>
      </w:r>
      <w:r>
        <w:rPr>
          <w:rFonts w:asciiTheme="majorBidi" w:hAnsiTheme="majorBidi" w:cstheme="majorBidi"/>
          <w:bCs/>
          <w:sz w:val="24"/>
          <w:szCs w:val="24"/>
          <w:lang w:val="en-US"/>
        </w:rPr>
        <w:t>a</w:t>
      </w:r>
      <w:r w:rsidRPr="002B3E1D">
        <w:rPr>
          <w:rFonts w:asciiTheme="majorBidi" w:hAnsiTheme="majorBidi" w:cstheme="majorBidi"/>
          <w:bCs/>
          <w:sz w:val="24"/>
          <w:szCs w:val="24"/>
          <w:lang w:val="en-US"/>
        </w:rPr>
        <w:t xml:space="preserve"> greater recognition of a role for micro-foundational self-aggregating work project</w:t>
      </w:r>
      <w:r>
        <w:rPr>
          <w:rFonts w:asciiTheme="majorBidi" w:hAnsiTheme="majorBidi" w:cstheme="majorBidi"/>
          <w:bCs/>
          <w:sz w:val="24"/>
          <w:szCs w:val="24"/>
          <w:lang w:val="en-US"/>
        </w:rPr>
        <w:t>s</w:t>
      </w:r>
      <w:r w:rsidRPr="002B3E1D">
        <w:rPr>
          <w:rFonts w:asciiTheme="majorBidi" w:hAnsiTheme="majorBidi" w:cstheme="majorBidi"/>
          <w:bCs/>
          <w:sz w:val="24"/>
          <w:szCs w:val="24"/>
          <w:lang w:val="en-US"/>
        </w:rPr>
        <w:t xml:space="preserve"> and interest groups. These would engender knowledge sharing and create stronger units which </w:t>
      </w:r>
      <w:r w:rsidR="00316275">
        <w:rPr>
          <w:rFonts w:asciiTheme="majorBidi" w:hAnsiTheme="majorBidi" w:cstheme="majorBidi"/>
          <w:bCs/>
          <w:sz w:val="24"/>
          <w:szCs w:val="24"/>
          <w:lang w:val="en-US"/>
        </w:rPr>
        <w:t>can</w:t>
      </w:r>
      <w:r w:rsidRPr="002B3E1D">
        <w:rPr>
          <w:rFonts w:asciiTheme="majorBidi" w:hAnsiTheme="majorBidi" w:cstheme="majorBidi"/>
          <w:bCs/>
          <w:sz w:val="24"/>
          <w:szCs w:val="24"/>
          <w:lang w:val="en-US"/>
        </w:rPr>
        <w:t>, in turn, develop capabilities to chart the trajectory of OA. Equally, managers should clearly recognize that extant knowledge and capabilities reside in respective merging organizations prior to</w:t>
      </w:r>
      <w:r>
        <w:rPr>
          <w:rFonts w:asciiTheme="majorBidi" w:hAnsiTheme="majorBidi" w:cstheme="majorBidi"/>
          <w:bCs/>
          <w:sz w:val="24"/>
          <w:szCs w:val="24"/>
          <w:lang w:val="en-US"/>
        </w:rPr>
        <w:t xml:space="preserve"> the</w:t>
      </w:r>
      <w:r w:rsidRPr="002B3E1D">
        <w:rPr>
          <w:rFonts w:asciiTheme="majorBidi" w:hAnsiTheme="majorBidi" w:cstheme="majorBidi"/>
          <w:bCs/>
          <w:sz w:val="24"/>
          <w:szCs w:val="24"/>
          <w:lang w:val="en-US"/>
        </w:rPr>
        <w:t xml:space="preserve"> merger and that it is an integral part of the role of the merger to ensure that these can be optimized through OA </w:t>
      </w:r>
      <w:r w:rsidRPr="002B3E1D">
        <w:rPr>
          <w:rFonts w:asciiTheme="majorBidi" w:hAnsiTheme="majorBidi" w:cstheme="majorBidi"/>
          <w:bCs/>
          <w:sz w:val="24"/>
          <w:szCs w:val="24"/>
          <w:lang w:val="en-US"/>
        </w:rPr>
        <w:lastRenderedPageBreak/>
        <w:t xml:space="preserve">processes. </w:t>
      </w:r>
      <w:r>
        <w:rPr>
          <w:rFonts w:asciiTheme="majorBidi" w:hAnsiTheme="majorBidi" w:cstheme="majorBidi"/>
          <w:bCs/>
          <w:sz w:val="24"/>
          <w:szCs w:val="24"/>
          <w:lang w:val="en-US"/>
        </w:rPr>
        <w:t>T</w:t>
      </w:r>
      <w:r w:rsidRPr="002B3E1D">
        <w:rPr>
          <w:rFonts w:asciiTheme="majorBidi" w:hAnsiTheme="majorBidi" w:cstheme="majorBidi"/>
          <w:bCs/>
          <w:sz w:val="24"/>
          <w:szCs w:val="24"/>
          <w:lang w:val="en-US"/>
        </w:rPr>
        <w:t xml:space="preserve">his is a responsibility of the managerial tiers of the combined organization. </w:t>
      </w:r>
      <w:r w:rsidRPr="002B3E1D">
        <w:rPr>
          <w:rFonts w:ascii="Times New Roman" w:hAnsi="Times New Roman" w:cs="Times New Roman"/>
          <w:sz w:val="24"/>
          <w:szCs w:val="24"/>
          <w:lang w:val="en-US"/>
        </w:rPr>
        <w:t xml:space="preserve">Integration is vital to </w:t>
      </w:r>
      <w:r>
        <w:rPr>
          <w:rFonts w:ascii="Times New Roman" w:hAnsi="Times New Roman" w:cs="Times New Roman"/>
          <w:sz w:val="24"/>
          <w:szCs w:val="24"/>
          <w:lang w:val="en-US"/>
        </w:rPr>
        <w:t>support the</w:t>
      </w:r>
      <w:r w:rsidRPr="002B3E1D">
        <w:rPr>
          <w:rFonts w:ascii="Times New Roman" w:hAnsi="Times New Roman" w:cs="Times New Roman"/>
          <w:sz w:val="24"/>
          <w:szCs w:val="24"/>
          <w:lang w:val="en-US"/>
        </w:rPr>
        <w:t xml:space="preserve"> knowledge sharing</w:t>
      </w:r>
      <w:r>
        <w:rPr>
          <w:rFonts w:ascii="Times New Roman" w:hAnsi="Times New Roman" w:cs="Times New Roman"/>
          <w:sz w:val="24"/>
          <w:szCs w:val="24"/>
          <w:lang w:val="en-US"/>
        </w:rPr>
        <w:t xml:space="preserve"> that forms the bedrock of the micro-foundations of OA,</w:t>
      </w:r>
      <w:r w:rsidRPr="002B3E1D">
        <w:rPr>
          <w:rFonts w:ascii="Times New Roman" w:hAnsi="Times New Roman" w:cs="Times New Roman"/>
          <w:sz w:val="24"/>
          <w:szCs w:val="24"/>
          <w:lang w:val="en-US"/>
        </w:rPr>
        <w:t xml:space="preserve"> but corporate entrepreneurship has a trade-off when managers place emphasis on using the target’s firm’s capabilities</w:t>
      </w:r>
      <w:r>
        <w:rPr>
          <w:rFonts w:ascii="Times New Roman" w:hAnsi="Times New Roman" w:cs="Times New Roman"/>
          <w:sz w:val="24"/>
          <w:szCs w:val="24"/>
          <w:lang w:val="en-US"/>
        </w:rPr>
        <w:t xml:space="preserve">, deepening </w:t>
      </w:r>
      <w:r w:rsidR="00316275">
        <w:rPr>
          <w:rFonts w:ascii="Times New Roman" w:hAnsi="Times New Roman" w:cs="Times New Roman"/>
          <w:sz w:val="24"/>
          <w:szCs w:val="24"/>
          <w:lang w:val="en-US"/>
        </w:rPr>
        <w:t>its</w:t>
      </w:r>
      <w:r>
        <w:rPr>
          <w:rFonts w:ascii="Times New Roman" w:hAnsi="Times New Roman" w:cs="Times New Roman"/>
          <w:sz w:val="24"/>
          <w:szCs w:val="24"/>
          <w:lang w:val="en-US"/>
        </w:rPr>
        <w:t xml:space="preserve"> negative effect on OA. Relying on the target </w:t>
      </w:r>
      <w:r w:rsidR="00316275">
        <w:rPr>
          <w:rFonts w:ascii="Times New Roman" w:hAnsi="Times New Roman" w:cs="Times New Roman"/>
          <w:sz w:val="24"/>
          <w:szCs w:val="24"/>
          <w:lang w:val="en-US"/>
        </w:rPr>
        <w:t>firm’s</w:t>
      </w:r>
      <w:r>
        <w:rPr>
          <w:rFonts w:ascii="Times New Roman" w:hAnsi="Times New Roman" w:cs="Times New Roman"/>
          <w:sz w:val="24"/>
          <w:szCs w:val="24"/>
          <w:lang w:val="en-US"/>
        </w:rPr>
        <w:t xml:space="preserve"> </w:t>
      </w:r>
      <w:r w:rsidR="00316275">
        <w:rPr>
          <w:rFonts w:ascii="Times New Roman" w:hAnsi="Times New Roman" w:cs="Times New Roman"/>
          <w:sz w:val="24"/>
          <w:szCs w:val="24"/>
          <w:lang w:val="en-US"/>
        </w:rPr>
        <w:t>capabilities</w:t>
      </w:r>
      <w:r>
        <w:rPr>
          <w:rFonts w:ascii="Times New Roman" w:hAnsi="Times New Roman" w:cs="Times New Roman"/>
          <w:sz w:val="24"/>
          <w:szCs w:val="24"/>
          <w:lang w:val="en-US"/>
        </w:rPr>
        <w:t xml:space="preserve"> </w:t>
      </w:r>
      <w:r w:rsidR="00316275">
        <w:rPr>
          <w:rFonts w:ascii="Times New Roman" w:hAnsi="Times New Roman" w:cs="Times New Roman"/>
          <w:sz w:val="24"/>
          <w:szCs w:val="24"/>
          <w:lang w:val="en-US"/>
        </w:rPr>
        <w:t>is not appropriate strategy for OA, instead harming</w:t>
      </w:r>
      <w:r>
        <w:rPr>
          <w:rFonts w:ascii="Times New Roman" w:hAnsi="Times New Roman" w:cs="Times New Roman"/>
          <w:sz w:val="24"/>
          <w:szCs w:val="24"/>
          <w:lang w:val="en-US"/>
        </w:rPr>
        <w:t xml:space="preserve"> attempts at OA because the focus steers towards exploitative refinement, use and efficiency. Capability sharing is a better practice to support the micro-foundations of OA</w:t>
      </w:r>
      <w:r w:rsidR="00316275">
        <w:rPr>
          <w:rFonts w:ascii="Times New Roman" w:hAnsi="Times New Roman" w:cs="Times New Roman"/>
          <w:sz w:val="24"/>
          <w:szCs w:val="24"/>
          <w:lang w:val="en-US"/>
        </w:rPr>
        <w:t>,</w:t>
      </w:r>
      <w:r>
        <w:rPr>
          <w:rFonts w:ascii="Times New Roman" w:hAnsi="Times New Roman" w:cs="Times New Roman"/>
          <w:sz w:val="24"/>
          <w:szCs w:val="24"/>
          <w:lang w:val="en-US"/>
        </w:rPr>
        <w:t xml:space="preserve"> and is further enhanced when corporate entrepreneurship is embedded in the organization</w:t>
      </w:r>
      <w:r w:rsidRPr="002B3E1D">
        <w:rPr>
          <w:rFonts w:ascii="Times New Roman" w:hAnsi="Times New Roman" w:cs="Times New Roman"/>
          <w:sz w:val="24"/>
          <w:szCs w:val="24"/>
          <w:lang w:val="en-US"/>
        </w:rPr>
        <w:t xml:space="preserve">. </w:t>
      </w:r>
      <w:r w:rsidR="00316275">
        <w:rPr>
          <w:rFonts w:ascii="Times New Roman" w:hAnsi="Times New Roman" w:cs="Times New Roman"/>
          <w:sz w:val="24"/>
          <w:szCs w:val="24"/>
          <w:lang w:val="en-US"/>
        </w:rPr>
        <w:t>M</w:t>
      </w:r>
      <w:r w:rsidRPr="002B3E1D">
        <w:rPr>
          <w:rFonts w:ascii="Times New Roman" w:hAnsi="Times New Roman" w:cs="Times New Roman"/>
          <w:sz w:val="24"/>
          <w:szCs w:val="24"/>
          <w:lang w:val="en-US"/>
        </w:rPr>
        <w:t>anagers are advised to focus the corporate entrepreneurial efforts of the firm on acts of sharing capabilities with the target.</w:t>
      </w:r>
    </w:p>
    <w:p w14:paraId="77111A31" w14:textId="43BAF3E4" w:rsidR="006666B0" w:rsidRPr="002B3E1D" w:rsidRDefault="00B95A56" w:rsidP="006666B0">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Based on our findings, a</w:t>
      </w:r>
      <w:r w:rsidR="006666B0" w:rsidRPr="002B3E1D">
        <w:rPr>
          <w:rFonts w:ascii="Times New Roman" w:hAnsi="Times New Roman" w:cs="Times New Roman"/>
          <w:sz w:val="24"/>
          <w:szCs w:val="24"/>
          <w:lang w:val="en-US"/>
        </w:rPr>
        <w:t xml:space="preserve"> strong focus on contextual </w:t>
      </w:r>
      <w:r w:rsidR="0063057D">
        <w:rPr>
          <w:rFonts w:ascii="Times New Roman" w:hAnsi="Times New Roman" w:cs="Times New Roman"/>
          <w:sz w:val="24"/>
          <w:szCs w:val="24"/>
          <w:lang w:val="en-US"/>
        </w:rPr>
        <w:t>solutions to OA</w:t>
      </w:r>
      <w:r w:rsidR="006666B0" w:rsidRPr="002B3E1D">
        <w:rPr>
          <w:rFonts w:ascii="Times New Roman" w:hAnsi="Times New Roman" w:cs="Times New Roman"/>
          <w:sz w:val="24"/>
          <w:szCs w:val="24"/>
          <w:lang w:val="en-US"/>
        </w:rPr>
        <w:t xml:space="preserve"> is imperative in the post-merger phase</w:t>
      </w:r>
      <w:r>
        <w:rPr>
          <w:rFonts w:ascii="Times New Roman" w:hAnsi="Times New Roman" w:cs="Times New Roman"/>
          <w:sz w:val="24"/>
          <w:szCs w:val="24"/>
          <w:lang w:val="en-US"/>
        </w:rPr>
        <w:t>.</w:t>
      </w:r>
      <w:r w:rsidR="006666B0" w:rsidRPr="002B3E1D">
        <w:rPr>
          <w:rFonts w:ascii="Times New Roman" w:hAnsi="Times New Roman" w:cs="Times New Roman"/>
          <w:sz w:val="24"/>
          <w:szCs w:val="24"/>
          <w:lang w:val="en-US"/>
        </w:rPr>
        <w:t xml:space="preserve"> </w:t>
      </w:r>
      <w:r w:rsidR="00316275">
        <w:rPr>
          <w:rFonts w:ascii="Times New Roman" w:hAnsi="Times New Roman" w:cs="Times New Roman"/>
          <w:sz w:val="24"/>
          <w:szCs w:val="24"/>
          <w:lang w:val="en-US"/>
        </w:rPr>
        <w:t>T</w:t>
      </w:r>
      <w:r w:rsidR="006666B0" w:rsidRPr="002B3E1D">
        <w:rPr>
          <w:rFonts w:ascii="Times New Roman" w:hAnsi="Times New Roman" w:cs="Times New Roman"/>
          <w:sz w:val="24"/>
          <w:szCs w:val="24"/>
          <w:lang w:val="en-US"/>
        </w:rPr>
        <w:t xml:space="preserve">o nurture </w:t>
      </w:r>
      <w:r w:rsidR="00316275">
        <w:rPr>
          <w:rFonts w:ascii="Times New Roman" w:hAnsi="Times New Roman" w:cs="Times New Roman"/>
          <w:sz w:val="24"/>
          <w:szCs w:val="24"/>
          <w:lang w:val="en-US"/>
        </w:rPr>
        <w:t xml:space="preserve">the </w:t>
      </w:r>
      <w:r w:rsidR="006666B0" w:rsidRPr="002B3E1D">
        <w:rPr>
          <w:rFonts w:ascii="Times New Roman" w:hAnsi="Times New Roman" w:cs="Times New Roman"/>
          <w:sz w:val="24"/>
          <w:szCs w:val="24"/>
          <w:lang w:val="en-US"/>
        </w:rPr>
        <w:t>context</w:t>
      </w:r>
      <w:r w:rsidR="00316275">
        <w:rPr>
          <w:rFonts w:ascii="Times New Roman" w:hAnsi="Times New Roman" w:cs="Times New Roman"/>
          <w:sz w:val="24"/>
          <w:szCs w:val="24"/>
          <w:lang w:val="en-US"/>
        </w:rPr>
        <w:t xml:space="preserve"> for OA</w:t>
      </w:r>
      <w:r w:rsidR="006666B0" w:rsidRPr="002B3E1D">
        <w:rPr>
          <w:rFonts w:ascii="Times New Roman" w:hAnsi="Times New Roman" w:cs="Times New Roman"/>
          <w:sz w:val="24"/>
          <w:szCs w:val="24"/>
          <w:lang w:val="en-US"/>
        </w:rPr>
        <w:t xml:space="preserve">, managers need, for instance, to generate projects and initiatives which are likely to harmonize, synergize and integrate the cultures, values and beliefs of the employees of the two fusing firms. </w:t>
      </w:r>
      <w:r w:rsidR="00316275">
        <w:rPr>
          <w:rFonts w:ascii="Times New Roman" w:hAnsi="Times New Roman" w:cs="Times New Roman"/>
          <w:sz w:val="24"/>
          <w:szCs w:val="24"/>
          <w:lang w:val="en-US"/>
        </w:rPr>
        <w:t xml:space="preserve">Doing so enhances knowledge sharing needed for the emergence of OA. </w:t>
      </w:r>
      <w:r w:rsidR="006666B0" w:rsidRPr="002B3E1D">
        <w:rPr>
          <w:rFonts w:ascii="Times New Roman" w:hAnsi="Times New Roman" w:cs="Times New Roman"/>
          <w:sz w:val="24"/>
          <w:szCs w:val="24"/>
          <w:lang w:val="en-US"/>
        </w:rPr>
        <w:t>In addition, while a pre-disposition towards CE behavio</w:t>
      </w:r>
      <w:r w:rsidR="00E56818">
        <w:rPr>
          <w:rFonts w:ascii="Times New Roman" w:hAnsi="Times New Roman" w:cs="Times New Roman"/>
          <w:sz w:val="24"/>
          <w:szCs w:val="24"/>
          <w:lang w:val="en-US"/>
        </w:rPr>
        <w:t>u</w:t>
      </w:r>
      <w:r w:rsidR="006666B0" w:rsidRPr="002B3E1D">
        <w:rPr>
          <w:rFonts w:ascii="Times New Roman" w:hAnsi="Times New Roman" w:cs="Times New Roman"/>
          <w:sz w:val="24"/>
          <w:szCs w:val="24"/>
          <w:lang w:val="en-US"/>
        </w:rPr>
        <w:t xml:space="preserve">rs by the acquiring firm might </w:t>
      </w:r>
      <w:r w:rsidR="006666B0" w:rsidRPr="002B3E1D">
        <w:rPr>
          <w:rFonts w:ascii="Times New Roman" w:hAnsi="Times New Roman" w:cs="Times New Roman"/>
          <w:i/>
          <w:sz w:val="24"/>
          <w:szCs w:val="24"/>
          <w:lang w:val="en-US"/>
        </w:rPr>
        <w:t>prima facie</w:t>
      </w:r>
      <w:r w:rsidR="006666B0" w:rsidRPr="002B3E1D">
        <w:rPr>
          <w:rFonts w:ascii="Times New Roman" w:hAnsi="Times New Roman" w:cs="Times New Roman"/>
          <w:sz w:val="24"/>
          <w:szCs w:val="24"/>
          <w:lang w:val="en-US"/>
        </w:rPr>
        <w:t xml:space="preserve"> be seen as operating as a positive catalyst for undertaking such transitions, </w:t>
      </w:r>
      <w:r w:rsidR="00316275">
        <w:rPr>
          <w:rFonts w:ascii="Times New Roman" w:hAnsi="Times New Roman" w:cs="Times New Roman"/>
          <w:sz w:val="24"/>
          <w:szCs w:val="24"/>
          <w:lang w:val="en-US"/>
        </w:rPr>
        <w:t>this is not strictly</w:t>
      </w:r>
      <w:r w:rsidR="006666B0" w:rsidRPr="002B3E1D">
        <w:rPr>
          <w:rFonts w:ascii="Times New Roman" w:hAnsi="Times New Roman" w:cs="Times New Roman"/>
          <w:sz w:val="24"/>
          <w:szCs w:val="24"/>
          <w:lang w:val="en-US"/>
        </w:rPr>
        <w:t xml:space="preserve"> the case. CE</w:t>
      </w:r>
      <w:r w:rsidR="00316275">
        <w:rPr>
          <w:rFonts w:ascii="Times New Roman" w:hAnsi="Times New Roman" w:cs="Times New Roman"/>
          <w:sz w:val="24"/>
          <w:szCs w:val="24"/>
          <w:lang w:val="en-US"/>
        </w:rPr>
        <w:t xml:space="preserve"> does not augment the context for</w:t>
      </w:r>
      <w:r w:rsidR="006666B0" w:rsidRPr="002B3E1D">
        <w:rPr>
          <w:rFonts w:ascii="Times New Roman" w:hAnsi="Times New Roman" w:cs="Times New Roman"/>
          <w:sz w:val="24"/>
          <w:szCs w:val="24"/>
          <w:lang w:val="en-US"/>
        </w:rPr>
        <w:t xml:space="preserve"> knowledge sharing</w:t>
      </w:r>
      <w:r w:rsidR="00316275">
        <w:rPr>
          <w:rFonts w:ascii="Times New Roman" w:hAnsi="Times New Roman" w:cs="Times New Roman"/>
          <w:sz w:val="24"/>
          <w:szCs w:val="24"/>
          <w:lang w:val="en-US"/>
        </w:rPr>
        <w:t xml:space="preserve"> as a </w:t>
      </w:r>
      <w:r w:rsidR="00EC2641">
        <w:rPr>
          <w:rFonts w:ascii="Times New Roman" w:hAnsi="Times New Roman" w:cs="Times New Roman"/>
          <w:sz w:val="24"/>
          <w:szCs w:val="24"/>
          <w:lang w:val="en-US"/>
        </w:rPr>
        <w:t>pathway</w:t>
      </w:r>
      <w:r w:rsidR="00316275">
        <w:rPr>
          <w:rFonts w:ascii="Times New Roman" w:hAnsi="Times New Roman" w:cs="Times New Roman"/>
          <w:sz w:val="24"/>
          <w:szCs w:val="24"/>
          <w:lang w:val="en-US"/>
        </w:rPr>
        <w:t xml:space="preserve"> to OA. Integration does. But</w:t>
      </w:r>
      <w:r w:rsidR="00E13F94">
        <w:rPr>
          <w:rFonts w:ascii="Times New Roman" w:hAnsi="Times New Roman" w:cs="Times New Roman"/>
          <w:sz w:val="24"/>
          <w:szCs w:val="24"/>
          <w:lang w:val="en-US"/>
        </w:rPr>
        <w:t>,</w:t>
      </w:r>
      <w:r w:rsidR="00316275">
        <w:rPr>
          <w:rFonts w:ascii="Times New Roman" w:hAnsi="Times New Roman" w:cs="Times New Roman"/>
          <w:sz w:val="24"/>
          <w:szCs w:val="24"/>
          <w:lang w:val="en-US"/>
        </w:rPr>
        <w:t xml:space="preserve"> CE does augment the power of capability sharing as a foundation for OA, in part because sharing capabilities enables combining previously unrelated groups of capabilities in new ways to spark innovation efforts that are both exploratory and exploitative</w:t>
      </w:r>
      <w:r w:rsidR="006666B0" w:rsidRPr="002B3E1D">
        <w:rPr>
          <w:rFonts w:ascii="Times New Roman" w:hAnsi="Times New Roman" w:cs="Times New Roman"/>
          <w:sz w:val="24"/>
          <w:szCs w:val="24"/>
          <w:lang w:val="en-US"/>
        </w:rPr>
        <w:t>.</w:t>
      </w:r>
      <w:r w:rsidR="00316275">
        <w:rPr>
          <w:rFonts w:ascii="Times New Roman" w:hAnsi="Times New Roman" w:cs="Times New Roman"/>
          <w:sz w:val="24"/>
          <w:szCs w:val="24"/>
          <w:lang w:val="en-US"/>
        </w:rPr>
        <w:t xml:space="preserve"> In so doing, increased generation of new knowledge and knowledge sharing (even if relatively localized) are almost certainly by-products of this interaction.</w:t>
      </w:r>
      <w:r w:rsidR="006666B0" w:rsidRPr="002B3E1D">
        <w:rPr>
          <w:rFonts w:ascii="Times New Roman" w:hAnsi="Times New Roman" w:cs="Times New Roman"/>
          <w:sz w:val="24"/>
          <w:szCs w:val="24"/>
          <w:lang w:val="en-US"/>
        </w:rPr>
        <w:t xml:space="preserve"> </w:t>
      </w:r>
    </w:p>
    <w:p w14:paraId="6626C774" w14:textId="77777777" w:rsidR="00E62AA3" w:rsidRPr="002B3E1D" w:rsidRDefault="00E62AA3" w:rsidP="00F05E0B">
      <w:pPr>
        <w:spacing w:after="0" w:line="480" w:lineRule="auto"/>
        <w:rPr>
          <w:rFonts w:asciiTheme="majorBidi" w:hAnsiTheme="majorBidi" w:cstheme="majorBidi"/>
          <w:bCs/>
          <w:sz w:val="24"/>
          <w:szCs w:val="24"/>
          <w:lang w:val="en-US"/>
        </w:rPr>
      </w:pPr>
    </w:p>
    <w:p w14:paraId="78BE9E81" w14:textId="77777777" w:rsidR="00791B61" w:rsidRPr="002B3E1D" w:rsidRDefault="00791B61" w:rsidP="00791B61">
      <w:pPr>
        <w:autoSpaceDE w:val="0"/>
        <w:autoSpaceDN w:val="0"/>
        <w:adjustRightInd w:val="0"/>
        <w:spacing w:after="0" w:line="480" w:lineRule="auto"/>
        <w:jc w:val="both"/>
        <w:rPr>
          <w:rFonts w:asciiTheme="majorBidi" w:hAnsiTheme="majorBidi" w:cstheme="majorBidi"/>
          <w:b/>
          <w:bCs/>
          <w:sz w:val="24"/>
          <w:szCs w:val="24"/>
          <w:lang w:val="en-US"/>
        </w:rPr>
      </w:pPr>
      <w:r w:rsidRPr="002B3E1D">
        <w:rPr>
          <w:rFonts w:asciiTheme="majorBidi" w:hAnsiTheme="majorBidi" w:cstheme="majorBidi"/>
          <w:b/>
          <w:bCs/>
          <w:sz w:val="24"/>
          <w:szCs w:val="24"/>
          <w:lang w:val="en-US"/>
        </w:rPr>
        <w:t>Limitations</w:t>
      </w:r>
      <w:r w:rsidR="00CB51EE">
        <w:rPr>
          <w:rFonts w:asciiTheme="majorBidi" w:hAnsiTheme="majorBidi" w:cstheme="majorBidi"/>
          <w:b/>
          <w:bCs/>
          <w:sz w:val="24"/>
          <w:szCs w:val="24"/>
          <w:lang w:val="en-US"/>
        </w:rPr>
        <w:t xml:space="preserve"> and Future Research Considerations</w:t>
      </w:r>
    </w:p>
    <w:p w14:paraId="43D3B43F" w14:textId="77777777" w:rsidR="00CB51EE" w:rsidRDefault="00791B61" w:rsidP="00BB517D">
      <w:pPr>
        <w:spacing w:after="0" w:line="480" w:lineRule="auto"/>
        <w:jc w:val="both"/>
        <w:rPr>
          <w:rFonts w:ascii="Times New Roman" w:eastAsia="Batang" w:hAnsi="Times New Roman" w:cs="Times New Roman"/>
          <w:sz w:val="24"/>
          <w:szCs w:val="24"/>
          <w:lang w:val="en-US"/>
        </w:rPr>
      </w:pPr>
      <w:r w:rsidRPr="002B3E1D">
        <w:rPr>
          <w:rFonts w:ascii="Times New Roman" w:eastAsia="Batang" w:hAnsi="Times New Roman" w:cs="Times New Roman"/>
          <w:color w:val="000000"/>
          <w:sz w:val="24"/>
          <w:szCs w:val="24"/>
          <w:lang w:val="en-US"/>
        </w:rPr>
        <w:lastRenderedPageBreak/>
        <w:t xml:space="preserve">Some limitations bear on our findings. This study targeted recent cross-border </w:t>
      </w:r>
      <w:r w:rsidR="00562D43" w:rsidRPr="002B3E1D">
        <w:rPr>
          <w:rFonts w:ascii="Times New Roman" w:eastAsia="Batang" w:hAnsi="Times New Roman" w:cs="Times New Roman"/>
          <w:color w:val="000000"/>
          <w:sz w:val="24"/>
          <w:szCs w:val="24"/>
          <w:lang w:val="en-US"/>
        </w:rPr>
        <w:t>M&amp;A</w:t>
      </w:r>
      <w:r w:rsidRPr="002B3E1D">
        <w:rPr>
          <w:rFonts w:ascii="Times New Roman" w:eastAsia="Batang" w:hAnsi="Times New Roman" w:cs="Times New Roman"/>
          <w:color w:val="000000"/>
          <w:sz w:val="24"/>
          <w:szCs w:val="24"/>
          <w:lang w:val="en-US"/>
        </w:rPr>
        <w:t xml:space="preserve">s that were completed specifically between January 2012 and July 2015. However, according to Bresman et al. (2010), it may take five years to bring about stable advantages to both acquiring and acquired firms after </w:t>
      </w:r>
      <w:r w:rsidR="00562D43" w:rsidRPr="002B3E1D">
        <w:rPr>
          <w:rFonts w:ascii="Times New Roman" w:eastAsia="Batang" w:hAnsi="Times New Roman" w:cs="Times New Roman"/>
          <w:color w:val="000000"/>
          <w:sz w:val="24"/>
          <w:szCs w:val="24"/>
          <w:lang w:val="en-US"/>
        </w:rPr>
        <w:t>M&amp;A</w:t>
      </w:r>
      <w:r w:rsidRPr="002B3E1D">
        <w:rPr>
          <w:rFonts w:ascii="Times New Roman" w:eastAsia="Batang" w:hAnsi="Times New Roman" w:cs="Times New Roman"/>
          <w:color w:val="000000"/>
          <w:sz w:val="24"/>
          <w:szCs w:val="24"/>
          <w:lang w:val="en-US"/>
        </w:rPr>
        <w:t xml:space="preserve"> completion. D</w:t>
      </w:r>
      <w:r w:rsidRPr="002B3E1D">
        <w:rPr>
          <w:rFonts w:ascii="Times New Roman" w:eastAsia="Batang" w:hAnsi="Times New Roman" w:cs="Times New Roman"/>
          <w:sz w:val="24"/>
          <w:szCs w:val="24"/>
          <w:lang w:val="en-US"/>
        </w:rPr>
        <w:t xml:space="preserve">uring the early stage of </w:t>
      </w:r>
      <w:r w:rsidR="00562D43" w:rsidRPr="002B3E1D">
        <w:rPr>
          <w:rFonts w:ascii="Times New Roman" w:eastAsia="Batang" w:hAnsi="Times New Roman" w:cs="Times New Roman"/>
          <w:sz w:val="24"/>
          <w:szCs w:val="24"/>
          <w:lang w:val="en-US"/>
        </w:rPr>
        <w:t>M&amp;A</w:t>
      </w:r>
      <w:r w:rsidRPr="002B3E1D">
        <w:rPr>
          <w:rFonts w:ascii="Times New Roman" w:eastAsia="Batang" w:hAnsi="Times New Roman" w:cs="Times New Roman"/>
          <w:sz w:val="24"/>
          <w:szCs w:val="24"/>
          <w:lang w:val="en-US"/>
        </w:rPr>
        <w:t xml:space="preserve">s, transition might still be in progress such that the </w:t>
      </w:r>
      <w:r w:rsidR="00562D43" w:rsidRPr="002B3E1D">
        <w:rPr>
          <w:rFonts w:ascii="Times New Roman" w:eastAsia="Batang" w:hAnsi="Times New Roman" w:cs="Times New Roman"/>
          <w:sz w:val="24"/>
          <w:szCs w:val="24"/>
          <w:lang w:val="en-US"/>
        </w:rPr>
        <w:t>M&amp;A</w:t>
      </w:r>
      <w:r w:rsidRPr="002B3E1D">
        <w:rPr>
          <w:rFonts w:ascii="Times New Roman" w:eastAsia="Batang" w:hAnsi="Times New Roman" w:cs="Times New Roman"/>
          <w:sz w:val="24"/>
          <w:szCs w:val="24"/>
          <w:lang w:val="en-US"/>
        </w:rPr>
        <w:t xml:space="preserve"> might not produce sufficient outcomes for both acquiring and acquired firms in our data collection timeframe. Therefore, future research could expand the time span and incorporate samples of firms that have stabilized their post-acquisition processes to improve the generalization of our research findings</w:t>
      </w:r>
      <w:r w:rsidR="00FB1291" w:rsidRPr="002B3E1D">
        <w:rPr>
          <w:rFonts w:ascii="Times New Roman" w:eastAsia="Batang" w:hAnsi="Times New Roman" w:cs="Times New Roman"/>
          <w:sz w:val="24"/>
          <w:szCs w:val="24"/>
          <w:lang w:val="en-US"/>
        </w:rPr>
        <w:t>.</w:t>
      </w:r>
    </w:p>
    <w:p w14:paraId="2BB6B89E" w14:textId="2C3BA93E" w:rsidR="00CB51EE" w:rsidRDefault="00E13F94" w:rsidP="00CB51EE">
      <w:pPr>
        <w:spacing w:after="0" w:line="480" w:lineRule="auto"/>
        <w:ind w:firstLine="720"/>
        <w:jc w:val="both"/>
        <w:rPr>
          <w:rFonts w:asciiTheme="majorBidi" w:hAnsiTheme="majorBidi" w:cstheme="majorBidi"/>
          <w:bCs/>
          <w:sz w:val="24"/>
          <w:szCs w:val="24"/>
          <w:lang w:val="en-US"/>
        </w:rPr>
      </w:pPr>
      <w:r>
        <w:rPr>
          <w:rFonts w:asciiTheme="majorBidi" w:hAnsiTheme="majorBidi" w:cstheme="majorBidi"/>
          <w:bCs/>
          <w:sz w:val="24"/>
          <w:szCs w:val="24"/>
          <w:lang w:val="en-US"/>
        </w:rPr>
        <w:t>Associated with</w:t>
      </w:r>
      <w:r w:rsidR="00791B61" w:rsidRPr="002B3E1D">
        <w:rPr>
          <w:rFonts w:asciiTheme="majorBidi" w:hAnsiTheme="majorBidi" w:cstheme="majorBidi"/>
          <w:bCs/>
          <w:sz w:val="24"/>
          <w:szCs w:val="24"/>
          <w:lang w:val="en-US"/>
        </w:rPr>
        <w:t xml:space="preserve"> the assumption that an acquiring and an acquired firm have a shared perspective on the amount and kind of knowledge and capability shared by each other (Capron et al., 1998), this study argues that an acquiring firm can accurately capture sharing activities with an acquired firm. Moreover, based on the assumption that an acquiring firm attends to acquired employees’ emotions and takes into consideration their reaction to the </w:t>
      </w:r>
      <w:r w:rsidR="00562D43" w:rsidRPr="002B3E1D">
        <w:rPr>
          <w:rFonts w:asciiTheme="majorBidi" w:hAnsiTheme="majorBidi" w:cstheme="majorBidi"/>
          <w:bCs/>
          <w:sz w:val="24"/>
          <w:szCs w:val="24"/>
          <w:lang w:val="en-US"/>
        </w:rPr>
        <w:t>M&amp;A</w:t>
      </w:r>
      <w:r w:rsidR="00791B61" w:rsidRPr="002B3E1D">
        <w:rPr>
          <w:rFonts w:asciiTheme="majorBidi" w:hAnsiTheme="majorBidi" w:cstheme="majorBidi"/>
          <w:bCs/>
          <w:sz w:val="24"/>
          <w:szCs w:val="24"/>
          <w:lang w:val="en-US"/>
        </w:rPr>
        <w:t xml:space="preserve"> (Larsson </w:t>
      </w:r>
      <w:r w:rsidR="008F5536" w:rsidRPr="002B3E1D">
        <w:rPr>
          <w:rFonts w:asciiTheme="majorBidi" w:hAnsiTheme="majorBidi" w:cstheme="majorBidi"/>
          <w:bCs/>
          <w:sz w:val="24"/>
          <w:szCs w:val="24"/>
          <w:lang w:val="en-US"/>
        </w:rPr>
        <w:t>and</w:t>
      </w:r>
      <w:r w:rsidR="00791B61" w:rsidRPr="002B3E1D">
        <w:rPr>
          <w:rFonts w:asciiTheme="majorBidi" w:hAnsiTheme="majorBidi" w:cstheme="majorBidi"/>
          <w:bCs/>
          <w:sz w:val="24"/>
          <w:szCs w:val="24"/>
          <w:lang w:val="en-US"/>
        </w:rPr>
        <w:t xml:space="preserve"> Finkelstein, 1999; Reus, 2012), this study assumes that they can accurately capture an acquired firm’s willingness and capacities to share knowledge and capabilities. However, human assets cannot be controlled like tang</w:t>
      </w:r>
      <w:r w:rsidR="008F5536" w:rsidRPr="002B3E1D">
        <w:rPr>
          <w:rFonts w:asciiTheme="majorBidi" w:hAnsiTheme="majorBidi" w:cstheme="majorBidi"/>
          <w:bCs/>
          <w:sz w:val="24"/>
          <w:szCs w:val="24"/>
          <w:lang w:val="en-US"/>
        </w:rPr>
        <w:t>ib</w:t>
      </w:r>
      <w:r w:rsidR="00791B61" w:rsidRPr="002B3E1D">
        <w:rPr>
          <w:rFonts w:asciiTheme="majorBidi" w:hAnsiTheme="majorBidi" w:cstheme="majorBidi"/>
          <w:bCs/>
          <w:sz w:val="24"/>
          <w:szCs w:val="24"/>
          <w:lang w:val="en-US"/>
        </w:rPr>
        <w:t xml:space="preserve">le resources such as equipment and technologies (Kiessling et al., 2012). Without </w:t>
      </w:r>
      <w:r w:rsidR="008F5536" w:rsidRPr="002B3E1D">
        <w:rPr>
          <w:rFonts w:asciiTheme="majorBidi" w:hAnsiTheme="majorBidi" w:cstheme="majorBidi"/>
          <w:bCs/>
          <w:sz w:val="24"/>
          <w:szCs w:val="24"/>
          <w:lang w:val="en-US"/>
        </w:rPr>
        <w:t>further</w:t>
      </w:r>
      <w:r w:rsidR="00791B61" w:rsidRPr="002B3E1D">
        <w:rPr>
          <w:rFonts w:asciiTheme="majorBidi" w:hAnsiTheme="majorBidi" w:cstheme="majorBidi"/>
          <w:bCs/>
          <w:sz w:val="24"/>
          <w:szCs w:val="24"/>
          <w:lang w:val="en-US"/>
        </w:rPr>
        <w:t xml:space="preserve"> evidence on knowledge sharing and capability sharing from the perspective of acquired employees, </w:t>
      </w:r>
      <w:r w:rsidR="008F5536" w:rsidRPr="002B3E1D">
        <w:rPr>
          <w:rFonts w:ascii="Times New Roman" w:eastAsiaTheme="minorEastAsia" w:hAnsi="Times New Roman" w:cs="Times New Roman"/>
          <w:sz w:val="24"/>
          <w:szCs w:val="24"/>
          <w:lang w:val="en-US"/>
        </w:rPr>
        <w:t>further extrapolation of our findings are constrained to the acquiring firm</w:t>
      </w:r>
      <w:r w:rsidR="00791B61" w:rsidRPr="002B3E1D">
        <w:rPr>
          <w:rFonts w:asciiTheme="majorBidi" w:hAnsiTheme="majorBidi" w:cstheme="majorBidi"/>
          <w:bCs/>
          <w:sz w:val="24"/>
          <w:szCs w:val="24"/>
          <w:lang w:val="en-US"/>
        </w:rPr>
        <w:t xml:space="preserve">. </w:t>
      </w:r>
      <w:r w:rsidR="00CB51EE">
        <w:rPr>
          <w:rFonts w:asciiTheme="majorBidi" w:hAnsiTheme="majorBidi" w:cstheme="majorBidi"/>
          <w:bCs/>
          <w:sz w:val="24"/>
          <w:szCs w:val="24"/>
          <w:lang w:val="en-US"/>
        </w:rPr>
        <w:t>T</w:t>
      </w:r>
      <w:r w:rsidR="00791B61" w:rsidRPr="002B3E1D">
        <w:rPr>
          <w:rFonts w:asciiTheme="majorBidi" w:hAnsiTheme="majorBidi" w:cstheme="majorBidi"/>
          <w:bCs/>
          <w:sz w:val="24"/>
          <w:szCs w:val="24"/>
          <w:lang w:val="en-US"/>
        </w:rPr>
        <w:t xml:space="preserve">his study would have benefited from further data from multiple respondents involved in the cross-border </w:t>
      </w:r>
      <w:r w:rsidR="00562D43" w:rsidRPr="002B3E1D">
        <w:rPr>
          <w:rFonts w:asciiTheme="majorBidi" w:hAnsiTheme="majorBidi" w:cstheme="majorBidi"/>
          <w:bCs/>
          <w:sz w:val="24"/>
          <w:szCs w:val="24"/>
          <w:lang w:val="en-US"/>
        </w:rPr>
        <w:t>M&amp;A</w:t>
      </w:r>
      <w:r w:rsidR="00791B61" w:rsidRPr="002B3E1D">
        <w:rPr>
          <w:rFonts w:asciiTheme="majorBidi" w:hAnsiTheme="majorBidi" w:cstheme="majorBidi"/>
          <w:bCs/>
          <w:sz w:val="24"/>
          <w:szCs w:val="24"/>
          <w:lang w:val="en-US"/>
        </w:rPr>
        <w:t xml:space="preserve"> deals</w:t>
      </w:r>
      <w:r w:rsidR="008F5536" w:rsidRPr="002B3E1D">
        <w:rPr>
          <w:rFonts w:asciiTheme="majorBidi" w:hAnsiTheme="majorBidi" w:cstheme="majorBidi"/>
          <w:bCs/>
          <w:sz w:val="24"/>
          <w:szCs w:val="24"/>
          <w:lang w:val="en-US"/>
        </w:rPr>
        <w:t>.</w:t>
      </w:r>
      <w:r w:rsidR="00791B61" w:rsidRPr="002B3E1D">
        <w:rPr>
          <w:rFonts w:asciiTheme="majorBidi" w:hAnsiTheme="majorBidi" w:cstheme="majorBidi"/>
          <w:bCs/>
          <w:sz w:val="24"/>
          <w:szCs w:val="24"/>
          <w:lang w:val="en-US"/>
        </w:rPr>
        <w:t xml:space="preserve"> </w:t>
      </w:r>
      <w:r w:rsidR="008F5536" w:rsidRPr="002B3E1D">
        <w:rPr>
          <w:rFonts w:asciiTheme="majorBidi" w:hAnsiTheme="majorBidi" w:cstheme="majorBidi"/>
          <w:bCs/>
          <w:sz w:val="24"/>
          <w:szCs w:val="24"/>
          <w:lang w:val="en-US"/>
        </w:rPr>
        <w:t xml:space="preserve">Taken together, </w:t>
      </w:r>
      <w:r w:rsidR="00791B61" w:rsidRPr="002B3E1D">
        <w:rPr>
          <w:rFonts w:asciiTheme="majorBidi" w:hAnsiTheme="majorBidi" w:cstheme="majorBidi"/>
          <w:bCs/>
          <w:sz w:val="24"/>
          <w:szCs w:val="24"/>
          <w:lang w:val="en-US"/>
        </w:rPr>
        <w:t xml:space="preserve">future research has potential </w:t>
      </w:r>
      <w:r w:rsidR="008F5536" w:rsidRPr="002B3E1D">
        <w:rPr>
          <w:rFonts w:asciiTheme="majorBidi" w:hAnsiTheme="majorBidi" w:cstheme="majorBidi"/>
          <w:bCs/>
          <w:sz w:val="24"/>
          <w:szCs w:val="24"/>
          <w:lang w:val="en-US"/>
        </w:rPr>
        <w:t>to provide</w:t>
      </w:r>
      <w:r w:rsidR="00791B61" w:rsidRPr="002B3E1D">
        <w:rPr>
          <w:rFonts w:asciiTheme="majorBidi" w:hAnsiTheme="majorBidi" w:cstheme="majorBidi"/>
          <w:bCs/>
          <w:sz w:val="24"/>
          <w:szCs w:val="24"/>
          <w:lang w:val="en-US"/>
        </w:rPr>
        <w:t xml:space="preserve"> </w:t>
      </w:r>
      <w:r w:rsidR="008F5536" w:rsidRPr="002B3E1D">
        <w:rPr>
          <w:rFonts w:asciiTheme="majorBidi" w:hAnsiTheme="majorBidi" w:cstheme="majorBidi"/>
          <w:bCs/>
          <w:sz w:val="24"/>
          <w:szCs w:val="24"/>
          <w:lang w:val="en-US"/>
        </w:rPr>
        <w:t>additional</w:t>
      </w:r>
      <w:r w:rsidR="00791B61" w:rsidRPr="002B3E1D">
        <w:rPr>
          <w:rFonts w:asciiTheme="majorBidi" w:hAnsiTheme="majorBidi" w:cstheme="majorBidi"/>
          <w:bCs/>
          <w:sz w:val="24"/>
          <w:szCs w:val="24"/>
          <w:lang w:val="en-US"/>
        </w:rPr>
        <w:t xml:space="preserve"> insights on </w:t>
      </w:r>
      <w:r w:rsidR="008F5536" w:rsidRPr="002B3E1D">
        <w:rPr>
          <w:rFonts w:ascii="Times New Roman" w:eastAsiaTheme="minorEastAsia" w:hAnsi="Times New Roman" w:cs="Times New Roman"/>
          <w:sz w:val="24"/>
          <w:szCs w:val="24"/>
          <w:lang w:val="en-US"/>
        </w:rPr>
        <w:t xml:space="preserve">the micro-foundations of </w:t>
      </w:r>
      <w:r w:rsidR="00791B61" w:rsidRPr="002B3E1D">
        <w:rPr>
          <w:rFonts w:asciiTheme="majorBidi" w:hAnsiTheme="majorBidi" w:cstheme="majorBidi"/>
          <w:bCs/>
          <w:sz w:val="24"/>
          <w:szCs w:val="24"/>
          <w:lang w:val="en-US"/>
        </w:rPr>
        <w:t>exploitati</w:t>
      </w:r>
      <w:r w:rsidR="008F5536" w:rsidRPr="002B3E1D">
        <w:rPr>
          <w:rFonts w:asciiTheme="majorBidi" w:hAnsiTheme="majorBidi" w:cstheme="majorBidi"/>
          <w:bCs/>
          <w:sz w:val="24"/>
          <w:szCs w:val="24"/>
          <w:lang w:val="en-US"/>
        </w:rPr>
        <w:t>on and exploration innovation</w:t>
      </w:r>
      <w:r w:rsidR="00791B61" w:rsidRPr="002B3E1D">
        <w:rPr>
          <w:rFonts w:asciiTheme="majorBidi" w:hAnsiTheme="majorBidi" w:cstheme="majorBidi"/>
          <w:bCs/>
          <w:sz w:val="24"/>
          <w:szCs w:val="24"/>
          <w:lang w:val="en-US"/>
        </w:rPr>
        <w:t>, taking the viewpoints of not only an acquiring firm but also an acquired firm and their respective employees.</w:t>
      </w:r>
      <w:r w:rsidR="00CB51EE">
        <w:rPr>
          <w:rFonts w:asciiTheme="majorBidi" w:hAnsiTheme="majorBidi" w:cstheme="majorBidi"/>
          <w:bCs/>
          <w:sz w:val="24"/>
          <w:szCs w:val="24"/>
          <w:lang w:val="en-US"/>
        </w:rPr>
        <w:t xml:space="preserve"> </w:t>
      </w:r>
    </w:p>
    <w:p w14:paraId="1BD5562C" w14:textId="37741847" w:rsidR="00E62AA3" w:rsidRDefault="004B62D6" w:rsidP="00CB51EE">
      <w:pPr>
        <w:spacing w:after="0" w:line="480" w:lineRule="auto"/>
        <w:ind w:firstLine="720"/>
        <w:jc w:val="both"/>
        <w:rPr>
          <w:rFonts w:asciiTheme="majorBidi" w:hAnsiTheme="majorBidi" w:cstheme="majorBidi"/>
          <w:bCs/>
          <w:sz w:val="24"/>
          <w:szCs w:val="24"/>
          <w:lang w:val="en-US"/>
        </w:rPr>
      </w:pPr>
      <w:r>
        <w:rPr>
          <w:rFonts w:asciiTheme="majorBidi" w:hAnsiTheme="majorBidi" w:cstheme="majorBidi"/>
          <w:bCs/>
          <w:sz w:val="24"/>
          <w:szCs w:val="24"/>
          <w:lang w:val="en-US"/>
        </w:rPr>
        <w:lastRenderedPageBreak/>
        <w:t>As</w:t>
      </w:r>
      <w:r w:rsidR="00CB51EE">
        <w:rPr>
          <w:rFonts w:asciiTheme="majorBidi" w:hAnsiTheme="majorBidi" w:cstheme="majorBidi"/>
          <w:bCs/>
          <w:sz w:val="24"/>
          <w:szCs w:val="24"/>
          <w:lang w:val="en-US"/>
        </w:rPr>
        <w:t xml:space="preserve"> we observe knowledge sharing to be a bedrock for OA, future research should consider alternative</w:t>
      </w:r>
      <w:r w:rsidR="00145E02">
        <w:rPr>
          <w:rFonts w:asciiTheme="majorBidi" w:hAnsiTheme="majorBidi" w:cstheme="majorBidi"/>
          <w:bCs/>
          <w:sz w:val="24"/>
          <w:szCs w:val="24"/>
          <w:lang w:val="en-US"/>
        </w:rPr>
        <w:t xml:space="preserve"> inter-organizational</w:t>
      </w:r>
      <w:r w:rsidR="00CB51EE">
        <w:rPr>
          <w:rFonts w:asciiTheme="majorBidi" w:hAnsiTheme="majorBidi" w:cstheme="majorBidi"/>
          <w:bCs/>
          <w:sz w:val="24"/>
          <w:szCs w:val="24"/>
          <w:lang w:val="en-US"/>
        </w:rPr>
        <w:t xml:space="preserve"> routes to new knowledge in which knowledge sharing is key, for example, joint ventures. Whether or not a joint venture can substitute for greater control over the context for OA is unclear. But as a key inter-organizational strategy, joint ventures </w:t>
      </w:r>
      <w:r w:rsidR="00145E02">
        <w:rPr>
          <w:rFonts w:asciiTheme="majorBidi" w:hAnsiTheme="majorBidi" w:cstheme="majorBidi"/>
          <w:bCs/>
          <w:sz w:val="24"/>
          <w:szCs w:val="24"/>
          <w:lang w:val="en-US"/>
        </w:rPr>
        <w:t>require</w:t>
      </w:r>
      <w:r w:rsidR="00CB51EE">
        <w:rPr>
          <w:rFonts w:asciiTheme="majorBidi" w:hAnsiTheme="majorBidi" w:cstheme="majorBidi"/>
          <w:bCs/>
          <w:sz w:val="24"/>
          <w:szCs w:val="24"/>
          <w:lang w:val="en-US"/>
        </w:rPr>
        <w:t xml:space="preserve"> investigation in the burgeoning landscape of inter-organizational solutions to the OA puzzle.</w:t>
      </w:r>
    </w:p>
    <w:p w14:paraId="6257A87B" w14:textId="15A24E6C" w:rsidR="004B62D6" w:rsidRPr="002B3E1D" w:rsidRDefault="004B62D6" w:rsidP="00CB51EE">
      <w:pPr>
        <w:spacing w:after="0" w:line="480" w:lineRule="auto"/>
        <w:ind w:firstLine="720"/>
        <w:jc w:val="both"/>
        <w:rPr>
          <w:rFonts w:asciiTheme="majorBidi" w:hAnsiTheme="majorBidi" w:cstheme="majorBidi"/>
          <w:bCs/>
          <w:sz w:val="24"/>
          <w:szCs w:val="24"/>
          <w:lang w:val="en-US"/>
        </w:rPr>
      </w:pPr>
      <w:r>
        <w:rPr>
          <w:rFonts w:asciiTheme="majorBidi" w:hAnsiTheme="majorBidi" w:cstheme="majorBidi"/>
          <w:bCs/>
          <w:sz w:val="24"/>
          <w:szCs w:val="24"/>
          <w:lang w:val="en-US"/>
        </w:rPr>
        <w:t>Finally, microfoundation</w:t>
      </w:r>
      <w:r w:rsidR="00E13F94">
        <w:rPr>
          <w:rFonts w:asciiTheme="majorBidi" w:hAnsiTheme="majorBidi" w:cstheme="majorBidi"/>
          <w:bCs/>
          <w:sz w:val="24"/>
          <w:szCs w:val="24"/>
          <w:lang w:val="en-US"/>
        </w:rPr>
        <w:t>al</w:t>
      </w:r>
      <w:r>
        <w:rPr>
          <w:rFonts w:asciiTheme="majorBidi" w:hAnsiTheme="majorBidi" w:cstheme="majorBidi"/>
          <w:bCs/>
          <w:sz w:val="24"/>
          <w:szCs w:val="24"/>
          <w:lang w:val="en-US"/>
        </w:rPr>
        <w:t xml:space="preserve"> effects on OA may differ between firms that are more and less innovative. </w:t>
      </w:r>
      <w:r w:rsidR="00880707">
        <w:rPr>
          <w:rFonts w:asciiTheme="majorBidi" w:hAnsiTheme="majorBidi" w:cstheme="majorBidi"/>
          <w:bCs/>
          <w:sz w:val="24"/>
          <w:szCs w:val="24"/>
          <w:lang w:val="en-US"/>
        </w:rPr>
        <w:t xml:space="preserve">In diverting resources into M&amp;A activity, firms may </w:t>
      </w:r>
      <w:r>
        <w:rPr>
          <w:rFonts w:asciiTheme="majorBidi" w:hAnsiTheme="majorBidi" w:cstheme="majorBidi"/>
          <w:bCs/>
          <w:sz w:val="24"/>
          <w:szCs w:val="24"/>
          <w:lang w:val="en-US"/>
        </w:rPr>
        <w:t>spend less in terms of R&amp;D expenditure (</w:t>
      </w:r>
      <w:r w:rsidR="00880707">
        <w:rPr>
          <w:rFonts w:asciiTheme="majorBidi" w:hAnsiTheme="majorBidi" w:cstheme="majorBidi"/>
          <w:bCs/>
          <w:sz w:val="24"/>
          <w:szCs w:val="24"/>
          <w:lang w:val="en-US"/>
        </w:rPr>
        <w:t xml:space="preserve">and so </w:t>
      </w:r>
      <w:r>
        <w:rPr>
          <w:rFonts w:asciiTheme="majorBidi" w:hAnsiTheme="majorBidi" w:cstheme="majorBidi"/>
          <w:bCs/>
          <w:sz w:val="24"/>
          <w:szCs w:val="24"/>
          <w:lang w:val="en-US"/>
        </w:rPr>
        <w:t xml:space="preserve">typically perceived to be less innovative), </w:t>
      </w:r>
      <w:r w:rsidR="00880707">
        <w:rPr>
          <w:rFonts w:asciiTheme="majorBidi" w:hAnsiTheme="majorBidi" w:cstheme="majorBidi"/>
          <w:bCs/>
          <w:sz w:val="24"/>
          <w:szCs w:val="24"/>
          <w:lang w:val="en-US"/>
        </w:rPr>
        <w:t xml:space="preserve">but could </w:t>
      </w:r>
      <w:r>
        <w:rPr>
          <w:rFonts w:asciiTheme="majorBidi" w:hAnsiTheme="majorBidi" w:cstheme="majorBidi"/>
          <w:bCs/>
          <w:sz w:val="24"/>
          <w:szCs w:val="24"/>
          <w:lang w:val="en-US"/>
        </w:rPr>
        <w:t xml:space="preserve">gain in terms of </w:t>
      </w:r>
      <w:r w:rsidR="00880707">
        <w:rPr>
          <w:rFonts w:asciiTheme="majorBidi" w:hAnsiTheme="majorBidi" w:cstheme="majorBidi"/>
          <w:bCs/>
          <w:sz w:val="24"/>
          <w:szCs w:val="24"/>
          <w:lang w:val="en-US"/>
        </w:rPr>
        <w:t xml:space="preserve">innovativeness through </w:t>
      </w:r>
      <w:r>
        <w:rPr>
          <w:rFonts w:asciiTheme="majorBidi" w:hAnsiTheme="majorBidi" w:cstheme="majorBidi"/>
          <w:bCs/>
          <w:sz w:val="24"/>
          <w:szCs w:val="24"/>
          <w:lang w:val="en-US"/>
        </w:rPr>
        <w:t xml:space="preserve">OA (through explorative and exploitative innovation) </w:t>
      </w:r>
      <w:r w:rsidR="00880707">
        <w:rPr>
          <w:rFonts w:asciiTheme="majorBidi" w:hAnsiTheme="majorBidi" w:cstheme="majorBidi"/>
          <w:bCs/>
          <w:sz w:val="24"/>
          <w:szCs w:val="24"/>
          <w:lang w:val="en-US"/>
        </w:rPr>
        <w:t>and subsequent</w:t>
      </w:r>
      <w:r>
        <w:rPr>
          <w:rFonts w:asciiTheme="majorBidi" w:hAnsiTheme="majorBidi" w:cstheme="majorBidi"/>
          <w:bCs/>
          <w:sz w:val="24"/>
          <w:szCs w:val="24"/>
          <w:lang w:val="en-US"/>
        </w:rPr>
        <w:t xml:space="preserve"> knowledge and capability sharing with acquired firms</w:t>
      </w:r>
      <w:r w:rsidR="00880707">
        <w:rPr>
          <w:rFonts w:asciiTheme="majorBidi" w:hAnsiTheme="majorBidi" w:cstheme="majorBidi"/>
          <w:bCs/>
          <w:sz w:val="24"/>
          <w:szCs w:val="24"/>
          <w:lang w:val="en-US"/>
        </w:rPr>
        <w:t>. Scholars and practitioners could better understand OA and its microfoundations in an M&amp;A context, then, by seeing to examine if results differ between innovative (or R&amp;D intense) and non-innovative (or less R&amp;D intense) firms.</w:t>
      </w:r>
    </w:p>
    <w:p w14:paraId="57E74FFF" w14:textId="77777777" w:rsidR="008F5536" w:rsidRPr="002B3E1D" w:rsidRDefault="008F5536" w:rsidP="001219C8">
      <w:pPr>
        <w:spacing w:after="0" w:line="480" w:lineRule="auto"/>
        <w:jc w:val="both"/>
        <w:rPr>
          <w:rFonts w:ascii="Times New Roman" w:hAnsi="Times New Roman" w:cs="Times New Roman"/>
          <w:sz w:val="24"/>
          <w:szCs w:val="24"/>
          <w:lang w:val="en-US"/>
        </w:rPr>
      </w:pPr>
    </w:p>
    <w:p w14:paraId="5FF4D741" w14:textId="77777777" w:rsidR="008F5536" w:rsidRPr="002B3E1D" w:rsidRDefault="008F5536" w:rsidP="008F5536">
      <w:pPr>
        <w:autoSpaceDE w:val="0"/>
        <w:autoSpaceDN w:val="0"/>
        <w:adjustRightInd w:val="0"/>
        <w:spacing w:after="0" w:line="480" w:lineRule="auto"/>
        <w:rPr>
          <w:rFonts w:ascii="Times New Roman" w:hAnsi="Times New Roman" w:cs="Times New Roman"/>
          <w:b/>
          <w:sz w:val="24"/>
          <w:szCs w:val="24"/>
          <w:lang w:val="en-US"/>
        </w:rPr>
      </w:pPr>
      <w:r w:rsidRPr="002B3E1D">
        <w:rPr>
          <w:rFonts w:ascii="Times New Roman" w:hAnsi="Times New Roman" w:cs="Times New Roman"/>
          <w:b/>
          <w:sz w:val="24"/>
          <w:szCs w:val="24"/>
          <w:lang w:val="en-US"/>
        </w:rPr>
        <w:t>CONCLUSION</w:t>
      </w:r>
    </w:p>
    <w:p w14:paraId="4EF2CED9" w14:textId="5168808C" w:rsidR="008F5536" w:rsidRPr="002B3E1D" w:rsidRDefault="008F5536" w:rsidP="008F5536">
      <w:pPr>
        <w:spacing w:after="0" w:line="480" w:lineRule="auto"/>
        <w:jc w:val="both"/>
        <w:rPr>
          <w:rFonts w:ascii="Times New Roman" w:hAnsi="Times New Roman" w:cs="Times New Roman"/>
          <w:sz w:val="24"/>
          <w:szCs w:val="24"/>
          <w:lang w:val="en-US"/>
        </w:rPr>
      </w:pPr>
      <w:r w:rsidRPr="002B3E1D">
        <w:rPr>
          <w:rFonts w:ascii="Times New Roman" w:hAnsi="Times New Roman" w:cs="Times New Roman"/>
          <w:sz w:val="24"/>
          <w:szCs w:val="24"/>
          <w:lang w:val="en-US"/>
        </w:rPr>
        <w:t>This study contributes to the micro-foundations of OA. By revealing the contingent value of employees’ knowledge sharing activity on OA, we show that its contribution is regulated by integration as a structural contingency directing individual behavio</w:t>
      </w:r>
      <w:r w:rsidR="00E56818">
        <w:rPr>
          <w:rFonts w:ascii="Times New Roman" w:hAnsi="Times New Roman" w:cs="Times New Roman"/>
          <w:sz w:val="24"/>
          <w:szCs w:val="24"/>
          <w:lang w:val="en-US"/>
        </w:rPr>
        <w:t>u</w:t>
      </w:r>
      <w:r w:rsidRPr="002B3E1D">
        <w:rPr>
          <w:rFonts w:ascii="Times New Roman" w:hAnsi="Times New Roman" w:cs="Times New Roman"/>
          <w:sz w:val="24"/>
          <w:szCs w:val="24"/>
          <w:lang w:val="en-US"/>
        </w:rPr>
        <w:t>r. The sharing and use of capabilities by individuals within the merging/acquiring firms also matter as micro-foundational factors, but their contribution is regulated by corporate entrepreneurship as a behavio</w:t>
      </w:r>
      <w:r w:rsidR="00E56818">
        <w:rPr>
          <w:rFonts w:ascii="Times New Roman" w:hAnsi="Times New Roman" w:cs="Times New Roman"/>
          <w:sz w:val="24"/>
          <w:szCs w:val="24"/>
          <w:lang w:val="en-US"/>
        </w:rPr>
        <w:t>u</w:t>
      </w:r>
      <w:r w:rsidRPr="002B3E1D">
        <w:rPr>
          <w:rFonts w:ascii="Times New Roman" w:hAnsi="Times New Roman" w:cs="Times New Roman"/>
          <w:sz w:val="24"/>
          <w:szCs w:val="24"/>
          <w:lang w:val="en-US"/>
        </w:rPr>
        <w:t>ral context for micro-foundations. In turn, the micro-foundations of OA rely on appreciating the integration betwee</w:t>
      </w:r>
      <w:bookmarkStart w:id="1" w:name="_GoBack"/>
      <w:bookmarkEnd w:id="1"/>
      <w:r w:rsidRPr="002B3E1D">
        <w:rPr>
          <w:rFonts w:ascii="Times New Roman" w:hAnsi="Times New Roman" w:cs="Times New Roman"/>
          <w:sz w:val="24"/>
          <w:szCs w:val="24"/>
          <w:lang w:val="en-US"/>
        </w:rPr>
        <w:t xml:space="preserve">n factors at multiple levels. Whilst light is shed on new conditions at play in this dynamic, </w:t>
      </w:r>
      <w:r w:rsidR="00E13F94">
        <w:rPr>
          <w:rFonts w:ascii="Times New Roman" w:hAnsi="Times New Roman" w:cs="Times New Roman"/>
          <w:sz w:val="24"/>
          <w:szCs w:val="24"/>
          <w:lang w:val="en-US"/>
        </w:rPr>
        <w:lastRenderedPageBreak/>
        <w:t xml:space="preserve">there is nevertheless an ongoing call for </w:t>
      </w:r>
      <w:r w:rsidRPr="002B3E1D">
        <w:rPr>
          <w:rFonts w:ascii="Times New Roman" w:hAnsi="Times New Roman" w:cs="Times New Roman"/>
          <w:sz w:val="24"/>
          <w:szCs w:val="24"/>
          <w:lang w:val="en-US"/>
        </w:rPr>
        <w:t>further theoretical and empirical scrutiny of the micro-foundations of OA</w:t>
      </w:r>
      <w:r w:rsidR="00E13F94">
        <w:rPr>
          <w:rFonts w:ascii="Times New Roman" w:hAnsi="Times New Roman" w:cs="Times New Roman"/>
          <w:sz w:val="24"/>
          <w:szCs w:val="24"/>
          <w:lang w:val="en-US"/>
        </w:rPr>
        <w:t>.</w:t>
      </w:r>
    </w:p>
    <w:p w14:paraId="53F64CCC" w14:textId="77777777" w:rsidR="00A215CE" w:rsidRPr="002B3E1D" w:rsidRDefault="00A215CE" w:rsidP="008F5536">
      <w:pPr>
        <w:spacing w:after="0" w:line="480" w:lineRule="auto"/>
        <w:jc w:val="both"/>
        <w:rPr>
          <w:rFonts w:ascii="Times New Roman" w:hAnsi="Times New Roman" w:cs="Times New Roman"/>
          <w:sz w:val="24"/>
          <w:szCs w:val="24"/>
          <w:lang w:val="en-US"/>
        </w:rPr>
      </w:pPr>
    </w:p>
    <w:p w14:paraId="2AED1284" w14:textId="77777777" w:rsidR="00A215CE" w:rsidRPr="002B3E1D" w:rsidRDefault="00A215CE">
      <w:pPr>
        <w:rPr>
          <w:rFonts w:ascii="Times New Roman" w:hAnsi="Times New Roman" w:cs="Times New Roman"/>
          <w:b/>
          <w:sz w:val="24"/>
          <w:szCs w:val="24"/>
          <w:lang w:val="en-US"/>
        </w:rPr>
      </w:pPr>
      <w:r w:rsidRPr="002B3E1D">
        <w:rPr>
          <w:rFonts w:ascii="Times New Roman" w:hAnsi="Times New Roman" w:cs="Times New Roman"/>
          <w:b/>
          <w:sz w:val="24"/>
          <w:szCs w:val="24"/>
          <w:lang w:val="en-US"/>
        </w:rPr>
        <w:br w:type="page"/>
      </w:r>
    </w:p>
    <w:p w14:paraId="63EC14B6" w14:textId="77777777" w:rsidR="008F5536" w:rsidRPr="002B3E1D" w:rsidRDefault="008F5536" w:rsidP="00FC5B58">
      <w:pPr>
        <w:spacing w:after="0" w:line="480" w:lineRule="auto"/>
        <w:rPr>
          <w:rFonts w:ascii="Times New Roman" w:hAnsi="Times New Roman" w:cs="Times New Roman"/>
          <w:b/>
          <w:sz w:val="24"/>
          <w:szCs w:val="24"/>
          <w:lang w:val="en-US"/>
        </w:rPr>
      </w:pPr>
      <w:r w:rsidRPr="002B3E1D">
        <w:rPr>
          <w:rFonts w:ascii="Times New Roman" w:hAnsi="Times New Roman" w:cs="Times New Roman"/>
          <w:b/>
          <w:sz w:val="24"/>
          <w:szCs w:val="24"/>
          <w:lang w:val="en-US"/>
        </w:rPr>
        <w:lastRenderedPageBreak/>
        <w:t>REFERENCES</w:t>
      </w:r>
    </w:p>
    <w:p w14:paraId="72E3843F" w14:textId="77777777" w:rsidR="008F5536" w:rsidRPr="002B3E1D" w:rsidRDefault="008F5536" w:rsidP="008F5536">
      <w:pPr>
        <w:autoSpaceDE w:val="0"/>
        <w:autoSpaceDN w:val="0"/>
        <w:adjustRightInd w:val="0"/>
        <w:spacing w:after="0" w:line="240" w:lineRule="auto"/>
        <w:ind w:left="284" w:hanging="284"/>
        <w:jc w:val="both"/>
        <w:rPr>
          <w:rFonts w:ascii="Times New Roman" w:hAnsi="Times New Roman" w:cs="Times New Roman"/>
          <w:color w:val="222222"/>
          <w:sz w:val="24"/>
          <w:szCs w:val="24"/>
          <w:shd w:val="clear" w:color="auto" w:fill="FFFFFF"/>
          <w:lang w:val="en-US"/>
        </w:rPr>
      </w:pPr>
      <w:r w:rsidRPr="002B3E1D">
        <w:rPr>
          <w:rFonts w:ascii="Times New Roman" w:hAnsi="Times New Roman" w:cs="Times New Roman"/>
          <w:color w:val="222222"/>
          <w:sz w:val="24"/>
          <w:szCs w:val="24"/>
          <w:shd w:val="clear" w:color="auto" w:fill="FFFFFF"/>
          <w:lang w:val="en-US"/>
        </w:rPr>
        <w:t xml:space="preserve">Abell, P., Felin, T., and Foss, N. (2008). Building micro-foundations for the routines, capabilities, and performance links. </w:t>
      </w:r>
      <w:r w:rsidRPr="002B3E1D">
        <w:rPr>
          <w:rFonts w:ascii="Times New Roman" w:hAnsi="Times New Roman" w:cs="Times New Roman"/>
          <w:i/>
          <w:color w:val="222222"/>
          <w:sz w:val="24"/>
          <w:szCs w:val="24"/>
          <w:shd w:val="clear" w:color="auto" w:fill="FFFFFF"/>
          <w:lang w:val="en-US"/>
        </w:rPr>
        <w:t xml:space="preserve">Managerial </w:t>
      </w:r>
      <w:r w:rsidR="007C156D" w:rsidRPr="002B3E1D">
        <w:rPr>
          <w:rFonts w:ascii="Times New Roman" w:hAnsi="Times New Roman" w:cs="Times New Roman"/>
          <w:i/>
          <w:color w:val="222222"/>
          <w:sz w:val="24"/>
          <w:szCs w:val="24"/>
          <w:shd w:val="clear" w:color="auto" w:fill="FFFFFF"/>
          <w:lang w:val="en-US"/>
        </w:rPr>
        <w:t>&amp;</w:t>
      </w:r>
      <w:r w:rsidRPr="002B3E1D">
        <w:rPr>
          <w:rFonts w:ascii="Times New Roman" w:hAnsi="Times New Roman" w:cs="Times New Roman"/>
          <w:i/>
          <w:color w:val="222222"/>
          <w:sz w:val="24"/>
          <w:szCs w:val="24"/>
          <w:shd w:val="clear" w:color="auto" w:fill="FFFFFF"/>
          <w:lang w:val="en-US"/>
        </w:rPr>
        <w:t xml:space="preserve"> Decision Economics</w:t>
      </w:r>
      <w:r w:rsidRPr="002B3E1D">
        <w:rPr>
          <w:rFonts w:ascii="Times New Roman" w:hAnsi="Times New Roman" w:cs="Times New Roman"/>
          <w:color w:val="222222"/>
          <w:sz w:val="24"/>
          <w:szCs w:val="24"/>
          <w:shd w:val="clear" w:color="auto" w:fill="FFFFFF"/>
          <w:lang w:val="en-US"/>
        </w:rPr>
        <w:t>, 29(6</w:t>
      </w:r>
      <w:r w:rsidR="00562D43" w:rsidRPr="002B3E1D">
        <w:rPr>
          <w:rFonts w:ascii="Times New Roman" w:hAnsi="Times New Roman" w:cs="Times New Roman"/>
          <w:color w:val="222222"/>
          <w:sz w:val="24"/>
          <w:szCs w:val="24"/>
          <w:shd w:val="clear" w:color="auto" w:fill="FFFFFF"/>
          <w:lang w:val="en-US"/>
        </w:rPr>
        <w:t>):</w:t>
      </w:r>
      <w:r w:rsidRPr="002B3E1D">
        <w:rPr>
          <w:rFonts w:ascii="Times New Roman" w:hAnsi="Times New Roman" w:cs="Times New Roman"/>
          <w:color w:val="222222"/>
          <w:sz w:val="24"/>
          <w:szCs w:val="24"/>
          <w:shd w:val="clear" w:color="auto" w:fill="FFFFFF"/>
          <w:lang w:val="en-US"/>
        </w:rPr>
        <w:t xml:space="preserve"> 489-502.</w:t>
      </w:r>
    </w:p>
    <w:p w14:paraId="1D5567F0" w14:textId="77777777" w:rsidR="008F5536" w:rsidRPr="002B3E1D" w:rsidRDefault="008F5536" w:rsidP="008F5536">
      <w:pPr>
        <w:spacing w:after="0" w:line="240" w:lineRule="auto"/>
        <w:ind w:left="284" w:hanging="284"/>
        <w:jc w:val="both"/>
        <w:rPr>
          <w:rFonts w:ascii="Times New Roman" w:hAnsi="Times New Roman" w:cs="Times New Roman"/>
          <w:sz w:val="24"/>
          <w:szCs w:val="24"/>
          <w:shd w:val="clear" w:color="auto" w:fill="FFFFFF"/>
          <w:lang w:val="en-US"/>
        </w:rPr>
      </w:pPr>
      <w:r w:rsidRPr="002B3E1D">
        <w:rPr>
          <w:rFonts w:ascii="Times New Roman" w:hAnsi="Times New Roman" w:cs="Times New Roman"/>
          <w:sz w:val="24"/>
          <w:szCs w:val="24"/>
          <w:shd w:val="clear" w:color="auto" w:fill="FFFFFF"/>
          <w:lang w:val="en-US"/>
        </w:rPr>
        <w:t xml:space="preserve">Ahammad, M. F., Mook Lee, S., Malul, M., and Shoham, A. (2015). Behavioral ambidexterity: The impact of incentive schemes on productivity, motivation, and performance of employees in commercial banks. </w:t>
      </w:r>
      <w:r w:rsidRPr="002B3E1D">
        <w:rPr>
          <w:rFonts w:ascii="Times New Roman" w:hAnsi="Times New Roman" w:cs="Times New Roman"/>
          <w:i/>
          <w:sz w:val="24"/>
          <w:szCs w:val="24"/>
          <w:shd w:val="clear" w:color="auto" w:fill="FFFFFF"/>
          <w:lang w:val="en-US"/>
        </w:rPr>
        <w:t>Human Resource Management</w:t>
      </w:r>
      <w:r w:rsidRPr="002B3E1D">
        <w:rPr>
          <w:rFonts w:ascii="Times New Roman" w:hAnsi="Times New Roman" w:cs="Times New Roman"/>
          <w:sz w:val="24"/>
          <w:szCs w:val="24"/>
          <w:shd w:val="clear" w:color="auto" w:fill="FFFFFF"/>
          <w:lang w:val="en-US"/>
        </w:rPr>
        <w:t>, 54(1</w:t>
      </w:r>
      <w:r w:rsidR="00562D43" w:rsidRPr="002B3E1D">
        <w:rPr>
          <w:rFonts w:ascii="Times New Roman" w:hAnsi="Times New Roman" w:cs="Times New Roman"/>
          <w:sz w:val="24"/>
          <w:szCs w:val="24"/>
          <w:shd w:val="clear" w:color="auto" w:fill="FFFFFF"/>
          <w:lang w:val="en-US"/>
        </w:rPr>
        <w:t>):</w:t>
      </w:r>
      <w:r w:rsidRPr="002B3E1D">
        <w:rPr>
          <w:rFonts w:ascii="Times New Roman" w:hAnsi="Times New Roman" w:cs="Times New Roman"/>
          <w:sz w:val="24"/>
          <w:szCs w:val="24"/>
          <w:shd w:val="clear" w:color="auto" w:fill="FFFFFF"/>
          <w:lang w:val="en-US"/>
        </w:rPr>
        <w:t xml:space="preserve"> s45-s62.</w:t>
      </w:r>
    </w:p>
    <w:p w14:paraId="7081302F" w14:textId="77777777" w:rsidR="008F5536" w:rsidRPr="002B3E1D" w:rsidRDefault="008F5536" w:rsidP="008F5536">
      <w:pPr>
        <w:spacing w:after="0" w:line="240" w:lineRule="auto"/>
        <w:ind w:left="284" w:hanging="284"/>
        <w:jc w:val="both"/>
        <w:rPr>
          <w:rFonts w:ascii="Times New Roman" w:hAnsi="Times New Roman" w:cs="Times New Roman"/>
          <w:sz w:val="24"/>
          <w:szCs w:val="24"/>
          <w:shd w:val="clear" w:color="auto" w:fill="FFFFFF"/>
          <w:lang w:val="en-US"/>
        </w:rPr>
      </w:pPr>
      <w:r w:rsidRPr="002B3E1D">
        <w:rPr>
          <w:rFonts w:ascii="Times New Roman" w:hAnsi="Times New Roman" w:cs="Times New Roman"/>
          <w:sz w:val="24"/>
          <w:szCs w:val="24"/>
          <w:shd w:val="clear" w:color="auto" w:fill="FFFFFF"/>
          <w:lang w:val="en-US"/>
        </w:rPr>
        <w:t xml:space="preserve">Ahammad, M.F., Tarba, S.Y., Liu, Y., and Glaister, K.W. (2016). Knowledge transfer and cross-border acquisition performance: The impact of cultural distance and employee retention. </w:t>
      </w:r>
      <w:r w:rsidRPr="002B3E1D">
        <w:rPr>
          <w:rFonts w:ascii="Times New Roman" w:hAnsi="Times New Roman" w:cs="Times New Roman"/>
          <w:i/>
          <w:sz w:val="24"/>
          <w:szCs w:val="24"/>
          <w:shd w:val="clear" w:color="auto" w:fill="FFFFFF"/>
          <w:lang w:val="en-US"/>
        </w:rPr>
        <w:t>International Business Review</w:t>
      </w:r>
      <w:r w:rsidRPr="002B3E1D">
        <w:rPr>
          <w:rFonts w:ascii="Times New Roman" w:hAnsi="Times New Roman" w:cs="Times New Roman"/>
          <w:sz w:val="24"/>
          <w:szCs w:val="24"/>
          <w:shd w:val="clear" w:color="auto" w:fill="FFFFFF"/>
          <w:lang w:val="en-US"/>
        </w:rPr>
        <w:t>, 25(1</w:t>
      </w:r>
      <w:r w:rsidR="00562D43" w:rsidRPr="002B3E1D">
        <w:rPr>
          <w:rFonts w:ascii="Times New Roman" w:hAnsi="Times New Roman" w:cs="Times New Roman"/>
          <w:sz w:val="24"/>
          <w:szCs w:val="24"/>
          <w:shd w:val="clear" w:color="auto" w:fill="FFFFFF"/>
          <w:lang w:val="en-US"/>
        </w:rPr>
        <w:t>):</w:t>
      </w:r>
      <w:r w:rsidRPr="002B3E1D">
        <w:rPr>
          <w:rFonts w:ascii="Times New Roman" w:hAnsi="Times New Roman" w:cs="Times New Roman"/>
          <w:sz w:val="24"/>
          <w:szCs w:val="24"/>
          <w:shd w:val="clear" w:color="auto" w:fill="FFFFFF"/>
          <w:lang w:val="en-US"/>
        </w:rPr>
        <w:t xml:space="preserve"> 66-75.</w:t>
      </w:r>
    </w:p>
    <w:p w14:paraId="71617EA4" w14:textId="77777777" w:rsidR="008F5536" w:rsidRPr="002B3E1D" w:rsidRDefault="008F5536" w:rsidP="008F5536">
      <w:pPr>
        <w:spacing w:after="0" w:line="240" w:lineRule="auto"/>
        <w:ind w:left="284" w:hanging="284"/>
        <w:jc w:val="both"/>
        <w:rPr>
          <w:rFonts w:ascii="Times New Roman" w:hAnsi="Times New Roman" w:cs="Times New Roman"/>
          <w:color w:val="222222"/>
          <w:sz w:val="24"/>
          <w:szCs w:val="24"/>
          <w:shd w:val="clear" w:color="auto" w:fill="FFFFFF"/>
          <w:lang w:val="en-US"/>
        </w:rPr>
      </w:pPr>
      <w:r w:rsidRPr="002B3E1D">
        <w:rPr>
          <w:rFonts w:ascii="Times New Roman" w:hAnsi="Times New Roman" w:cs="Times New Roman"/>
          <w:sz w:val="24"/>
          <w:szCs w:val="24"/>
          <w:shd w:val="clear" w:color="auto" w:fill="FFFFFF"/>
          <w:lang w:val="en-US"/>
        </w:rPr>
        <w:t>Aklamanu, A</w:t>
      </w:r>
      <w:r w:rsidR="00562D43" w:rsidRPr="002B3E1D">
        <w:rPr>
          <w:rFonts w:ascii="Times New Roman" w:hAnsi="Times New Roman" w:cs="Times New Roman"/>
          <w:sz w:val="24"/>
          <w:szCs w:val="24"/>
          <w:shd w:val="clear" w:color="auto" w:fill="FFFFFF"/>
          <w:lang w:val="en-US"/>
        </w:rPr>
        <w:t>., Degbey, W.Y., and Tarba, S.</w:t>
      </w:r>
      <w:r w:rsidRPr="002B3E1D">
        <w:rPr>
          <w:rFonts w:ascii="Times New Roman" w:hAnsi="Times New Roman" w:cs="Times New Roman"/>
          <w:sz w:val="24"/>
          <w:szCs w:val="24"/>
          <w:shd w:val="clear" w:color="auto" w:fill="FFFFFF"/>
          <w:lang w:val="en-US"/>
        </w:rPr>
        <w:t xml:space="preserve">Y. (2016). The role of HRM and social capital configuration </w:t>
      </w:r>
      <w:r w:rsidRPr="002B3E1D">
        <w:rPr>
          <w:rFonts w:ascii="Times New Roman" w:hAnsi="Times New Roman" w:cs="Times New Roman"/>
          <w:color w:val="222222"/>
          <w:sz w:val="24"/>
          <w:szCs w:val="24"/>
          <w:shd w:val="clear" w:color="auto" w:fill="FFFFFF"/>
          <w:lang w:val="en-US"/>
        </w:rPr>
        <w:t>for knowledge sharing in post-</w:t>
      </w:r>
      <w:r w:rsidR="00562D43" w:rsidRPr="002B3E1D">
        <w:rPr>
          <w:rFonts w:ascii="Times New Roman" w:hAnsi="Times New Roman" w:cs="Times New Roman"/>
          <w:color w:val="222222"/>
          <w:sz w:val="24"/>
          <w:szCs w:val="24"/>
          <w:shd w:val="clear" w:color="auto" w:fill="FFFFFF"/>
          <w:lang w:val="en-US"/>
        </w:rPr>
        <w:t>M&amp;A</w:t>
      </w:r>
      <w:r w:rsidRPr="002B3E1D">
        <w:rPr>
          <w:rFonts w:ascii="Times New Roman" w:hAnsi="Times New Roman" w:cs="Times New Roman"/>
          <w:color w:val="222222"/>
          <w:sz w:val="24"/>
          <w:szCs w:val="24"/>
          <w:shd w:val="clear" w:color="auto" w:fill="FFFFFF"/>
          <w:lang w:val="en-US"/>
        </w:rPr>
        <w:t xml:space="preserve"> integration: A framework for future empirical investigation. </w:t>
      </w:r>
      <w:r w:rsidRPr="002B3E1D">
        <w:rPr>
          <w:rFonts w:ascii="Times New Roman" w:hAnsi="Times New Roman" w:cs="Times New Roman"/>
          <w:i/>
          <w:color w:val="222222"/>
          <w:sz w:val="24"/>
          <w:szCs w:val="24"/>
          <w:shd w:val="clear" w:color="auto" w:fill="FFFFFF"/>
          <w:lang w:val="en-US"/>
        </w:rPr>
        <w:t>International Journal of Human Resource Management</w:t>
      </w:r>
      <w:r w:rsidRPr="002B3E1D">
        <w:rPr>
          <w:rFonts w:ascii="Times New Roman" w:hAnsi="Times New Roman" w:cs="Times New Roman"/>
          <w:color w:val="222222"/>
          <w:sz w:val="24"/>
          <w:szCs w:val="24"/>
          <w:shd w:val="clear" w:color="auto" w:fill="FFFFFF"/>
          <w:lang w:val="en-US"/>
        </w:rPr>
        <w:t>, 27(22</w:t>
      </w:r>
      <w:r w:rsidR="00562D43" w:rsidRPr="002B3E1D">
        <w:rPr>
          <w:rFonts w:ascii="Times New Roman" w:hAnsi="Times New Roman" w:cs="Times New Roman"/>
          <w:color w:val="222222"/>
          <w:sz w:val="24"/>
          <w:szCs w:val="24"/>
          <w:shd w:val="clear" w:color="auto" w:fill="FFFFFF"/>
          <w:lang w:val="en-US"/>
        </w:rPr>
        <w:t>):</w:t>
      </w:r>
      <w:r w:rsidRPr="002B3E1D">
        <w:rPr>
          <w:rFonts w:ascii="Times New Roman" w:hAnsi="Times New Roman" w:cs="Times New Roman"/>
          <w:color w:val="222222"/>
          <w:sz w:val="24"/>
          <w:szCs w:val="24"/>
          <w:shd w:val="clear" w:color="auto" w:fill="FFFFFF"/>
          <w:lang w:val="en-US"/>
        </w:rPr>
        <w:t xml:space="preserve"> 2790-2822.</w:t>
      </w:r>
    </w:p>
    <w:p w14:paraId="44445FB3" w14:textId="77777777" w:rsidR="008F5536" w:rsidRPr="002B3E1D" w:rsidRDefault="00562D43" w:rsidP="008F5536">
      <w:pPr>
        <w:spacing w:after="0" w:line="240" w:lineRule="auto"/>
        <w:ind w:left="284" w:hanging="284"/>
        <w:jc w:val="both"/>
        <w:rPr>
          <w:rFonts w:ascii="Times New Roman" w:hAnsi="Times New Roman" w:cs="Times New Roman"/>
          <w:color w:val="222222"/>
          <w:sz w:val="24"/>
          <w:szCs w:val="24"/>
          <w:shd w:val="clear" w:color="auto" w:fill="FFFFFF"/>
          <w:lang w:val="en-US"/>
        </w:rPr>
      </w:pPr>
      <w:r w:rsidRPr="002B3E1D">
        <w:rPr>
          <w:rFonts w:ascii="Times New Roman" w:hAnsi="Times New Roman" w:cs="Times New Roman"/>
          <w:color w:val="222222"/>
          <w:sz w:val="24"/>
          <w:szCs w:val="24"/>
          <w:shd w:val="clear" w:color="auto" w:fill="FFFFFF"/>
          <w:lang w:val="en-US"/>
        </w:rPr>
        <w:t>Andriopoulos, C., and Lewis, M.</w:t>
      </w:r>
      <w:r w:rsidR="008F5536" w:rsidRPr="002B3E1D">
        <w:rPr>
          <w:rFonts w:ascii="Times New Roman" w:hAnsi="Times New Roman" w:cs="Times New Roman"/>
          <w:color w:val="222222"/>
          <w:sz w:val="24"/>
          <w:szCs w:val="24"/>
          <w:shd w:val="clear" w:color="auto" w:fill="FFFFFF"/>
          <w:lang w:val="en-US"/>
        </w:rPr>
        <w:t>W. (2009). Exploitation-exploration tensions and organizational ambidexterity: Managing paradoxes of innovation.</w:t>
      </w:r>
      <w:r w:rsidR="008F5536" w:rsidRPr="002B3E1D">
        <w:rPr>
          <w:rStyle w:val="apple-converted-space"/>
          <w:rFonts w:ascii="Times New Roman" w:hAnsi="Times New Roman" w:cs="Times New Roman"/>
          <w:color w:val="222222"/>
          <w:sz w:val="24"/>
          <w:szCs w:val="24"/>
          <w:shd w:val="clear" w:color="auto" w:fill="FFFFFF"/>
          <w:lang w:val="en-US"/>
        </w:rPr>
        <w:t> </w:t>
      </w:r>
      <w:r w:rsidR="008F5536" w:rsidRPr="002B3E1D">
        <w:rPr>
          <w:rFonts w:ascii="Times New Roman" w:hAnsi="Times New Roman" w:cs="Times New Roman"/>
          <w:i/>
          <w:iCs/>
          <w:color w:val="222222"/>
          <w:sz w:val="24"/>
          <w:szCs w:val="24"/>
          <w:shd w:val="clear" w:color="auto" w:fill="FFFFFF"/>
          <w:lang w:val="en-US"/>
        </w:rPr>
        <w:t>Organization Science</w:t>
      </w:r>
      <w:r w:rsidR="008F5536" w:rsidRPr="002B3E1D">
        <w:rPr>
          <w:rFonts w:ascii="Times New Roman" w:hAnsi="Times New Roman" w:cs="Times New Roman"/>
          <w:color w:val="222222"/>
          <w:sz w:val="24"/>
          <w:szCs w:val="24"/>
          <w:shd w:val="clear" w:color="auto" w:fill="FFFFFF"/>
          <w:lang w:val="en-US"/>
        </w:rPr>
        <w:t xml:space="preserve">, </w:t>
      </w:r>
      <w:r w:rsidR="008F5536" w:rsidRPr="002B3E1D">
        <w:rPr>
          <w:rFonts w:ascii="Times New Roman" w:hAnsi="Times New Roman" w:cs="Times New Roman"/>
          <w:iCs/>
          <w:color w:val="222222"/>
          <w:sz w:val="24"/>
          <w:szCs w:val="24"/>
          <w:shd w:val="clear" w:color="auto" w:fill="FFFFFF"/>
          <w:lang w:val="en-US"/>
        </w:rPr>
        <w:t>20</w:t>
      </w:r>
      <w:r w:rsidR="008F5536" w:rsidRPr="002B3E1D">
        <w:rPr>
          <w:rFonts w:ascii="Times New Roman" w:hAnsi="Times New Roman" w:cs="Times New Roman"/>
          <w:color w:val="222222"/>
          <w:sz w:val="24"/>
          <w:szCs w:val="24"/>
          <w:shd w:val="clear" w:color="auto" w:fill="FFFFFF"/>
          <w:lang w:val="en-US"/>
        </w:rPr>
        <w:t>(4</w:t>
      </w:r>
      <w:r w:rsidRPr="002B3E1D">
        <w:rPr>
          <w:rFonts w:ascii="Times New Roman" w:hAnsi="Times New Roman" w:cs="Times New Roman"/>
          <w:color w:val="222222"/>
          <w:sz w:val="24"/>
          <w:szCs w:val="24"/>
          <w:shd w:val="clear" w:color="auto" w:fill="FFFFFF"/>
          <w:lang w:val="en-US"/>
        </w:rPr>
        <w:t>):</w:t>
      </w:r>
      <w:r w:rsidR="008F5536" w:rsidRPr="002B3E1D">
        <w:rPr>
          <w:rFonts w:ascii="Times New Roman" w:hAnsi="Times New Roman" w:cs="Times New Roman"/>
          <w:color w:val="222222"/>
          <w:sz w:val="24"/>
          <w:szCs w:val="24"/>
          <w:shd w:val="clear" w:color="auto" w:fill="FFFFFF"/>
          <w:lang w:val="en-US"/>
        </w:rPr>
        <w:t xml:space="preserve"> 696-717.</w:t>
      </w:r>
    </w:p>
    <w:p w14:paraId="0E183544" w14:textId="77777777" w:rsidR="008F5536" w:rsidRPr="002B3E1D" w:rsidRDefault="008F5536" w:rsidP="008F5536">
      <w:pPr>
        <w:spacing w:after="0" w:line="240" w:lineRule="auto"/>
        <w:ind w:left="284" w:hanging="284"/>
        <w:jc w:val="both"/>
        <w:rPr>
          <w:rFonts w:ascii="Times New Roman" w:hAnsi="Times New Roman" w:cs="Times New Roman"/>
          <w:color w:val="222222"/>
          <w:sz w:val="24"/>
          <w:szCs w:val="24"/>
          <w:shd w:val="clear" w:color="auto" w:fill="FFFFFF"/>
          <w:lang w:val="en-US"/>
        </w:rPr>
      </w:pPr>
      <w:r w:rsidRPr="002B3E1D">
        <w:rPr>
          <w:rFonts w:ascii="Times New Roman" w:hAnsi="Times New Roman" w:cs="Times New Roman"/>
          <w:color w:val="222222"/>
          <w:sz w:val="24"/>
          <w:szCs w:val="24"/>
          <w:shd w:val="clear" w:color="auto" w:fill="FFFFFF"/>
          <w:lang w:val="en-US"/>
        </w:rPr>
        <w:t xml:space="preserve">Barney, J. and Felin, T. (2013). What are micro-foundations? </w:t>
      </w:r>
      <w:r w:rsidRPr="002B3E1D">
        <w:rPr>
          <w:rFonts w:ascii="Times New Roman" w:hAnsi="Times New Roman" w:cs="Times New Roman"/>
          <w:i/>
          <w:color w:val="222222"/>
          <w:sz w:val="24"/>
          <w:szCs w:val="24"/>
          <w:shd w:val="clear" w:color="auto" w:fill="FFFFFF"/>
          <w:lang w:val="en-US"/>
        </w:rPr>
        <w:t>Academy of Management Perspectives</w:t>
      </w:r>
      <w:r w:rsidRPr="002B3E1D">
        <w:rPr>
          <w:rFonts w:ascii="Times New Roman" w:hAnsi="Times New Roman" w:cs="Times New Roman"/>
          <w:color w:val="222222"/>
          <w:sz w:val="24"/>
          <w:szCs w:val="24"/>
          <w:shd w:val="clear" w:color="auto" w:fill="FFFFFF"/>
          <w:lang w:val="en-US"/>
        </w:rPr>
        <w:t>, 27(2</w:t>
      </w:r>
      <w:r w:rsidR="00562D43" w:rsidRPr="002B3E1D">
        <w:rPr>
          <w:rFonts w:ascii="Times New Roman" w:hAnsi="Times New Roman" w:cs="Times New Roman"/>
          <w:color w:val="222222"/>
          <w:sz w:val="24"/>
          <w:szCs w:val="24"/>
          <w:shd w:val="clear" w:color="auto" w:fill="FFFFFF"/>
          <w:lang w:val="en-US"/>
        </w:rPr>
        <w:t>):</w:t>
      </w:r>
      <w:r w:rsidRPr="002B3E1D">
        <w:rPr>
          <w:rFonts w:ascii="Times New Roman" w:hAnsi="Times New Roman" w:cs="Times New Roman"/>
          <w:color w:val="222222"/>
          <w:sz w:val="24"/>
          <w:szCs w:val="24"/>
          <w:shd w:val="clear" w:color="auto" w:fill="FFFFFF"/>
          <w:lang w:val="en-US"/>
        </w:rPr>
        <w:t xml:space="preserve"> 138-155.</w:t>
      </w:r>
    </w:p>
    <w:p w14:paraId="51C02002" w14:textId="0B5A306D" w:rsidR="008F5536" w:rsidRPr="009F07F7" w:rsidRDefault="008F5536" w:rsidP="008F5536">
      <w:pPr>
        <w:spacing w:after="0" w:line="240" w:lineRule="auto"/>
        <w:ind w:left="284" w:hanging="284"/>
        <w:jc w:val="both"/>
        <w:rPr>
          <w:rFonts w:ascii="Times New Roman" w:hAnsi="Times New Roman" w:cs="Times New Roman"/>
          <w:color w:val="222222"/>
          <w:sz w:val="24"/>
          <w:szCs w:val="24"/>
          <w:shd w:val="clear" w:color="auto" w:fill="FFFFFF"/>
          <w:lang w:val="en-US"/>
        </w:rPr>
      </w:pPr>
      <w:r w:rsidRPr="002B3E1D">
        <w:rPr>
          <w:rFonts w:ascii="Times New Roman" w:hAnsi="Times New Roman" w:cs="Times New Roman"/>
          <w:color w:val="222222"/>
          <w:sz w:val="24"/>
          <w:szCs w:val="24"/>
          <w:shd w:val="clear" w:color="auto" w:fill="FFFFFF"/>
          <w:lang w:val="en-US"/>
        </w:rPr>
        <w:t xml:space="preserve">Bauer, F., </w:t>
      </w:r>
      <w:r w:rsidRPr="009F07F7">
        <w:rPr>
          <w:rFonts w:ascii="Times New Roman" w:hAnsi="Times New Roman" w:cs="Times New Roman"/>
          <w:color w:val="222222"/>
          <w:sz w:val="24"/>
          <w:szCs w:val="24"/>
          <w:shd w:val="clear" w:color="auto" w:fill="FFFFFF"/>
          <w:lang w:val="en-US"/>
        </w:rPr>
        <w:t xml:space="preserve">Strobl, A., Dao, M. A., Matzler, K., and Rudolf, N. (2016). Examining links between pre and post </w:t>
      </w:r>
      <w:r w:rsidR="00562D43" w:rsidRPr="009F07F7">
        <w:rPr>
          <w:rFonts w:ascii="Times New Roman" w:hAnsi="Times New Roman" w:cs="Times New Roman"/>
          <w:color w:val="222222"/>
          <w:sz w:val="24"/>
          <w:szCs w:val="24"/>
          <w:shd w:val="clear" w:color="auto" w:fill="FFFFFF"/>
          <w:lang w:val="en-US"/>
        </w:rPr>
        <w:t>M&amp;A</w:t>
      </w:r>
      <w:r w:rsidRPr="009F07F7">
        <w:rPr>
          <w:rFonts w:ascii="Times New Roman" w:hAnsi="Times New Roman" w:cs="Times New Roman"/>
          <w:color w:val="222222"/>
          <w:sz w:val="24"/>
          <w:szCs w:val="24"/>
          <w:shd w:val="clear" w:color="auto" w:fill="FFFFFF"/>
          <w:lang w:val="en-US"/>
        </w:rPr>
        <w:t xml:space="preserve"> value creation mechanisms — Exploitation, exploration and ambidexterity in Central European SMEs. </w:t>
      </w:r>
      <w:r w:rsidRPr="009F07F7">
        <w:rPr>
          <w:rFonts w:ascii="Times New Roman" w:hAnsi="Times New Roman" w:cs="Times New Roman"/>
          <w:i/>
          <w:color w:val="222222"/>
          <w:sz w:val="24"/>
          <w:szCs w:val="24"/>
          <w:shd w:val="clear" w:color="auto" w:fill="FFFFFF"/>
          <w:lang w:val="en-US"/>
        </w:rPr>
        <w:t>Long Range Planning</w:t>
      </w:r>
      <w:r w:rsidR="00562D43" w:rsidRPr="009F07F7">
        <w:rPr>
          <w:rFonts w:ascii="Times New Roman" w:hAnsi="Times New Roman" w:cs="Times New Roman"/>
          <w:color w:val="222222"/>
          <w:sz w:val="24"/>
          <w:szCs w:val="24"/>
          <w:shd w:val="clear" w:color="auto" w:fill="FFFFFF"/>
          <w:lang w:val="en-US"/>
        </w:rPr>
        <w:t>, 51(2):</w:t>
      </w:r>
      <w:r w:rsidRPr="009F07F7">
        <w:rPr>
          <w:rFonts w:ascii="Times New Roman" w:hAnsi="Times New Roman" w:cs="Times New Roman"/>
          <w:color w:val="222222"/>
          <w:sz w:val="24"/>
          <w:szCs w:val="24"/>
          <w:shd w:val="clear" w:color="auto" w:fill="FFFFFF"/>
          <w:lang w:val="en-US"/>
        </w:rPr>
        <w:t xml:space="preserve"> 185-203.</w:t>
      </w:r>
    </w:p>
    <w:p w14:paraId="1E0073FB" w14:textId="120E74A8" w:rsidR="009F07F7" w:rsidRPr="009F07F7" w:rsidRDefault="009F07F7" w:rsidP="008F5536">
      <w:pPr>
        <w:spacing w:after="0" w:line="240" w:lineRule="auto"/>
        <w:ind w:left="284" w:hanging="284"/>
        <w:jc w:val="both"/>
        <w:rPr>
          <w:rFonts w:ascii="Times New Roman" w:hAnsi="Times New Roman" w:cs="Times New Roman"/>
          <w:color w:val="222222"/>
          <w:sz w:val="24"/>
          <w:szCs w:val="24"/>
          <w:shd w:val="clear" w:color="auto" w:fill="FFFFFF"/>
          <w:lang w:val="en-US"/>
        </w:rPr>
      </w:pPr>
      <w:r w:rsidRPr="009F07F7">
        <w:rPr>
          <w:rFonts w:ascii="Times New Roman" w:hAnsi="Times New Roman" w:cs="Times New Roman"/>
          <w:color w:val="222222"/>
          <w:sz w:val="24"/>
          <w:szCs w:val="24"/>
          <w:shd w:val="clear" w:color="auto" w:fill="FFFFFF"/>
        </w:rPr>
        <w:t>Bennett, N., &amp; Lemoine, J. (2014). What VUCA really means for you. </w:t>
      </w:r>
      <w:r w:rsidRPr="009F07F7">
        <w:rPr>
          <w:rFonts w:ascii="Times New Roman" w:hAnsi="Times New Roman" w:cs="Times New Roman"/>
          <w:i/>
          <w:iCs/>
          <w:color w:val="222222"/>
          <w:sz w:val="24"/>
          <w:szCs w:val="24"/>
          <w:shd w:val="clear" w:color="auto" w:fill="FFFFFF"/>
        </w:rPr>
        <w:t>Harvard Business Review</w:t>
      </w:r>
      <w:r w:rsidRPr="009F07F7">
        <w:rPr>
          <w:rFonts w:ascii="Times New Roman" w:hAnsi="Times New Roman" w:cs="Times New Roman"/>
          <w:color w:val="222222"/>
          <w:sz w:val="24"/>
          <w:szCs w:val="24"/>
          <w:shd w:val="clear" w:color="auto" w:fill="FFFFFF"/>
        </w:rPr>
        <w:t>, </w:t>
      </w:r>
      <w:r w:rsidRPr="009F07F7">
        <w:rPr>
          <w:rFonts w:ascii="Times New Roman" w:hAnsi="Times New Roman" w:cs="Times New Roman"/>
          <w:i/>
          <w:iCs/>
          <w:color w:val="222222"/>
          <w:sz w:val="24"/>
          <w:szCs w:val="24"/>
          <w:shd w:val="clear" w:color="auto" w:fill="FFFFFF"/>
        </w:rPr>
        <w:t>92</w:t>
      </w:r>
      <w:r w:rsidRPr="009F07F7">
        <w:rPr>
          <w:rFonts w:ascii="Times New Roman" w:hAnsi="Times New Roman" w:cs="Times New Roman"/>
          <w:color w:val="222222"/>
          <w:sz w:val="24"/>
          <w:szCs w:val="24"/>
          <w:shd w:val="clear" w:color="auto" w:fill="FFFFFF"/>
        </w:rPr>
        <w:t>(1/2).</w:t>
      </w:r>
    </w:p>
    <w:p w14:paraId="5298D04E" w14:textId="77777777" w:rsidR="008F5536" w:rsidRPr="009F07F7" w:rsidRDefault="008F5536" w:rsidP="008F5536">
      <w:pPr>
        <w:spacing w:after="0" w:line="240" w:lineRule="auto"/>
        <w:ind w:left="284" w:hanging="284"/>
        <w:jc w:val="both"/>
        <w:rPr>
          <w:rFonts w:ascii="Times New Roman" w:hAnsi="Times New Roman" w:cs="Times New Roman"/>
          <w:color w:val="222222"/>
          <w:sz w:val="24"/>
          <w:szCs w:val="24"/>
          <w:shd w:val="clear" w:color="auto" w:fill="FFFFFF"/>
          <w:lang w:val="en-US"/>
        </w:rPr>
      </w:pPr>
      <w:r w:rsidRPr="009F07F7">
        <w:rPr>
          <w:rFonts w:ascii="Times New Roman" w:eastAsia="Times New Roman" w:hAnsi="Times New Roman" w:cs="Times New Roman"/>
          <w:sz w:val="24"/>
          <w:szCs w:val="24"/>
          <w:lang w:val="en-US"/>
        </w:rPr>
        <w:t xml:space="preserve">Bertrand, O. (2009). Effects of Foreign Acquisitions on R&amp;D Activity: Evidence from Firm-Level Data for France. </w:t>
      </w:r>
      <w:r w:rsidRPr="009F07F7">
        <w:rPr>
          <w:rFonts w:ascii="Times New Roman" w:eastAsia="Times New Roman" w:hAnsi="Times New Roman" w:cs="Times New Roman"/>
          <w:i/>
          <w:iCs/>
          <w:sz w:val="24"/>
          <w:szCs w:val="24"/>
          <w:lang w:val="en-US"/>
        </w:rPr>
        <w:t>Research Policy</w:t>
      </w:r>
      <w:r w:rsidRPr="009F07F7">
        <w:rPr>
          <w:rFonts w:ascii="Times New Roman" w:eastAsia="Times New Roman" w:hAnsi="Times New Roman" w:cs="Times New Roman"/>
          <w:iCs/>
          <w:sz w:val="24"/>
          <w:szCs w:val="24"/>
          <w:lang w:val="en-US"/>
        </w:rPr>
        <w:t>, 38(6)</w:t>
      </w:r>
      <w:r w:rsidRPr="009F07F7">
        <w:rPr>
          <w:rFonts w:ascii="Times New Roman" w:eastAsia="Times New Roman" w:hAnsi="Times New Roman" w:cs="Times New Roman"/>
          <w:sz w:val="24"/>
          <w:szCs w:val="24"/>
          <w:lang w:val="en-US"/>
        </w:rPr>
        <w:t>: 1021-1031.</w:t>
      </w:r>
    </w:p>
    <w:p w14:paraId="4B7C2989" w14:textId="77777777" w:rsidR="008F5536" w:rsidRPr="002B3E1D" w:rsidRDefault="008F5536" w:rsidP="008F5536">
      <w:pPr>
        <w:spacing w:after="0" w:line="240" w:lineRule="auto"/>
        <w:ind w:left="284" w:hanging="284"/>
        <w:jc w:val="both"/>
        <w:rPr>
          <w:rFonts w:ascii="Times New Roman" w:eastAsia="Times New Roman" w:hAnsi="Times New Roman" w:cs="Times New Roman"/>
          <w:sz w:val="24"/>
          <w:szCs w:val="24"/>
          <w:lang w:val="en-US"/>
        </w:rPr>
      </w:pPr>
      <w:r w:rsidRPr="009F07F7">
        <w:rPr>
          <w:rFonts w:ascii="Times New Roman" w:eastAsia="Batang" w:hAnsi="Times New Roman" w:cs="Times New Roman"/>
          <w:sz w:val="24"/>
          <w:szCs w:val="24"/>
          <w:lang w:val="en-US"/>
        </w:rPr>
        <w:t xml:space="preserve">Bertrand, O., and Capron, L. (2015). Productivity Enhancement at Home via Cross-Border Acquisitions: The Roles of Learning and Contemporaneous Domestic Investments. </w:t>
      </w:r>
      <w:r w:rsidRPr="009F07F7">
        <w:rPr>
          <w:rFonts w:ascii="Times New Roman" w:eastAsia="Batang" w:hAnsi="Times New Roman" w:cs="Times New Roman"/>
          <w:i/>
          <w:iCs/>
          <w:sz w:val="24"/>
          <w:szCs w:val="24"/>
          <w:lang w:val="en-US"/>
        </w:rPr>
        <w:t>Strategic Management Journal</w:t>
      </w:r>
      <w:r w:rsidRPr="002B3E1D">
        <w:rPr>
          <w:rFonts w:ascii="Times New Roman" w:eastAsia="Batang" w:hAnsi="Times New Roman" w:cs="Times New Roman"/>
          <w:iCs/>
          <w:sz w:val="24"/>
          <w:szCs w:val="24"/>
          <w:lang w:val="en-US"/>
        </w:rPr>
        <w:t>, 36(5)</w:t>
      </w:r>
      <w:r w:rsidRPr="002B3E1D">
        <w:rPr>
          <w:rFonts w:ascii="Times New Roman" w:eastAsia="Batang" w:hAnsi="Times New Roman" w:cs="Times New Roman"/>
          <w:sz w:val="24"/>
          <w:szCs w:val="24"/>
          <w:lang w:val="en-US"/>
        </w:rPr>
        <w:t>: 640–658.</w:t>
      </w:r>
    </w:p>
    <w:p w14:paraId="75524781" w14:textId="77777777" w:rsidR="008F5536" w:rsidRPr="002B3E1D" w:rsidRDefault="008F5536" w:rsidP="008F5536">
      <w:pPr>
        <w:spacing w:after="0" w:line="240" w:lineRule="auto"/>
        <w:ind w:left="284" w:hanging="284"/>
        <w:jc w:val="both"/>
        <w:rPr>
          <w:rFonts w:ascii="Times New Roman" w:hAnsi="Times New Roman" w:cs="Times New Roman"/>
          <w:color w:val="222222"/>
          <w:sz w:val="24"/>
          <w:szCs w:val="24"/>
          <w:shd w:val="clear" w:color="auto" w:fill="FFFFFF"/>
          <w:lang w:val="en-US"/>
        </w:rPr>
      </w:pPr>
      <w:r w:rsidRPr="002B3E1D">
        <w:rPr>
          <w:rFonts w:ascii="Times New Roman" w:hAnsi="Times New Roman" w:cs="Times New Roman"/>
          <w:color w:val="222222"/>
          <w:sz w:val="24"/>
          <w:szCs w:val="24"/>
          <w:shd w:val="clear" w:color="auto" w:fill="FFFFFF"/>
          <w:lang w:val="en-US"/>
        </w:rPr>
        <w:t xml:space="preserve">Birkinshaw, J., and Gupta, K. (2013). Clarifying the distinctive contribution of ambidexterity to the field of organization studies. </w:t>
      </w:r>
      <w:r w:rsidRPr="002B3E1D">
        <w:rPr>
          <w:rFonts w:ascii="Times New Roman" w:hAnsi="Times New Roman" w:cs="Times New Roman"/>
          <w:i/>
          <w:color w:val="222222"/>
          <w:sz w:val="24"/>
          <w:szCs w:val="24"/>
          <w:shd w:val="clear" w:color="auto" w:fill="FFFFFF"/>
          <w:lang w:val="en-US"/>
        </w:rPr>
        <w:t>Academy of Management Perspectives</w:t>
      </w:r>
      <w:r w:rsidRPr="002B3E1D">
        <w:rPr>
          <w:rFonts w:ascii="Times New Roman" w:hAnsi="Times New Roman" w:cs="Times New Roman"/>
          <w:color w:val="222222"/>
          <w:sz w:val="24"/>
          <w:szCs w:val="24"/>
          <w:shd w:val="clear" w:color="auto" w:fill="FFFFFF"/>
          <w:lang w:val="en-US"/>
        </w:rPr>
        <w:t>, 27(4)</w:t>
      </w:r>
      <w:r w:rsidR="00562D43" w:rsidRPr="002B3E1D">
        <w:rPr>
          <w:rFonts w:ascii="Times New Roman" w:hAnsi="Times New Roman" w:cs="Times New Roman"/>
          <w:color w:val="222222"/>
          <w:sz w:val="24"/>
          <w:szCs w:val="24"/>
          <w:shd w:val="clear" w:color="auto" w:fill="FFFFFF"/>
          <w:lang w:val="en-US"/>
        </w:rPr>
        <w:t>:</w:t>
      </w:r>
      <w:r w:rsidRPr="002B3E1D">
        <w:rPr>
          <w:rFonts w:ascii="Times New Roman" w:hAnsi="Times New Roman" w:cs="Times New Roman"/>
          <w:color w:val="222222"/>
          <w:sz w:val="24"/>
          <w:szCs w:val="24"/>
          <w:shd w:val="clear" w:color="auto" w:fill="FFFFFF"/>
          <w:lang w:val="en-US"/>
        </w:rPr>
        <w:t xml:space="preserve"> 287–298.</w:t>
      </w:r>
    </w:p>
    <w:p w14:paraId="17402033" w14:textId="77777777" w:rsidR="008F5536" w:rsidRPr="00BB517D" w:rsidRDefault="008F5536" w:rsidP="008F5536">
      <w:pPr>
        <w:spacing w:after="0" w:line="240" w:lineRule="auto"/>
        <w:ind w:left="284" w:hanging="284"/>
        <w:jc w:val="both"/>
        <w:rPr>
          <w:rFonts w:ascii="Times New Roman" w:hAnsi="Times New Roman" w:cs="Times New Roman"/>
          <w:color w:val="000000" w:themeColor="text1"/>
          <w:sz w:val="24"/>
          <w:szCs w:val="24"/>
          <w:lang w:val="en-US"/>
        </w:rPr>
      </w:pPr>
      <w:proofErr w:type="spellStart"/>
      <w:r w:rsidRPr="00BB517D">
        <w:rPr>
          <w:rFonts w:ascii="Times New Roman" w:hAnsi="Times New Roman" w:cs="Times New Roman"/>
          <w:color w:val="000000" w:themeColor="text1"/>
          <w:sz w:val="24"/>
          <w:szCs w:val="24"/>
          <w:lang w:val="en-US"/>
        </w:rPr>
        <w:t>Bollen</w:t>
      </w:r>
      <w:proofErr w:type="spellEnd"/>
      <w:r w:rsidRPr="00BB517D">
        <w:rPr>
          <w:rFonts w:ascii="Times New Roman" w:hAnsi="Times New Roman" w:cs="Times New Roman"/>
          <w:color w:val="000000" w:themeColor="text1"/>
          <w:sz w:val="24"/>
          <w:szCs w:val="24"/>
          <w:lang w:val="en-US"/>
        </w:rPr>
        <w:t>, K. A. (1989). Structural Equations with Latent Variables. New York: Wiley.</w:t>
      </w:r>
    </w:p>
    <w:p w14:paraId="121FFEE6" w14:textId="77777777" w:rsidR="00841301" w:rsidRPr="00BB517D" w:rsidRDefault="00841301" w:rsidP="00FC5B58">
      <w:pPr>
        <w:spacing w:after="0" w:line="240" w:lineRule="auto"/>
        <w:ind w:left="284" w:hanging="284"/>
        <w:jc w:val="both"/>
        <w:rPr>
          <w:rFonts w:ascii="Times New Roman" w:eastAsia="Times New Roman" w:hAnsi="Times New Roman" w:cs="Times New Roman"/>
          <w:color w:val="000000" w:themeColor="text1"/>
          <w:sz w:val="24"/>
          <w:szCs w:val="24"/>
          <w:shd w:val="clear" w:color="auto" w:fill="FFFFFF"/>
          <w:lang w:val="en-US"/>
        </w:rPr>
      </w:pPr>
      <w:r w:rsidRPr="00BB517D">
        <w:rPr>
          <w:rFonts w:ascii="Times New Roman" w:eastAsia="Times New Roman" w:hAnsi="Times New Roman" w:cs="Times New Roman"/>
          <w:color w:val="000000" w:themeColor="text1"/>
          <w:sz w:val="24"/>
          <w:szCs w:val="24"/>
          <w:shd w:val="clear" w:color="auto" w:fill="FFFFFF"/>
          <w:lang w:val="en-US"/>
        </w:rPr>
        <w:t>Bresciani, S., Ferraris, A., &amp; Del Giudice, M. (2017). The management of organizational ambidexterity through alliances in a new context of analysis: Internet of Things (IoT) smart city projects. </w:t>
      </w:r>
      <w:r w:rsidRPr="00BB517D">
        <w:rPr>
          <w:rFonts w:ascii="Times New Roman" w:eastAsia="Times New Roman" w:hAnsi="Times New Roman" w:cs="Times New Roman"/>
          <w:bCs/>
          <w:i/>
          <w:iCs/>
          <w:color w:val="000000" w:themeColor="text1"/>
          <w:sz w:val="24"/>
          <w:szCs w:val="24"/>
          <w:lang w:val="en-US"/>
        </w:rPr>
        <w:t>Technological Forecasting and Social Change</w:t>
      </w:r>
      <w:r w:rsidR="00FB1291" w:rsidRPr="00BB517D">
        <w:rPr>
          <w:rFonts w:ascii="Times New Roman" w:eastAsia="Times New Roman" w:hAnsi="Times New Roman" w:cs="Times New Roman"/>
          <w:color w:val="000000" w:themeColor="text1"/>
          <w:sz w:val="24"/>
          <w:szCs w:val="24"/>
          <w:shd w:val="clear" w:color="auto" w:fill="FFFFFF"/>
          <w:lang w:val="en-US"/>
        </w:rPr>
        <w:t>,</w:t>
      </w:r>
      <w:r w:rsidRPr="00BB517D">
        <w:rPr>
          <w:rFonts w:ascii="Times New Roman" w:eastAsia="Times New Roman" w:hAnsi="Times New Roman" w:cs="Times New Roman"/>
          <w:color w:val="000000" w:themeColor="text1"/>
          <w:sz w:val="24"/>
          <w:szCs w:val="24"/>
          <w:shd w:val="clear" w:color="auto" w:fill="FFFFFF"/>
          <w:lang w:val="en-US"/>
        </w:rPr>
        <w:t xml:space="preserve"> https://</w:t>
      </w:r>
      <w:r w:rsidR="00877161" w:rsidRPr="00BB517D">
        <w:rPr>
          <w:rFonts w:ascii="Times New Roman" w:eastAsia="Times New Roman" w:hAnsi="Times New Roman" w:cs="Times New Roman"/>
          <w:color w:val="000000" w:themeColor="text1"/>
          <w:sz w:val="24"/>
          <w:szCs w:val="24"/>
          <w:shd w:val="clear" w:color="auto" w:fill="FFFFFF"/>
          <w:lang w:val="en-US"/>
        </w:rPr>
        <w:t>doi.org/10.10016/j.techfore.2017.03.002.</w:t>
      </w:r>
    </w:p>
    <w:p w14:paraId="70828422" w14:textId="77777777" w:rsidR="008F5536" w:rsidRPr="00BB517D" w:rsidRDefault="008F5536" w:rsidP="00841301">
      <w:pPr>
        <w:spacing w:after="0" w:line="240" w:lineRule="auto"/>
        <w:ind w:left="284" w:hanging="284"/>
        <w:jc w:val="both"/>
        <w:rPr>
          <w:rFonts w:ascii="Times New Roman" w:hAnsi="Times New Roman" w:cs="Times New Roman"/>
          <w:color w:val="000000" w:themeColor="text1"/>
          <w:sz w:val="24"/>
          <w:szCs w:val="24"/>
          <w:lang w:val="en-US"/>
        </w:rPr>
      </w:pPr>
      <w:r w:rsidRPr="00BB517D">
        <w:rPr>
          <w:rFonts w:ascii="Times New Roman" w:eastAsia="Times New Roman" w:hAnsi="Times New Roman" w:cs="Times New Roman"/>
          <w:color w:val="000000" w:themeColor="text1"/>
          <w:sz w:val="24"/>
          <w:szCs w:val="24"/>
          <w:lang w:val="en-US" w:eastAsia="ko-KR"/>
        </w:rPr>
        <w:t xml:space="preserve">Bresman, H., Birkinshaw, J., and Nobel, R. (2010). Knowledge Transfer in International Acquisitions. </w:t>
      </w:r>
      <w:r w:rsidRPr="00BB517D">
        <w:rPr>
          <w:rFonts w:ascii="Times New Roman" w:eastAsia="Times New Roman" w:hAnsi="Times New Roman" w:cs="Times New Roman"/>
          <w:i/>
          <w:iCs/>
          <w:color w:val="000000" w:themeColor="text1"/>
          <w:sz w:val="24"/>
          <w:szCs w:val="24"/>
          <w:lang w:val="en-US" w:eastAsia="ko-KR"/>
        </w:rPr>
        <w:t>Journal of International Business Studies</w:t>
      </w:r>
      <w:r w:rsidRPr="00BB517D">
        <w:rPr>
          <w:rFonts w:ascii="Times New Roman" w:eastAsia="Times New Roman" w:hAnsi="Times New Roman" w:cs="Times New Roman"/>
          <w:iCs/>
          <w:color w:val="000000" w:themeColor="text1"/>
          <w:sz w:val="24"/>
          <w:szCs w:val="24"/>
          <w:lang w:val="en-US" w:eastAsia="ko-KR"/>
        </w:rPr>
        <w:t>, 30(3)</w:t>
      </w:r>
      <w:r w:rsidRPr="00BB517D">
        <w:rPr>
          <w:rFonts w:ascii="Times New Roman" w:eastAsia="Times New Roman" w:hAnsi="Times New Roman" w:cs="Times New Roman"/>
          <w:color w:val="000000" w:themeColor="text1"/>
          <w:sz w:val="24"/>
          <w:szCs w:val="24"/>
          <w:lang w:val="en-US" w:eastAsia="ko-KR"/>
        </w:rPr>
        <w:t>: 5-20.</w:t>
      </w:r>
    </w:p>
    <w:p w14:paraId="5A141099" w14:textId="77777777" w:rsidR="008F5536" w:rsidRPr="002B3E1D" w:rsidRDefault="00562D43" w:rsidP="008F5536">
      <w:pPr>
        <w:autoSpaceDE w:val="0"/>
        <w:autoSpaceDN w:val="0"/>
        <w:adjustRightInd w:val="0"/>
        <w:spacing w:after="0" w:line="240" w:lineRule="auto"/>
        <w:ind w:left="284" w:hanging="284"/>
        <w:jc w:val="both"/>
        <w:rPr>
          <w:rFonts w:ascii="Times New Roman" w:hAnsi="Times New Roman" w:cs="Times New Roman"/>
          <w:color w:val="222222"/>
          <w:sz w:val="24"/>
          <w:szCs w:val="24"/>
          <w:shd w:val="clear" w:color="auto" w:fill="FFFFFF"/>
          <w:lang w:val="en-US"/>
        </w:rPr>
      </w:pPr>
      <w:r w:rsidRPr="00BB517D">
        <w:rPr>
          <w:rFonts w:ascii="Times New Roman" w:hAnsi="Times New Roman" w:cs="Times New Roman"/>
          <w:color w:val="000000" w:themeColor="text1"/>
          <w:sz w:val="24"/>
          <w:szCs w:val="24"/>
          <w:shd w:val="clear" w:color="auto" w:fill="FFFFFF"/>
          <w:lang w:val="en-US"/>
        </w:rPr>
        <w:t>Burgers, J.</w:t>
      </w:r>
      <w:r w:rsidR="008F5536" w:rsidRPr="00BB517D">
        <w:rPr>
          <w:rFonts w:ascii="Times New Roman" w:hAnsi="Times New Roman" w:cs="Times New Roman"/>
          <w:color w:val="000000" w:themeColor="text1"/>
          <w:sz w:val="24"/>
          <w:szCs w:val="24"/>
          <w:shd w:val="clear" w:color="auto" w:fill="FFFFFF"/>
          <w:lang w:val="en-US"/>
        </w:rPr>
        <w:t>H., J</w:t>
      </w:r>
      <w:r w:rsidRPr="00BB517D">
        <w:rPr>
          <w:rFonts w:ascii="Times New Roman" w:hAnsi="Times New Roman" w:cs="Times New Roman"/>
          <w:color w:val="000000" w:themeColor="text1"/>
          <w:sz w:val="24"/>
          <w:szCs w:val="24"/>
          <w:shd w:val="clear" w:color="auto" w:fill="FFFFFF"/>
          <w:lang w:val="en-US"/>
        </w:rPr>
        <w:t>ansen, J.J., Van den Bosch, F.</w:t>
      </w:r>
      <w:r w:rsidR="008F5536" w:rsidRPr="00BB517D">
        <w:rPr>
          <w:rFonts w:ascii="Times New Roman" w:hAnsi="Times New Roman" w:cs="Times New Roman"/>
          <w:color w:val="000000" w:themeColor="text1"/>
          <w:sz w:val="24"/>
          <w:szCs w:val="24"/>
          <w:shd w:val="clear" w:color="auto" w:fill="FFFFFF"/>
          <w:lang w:val="en-US"/>
        </w:rPr>
        <w:t>A., and Volberda, H. W. (2009). Structural differentiation and corporate venturing</w:t>
      </w:r>
      <w:r w:rsidR="008F5536" w:rsidRPr="002B3E1D">
        <w:rPr>
          <w:rFonts w:ascii="Times New Roman" w:hAnsi="Times New Roman" w:cs="Times New Roman"/>
          <w:color w:val="222222"/>
          <w:sz w:val="24"/>
          <w:szCs w:val="24"/>
          <w:shd w:val="clear" w:color="auto" w:fill="FFFFFF"/>
          <w:lang w:val="en-US"/>
        </w:rPr>
        <w:t xml:space="preserve">: The moderating role of formal and informal integration mechanisms. </w:t>
      </w:r>
      <w:r w:rsidR="008F5536" w:rsidRPr="002B3E1D">
        <w:rPr>
          <w:rFonts w:ascii="Times New Roman" w:hAnsi="Times New Roman" w:cs="Times New Roman"/>
          <w:i/>
          <w:color w:val="222222"/>
          <w:sz w:val="24"/>
          <w:szCs w:val="24"/>
          <w:shd w:val="clear" w:color="auto" w:fill="FFFFFF"/>
          <w:lang w:val="en-US"/>
        </w:rPr>
        <w:t>Journal of Business Venturing</w:t>
      </w:r>
      <w:r w:rsidR="008F5536" w:rsidRPr="002B3E1D">
        <w:rPr>
          <w:rFonts w:ascii="Times New Roman" w:hAnsi="Times New Roman" w:cs="Times New Roman"/>
          <w:color w:val="222222"/>
          <w:sz w:val="24"/>
          <w:szCs w:val="24"/>
          <w:shd w:val="clear" w:color="auto" w:fill="FFFFFF"/>
          <w:lang w:val="en-US"/>
        </w:rPr>
        <w:t>, 24(3</w:t>
      </w:r>
      <w:r w:rsidRPr="002B3E1D">
        <w:rPr>
          <w:rFonts w:ascii="Times New Roman" w:hAnsi="Times New Roman" w:cs="Times New Roman"/>
          <w:color w:val="222222"/>
          <w:sz w:val="24"/>
          <w:szCs w:val="24"/>
          <w:shd w:val="clear" w:color="auto" w:fill="FFFFFF"/>
          <w:lang w:val="en-US"/>
        </w:rPr>
        <w:t>):</w:t>
      </w:r>
      <w:r w:rsidR="008F5536" w:rsidRPr="002B3E1D">
        <w:rPr>
          <w:rFonts w:ascii="Times New Roman" w:hAnsi="Times New Roman" w:cs="Times New Roman"/>
          <w:color w:val="222222"/>
          <w:sz w:val="24"/>
          <w:szCs w:val="24"/>
          <w:shd w:val="clear" w:color="auto" w:fill="FFFFFF"/>
          <w:lang w:val="en-US"/>
        </w:rPr>
        <w:t xml:space="preserve"> 206-220.</w:t>
      </w:r>
    </w:p>
    <w:p w14:paraId="374CB4A3" w14:textId="77777777" w:rsidR="00127DFB" w:rsidRDefault="00562D43" w:rsidP="00127DFB">
      <w:pPr>
        <w:autoSpaceDE w:val="0"/>
        <w:autoSpaceDN w:val="0"/>
        <w:adjustRightInd w:val="0"/>
        <w:spacing w:after="0" w:line="240" w:lineRule="auto"/>
        <w:ind w:left="284" w:hanging="284"/>
        <w:jc w:val="both"/>
        <w:rPr>
          <w:rFonts w:ascii="Times New Roman" w:hAnsi="Times New Roman" w:cs="Times New Roman"/>
          <w:color w:val="222222"/>
          <w:sz w:val="24"/>
          <w:szCs w:val="24"/>
          <w:shd w:val="clear" w:color="auto" w:fill="FFFFFF"/>
          <w:lang w:val="en-US"/>
        </w:rPr>
      </w:pPr>
      <w:r w:rsidRPr="002B3E1D">
        <w:rPr>
          <w:rFonts w:ascii="Times New Roman" w:hAnsi="Times New Roman" w:cs="Times New Roman"/>
          <w:color w:val="222222"/>
          <w:sz w:val="24"/>
          <w:szCs w:val="24"/>
          <w:shd w:val="clear" w:color="auto" w:fill="FFFFFF"/>
          <w:lang w:val="en-US"/>
        </w:rPr>
        <w:t>Burgers, J.H., and Covin, J.</w:t>
      </w:r>
      <w:r w:rsidR="008F5536" w:rsidRPr="002B3E1D">
        <w:rPr>
          <w:rFonts w:ascii="Times New Roman" w:hAnsi="Times New Roman" w:cs="Times New Roman"/>
          <w:color w:val="222222"/>
          <w:sz w:val="24"/>
          <w:szCs w:val="24"/>
          <w:shd w:val="clear" w:color="auto" w:fill="FFFFFF"/>
          <w:lang w:val="en-US"/>
        </w:rPr>
        <w:t>G. (2016). The contingent effects of differentiation and integration on corporate entrepreneurship.</w:t>
      </w:r>
      <w:r w:rsidR="008F5536" w:rsidRPr="002B3E1D">
        <w:rPr>
          <w:rStyle w:val="apple-converted-space"/>
          <w:rFonts w:ascii="Times New Roman" w:hAnsi="Times New Roman" w:cs="Times New Roman"/>
          <w:color w:val="222222"/>
          <w:sz w:val="24"/>
          <w:szCs w:val="24"/>
          <w:shd w:val="clear" w:color="auto" w:fill="FFFFFF"/>
          <w:lang w:val="en-US"/>
        </w:rPr>
        <w:t> </w:t>
      </w:r>
      <w:r w:rsidR="008F5536" w:rsidRPr="002B3E1D">
        <w:rPr>
          <w:rFonts w:ascii="Times New Roman" w:hAnsi="Times New Roman" w:cs="Times New Roman"/>
          <w:i/>
          <w:iCs/>
          <w:color w:val="222222"/>
          <w:sz w:val="24"/>
          <w:szCs w:val="24"/>
          <w:shd w:val="clear" w:color="auto" w:fill="FFFFFF"/>
          <w:lang w:val="en-US"/>
        </w:rPr>
        <w:t>Strategic Management Journal</w:t>
      </w:r>
      <w:r w:rsidR="008F5536" w:rsidRPr="002B3E1D">
        <w:rPr>
          <w:rFonts w:ascii="Times New Roman" w:hAnsi="Times New Roman" w:cs="Times New Roman"/>
          <w:color w:val="222222"/>
          <w:sz w:val="24"/>
          <w:szCs w:val="24"/>
          <w:shd w:val="clear" w:color="auto" w:fill="FFFFFF"/>
          <w:lang w:val="en-US"/>
        </w:rPr>
        <w:t>,</w:t>
      </w:r>
      <w:r w:rsidR="008F5536" w:rsidRPr="002B3E1D">
        <w:rPr>
          <w:rStyle w:val="apple-converted-space"/>
          <w:rFonts w:ascii="Times New Roman" w:hAnsi="Times New Roman" w:cs="Times New Roman"/>
          <w:color w:val="222222"/>
          <w:sz w:val="24"/>
          <w:szCs w:val="24"/>
          <w:shd w:val="clear" w:color="auto" w:fill="FFFFFF"/>
          <w:lang w:val="en-US"/>
        </w:rPr>
        <w:t> </w:t>
      </w:r>
      <w:r w:rsidR="008F5536" w:rsidRPr="002B3E1D">
        <w:rPr>
          <w:rFonts w:ascii="Times New Roman" w:hAnsi="Times New Roman" w:cs="Times New Roman"/>
          <w:iCs/>
          <w:color w:val="222222"/>
          <w:sz w:val="24"/>
          <w:szCs w:val="24"/>
          <w:shd w:val="clear" w:color="auto" w:fill="FFFFFF"/>
          <w:lang w:val="en-US"/>
        </w:rPr>
        <w:t>37</w:t>
      </w:r>
      <w:r w:rsidR="008F5536" w:rsidRPr="002B3E1D">
        <w:rPr>
          <w:rFonts w:ascii="Times New Roman" w:hAnsi="Times New Roman" w:cs="Times New Roman"/>
          <w:color w:val="222222"/>
          <w:sz w:val="24"/>
          <w:szCs w:val="24"/>
          <w:shd w:val="clear" w:color="auto" w:fill="FFFFFF"/>
          <w:lang w:val="en-US"/>
        </w:rPr>
        <w:t>(3</w:t>
      </w:r>
      <w:r w:rsidRPr="002B3E1D">
        <w:rPr>
          <w:rFonts w:ascii="Times New Roman" w:hAnsi="Times New Roman" w:cs="Times New Roman"/>
          <w:color w:val="222222"/>
          <w:sz w:val="24"/>
          <w:szCs w:val="24"/>
          <w:shd w:val="clear" w:color="auto" w:fill="FFFFFF"/>
          <w:lang w:val="en-US"/>
        </w:rPr>
        <w:t>):</w:t>
      </w:r>
      <w:r w:rsidR="008F5536" w:rsidRPr="002B3E1D">
        <w:rPr>
          <w:rFonts w:ascii="Times New Roman" w:hAnsi="Times New Roman" w:cs="Times New Roman"/>
          <w:color w:val="222222"/>
          <w:sz w:val="24"/>
          <w:szCs w:val="24"/>
          <w:shd w:val="clear" w:color="auto" w:fill="FFFFFF"/>
          <w:lang w:val="en-US"/>
        </w:rPr>
        <w:t xml:space="preserve"> 521-540.</w:t>
      </w:r>
    </w:p>
    <w:p w14:paraId="56245A38" w14:textId="00CBBE0F" w:rsidR="00127DFB" w:rsidRPr="00127DFB" w:rsidRDefault="00127DFB" w:rsidP="00127DFB">
      <w:pPr>
        <w:autoSpaceDE w:val="0"/>
        <w:autoSpaceDN w:val="0"/>
        <w:adjustRightInd w:val="0"/>
        <w:spacing w:after="0" w:line="240" w:lineRule="auto"/>
        <w:ind w:left="284" w:hanging="284"/>
        <w:jc w:val="both"/>
        <w:rPr>
          <w:rFonts w:ascii="Times New Roman" w:hAnsi="Times New Roman" w:cs="Times New Roman"/>
          <w:color w:val="222222"/>
          <w:sz w:val="24"/>
          <w:szCs w:val="24"/>
          <w:shd w:val="clear" w:color="auto" w:fill="FFFFFF"/>
          <w:lang w:val="en-US"/>
        </w:rPr>
      </w:pPr>
      <w:r w:rsidRPr="00127DFB">
        <w:rPr>
          <w:rFonts w:ascii="Times New Roman" w:hAnsi="Times New Roman" w:cs="Times New Roman"/>
          <w:sz w:val="24"/>
          <w:szCs w:val="24"/>
        </w:rPr>
        <w:t xml:space="preserve">Capron, L., P. </w:t>
      </w:r>
      <w:proofErr w:type="spellStart"/>
      <w:r w:rsidRPr="00127DFB">
        <w:rPr>
          <w:rFonts w:ascii="Times New Roman" w:hAnsi="Times New Roman" w:cs="Times New Roman"/>
          <w:sz w:val="24"/>
          <w:szCs w:val="24"/>
        </w:rPr>
        <w:t>Dussauge</w:t>
      </w:r>
      <w:proofErr w:type="spellEnd"/>
      <w:r w:rsidRPr="00127DFB">
        <w:rPr>
          <w:rFonts w:ascii="Times New Roman" w:hAnsi="Times New Roman" w:cs="Times New Roman"/>
          <w:sz w:val="24"/>
          <w:szCs w:val="24"/>
        </w:rPr>
        <w:t xml:space="preserve"> and W.</w:t>
      </w:r>
      <w:r>
        <w:rPr>
          <w:rFonts w:ascii="Times New Roman" w:hAnsi="Times New Roman" w:cs="Times New Roman"/>
          <w:sz w:val="24"/>
          <w:szCs w:val="24"/>
        </w:rPr>
        <w:t xml:space="preserve"> Mitchell (1998). </w:t>
      </w:r>
      <w:proofErr w:type="gramStart"/>
      <w:r w:rsidRPr="00127DFB">
        <w:rPr>
          <w:rFonts w:ascii="Times New Roman" w:hAnsi="Times New Roman" w:cs="Times New Roman"/>
          <w:sz w:val="24"/>
          <w:szCs w:val="24"/>
        </w:rPr>
        <w:t>Resource redeploym</w:t>
      </w:r>
      <w:r>
        <w:rPr>
          <w:rFonts w:ascii="Times New Roman" w:hAnsi="Times New Roman" w:cs="Times New Roman"/>
          <w:sz w:val="24"/>
          <w:szCs w:val="24"/>
        </w:rPr>
        <w:t>ent following horizontal acqui</w:t>
      </w:r>
      <w:r w:rsidRPr="00127DFB">
        <w:rPr>
          <w:rFonts w:ascii="Times New Roman" w:hAnsi="Times New Roman" w:cs="Times New Roman"/>
          <w:sz w:val="24"/>
          <w:szCs w:val="24"/>
        </w:rPr>
        <w:t>sitions in Euro</w:t>
      </w:r>
      <w:r>
        <w:rPr>
          <w:rFonts w:ascii="Times New Roman" w:hAnsi="Times New Roman" w:cs="Times New Roman"/>
          <w:sz w:val="24"/>
          <w:szCs w:val="24"/>
        </w:rPr>
        <w:t>pe and North America, 1988–1992.</w:t>
      </w:r>
      <w:proofErr w:type="gramEnd"/>
      <w:r w:rsidRPr="00127DFB">
        <w:rPr>
          <w:rFonts w:ascii="Times New Roman" w:hAnsi="Times New Roman" w:cs="Times New Roman"/>
          <w:sz w:val="24"/>
          <w:szCs w:val="24"/>
        </w:rPr>
        <w:t xml:space="preserve"> </w:t>
      </w:r>
      <w:r w:rsidRPr="00127DFB">
        <w:rPr>
          <w:rFonts w:ascii="Times New Roman" w:hAnsi="Times New Roman" w:cs="Times New Roman"/>
          <w:i/>
          <w:iCs/>
          <w:sz w:val="24"/>
          <w:szCs w:val="24"/>
        </w:rPr>
        <w:t xml:space="preserve">Strategic Management Journal, </w:t>
      </w:r>
      <w:r w:rsidRPr="00127DFB">
        <w:rPr>
          <w:rFonts w:ascii="Times New Roman" w:hAnsi="Times New Roman" w:cs="Times New Roman"/>
          <w:bCs/>
          <w:sz w:val="24"/>
          <w:szCs w:val="24"/>
        </w:rPr>
        <w:t>19</w:t>
      </w:r>
      <w:r>
        <w:rPr>
          <w:rFonts w:ascii="Times New Roman" w:hAnsi="Times New Roman" w:cs="Times New Roman"/>
          <w:sz w:val="24"/>
          <w:szCs w:val="24"/>
        </w:rPr>
        <w:t xml:space="preserve">(7): </w:t>
      </w:r>
      <w:r w:rsidRPr="00127DFB">
        <w:rPr>
          <w:rFonts w:ascii="Times New Roman" w:hAnsi="Times New Roman" w:cs="Times New Roman"/>
          <w:sz w:val="24"/>
          <w:szCs w:val="24"/>
        </w:rPr>
        <w:t xml:space="preserve">631–661. </w:t>
      </w:r>
    </w:p>
    <w:p w14:paraId="43A67455" w14:textId="177CFC90" w:rsidR="008F5536" w:rsidRPr="002B3E1D" w:rsidRDefault="008F5536" w:rsidP="008F5536">
      <w:pPr>
        <w:pStyle w:val="NormalWeb"/>
        <w:spacing w:before="0" w:beforeAutospacing="0"/>
        <w:ind w:left="284" w:right="0" w:hanging="284"/>
        <w:jc w:val="both"/>
        <w:rPr>
          <w:iCs/>
          <w:lang w:val="en-US"/>
        </w:rPr>
      </w:pPr>
      <w:r w:rsidRPr="002B3E1D">
        <w:rPr>
          <w:lang w:val="en-US"/>
        </w:rPr>
        <w:lastRenderedPageBreak/>
        <w:t xml:space="preserve">Capron, L. </w:t>
      </w:r>
      <w:r w:rsidR="00127DFB">
        <w:rPr>
          <w:lang w:val="en-US"/>
        </w:rPr>
        <w:t>(</w:t>
      </w:r>
      <w:r w:rsidRPr="002B3E1D">
        <w:rPr>
          <w:lang w:val="en-US"/>
        </w:rPr>
        <w:t>1999</w:t>
      </w:r>
      <w:r w:rsidR="00127DFB">
        <w:rPr>
          <w:lang w:val="en-US"/>
        </w:rPr>
        <w:t>)</w:t>
      </w:r>
      <w:r w:rsidRPr="002B3E1D">
        <w:rPr>
          <w:lang w:val="en-US"/>
        </w:rPr>
        <w:t xml:space="preserve">. The Long-Term Performance of Horizontal Acquisitions. </w:t>
      </w:r>
      <w:r w:rsidRPr="002B3E1D">
        <w:rPr>
          <w:i/>
          <w:iCs/>
          <w:lang w:val="en-US"/>
        </w:rPr>
        <w:t>Strategic Management Journal</w:t>
      </w:r>
      <w:r w:rsidRPr="002B3E1D">
        <w:rPr>
          <w:iCs/>
          <w:lang w:val="en-US"/>
        </w:rPr>
        <w:t>, 20(11)</w:t>
      </w:r>
      <w:r w:rsidRPr="002B3E1D">
        <w:rPr>
          <w:lang w:val="en-US"/>
        </w:rPr>
        <w:t>: 987–1018.</w:t>
      </w:r>
    </w:p>
    <w:p w14:paraId="63C9BF36" w14:textId="77777777" w:rsidR="008F5536" w:rsidRPr="002B3E1D" w:rsidRDefault="008F5536" w:rsidP="008F5536">
      <w:pPr>
        <w:autoSpaceDE w:val="0"/>
        <w:autoSpaceDN w:val="0"/>
        <w:adjustRightInd w:val="0"/>
        <w:spacing w:after="0" w:line="240" w:lineRule="auto"/>
        <w:ind w:left="284" w:hanging="284"/>
        <w:jc w:val="both"/>
        <w:rPr>
          <w:rFonts w:ascii="Times New Roman" w:hAnsi="Times New Roman" w:cs="Times New Roman"/>
          <w:color w:val="222222"/>
          <w:sz w:val="24"/>
          <w:szCs w:val="24"/>
          <w:shd w:val="clear" w:color="auto" w:fill="FFFFFF"/>
          <w:lang w:val="en-US"/>
        </w:rPr>
      </w:pPr>
      <w:r w:rsidRPr="002B3E1D">
        <w:rPr>
          <w:rFonts w:ascii="Times New Roman" w:hAnsi="Times New Roman" w:cs="Times New Roman"/>
          <w:color w:val="222222"/>
          <w:sz w:val="24"/>
          <w:szCs w:val="24"/>
          <w:shd w:val="clear" w:color="auto" w:fill="FFFFFF"/>
          <w:lang w:val="en-US"/>
        </w:rPr>
        <w:t xml:space="preserve">Cao, Q., Gedajlovic, E., and Zhang, H. (2009). Unpacking organizational ambidexterity: Dimensions, contingencies, and synergistic effects. </w:t>
      </w:r>
      <w:r w:rsidRPr="002B3E1D">
        <w:rPr>
          <w:rFonts w:ascii="Times New Roman" w:hAnsi="Times New Roman" w:cs="Times New Roman"/>
          <w:i/>
          <w:color w:val="222222"/>
          <w:sz w:val="24"/>
          <w:szCs w:val="24"/>
          <w:shd w:val="clear" w:color="auto" w:fill="FFFFFF"/>
          <w:lang w:val="en-US"/>
        </w:rPr>
        <w:t>Organization Science</w:t>
      </w:r>
      <w:r w:rsidRPr="002B3E1D">
        <w:rPr>
          <w:rFonts w:ascii="Times New Roman" w:hAnsi="Times New Roman" w:cs="Times New Roman"/>
          <w:color w:val="222222"/>
          <w:sz w:val="24"/>
          <w:szCs w:val="24"/>
          <w:shd w:val="clear" w:color="auto" w:fill="FFFFFF"/>
          <w:lang w:val="en-US"/>
        </w:rPr>
        <w:t>, 20(4</w:t>
      </w:r>
      <w:r w:rsidR="00562D43" w:rsidRPr="002B3E1D">
        <w:rPr>
          <w:rFonts w:ascii="Times New Roman" w:hAnsi="Times New Roman" w:cs="Times New Roman"/>
          <w:color w:val="222222"/>
          <w:sz w:val="24"/>
          <w:szCs w:val="24"/>
          <w:shd w:val="clear" w:color="auto" w:fill="FFFFFF"/>
          <w:lang w:val="en-US"/>
        </w:rPr>
        <w:t>):</w:t>
      </w:r>
      <w:r w:rsidRPr="002B3E1D">
        <w:rPr>
          <w:rFonts w:ascii="Times New Roman" w:hAnsi="Times New Roman" w:cs="Times New Roman"/>
          <w:color w:val="222222"/>
          <w:sz w:val="24"/>
          <w:szCs w:val="24"/>
          <w:shd w:val="clear" w:color="auto" w:fill="FFFFFF"/>
          <w:lang w:val="en-US"/>
        </w:rPr>
        <w:t xml:space="preserve"> 781–796.</w:t>
      </w:r>
    </w:p>
    <w:p w14:paraId="5DDAD0C8" w14:textId="77777777" w:rsidR="008F5536" w:rsidRPr="002B3E1D" w:rsidRDefault="008F5536" w:rsidP="008F5536">
      <w:pPr>
        <w:autoSpaceDE w:val="0"/>
        <w:autoSpaceDN w:val="0"/>
        <w:adjustRightInd w:val="0"/>
        <w:spacing w:after="0" w:line="240" w:lineRule="auto"/>
        <w:ind w:left="284" w:hanging="284"/>
        <w:jc w:val="both"/>
        <w:rPr>
          <w:rFonts w:ascii="Times New Roman" w:hAnsi="Times New Roman" w:cs="Times New Roman"/>
          <w:color w:val="222222"/>
          <w:sz w:val="24"/>
          <w:szCs w:val="24"/>
          <w:shd w:val="clear" w:color="auto" w:fill="FFFFFF"/>
          <w:lang w:val="en-US"/>
        </w:rPr>
      </w:pPr>
      <w:r w:rsidRPr="002B3E1D">
        <w:rPr>
          <w:rFonts w:ascii="Times New Roman" w:hAnsi="Times New Roman" w:cs="Times New Roman"/>
          <w:color w:val="222222"/>
          <w:sz w:val="24"/>
          <w:szCs w:val="24"/>
          <w:shd w:val="clear" w:color="auto" w:fill="FFFFFF"/>
          <w:lang w:val="en-US"/>
        </w:rPr>
        <w:t xml:space="preserve">Coleman J. </w:t>
      </w:r>
      <w:r w:rsidR="00B56E7C" w:rsidRPr="002B3E1D">
        <w:rPr>
          <w:rFonts w:ascii="Times New Roman" w:hAnsi="Times New Roman" w:cs="Times New Roman"/>
          <w:color w:val="222222"/>
          <w:sz w:val="24"/>
          <w:szCs w:val="24"/>
          <w:shd w:val="clear" w:color="auto" w:fill="FFFFFF"/>
          <w:lang w:val="en-US"/>
        </w:rPr>
        <w:t>(</w:t>
      </w:r>
      <w:r w:rsidRPr="002B3E1D">
        <w:rPr>
          <w:rFonts w:ascii="Times New Roman" w:hAnsi="Times New Roman" w:cs="Times New Roman"/>
          <w:color w:val="222222"/>
          <w:sz w:val="24"/>
          <w:szCs w:val="24"/>
          <w:shd w:val="clear" w:color="auto" w:fill="FFFFFF"/>
          <w:lang w:val="en-US"/>
        </w:rPr>
        <w:t>1990</w:t>
      </w:r>
      <w:r w:rsidR="00B56E7C" w:rsidRPr="002B3E1D">
        <w:rPr>
          <w:rFonts w:ascii="Times New Roman" w:hAnsi="Times New Roman" w:cs="Times New Roman"/>
          <w:color w:val="222222"/>
          <w:sz w:val="24"/>
          <w:szCs w:val="24"/>
          <w:shd w:val="clear" w:color="auto" w:fill="FFFFFF"/>
          <w:lang w:val="en-US"/>
        </w:rPr>
        <w:t>)</w:t>
      </w:r>
      <w:r w:rsidRPr="002B3E1D">
        <w:rPr>
          <w:rFonts w:ascii="Times New Roman" w:hAnsi="Times New Roman" w:cs="Times New Roman"/>
          <w:color w:val="222222"/>
          <w:sz w:val="24"/>
          <w:szCs w:val="24"/>
          <w:shd w:val="clear" w:color="auto" w:fill="FFFFFF"/>
          <w:lang w:val="en-US"/>
        </w:rPr>
        <w:t xml:space="preserve">. </w:t>
      </w:r>
      <w:r w:rsidRPr="002B3E1D">
        <w:rPr>
          <w:rFonts w:ascii="Times New Roman" w:hAnsi="Times New Roman" w:cs="Times New Roman"/>
          <w:i/>
          <w:color w:val="222222"/>
          <w:sz w:val="24"/>
          <w:szCs w:val="24"/>
          <w:shd w:val="clear" w:color="auto" w:fill="FFFFFF"/>
          <w:lang w:val="en-US"/>
        </w:rPr>
        <w:t xml:space="preserve">Foundations of </w:t>
      </w:r>
      <w:r w:rsidR="00B56E7C" w:rsidRPr="002B3E1D">
        <w:rPr>
          <w:rFonts w:ascii="Times New Roman" w:hAnsi="Times New Roman" w:cs="Times New Roman"/>
          <w:i/>
          <w:color w:val="222222"/>
          <w:sz w:val="24"/>
          <w:szCs w:val="24"/>
          <w:shd w:val="clear" w:color="auto" w:fill="FFFFFF"/>
          <w:lang w:val="en-US"/>
        </w:rPr>
        <w:t>S</w:t>
      </w:r>
      <w:r w:rsidRPr="002B3E1D">
        <w:rPr>
          <w:rFonts w:ascii="Times New Roman" w:hAnsi="Times New Roman" w:cs="Times New Roman"/>
          <w:i/>
          <w:color w:val="222222"/>
          <w:sz w:val="24"/>
          <w:szCs w:val="24"/>
          <w:shd w:val="clear" w:color="auto" w:fill="FFFFFF"/>
          <w:lang w:val="en-US"/>
        </w:rPr>
        <w:t xml:space="preserve">ocial </w:t>
      </w:r>
      <w:r w:rsidR="00B56E7C" w:rsidRPr="002B3E1D">
        <w:rPr>
          <w:rFonts w:ascii="Times New Roman" w:hAnsi="Times New Roman" w:cs="Times New Roman"/>
          <w:i/>
          <w:color w:val="222222"/>
          <w:sz w:val="24"/>
          <w:szCs w:val="24"/>
          <w:shd w:val="clear" w:color="auto" w:fill="FFFFFF"/>
          <w:lang w:val="en-US"/>
        </w:rPr>
        <w:t>T</w:t>
      </w:r>
      <w:r w:rsidRPr="002B3E1D">
        <w:rPr>
          <w:rFonts w:ascii="Times New Roman" w:hAnsi="Times New Roman" w:cs="Times New Roman"/>
          <w:i/>
          <w:color w:val="222222"/>
          <w:sz w:val="24"/>
          <w:szCs w:val="24"/>
          <w:shd w:val="clear" w:color="auto" w:fill="FFFFFF"/>
          <w:lang w:val="en-US"/>
        </w:rPr>
        <w:t>heory</w:t>
      </w:r>
      <w:r w:rsidRPr="002B3E1D">
        <w:rPr>
          <w:rFonts w:ascii="Times New Roman" w:hAnsi="Times New Roman" w:cs="Times New Roman"/>
          <w:color w:val="222222"/>
          <w:sz w:val="24"/>
          <w:szCs w:val="24"/>
          <w:shd w:val="clear" w:color="auto" w:fill="FFFFFF"/>
          <w:lang w:val="en-US"/>
        </w:rPr>
        <w:t>. Boston: Harvard University Press.</w:t>
      </w:r>
    </w:p>
    <w:p w14:paraId="2E886D5C" w14:textId="77777777" w:rsidR="008F5536" w:rsidRPr="002B3E1D" w:rsidRDefault="00B56E7C" w:rsidP="008F5536">
      <w:pPr>
        <w:spacing w:after="0" w:line="240" w:lineRule="auto"/>
        <w:ind w:left="284" w:hanging="284"/>
        <w:jc w:val="both"/>
        <w:rPr>
          <w:rFonts w:ascii="Times New Roman" w:hAnsi="Times New Roman" w:cs="Times New Roman"/>
          <w:sz w:val="24"/>
          <w:szCs w:val="24"/>
          <w:lang w:val="en-US"/>
        </w:rPr>
      </w:pPr>
      <w:r w:rsidRPr="002B3E1D">
        <w:rPr>
          <w:rFonts w:ascii="Times New Roman" w:hAnsi="Times New Roman" w:cs="Times New Roman"/>
          <w:sz w:val="24"/>
          <w:szCs w:val="24"/>
          <w:lang w:val="en-US"/>
        </w:rPr>
        <w:t>Conway, J.</w:t>
      </w:r>
      <w:r w:rsidR="008F5536" w:rsidRPr="002B3E1D">
        <w:rPr>
          <w:rFonts w:ascii="Times New Roman" w:hAnsi="Times New Roman" w:cs="Times New Roman"/>
          <w:sz w:val="24"/>
          <w:szCs w:val="24"/>
          <w:lang w:val="en-US"/>
        </w:rPr>
        <w:t>M. and</w:t>
      </w:r>
      <w:r w:rsidRPr="002B3E1D">
        <w:rPr>
          <w:rFonts w:ascii="Times New Roman" w:hAnsi="Times New Roman" w:cs="Times New Roman"/>
          <w:sz w:val="24"/>
          <w:szCs w:val="24"/>
          <w:lang w:val="en-US"/>
        </w:rPr>
        <w:t xml:space="preserve"> Lance, C.</w:t>
      </w:r>
      <w:r w:rsidR="008F5536" w:rsidRPr="002B3E1D">
        <w:rPr>
          <w:rFonts w:ascii="Times New Roman" w:hAnsi="Times New Roman" w:cs="Times New Roman"/>
          <w:sz w:val="24"/>
          <w:szCs w:val="24"/>
          <w:lang w:val="en-US"/>
        </w:rPr>
        <w:t xml:space="preserve">E. (2010). What reviewers should expect from authors regarding common method bias in organizational research. </w:t>
      </w:r>
      <w:r w:rsidR="008F5536" w:rsidRPr="002B3E1D">
        <w:rPr>
          <w:rFonts w:ascii="Times New Roman" w:hAnsi="Times New Roman" w:cs="Times New Roman"/>
          <w:i/>
          <w:sz w:val="24"/>
          <w:szCs w:val="24"/>
          <w:lang w:val="en-US"/>
        </w:rPr>
        <w:t>Journal of Business and Psychology</w:t>
      </w:r>
      <w:r w:rsidR="008F5536" w:rsidRPr="002B3E1D">
        <w:rPr>
          <w:rFonts w:ascii="Times New Roman" w:hAnsi="Times New Roman" w:cs="Times New Roman"/>
          <w:sz w:val="24"/>
          <w:szCs w:val="24"/>
          <w:lang w:val="en-US"/>
        </w:rPr>
        <w:t>, 25(3</w:t>
      </w:r>
      <w:r w:rsidR="00562D43" w:rsidRPr="002B3E1D">
        <w:rPr>
          <w:rFonts w:ascii="Times New Roman" w:hAnsi="Times New Roman" w:cs="Times New Roman"/>
          <w:sz w:val="24"/>
          <w:szCs w:val="24"/>
          <w:lang w:val="en-US"/>
        </w:rPr>
        <w:t>):</w:t>
      </w:r>
      <w:r w:rsidR="008F5536" w:rsidRPr="002B3E1D">
        <w:rPr>
          <w:rFonts w:ascii="Times New Roman" w:hAnsi="Times New Roman" w:cs="Times New Roman"/>
          <w:sz w:val="24"/>
          <w:szCs w:val="24"/>
          <w:lang w:val="en-US"/>
        </w:rPr>
        <w:t xml:space="preserve"> 325-334.</w:t>
      </w:r>
    </w:p>
    <w:p w14:paraId="42D8410E" w14:textId="77777777" w:rsidR="008F5536" w:rsidRPr="002B3E1D" w:rsidRDefault="00B56E7C" w:rsidP="008F5536">
      <w:pPr>
        <w:autoSpaceDE w:val="0"/>
        <w:autoSpaceDN w:val="0"/>
        <w:adjustRightInd w:val="0"/>
        <w:spacing w:after="0" w:line="240" w:lineRule="auto"/>
        <w:ind w:left="284" w:hanging="284"/>
        <w:jc w:val="both"/>
        <w:rPr>
          <w:rFonts w:ascii="Times New Roman" w:hAnsi="Times New Roman" w:cs="Times New Roman"/>
          <w:color w:val="222222"/>
          <w:sz w:val="24"/>
          <w:szCs w:val="24"/>
          <w:shd w:val="clear" w:color="auto" w:fill="FFFFFF"/>
          <w:lang w:val="en-US"/>
        </w:rPr>
      </w:pPr>
      <w:r w:rsidRPr="002B3E1D">
        <w:rPr>
          <w:rFonts w:ascii="Times New Roman" w:hAnsi="Times New Roman" w:cs="Times New Roman"/>
          <w:color w:val="222222"/>
          <w:sz w:val="24"/>
          <w:szCs w:val="24"/>
          <w:shd w:val="clear" w:color="auto" w:fill="FFFFFF"/>
          <w:lang w:val="en-US"/>
        </w:rPr>
        <w:t>Covin, J.G. and Miles, M.</w:t>
      </w:r>
      <w:r w:rsidR="008F5536" w:rsidRPr="002B3E1D">
        <w:rPr>
          <w:rFonts w:ascii="Times New Roman" w:hAnsi="Times New Roman" w:cs="Times New Roman"/>
          <w:color w:val="222222"/>
          <w:sz w:val="24"/>
          <w:szCs w:val="24"/>
          <w:shd w:val="clear" w:color="auto" w:fill="FFFFFF"/>
          <w:lang w:val="en-US"/>
        </w:rPr>
        <w:t xml:space="preserve">P. (1999). Corporate entrepreneurship and the pursuit of competitive advantage. </w:t>
      </w:r>
      <w:r w:rsidR="008F5536" w:rsidRPr="002B3E1D">
        <w:rPr>
          <w:rFonts w:ascii="Times New Roman" w:hAnsi="Times New Roman" w:cs="Times New Roman"/>
          <w:i/>
          <w:color w:val="222222"/>
          <w:sz w:val="24"/>
          <w:szCs w:val="24"/>
          <w:shd w:val="clear" w:color="auto" w:fill="FFFFFF"/>
          <w:lang w:val="en-US"/>
        </w:rPr>
        <w:t>Entrepreneurship Theory and Practice</w:t>
      </w:r>
      <w:r w:rsidR="008F5536" w:rsidRPr="002B3E1D">
        <w:rPr>
          <w:rFonts w:ascii="Times New Roman" w:hAnsi="Times New Roman" w:cs="Times New Roman"/>
          <w:color w:val="222222"/>
          <w:sz w:val="24"/>
          <w:szCs w:val="24"/>
          <w:shd w:val="clear" w:color="auto" w:fill="FFFFFF"/>
          <w:lang w:val="en-US"/>
        </w:rPr>
        <w:t>, 23(3</w:t>
      </w:r>
      <w:r w:rsidR="00562D43" w:rsidRPr="002B3E1D">
        <w:rPr>
          <w:rFonts w:ascii="Times New Roman" w:hAnsi="Times New Roman" w:cs="Times New Roman"/>
          <w:color w:val="222222"/>
          <w:sz w:val="24"/>
          <w:szCs w:val="24"/>
          <w:shd w:val="clear" w:color="auto" w:fill="FFFFFF"/>
          <w:lang w:val="en-US"/>
        </w:rPr>
        <w:t>):</w:t>
      </w:r>
      <w:r w:rsidR="008F5536" w:rsidRPr="002B3E1D">
        <w:rPr>
          <w:rFonts w:ascii="Times New Roman" w:hAnsi="Times New Roman" w:cs="Times New Roman"/>
          <w:color w:val="222222"/>
          <w:sz w:val="24"/>
          <w:szCs w:val="24"/>
          <w:shd w:val="clear" w:color="auto" w:fill="FFFFFF"/>
          <w:lang w:val="en-US"/>
        </w:rPr>
        <w:t xml:space="preserve"> 47–64.</w:t>
      </w:r>
    </w:p>
    <w:p w14:paraId="7D449FBB" w14:textId="77777777" w:rsidR="008F5536" w:rsidRPr="002B3E1D" w:rsidRDefault="008F5536" w:rsidP="008F5536">
      <w:pPr>
        <w:autoSpaceDE w:val="0"/>
        <w:autoSpaceDN w:val="0"/>
        <w:adjustRightInd w:val="0"/>
        <w:spacing w:after="0" w:line="240" w:lineRule="auto"/>
        <w:ind w:left="284" w:hanging="284"/>
        <w:jc w:val="both"/>
        <w:rPr>
          <w:rFonts w:ascii="Times New Roman" w:hAnsi="Times New Roman" w:cs="Times New Roman"/>
          <w:color w:val="222222"/>
          <w:sz w:val="24"/>
          <w:szCs w:val="24"/>
          <w:shd w:val="clear" w:color="auto" w:fill="FFFFFF"/>
          <w:lang w:val="en-US"/>
        </w:rPr>
      </w:pPr>
      <w:r w:rsidRPr="002B3E1D">
        <w:rPr>
          <w:rFonts w:ascii="Times New Roman" w:hAnsi="Times New Roman" w:cs="Times New Roman"/>
          <w:color w:val="222222"/>
          <w:sz w:val="24"/>
          <w:szCs w:val="24"/>
          <w:shd w:val="clear" w:color="auto" w:fill="FFFFFF"/>
          <w:lang w:val="en-US"/>
        </w:rPr>
        <w:t xml:space="preserve">Degbey, W.Y. (2015). Customer retention: A source of value for serial acquirers. </w:t>
      </w:r>
      <w:r w:rsidRPr="002B3E1D">
        <w:rPr>
          <w:rFonts w:ascii="Times New Roman" w:hAnsi="Times New Roman" w:cs="Times New Roman"/>
          <w:i/>
          <w:color w:val="222222"/>
          <w:sz w:val="24"/>
          <w:szCs w:val="24"/>
          <w:shd w:val="clear" w:color="auto" w:fill="FFFFFF"/>
          <w:lang w:val="en-US"/>
        </w:rPr>
        <w:t>Industrial Marketing Management</w:t>
      </w:r>
      <w:r w:rsidRPr="002B3E1D">
        <w:rPr>
          <w:rFonts w:ascii="Times New Roman" w:hAnsi="Times New Roman" w:cs="Times New Roman"/>
          <w:color w:val="222222"/>
          <w:sz w:val="24"/>
          <w:szCs w:val="24"/>
          <w:shd w:val="clear" w:color="auto" w:fill="FFFFFF"/>
          <w:lang w:val="en-US"/>
        </w:rPr>
        <w:t>, 46, 11-23.</w:t>
      </w:r>
    </w:p>
    <w:p w14:paraId="4CB0CD7B" w14:textId="77777777" w:rsidR="008F5536" w:rsidRPr="002B3E1D" w:rsidRDefault="00B56E7C" w:rsidP="008F5536">
      <w:pPr>
        <w:autoSpaceDE w:val="0"/>
        <w:autoSpaceDN w:val="0"/>
        <w:adjustRightInd w:val="0"/>
        <w:spacing w:after="0" w:line="240" w:lineRule="auto"/>
        <w:ind w:left="284" w:hanging="284"/>
        <w:jc w:val="both"/>
        <w:rPr>
          <w:rFonts w:ascii="Times New Roman" w:hAnsi="Times New Roman" w:cs="Times New Roman"/>
          <w:color w:val="222222"/>
          <w:sz w:val="24"/>
          <w:szCs w:val="24"/>
          <w:shd w:val="clear" w:color="auto" w:fill="FFFFFF"/>
          <w:lang w:val="en-US"/>
        </w:rPr>
      </w:pPr>
      <w:r w:rsidRPr="002B3E1D">
        <w:rPr>
          <w:rFonts w:ascii="Times New Roman" w:hAnsi="Times New Roman" w:cs="Times New Roman"/>
          <w:color w:val="222222"/>
          <w:sz w:val="24"/>
          <w:szCs w:val="24"/>
          <w:shd w:val="clear" w:color="auto" w:fill="FFFFFF"/>
          <w:lang w:val="en-US"/>
        </w:rPr>
        <w:t>Degbey, W.</w:t>
      </w:r>
      <w:r w:rsidR="008F5536" w:rsidRPr="002B3E1D">
        <w:rPr>
          <w:rFonts w:ascii="Times New Roman" w:hAnsi="Times New Roman" w:cs="Times New Roman"/>
          <w:color w:val="222222"/>
          <w:sz w:val="24"/>
          <w:szCs w:val="24"/>
          <w:shd w:val="clear" w:color="auto" w:fill="FFFFFF"/>
          <w:lang w:val="en-US"/>
        </w:rPr>
        <w:t xml:space="preserve">Y. (2016). Why good things may not happen in knowledge-intensive acquisitions: The neglect of acquired firm’s customers. In Y. Weber and S. Tarba (Eds.) </w:t>
      </w:r>
      <w:r w:rsidR="008F5536" w:rsidRPr="002B3E1D">
        <w:rPr>
          <w:rFonts w:ascii="Times New Roman" w:hAnsi="Times New Roman" w:cs="Times New Roman"/>
          <w:i/>
          <w:color w:val="222222"/>
          <w:sz w:val="24"/>
          <w:szCs w:val="24"/>
          <w:shd w:val="clear" w:color="auto" w:fill="FFFFFF"/>
          <w:lang w:val="en-US"/>
        </w:rPr>
        <w:t>Mergers and Acquisitions, Entrepreneurship and Innovation (Technology, Innovation, Entrepreneurship and Competitive Strategy</w:t>
      </w:r>
      <w:r w:rsidR="008F5536" w:rsidRPr="002B3E1D">
        <w:rPr>
          <w:rFonts w:ascii="Times New Roman" w:hAnsi="Times New Roman" w:cs="Times New Roman"/>
          <w:color w:val="222222"/>
          <w:sz w:val="24"/>
          <w:szCs w:val="24"/>
          <w:shd w:val="clear" w:color="auto" w:fill="FFFFFF"/>
          <w:lang w:val="en-US"/>
        </w:rPr>
        <w:t>, Volume 15). UK: Emerald Group Publishing Limited.</w:t>
      </w:r>
    </w:p>
    <w:p w14:paraId="35C7CDF6" w14:textId="77777777" w:rsidR="008F5536" w:rsidRPr="002B3E1D" w:rsidRDefault="008F5536" w:rsidP="008F5536">
      <w:pPr>
        <w:autoSpaceDE w:val="0"/>
        <w:autoSpaceDN w:val="0"/>
        <w:adjustRightInd w:val="0"/>
        <w:spacing w:after="0" w:line="240" w:lineRule="auto"/>
        <w:ind w:left="284" w:hanging="284"/>
        <w:jc w:val="both"/>
        <w:rPr>
          <w:rFonts w:ascii="Times New Roman" w:hAnsi="Times New Roman" w:cs="Times New Roman"/>
          <w:sz w:val="24"/>
          <w:szCs w:val="24"/>
          <w:lang w:val="en-US"/>
        </w:rPr>
      </w:pPr>
      <w:r w:rsidRPr="002B3E1D">
        <w:rPr>
          <w:rFonts w:ascii="Times New Roman" w:hAnsi="Times New Roman" w:cs="Times New Roman"/>
          <w:sz w:val="24"/>
          <w:szCs w:val="24"/>
          <w:lang w:val="en-US"/>
        </w:rPr>
        <w:t xml:space="preserve">Dess, G.G., Ireland, R.D., Zahra, S.A., Floyd, S.W., Janney, J.J. and Lane, P.J. (2003). Emerging issues in corporate entrepreneurship. </w:t>
      </w:r>
      <w:r w:rsidRPr="002B3E1D">
        <w:rPr>
          <w:rFonts w:ascii="Times New Roman" w:hAnsi="Times New Roman" w:cs="Times New Roman"/>
          <w:i/>
          <w:sz w:val="24"/>
          <w:szCs w:val="24"/>
          <w:lang w:val="en-US"/>
        </w:rPr>
        <w:t>Journal of Management</w:t>
      </w:r>
      <w:r w:rsidR="007C156D" w:rsidRPr="002B3E1D">
        <w:rPr>
          <w:rFonts w:ascii="Times New Roman" w:hAnsi="Times New Roman" w:cs="Times New Roman"/>
          <w:sz w:val="24"/>
          <w:szCs w:val="24"/>
          <w:lang w:val="en-US"/>
        </w:rPr>
        <w:t xml:space="preserve">, </w:t>
      </w:r>
      <w:r w:rsidRPr="002B3E1D">
        <w:rPr>
          <w:rFonts w:ascii="Times New Roman" w:hAnsi="Times New Roman" w:cs="Times New Roman"/>
          <w:sz w:val="24"/>
          <w:szCs w:val="24"/>
          <w:lang w:val="en-US"/>
        </w:rPr>
        <w:t>29(3</w:t>
      </w:r>
      <w:r w:rsidR="00562D43" w:rsidRPr="002B3E1D">
        <w:rPr>
          <w:rFonts w:ascii="Times New Roman" w:hAnsi="Times New Roman" w:cs="Times New Roman"/>
          <w:sz w:val="24"/>
          <w:szCs w:val="24"/>
          <w:lang w:val="en-US"/>
        </w:rPr>
        <w:t>):</w:t>
      </w:r>
      <w:r w:rsidRPr="002B3E1D">
        <w:rPr>
          <w:rFonts w:ascii="Times New Roman" w:hAnsi="Times New Roman" w:cs="Times New Roman"/>
          <w:sz w:val="24"/>
          <w:szCs w:val="24"/>
          <w:lang w:val="en-US"/>
        </w:rPr>
        <w:t xml:space="preserve"> 351–378.</w:t>
      </w:r>
    </w:p>
    <w:p w14:paraId="4D352DE2" w14:textId="77777777" w:rsidR="008F5536" w:rsidRPr="002B3E1D" w:rsidRDefault="008F5536" w:rsidP="008F5536">
      <w:pPr>
        <w:shd w:val="clear" w:color="auto" w:fill="FFFFFF"/>
        <w:spacing w:after="0" w:line="240" w:lineRule="auto"/>
        <w:ind w:left="284" w:hanging="284"/>
        <w:jc w:val="both"/>
        <w:textAlignment w:val="baseline"/>
        <w:rPr>
          <w:rFonts w:ascii="Times New Roman" w:eastAsia="Times New Roman" w:hAnsi="Times New Roman" w:cs="Times New Roman"/>
          <w:color w:val="000000"/>
          <w:sz w:val="24"/>
          <w:szCs w:val="24"/>
          <w:lang w:val="en-US" w:eastAsia="en-GB"/>
        </w:rPr>
      </w:pPr>
      <w:r w:rsidRPr="002B3E1D">
        <w:rPr>
          <w:rFonts w:ascii="Times New Roman" w:eastAsia="Times New Roman" w:hAnsi="Times New Roman" w:cs="Times New Roman"/>
          <w:color w:val="000000"/>
          <w:sz w:val="24"/>
          <w:szCs w:val="24"/>
          <w:lang w:val="en-US" w:eastAsia="en-GB"/>
        </w:rPr>
        <w:t xml:space="preserve">Eisenhardt, K.M., Furr, N.R. and Bingham, C.B. (2010). CROSSROADS—Micro-foundations of performance: Balancing efficiency and flexibility in dynamic environments. </w:t>
      </w:r>
      <w:r w:rsidRPr="002B3E1D">
        <w:rPr>
          <w:rFonts w:ascii="Times New Roman" w:eastAsia="Times New Roman" w:hAnsi="Times New Roman" w:cs="Times New Roman"/>
          <w:i/>
          <w:color w:val="000000"/>
          <w:sz w:val="24"/>
          <w:szCs w:val="24"/>
          <w:lang w:val="en-US" w:eastAsia="en-GB"/>
        </w:rPr>
        <w:t>Organization Science</w:t>
      </w:r>
      <w:r w:rsidRPr="002B3E1D">
        <w:rPr>
          <w:rFonts w:ascii="Times New Roman" w:eastAsia="Times New Roman" w:hAnsi="Times New Roman" w:cs="Times New Roman"/>
          <w:color w:val="000000"/>
          <w:sz w:val="24"/>
          <w:szCs w:val="24"/>
          <w:lang w:val="en-US" w:eastAsia="en-GB"/>
        </w:rPr>
        <w:t>, 21(6): 1263-1279.</w:t>
      </w:r>
    </w:p>
    <w:p w14:paraId="0C2E16F0" w14:textId="77777777" w:rsidR="008F5536" w:rsidRPr="002B3E1D" w:rsidRDefault="008F5536" w:rsidP="008F5536">
      <w:pPr>
        <w:shd w:val="clear" w:color="auto" w:fill="FFFFFF"/>
        <w:spacing w:after="0" w:line="240" w:lineRule="auto"/>
        <w:ind w:left="284" w:hanging="284"/>
        <w:jc w:val="both"/>
        <w:textAlignment w:val="baseline"/>
        <w:rPr>
          <w:rFonts w:ascii="Times New Roman" w:eastAsia="Times New Roman" w:hAnsi="Times New Roman" w:cs="Times New Roman"/>
          <w:color w:val="000000"/>
          <w:sz w:val="24"/>
          <w:szCs w:val="24"/>
          <w:lang w:val="en-US" w:eastAsia="en-GB"/>
        </w:rPr>
      </w:pPr>
      <w:r w:rsidRPr="002B3E1D">
        <w:rPr>
          <w:rFonts w:ascii="Times New Roman" w:eastAsia="Times New Roman" w:hAnsi="Times New Roman" w:cs="Times New Roman"/>
          <w:color w:val="000000"/>
          <w:sz w:val="24"/>
          <w:szCs w:val="24"/>
          <w:lang w:val="en-US" w:eastAsia="en-GB"/>
        </w:rPr>
        <w:t>Felin, T., and Foss, N.</w:t>
      </w:r>
      <w:r w:rsidR="00B56E7C" w:rsidRPr="002B3E1D">
        <w:rPr>
          <w:rFonts w:ascii="Times New Roman" w:eastAsia="Times New Roman" w:hAnsi="Times New Roman" w:cs="Times New Roman"/>
          <w:color w:val="000000"/>
          <w:sz w:val="24"/>
          <w:szCs w:val="24"/>
          <w:lang w:val="en-US" w:eastAsia="en-GB"/>
        </w:rPr>
        <w:t>J.</w:t>
      </w:r>
      <w:r w:rsidRPr="002B3E1D">
        <w:rPr>
          <w:rFonts w:ascii="Times New Roman" w:eastAsia="Times New Roman" w:hAnsi="Times New Roman" w:cs="Times New Roman"/>
          <w:color w:val="000000"/>
          <w:sz w:val="24"/>
          <w:szCs w:val="24"/>
          <w:lang w:val="en-US" w:eastAsia="en-GB"/>
        </w:rPr>
        <w:t xml:space="preserve"> (2005). Strategic organization: A field in search of micro-foundations. </w:t>
      </w:r>
      <w:r w:rsidRPr="002B3E1D">
        <w:rPr>
          <w:rFonts w:ascii="Times New Roman" w:eastAsia="Times New Roman" w:hAnsi="Times New Roman" w:cs="Times New Roman"/>
          <w:i/>
          <w:iCs/>
          <w:color w:val="000000"/>
          <w:sz w:val="24"/>
          <w:szCs w:val="24"/>
          <w:lang w:val="en-US" w:eastAsia="en-GB"/>
        </w:rPr>
        <w:t>Strategic Organization</w:t>
      </w:r>
      <w:r w:rsidRPr="002B3E1D">
        <w:rPr>
          <w:rFonts w:ascii="Times New Roman" w:eastAsia="Times New Roman" w:hAnsi="Times New Roman" w:cs="Times New Roman"/>
          <w:iCs/>
          <w:color w:val="000000"/>
          <w:sz w:val="24"/>
          <w:szCs w:val="24"/>
          <w:lang w:val="en-US" w:eastAsia="en-GB"/>
        </w:rPr>
        <w:t>, </w:t>
      </w:r>
      <w:r w:rsidRPr="002B3E1D">
        <w:rPr>
          <w:rFonts w:ascii="Times New Roman" w:eastAsia="Times New Roman" w:hAnsi="Times New Roman" w:cs="Times New Roman"/>
          <w:color w:val="000000"/>
          <w:sz w:val="24"/>
          <w:szCs w:val="24"/>
          <w:lang w:val="en-US" w:eastAsia="en-GB"/>
        </w:rPr>
        <w:t>3</w:t>
      </w:r>
      <w:r w:rsidRPr="002B3E1D">
        <w:rPr>
          <w:rFonts w:ascii="Times New Roman" w:eastAsia="Times New Roman" w:hAnsi="Times New Roman" w:cs="Times New Roman"/>
          <w:iCs/>
          <w:color w:val="000000"/>
          <w:sz w:val="24"/>
          <w:szCs w:val="24"/>
          <w:lang w:val="en-US" w:eastAsia="en-GB"/>
        </w:rPr>
        <w:t>,</w:t>
      </w:r>
      <w:r w:rsidRPr="002B3E1D">
        <w:rPr>
          <w:rFonts w:ascii="Times New Roman" w:eastAsia="Times New Roman" w:hAnsi="Times New Roman" w:cs="Times New Roman"/>
          <w:color w:val="000000"/>
          <w:sz w:val="24"/>
          <w:szCs w:val="24"/>
          <w:lang w:val="en-US" w:eastAsia="en-GB"/>
        </w:rPr>
        <w:t> 441–455.</w:t>
      </w:r>
    </w:p>
    <w:p w14:paraId="5F32B4E0" w14:textId="77777777" w:rsidR="008F5536" w:rsidRPr="002B3E1D" w:rsidRDefault="008F5536" w:rsidP="008F5536">
      <w:pPr>
        <w:shd w:val="clear" w:color="auto" w:fill="FFFFFF"/>
        <w:spacing w:after="0" w:line="240" w:lineRule="auto"/>
        <w:ind w:left="284" w:hanging="284"/>
        <w:jc w:val="both"/>
        <w:textAlignment w:val="baseline"/>
        <w:rPr>
          <w:rFonts w:ascii="Times New Roman" w:eastAsia="Times New Roman" w:hAnsi="Times New Roman" w:cs="Times New Roman"/>
          <w:color w:val="000000"/>
          <w:sz w:val="24"/>
          <w:szCs w:val="24"/>
          <w:lang w:val="en-US" w:eastAsia="en-GB"/>
        </w:rPr>
      </w:pPr>
      <w:r w:rsidRPr="002B3E1D">
        <w:rPr>
          <w:rFonts w:ascii="Times New Roman" w:eastAsia="Times New Roman" w:hAnsi="Times New Roman" w:cs="Times New Roman"/>
          <w:color w:val="000000"/>
          <w:sz w:val="24"/>
          <w:szCs w:val="24"/>
          <w:lang w:val="en-US" w:eastAsia="en-GB"/>
        </w:rPr>
        <w:t>Felin, T.</w:t>
      </w:r>
      <w:r w:rsidR="00B56E7C" w:rsidRPr="002B3E1D">
        <w:rPr>
          <w:rFonts w:ascii="Times New Roman" w:eastAsia="Times New Roman" w:hAnsi="Times New Roman" w:cs="Times New Roman"/>
          <w:color w:val="000000"/>
          <w:sz w:val="24"/>
          <w:szCs w:val="24"/>
          <w:lang w:val="en-US" w:eastAsia="en-GB"/>
        </w:rPr>
        <w:t>,</w:t>
      </w:r>
      <w:r w:rsidRPr="002B3E1D">
        <w:rPr>
          <w:rFonts w:ascii="Times New Roman" w:eastAsia="Times New Roman" w:hAnsi="Times New Roman" w:cs="Times New Roman"/>
          <w:color w:val="000000"/>
          <w:sz w:val="24"/>
          <w:szCs w:val="24"/>
          <w:lang w:val="en-US" w:eastAsia="en-GB"/>
        </w:rPr>
        <w:t xml:space="preserve"> and Foss, N.J. (2009). Organizational routines and capabilities: Historical drift and a course-correction toward micro-foundations. </w:t>
      </w:r>
      <w:r w:rsidRPr="002B3E1D">
        <w:rPr>
          <w:rFonts w:ascii="Times New Roman" w:eastAsia="Times New Roman" w:hAnsi="Times New Roman" w:cs="Times New Roman"/>
          <w:i/>
          <w:color w:val="000000"/>
          <w:sz w:val="24"/>
          <w:szCs w:val="24"/>
          <w:lang w:val="en-US" w:eastAsia="en-GB"/>
        </w:rPr>
        <w:t>Scandinavian Journal of Management</w:t>
      </w:r>
      <w:r w:rsidRPr="002B3E1D">
        <w:rPr>
          <w:rFonts w:ascii="Times New Roman" w:eastAsia="Times New Roman" w:hAnsi="Times New Roman" w:cs="Times New Roman"/>
          <w:color w:val="000000"/>
          <w:sz w:val="24"/>
          <w:szCs w:val="24"/>
          <w:lang w:val="en-US" w:eastAsia="en-GB"/>
        </w:rPr>
        <w:t>, 25(2): 157-167.</w:t>
      </w:r>
    </w:p>
    <w:p w14:paraId="3751DE5A" w14:textId="77777777" w:rsidR="008F5536" w:rsidRPr="002B3E1D" w:rsidRDefault="008F5536" w:rsidP="008F5536">
      <w:pPr>
        <w:shd w:val="clear" w:color="auto" w:fill="FFFFFF"/>
        <w:spacing w:after="0" w:line="240" w:lineRule="auto"/>
        <w:ind w:left="284" w:hanging="284"/>
        <w:jc w:val="both"/>
        <w:textAlignment w:val="baseline"/>
        <w:rPr>
          <w:rFonts w:ascii="Times New Roman" w:eastAsia="Times New Roman" w:hAnsi="Times New Roman" w:cs="Times New Roman"/>
          <w:color w:val="000000"/>
          <w:sz w:val="24"/>
          <w:szCs w:val="24"/>
          <w:lang w:val="en-US" w:eastAsia="en-GB"/>
        </w:rPr>
      </w:pPr>
      <w:r w:rsidRPr="002B3E1D">
        <w:rPr>
          <w:rFonts w:ascii="Times New Roman" w:eastAsia="Times New Roman" w:hAnsi="Times New Roman" w:cs="Times New Roman"/>
          <w:color w:val="000000"/>
          <w:sz w:val="24"/>
          <w:szCs w:val="24"/>
          <w:lang w:val="en-US" w:eastAsia="en-GB"/>
        </w:rPr>
        <w:t>Felin, T., Foss, N.J., Heimeriks, K.H.</w:t>
      </w:r>
      <w:r w:rsidR="00B56E7C" w:rsidRPr="002B3E1D">
        <w:rPr>
          <w:rFonts w:ascii="Times New Roman" w:eastAsia="Times New Roman" w:hAnsi="Times New Roman" w:cs="Times New Roman"/>
          <w:color w:val="000000"/>
          <w:sz w:val="24"/>
          <w:szCs w:val="24"/>
          <w:lang w:val="en-US" w:eastAsia="en-GB"/>
        </w:rPr>
        <w:t>,</w:t>
      </w:r>
      <w:r w:rsidRPr="002B3E1D">
        <w:rPr>
          <w:rFonts w:ascii="Times New Roman" w:eastAsia="Times New Roman" w:hAnsi="Times New Roman" w:cs="Times New Roman"/>
          <w:color w:val="000000"/>
          <w:sz w:val="24"/>
          <w:szCs w:val="24"/>
          <w:lang w:val="en-US" w:eastAsia="en-GB"/>
        </w:rPr>
        <w:t xml:space="preserve"> and Madsen, T.L. (2012). Micro-foundations of routines and capabilities: Individuals, processes, and structure. </w:t>
      </w:r>
      <w:r w:rsidRPr="002B3E1D">
        <w:rPr>
          <w:rFonts w:ascii="Times New Roman" w:eastAsia="Times New Roman" w:hAnsi="Times New Roman" w:cs="Times New Roman"/>
          <w:i/>
          <w:color w:val="000000"/>
          <w:sz w:val="24"/>
          <w:szCs w:val="24"/>
          <w:lang w:val="en-US" w:eastAsia="en-GB"/>
        </w:rPr>
        <w:t>Journal of Management Studies</w:t>
      </w:r>
      <w:r w:rsidRPr="002B3E1D">
        <w:rPr>
          <w:rFonts w:ascii="Times New Roman" w:eastAsia="Times New Roman" w:hAnsi="Times New Roman" w:cs="Times New Roman"/>
          <w:color w:val="000000"/>
          <w:sz w:val="24"/>
          <w:szCs w:val="24"/>
          <w:lang w:val="en-US" w:eastAsia="en-GB"/>
        </w:rPr>
        <w:t>, 49(8</w:t>
      </w:r>
      <w:r w:rsidR="00562D43" w:rsidRPr="002B3E1D">
        <w:rPr>
          <w:rFonts w:ascii="Times New Roman" w:eastAsia="Times New Roman" w:hAnsi="Times New Roman" w:cs="Times New Roman"/>
          <w:color w:val="000000"/>
          <w:sz w:val="24"/>
          <w:szCs w:val="24"/>
          <w:lang w:val="en-US" w:eastAsia="en-GB"/>
        </w:rPr>
        <w:t>):</w:t>
      </w:r>
      <w:r w:rsidRPr="002B3E1D">
        <w:rPr>
          <w:rFonts w:ascii="Times New Roman" w:eastAsia="Times New Roman" w:hAnsi="Times New Roman" w:cs="Times New Roman"/>
          <w:color w:val="000000"/>
          <w:sz w:val="24"/>
          <w:szCs w:val="24"/>
          <w:lang w:val="en-US" w:eastAsia="en-GB"/>
        </w:rPr>
        <w:t xml:space="preserve"> 1351-1374.</w:t>
      </w:r>
    </w:p>
    <w:p w14:paraId="5ACBE887" w14:textId="77777777" w:rsidR="008F5536" w:rsidRPr="002B3E1D" w:rsidRDefault="00B56E7C" w:rsidP="008F5536">
      <w:pPr>
        <w:shd w:val="clear" w:color="auto" w:fill="FFFFFF"/>
        <w:spacing w:after="0" w:line="240" w:lineRule="auto"/>
        <w:ind w:left="284" w:hanging="284"/>
        <w:jc w:val="both"/>
        <w:textAlignment w:val="baseline"/>
        <w:rPr>
          <w:rFonts w:ascii="Times New Roman" w:eastAsia="Times New Roman" w:hAnsi="Times New Roman" w:cs="Times New Roman"/>
          <w:color w:val="000000"/>
          <w:sz w:val="24"/>
          <w:szCs w:val="24"/>
          <w:lang w:val="en-US" w:eastAsia="en-GB"/>
        </w:rPr>
      </w:pPr>
      <w:r w:rsidRPr="002B3E1D">
        <w:rPr>
          <w:rFonts w:ascii="Times New Roman" w:eastAsia="Times New Roman" w:hAnsi="Times New Roman" w:cs="Times New Roman"/>
          <w:color w:val="000000"/>
          <w:sz w:val="24"/>
          <w:szCs w:val="24"/>
          <w:lang w:val="en-US" w:eastAsia="en-GB"/>
        </w:rPr>
        <w:t>Foss, N.</w:t>
      </w:r>
      <w:r w:rsidR="008F5536" w:rsidRPr="002B3E1D">
        <w:rPr>
          <w:rFonts w:ascii="Times New Roman" w:eastAsia="Times New Roman" w:hAnsi="Times New Roman" w:cs="Times New Roman"/>
          <w:color w:val="000000"/>
          <w:sz w:val="24"/>
          <w:szCs w:val="24"/>
          <w:lang w:val="en-US" w:eastAsia="en-GB"/>
        </w:rPr>
        <w:t xml:space="preserve">J. (2011). Invited editorial: Why micro-foundations for resource-based theory are needed and what they may look like. </w:t>
      </w:r>
      <w:r w:rsidR="008F5536" w:rsidRPr="002B3E1D">
        <w:rPr>
          <w:rFonts w:ascii="Times New Roman" w:eastAsia="Times New Roman" w:hAnsi="Times New Roman" w:cs="Times New Roman"/>
          <w:i/>
          <w:color w:val="000000"/>
          <w:sz w:val="24"/>
          <w:szCs w:val="24"/>
          <w:lang w:val="en-US" w:eastAsia="en-GB"/>
        </w:rPr>
        <w:t>Journal of Management</w:t>
      </w:r>
      <w:r w:rsidR="008F5536" w:rsidRPr="002B3E1D">
        <w:rPr>
          <w:rFonts w:ascii="Times New Roman" w:eastAsia="Times New Roman" w:hAnsi="Times New Roman" w:cs="Times New Roman"/>
          <w:color w:val="000000"/>
          <w:sz w:val="24"/>
          <w:szCs w:val="24"/>
          <w:lang w:val="en-US" w:eastAsia="en-GB"/>
        </w:rPr>
        <w:t>, 37(5</w:t>
      </w:r>
      <w:r w:rsidR="00562D43" w:rsidRPr="002B3E1D">
        <w:rPr>
          <w:rFonts w:ascii="Times New Roman" w:eastAsia="Times New Roman" w:hAnsi="Times New Roman" w:cs="Times New Roman"/>
          <w:color w:val="000000"/>
          <w:sz w:val="24"/>
          <w:szCs w:val="24"/>
          <w:lang w:val="en-US" w:eastAsia="en-GB"/>
        </w:rPr>
        <w:t>):</w:t>
      </w:r>
      <w:r w:rsidR="008F5536" w:rsidRPr="002B3E1D">
        <w:rPr>
          <w:rFonts w:ascii="Times New Roman" w:eastAsia="Times New Roman" w:hAnsi="Times New Roman" w:cs="Times New Roman"/>
          <w:color w:val="000000"/>
          <w:sz w:val="24"/>
          <w:szCs w:val="24"/>
          <w:lang w:val="en-US" w:eastAsia="en-GB"/>
        </w:rPr>
        <w:t xml:space="preserve"> 1413-1428.</w:t>
      </w:r>
    </w:p>
    <w:p w14:paraId="5BA467F8" w14:textId="77777777" w:rsidR="008F5536" w:rsidRPr="002B3E1D" w:rsidRDefault="008F5536" w:rsidP="008F5536">
      <w:pPr>
        <w:shd w:val="clear" w:color="auto" w:fill="FFFFFF"/>
        <w:spacing w:after="0" w:line="240" w:lineRule="auto"/>
        <w:ind w:left="284" w:hanging="284"/>
        <w:jc w:val="both"/>
        <w:textAlignment w:val="baseline"/>
        <w:rPr>
          <w:rFonts w:ascii="Times New Roman" w:eastAsia="Times New Roman" w:hAnsi="Times New Roman" w:cs="Times New Roman"/>
          <w:color w:val="000000"/>
          <w:sz w:val="24"/>
          <w:szCs w:val="24"/>
          <w:lang w:val="en-US" w:eastAsia="en-GB"/>
        </w:rPr>
      </w:pPr>
      <w:r w:rsidRPr="002B3E1D">
        <w:rPr>
          <w:rFonts w:ascii="Times New Roman" w:eastAsia="Times New Roman" w:hAnsi="Times New Roman" w:cs="Times New Roman"/>
          <w:color w:val="000000"/>
          <w:sz w:val="24"/>
          <w:szCs w:val="24"/>
          <w:lang w:val="en-US" w:eastAsia="en-GB"/>
        </w:rPr>
        <w:t>Foss, N.J.</w:t>
      </w:r>
      <w:r w:rsidR="00B56E7C" w:rsidRPr="002B3E1D">
        <w:rPr>
          <w:rFonts w:ascii="Times New Roman" w:eastAsia="Times New Roman" w:hAnsi="Times New Roman" w:cs="Times New Roman"/>
          <w:color w:val="000000"/>
          <w:sz w:val="24"/>
          <w:szCs w:val="24"/>
          <w:lang w:val="en-US" w:eastAsia="en-GB"/>
        </w:rPr>
        <w:t>,</w:t>
      </w:r>
      <w:r w:rsidRPr="002B3E1D">
        <w:rPr>
          <w:rFonts w:ascii="Times New Roman" w:eastAsia="Times New Roman" w:hAnsi="Times New Roman" w:cs="Times New Roman"/>
          <w:color w:val="000000"/>
          <w:sz w:val="24"/>
          <w:szCs w:val="24"/>
          <w:lang w:val="en-US" w:eastAsia="en-GB"/>
        </w:rPr>
        <w:t xml:space="preserve"> and Pedersen, T. (2016). Micro-foundations in strategy research. </w:t>
      </w:r>
      <w:r w:rsidRPr="002B3E1D">
        <w:rPr>
          <w:rFonts w:ascii="Times New Roman" w:eastAsia="Times New Roman" w:hAnsi="Times New Roman" w:cs="Times New Roman"/>
          <w:i/>
          <w:color w:val="000000"/>
          <w:sz w:val="24"/>
          <w:szCs w:val="24"/>
          <w:lang w:val="en-US" w:eastAsia="en-GB"/>
        </w:rPr>
        <w:t>Strategic Management Journal</w:t>
      </w:r>
      <w:r w:rsidRPr="002B3E1D">
        <w:rPr>
          <w:rFonts w:ascii="Times New Roman" w:eastAsia="Times New Roman" w:hAnsi="Times New Roman" w:cs="Times New Roman"/>
          <w:color w:val="000000"/>
          <w:sz w:val="24"/>
          <w:szCs w:val="24"/>
          <w:lang w:val="en-US" w:eastAsia="en-GB"/>
        </w:rPr>
        <w:t>, 37(13</w:t>
      </w:r>
      <w:r w:rsidR="00562D43" w:rsidRPr="002B3E1D">
        <w:rPr>
          <w:rFonts w:ascii="Times New Roman" w:eastAsia="Times New Roman" w:hAnsi="Times New Roman" w:cs="Times New Roman"/>
          <w:color w:val="000000"/>
          <w:sz w:val="24"/>
          <w:szCs w:val="24"/>
          <w:lang w:val="en-US" w:eastAsia="en-GB"/>
        </w:rPr>
        <w:t>):</w:t>
      </w:r>
      <w:r w:rsidRPr="002B3E1D">
        <w:rPr>
          <w:rFonts w:ascii="Times New Roman" w:eastAsia="Times New Roman" w:hAnsi="Times New Roman" w:cs="Times New Roman"/>
          <w:color w:val="000000"/>
          <w:sz w:val="24"/>
          <w:szCs w:val="24"/>
          <w:lang w:val="en-US" w:eastAsia="en-GB"/>
        </w:rPr>
        <w:t xml:space="preserve"> E22-E34.</w:t>
      </w:r>
    </w:p>
    <w:p w14:paraId="4D3588A2" w14:textId="77777777" w:rsidR="008F5536" w:rsidRPr="002B3E1D" w:rsidRDefault="008F5536" w:rsidP="008F5536">
      <w:pPr>
        <w:shd w:val="clear" w:color="auto" w:fill="FFFFFF"/>
        <w:spacing w:after="0" w:line="240" w:lineRule="auto"/>
        <w:ind w:left="284" w:hanging="284"/>
        <w:jc w:val="both"/>
        <w:textAlignment w:val="baseline"/>
        <w:rPr>
          <w:rFonts w:ascii="Times New Roman" w:hAnsi="Times New Roman" w:cs="Times New Roman"/>
          <w:color w:val="222222"/>
          <w:sz w:val="24"/>
          <w:szCs w:val="24"/>
          <w:shd w:val="clear" w:color="auto" w:fill="FFFFFF"/>
          <w:lang w:val="en-US"/>
        </w:rPr>
      </w:pPr>
      <w:r w:rsidRPr="002B3E1D">
        <w:rPr>
          <w:rFonts w:ascii="Times New Roman" w:hAnsi="Times New Roman" w:cs="Times New Roman"/>
          <w:color w:val="222222"/>
          <w:sz w:val="24"/>
          <w:szCs w:val="24"/>
          <w:shd w:val="clear" w:color="auto" w:fill="FFFFFF"/>
          <w:lang w:val="en-US"/>
        </w:rPr>
        <w:t xml:space="preserve">Gavetti, G. (2005). Cognition and hierarchy: Rethinking the micro-foundations of capabilities’ development. </w:t>
      </w:r>
      <w:r w:rsidRPr="002B3E1D">
        <w:rPr>
          <w:rFonts w:ascii="Times New Roman" w:hAnsi="Times New Roman" w:cs="Times New Roman"/>
          <w:i/>
          <w:color w:val="222222"/>
          <w:sz w:val="24"/>
          <w:szCs w:val="24"/>
          <w:shd w:val="clear" w:color="auto" w:fill="FFFFFF"/>
          <w:lang w:val="en-US"/>
        </w:rPr>
        <w:t>Organization Science</w:t>
      </w:r>
      <w:r w:rsidRPr="002B3E1D">
        <w:rPr>
          <w:rFonts w:ascii="Times New Roman" w:hAnsi="Times New Roman" w:cs="Times New Roman"/>
          <w:color w:val="222222"/>
          <w:sz w:val="24"/>
          <w:szCs w:val="24"/>
          <w:shd w:val="clear" w:color="auto" w:fill="FFFFFF"/>
          <w:lang w:val="en-US"/>
        </w:rPr>
        <w:t>, 16(6): 599-617.</w:t>
      </w:r>
    </w:p>
    <w:p w14:paraId="19C78C24" w14:textId="24709A0F" w:rsidR="008F5536" w:rsidRPr="002B3E1D" w:rsidRDefault="00B56E7C" w:rsidP="008F5536">
      <w:pPr>
        <w:shd w:val="clear" w:color="auto" w:fill="FFFFFF"/>
        <w:spacing w:after="0" w:line="240" w:lineRule="auto"/>
        <w:ind w:left="284" w:hanging="284"/>
        <w:jc w:val="both"/>
        <w:textAlignment w:val="baseline"/>
        <w:rPr>
          <w:rFonts w:ascii="Times New Roman" w:hAnsi="Times New Roman" w:cs="Times New Roman"/>
          <w:sz w:val="24"/>
          <w:szCs w:val="24"/>
          <w:shd w:val="clear" w:color="auto" w:fill="FFFFFF"/>
          <w:lang w:val="en-US"/>
        </w:rPr>
      </w:pPr>
      <w:r w:rsidRPr="002B3E1D">
        <w:rPr>
          <w:rFonts w:ascii="Times New Roman" w:hAnsi="Times New Roman" w:cs="Times New Roman"/>
          <w:color w:val="222222"/>
          <w:sz w:val="24"/>
          <w:szCs w:val="24"/>
          <w:shd w:val="clear" w:color="auto" w:fill="FFFFFF"/>
          <w:lang w:val="en-US"/>
        </w:rPr>
        <w:t>Gibson, C.</w:t>
      </w:r>
      <w:r w:rsidR="008F5536" w:rsidRPr="002B3E1D">
        <w:rPr>
          <w:rFonts w:ascii="Times New Roman" w:hAnsi="Times New Roman" w:cs="Times New Roman"/>
          <w:color w:val="222222"/>
          <w:sz w:val="24"/>
          <w:szCs w:val="24"/>
          <w:shd w:val="clear" w:color="auto" w:fill="FFFFFF"/>
          <w:lang w:val="en-US"/>
        </w:rPr>
        <w:t>B., and Birkinshaw, J. (</w:t>
      </w:r>
      <w:r w:rsidR="001200C9">
        <w:rPr>
          <w:rFonts w:ascii="Times New Roman" w:hAnsi="Times New Roman" w:cs="Times New Roman"/>
          <w:color w:val="222222"/>
          <w:sz w:val="24"/>
          <w:szCs w:val="24"/>
          <w:shd w:val="clear" w:color="auto" w:fill="FFFFFF"/>
          <w:lang w:val="en-US"/>
        </w:rPr>
        <w:t>2004</w:t>
      </w:r>
      <w:r w:rsidR="008F5536" w:rsidRPr="002B3E1D">
        <w:rPr>
          <w:rFonts w:ascii="Times New Roman" w:hAnsi="Times New Roman" w:cs="Times New Roman"/>
          <w:color w:val="222222"/>
          <w:sz w:val="24"/>
          <w:szCs w:val="24"/>
          <w:shd w:val="clear" w:color="auto" w:fill="FFFFFF"/>
          <w:lang w:val="en-US"/>
        </w:rPr>
        <w:t xml:space="preserve">). The </w:t>
      </w:r>
      <w:r w:rsidR="008F5536" w:rsidRPr="002B3E1D">
        <w:rPr>
          <w:rFonts w:ascii="Times New Roman" w:hAnsi="Times New Roman" w:cs="Times New Roman"/>
          <w:sz w:val="24"/>
          <w:szCs w:val="24"/>
          <w:shd w:val="clear" w:color="auto" w:fill="FFFFFF"/>
          <w:lang w:val="en-US"/>
        </w:rPr>
        <w:t>antecedents, consequences, and mediating role of organizational ambidexterity.</w:t>
      </w:r>
      <w:r w:rsidR="008F5536" w:rsidRPr="002B3E1D">
        <w:rPr>
          <w:rStyle w:val="apple-converted-space"/>
          <w:rFonts w:ascii="Times New Roman" w:hAnsi="Times New Roman" w:cs="Times New Roman"/>
          <w:sz w:val="24"/>
          <w:szCs w:val="24"/>
          <w:shd w:val="clear" w:color="auto" w:fill="FFFFFF"/>
          <w:lang w:val="en-US"/>
        </w:rPr>
        <w:t> </w:t>
      </w:r>
      <w:r w:rsidR="008F5536" w:rsidRPr="002B3E1D">
        <w:rPr>
          <w:rFonts w:ascii="Times New Roman" w:hAnsi="Times New Roman" w:cs="Times New Roman"/>
          <w:i/>
          <w:iCs/>
          <w:sz w:val="24"/>
          <w:szCs w:val="24"/>
          <w:shd w:val="clear" w:color="auto" w:fill="FFFFFF"/>
          <w:lang w:val="en-US"/>
        </w:rPr>
        <w:t>Academy of Management Journal</w:t>
      </w:r>
      <w:r w:rsidR="008F5536" w:rsidRPr="002B3E1D">
        <w:rPr>
          <w:rFonts w:ascii="Times New Roman" w:hAnsi="Times New Roman" w:cs="Times New Roman"/>
          <w:sz w:val="24"/>
          <w:szCs w:val="24"/>
          <w:shd w:val="clear" w:color="auto" w:fill="FFFFFF"/>
          <w:lang w:val="en-US"/>
        </w:rPr>
        <w:t>,</w:t>
      </w:r>
      <w:r w:rsidR="008F5536" w:rsidRPr="002B3E1D">
        <w:rPr>
          <w:rStyle w:val="apple-converted-space"/>
          <w:rFonts w:ascii="Times New Roman" w:hAnsi="Times New Roman" w:cs="Times New Roman"/>
          <w:sz w:val="24"/>
          <w:szCs w:val="24"/>
          <w:shd w:val="clear" w:color="auto" w:fill="FFFFFF"/>
          <w:lang w:val="en-US"/>
        </w:rPr>
        <w:t> </w:t>
      </w:r>
      <w:r w:rsidR="008F5536" w:rsidRPr="002B3E1D">
        <w:rPr>
          <w:rFonts w:ascii="Times New Roman" w:hAnsi="Times New Roman" w:cs="Times New Roman"/>
          <w:iCs/>
          <w:sz w:val="24"/>
          <w:szCs w:val="24"/>
          <w:shd w:val="clear" w:color="auto" w:fill="FFFFFF"/>
          <w:lang w:val="en-US"/>
        </w:rPr>
        <w:t>47</w:t>
      </w:r>
      <w:r w:rsidR="008F5536" w:rsidRPr="002B3E1D">
        <w:rPr>
          <w:rFonts w:ascii="Times New Roman" w:hAnsi="Times New Roman" w:cs="Times New Roman"/>
          <w:sz w:val="24"/>
          <w:szCs w:val="24"/>
          <w:shd w:val="clear" w:color="auto" w:fill="FFFFFF"/>
          <w:lang w:val="en-US"/>
        </w:rPr>
        <w:t>(2</w:t>
      </w:r>
      <w:r w:rsidR="00562D43" w:rsidRPr="002B3E1D">
        <w:rPr>
          <w:rFonts w:ascii="Times New Roman" w:hAnsi="Times New Roman" w:cs="Times New Roman"/>
          <w:sz w:val="24"/>
          <w:szCs w:val="24"/>
          <w:shd w:val="clear" w:color="auto" w:fill="FFFFFF"/>
          <w:lang w:val="en-US"/>
        </w:rPr>
        <w:t>):</w:t>
      </w:r>
      <w:r w:rsidR="008F5536" w:rsidRPr="002B3E1D">
        <w:rPr>
          <w:rFonts w:ascii="Times New Roman" w:hAnsi="Times New Roman" w:cs="Times New Roman"/>
          <w:sz w:val="24"/>
          <w:szCs w:val="24"/>
          <w:shd w:val="clear" w:color="auto" w:fill="FFFFFF"/>
          <w:lang w:val="en-US"/>
        </w:rPr>
        <w:t xml:space="preserve"> 209-226.</w:t>
      </w:r>
    </w:p>
    <w:p w14:paraId="1757FA07" w14:textId="77777777" w:rsidR="008F5536" w:rsidRPr="002B3E1D" w:rsidRDefault="00B56E7C" w:rsidP="008F5536">
      <w:pPr>
        <w:shd w:val="clear" w:color="auto" w:fill="FFFFFF"/>
        <w:spacing w:after="0" w:line="240" w:lineRule="auto"/>
        <w:ind w:left="284" w:hanging="284"/>
        <w:jc w:val="both"/>
        <w:textAlignment w:val="baseline"/>
        <w:rPr>
          <w:rFonts w:ascii="Times New Roman" w:hAnsi="Times New Roman" w:cs="Times New Roman"/>
          <w:sz w:val="24"/>
          <w:szCs w:val="24"/>
          <w:shd w:val="clear" w:color="auto" w:fill="FFFFFF"/>
          <w:lang w:val="en-US"/>
        </w:rPr>
      </w:pPr>
      <w:r w:rsidRPr="002B3E1D">
        <w:rPr>
          <w:rFonts w:ascii="Times New Roman" w:hAnsi="Times New Roman" w:cs="Times New Roman"/>
          <w:sz w:val="24"/>
          <w:szCs w:val="24"/>
          <w:shd w:val="clear" w:color="auto" w:fill="FFFFFF"/>
          <w:lang w:val="en-US"/>
        </w:rPr>
        <w:t>Gomes, E., Angwin, D.</w:t>
      </w:r>
      <w:r w:rsidR="008F5536" w:rsidRPr="002B3E1D">
        <w:rPr>
          <w:rFonts w:ascii="Times New Roman" w:hAnsi="Times New Roman" w:cs="Times New Roman"/>
          <w:sz w:val="24"/>
          <w:szCs w:val="24"/>
          <w:shd w:val="clear" w:color="auto" w:fill="FFFFFF"/>
          <w:lang w:val="en-US"/>
        </w:rPr>
        <w:t>N., Weber, Y., and Tarba, S.</w:t>
      </w:r>
      <w:r w:rsidRPr="002B3E1D">
        <w:rPr>
          <w:rFonts w:ascii="Times New Roman" w:hAnsi="Times New Roman" w:cs="Times New Roman"/>
          <w:sz w:val="24"/>
          <w:szCs w:val="24"/>
          <w:shd w:val="clear" w:color="auto" w:fill="FFFFFF"/>
          <w:lang w:val="en-US"/>
        </w:rPr>
        <w:t>Y.</w:t>
      </w:r>
      <w:r w:rsidR="008F5536" w:rsidRPr="002B3E1D">
        <w:rPr>
          <w:rFonts w:ascii="Times New Roman" w:hAnsi="Times New Roman" w:cs="Times New Roman"/>
          <w:sz w:val="24"/>
          <w:szCs w:val="24"/>
          <w:shd w:val="clear" w:color="auto" w:fill="FFFFFF"/>
          <w:lang w:val="en-US"/>
        </w:rPr>
        <w:t xml:space="preserve"> (2013). Critical success factors through the mergers and acquisitions process: revealing pre</w:t>
      </w:r>
      <w:r w:rsidR="008F5536" w:rsidRPr="002B3E1D">
        <w:rPr>
          <w:rFonts w:ascii="Cambria Math" w:hAnsi="Cambria Math" w:cs="Cambria Math"/>
          <w:sz w:val="24"/>
          <w:szCs w:val="24"/>
          <w:shd w:val="clear" w:color="auto" w:fill="FFFFFF"/>
          <w:lang w:val="en-US"/>
        </w:rPr>
        <w:t>‐</w:t>
      </w:r>
      <w:r w:rsidR="008F5536" w:rsidRPr="002B3E1D">
        <w:rPr>
          <w:rFonts w:ascii="Times New Roman" w:hAnsi="Times New Roman" w:cs="Times New Roman"/>
          <w:sz w:val="24"/>
          <w:szCs w:val="24"/>
          <w:shd w:val="clear" w:color="auto" w:fill="FFFFFF"/>
          <w:lang w:val="en-US"/>
        </w:rPr>
        <w:t>and post</w:t>
      </w:r>
      <w:r w:rsidR="008F5536" w:rsidRPr="002B3E1D">
        <w:rPr>
          <w:rFonts w:ascii="Cambria Math" w:hAnsi="Cambria Math" w:cs="Cambria Math"/>
          <w:sz w:val="24"/>
          <w:szCs w:val="24"/>
          <w:shd w:val="clear" w:color="auto" w:fill="FFFFFF"/>
          <w:lang w:val="en-US"/>
        </w:rPr>
        <w:t>‐</w:t>
      </w:r>
      <w:r w:rsidR="00562D43" w:rsidRPr="002B3E1D">
        <w:rPr>
          <w:rFonts w:ascii="Times New Roman" w:hAnsi="Times New Roman" w:cs="Times New Roman"/>
          <w:sz w:val="24"/>
          <w:szCs w:val="24"/>
          <w:shd w:val="clear" w:color="auto" w:fill="FFFFFF"/>
          <w:lang w:val="en-US"/>
        </w:rPr>
        <w:t>M&amp;A</w:t>
      </w:r>
      <w:r w:rsidR="008F5536" w:rsidRPr="002B3E1D">
        <w:rPr>
          <w:rFonts w:ascii="Times New Roman" w:hAnsi="Times New Roman" w:cs="Times New Roman"/>
          <w:sz w:val="24"/>
          <w:szCs w:val="24"/>
          <w:shd w:val="clear" w:color="auto" w:fill="FFFFFF"/>
          <w:lang w:val="en-US"/>
        </w:rPr>
        <w:t xml:space="preserve"> connections for improved performance.</w:t>
      </w:r>
      <w:r w:rsidR="008F5536" w:rsidRPr="002B3E1D">
        <w:rPr>
          <w:rStyle w:val="apple-converted-space"/>
          <w:rFonts w:ascii="Times New Roman" w:hAnsi="Times New Roman" w:cs="Times New Roman"/>
          <w:sz w:val="24"/>
          <w:szCs w:val="24"/>
          <w:shd w:val="clear" w:color="auto" w:fill="FFFFFF"/>
          <w:lang w:val="en-US"/>
        </w:rPr>
        <w:t> </w:t>
      </w:r>
      <w:r w:rsidR="008F5536" w:rsidRPr="002B3E1D">
        <w:rPr>
          <w:rFonts w:ascii="Times New Roman" w:hAnsi="Times New Roman" w:cs="Times New Roman"/>
          <w:i/>
          <w:iCs/>
          <w:sz w:val="24"/>
          <w:szCs w:val="24"/>
          <w:shd w:val="clear" w:color="auto" w:fill="FFFFFF"/>
          <w:lang w:val="en-US"/>
        </w:rPr>
        <w:t>Thunderbird International Business Review</w:t>
      </w:r>
      <w:r w:rsidR="008F5536" w:rsidRPr="002B3E1D">
        <w:rPr>
          <w:rFonts w:ascii="Times New Roman" w:hAnsi="Times New Roman" w:cs="Times New Roman"/>
          <w:sz w:val="24"/>
          <w:szCs w:val="24"/>
          <w:shd w:val="clear" w:color="auto" w:fill="FFFFFF"/>
          <w:lang w:val="en-US"/>
        </w:rPr>
        <w:t>,</w:t>
      </w:r>
      <w:r w:rsidR="008F5536" w:rsidRPr="002B3E1D">
        <w:rPr>
          <w:rStyle w:val="apple-converted-space"/>
          <w:rFonts w:ascii="Times New Roman" w:hAnsi="Times New Roman" w:cs="Times New Roman"/>
          <w:sz w:val="24"/>
          <w:szCs w:val="24"/>
          <w:shd w:val="clear" w:color="auto" w:fill="FFFFFF"/>
          <w:lang w:val="en-US"/>
        </w:rPr>
        <w:t> </w:t>
      </w:r>
      <w:r w:rsidR="008F5536" w:rsidRPr="002B3E1D">
        <w:rPr>
          <w:rFonts w:ascii="Times New Roman" w:hAnsi="Times New Roman" w:cs="Times New Roman"/>
          <w:iCs/>
          <w:sz w:val="24"/>
          <w:szCs w:val="24"/>
          <w:shd w:val="clear" w:color="auto" w:fill="FFFFFF"/>
          <w:lang w:val="en-US"/>
        </w:rPr>
        <w:t>55</w:t>
      </w:r>
      <w:r w:rsidR="008F5536" w:rsidRPr="002B3E1D">
        <w:rPr>
          <w:rFonts w:ascii="Times New Roman" w:hAnsi="Times New Roman" w:cs="Times New Roman"/>
          <w:sz w:val="24"/>
          <w:szCs w:val="24"/>
          <w:shd w:val="clear" w:color="auto" w:fill="FFFFFF"/>
          <w:lang w:val="en-US"/>
        </w:rPr>
        <w:t>(1</w:t>
      </w:r>
      <w:r w:rsidR="00562D43" w:rsidRPr="002B3E1D">
        <w:rPr>
          <w:rFonts w:ascii="Times New Roman" w:hAnsi="Times New Roman" w:cs="Times New Roman"/>
          <w:sz w:val="24"/>
          <w:szCs w:val="24"/>
          <w:shd w:val="clear" w:color="auto" w:fill="FFFFFF"/>
          <w:lang w:val="en-US"/>
        </w:rPr>
        <w:t>):</w:t>
      </w:r>
      <w:r w:rsidR="008F5536" w:rsidRPr="002B3E1D">
        <w:rPr>
          <w:rFonts w:ascii="Times New Roman" w:hAnsi="Times New Roman" w:cs="Times New Roman"/>
          <w:sz w:val="24"/>
          <w:szCs w:val="24"/>
          <w:shd w:val="clear" w:color="auto" w:fill="FFFFFF"/>
          <w:lang w:val="en-US"/>
        </w:rPr>
        <w:t xml:space="preserve"> 13-35.</w:t>
      </w:r>
    </w:p>
    <w:p w14:paraId="251F93D2" w14:textId="77777777" w:rsidR="008F5536" w:rsidRPr="002B3E1D" w:rsidRDefault="00B56E7C" w:rsidP="008F5536">
      <w:pPr>
        <w:autoSpaceDE w:val="0"/>
        <w:autoSpaceDN w:val="0"/>
        <w:adjustRightInd w:val="0"/>
        <w:spacing w:after="0" w:line="240" w:lineRule="auto"/>
        <w:ind w:left="284" w:hanging="284"/>
        <w:jc w:val="both"/>
        <w:rPr>
          <w:rFonts w:ascii="Times New Roman" w:eastAsia="Batang" w:hAnsi="Times New Roman" w:cs="Times New Roman"/>
          <w:sz w:val="24"/>
          <w:szCs w:val="24"/>
          <w:lang w:val="en-US"/>
        </w:rPr>
      </w:pPr>
      <w:r w:rsidRPr="002B3E1D">
        <w:rPr>
          <w:rFonts w:ascii="Times New Roman" w:eastAsia="Batang" w:hAnsi="Times New Roman" w:cs="Times New Roman"/>
          <w:sz w:val="24"/>
          <w:szCs w:val="24"/>
          <w:lang w:val="en-US"/>
        </w:rPr>
        <w:t>Grant, R.M</w:t>
      </w:r>
      <w:r w:rsidR="008F5536" w:rsidRPr="002B3E1D">
        <w:rPr>
          <w:rFonts w:ascii="Times New Roman" w:eastAsia="Batang" w:hAnsi="Times New Roman" w:cs="Times New Roman"/>
          <w:sz w:val="24"/>
          <w:szCs w:val="24"/>
          <w:lang w:val="en-US"/>
        </w:rPr>
        <w:t xml:space="preserve">. </w:t>
      </w:r>
      <w:r w:rsidRPr="002B3E1D">
        <w:rPr>
          <w:rFonts w:ascii="Times New Roman" w:eastAsia="Batang" w:hAnsi="Times New Roman" w:cs="Times New Roman"/>
          <w:sz w:val="24"/>
          <w:szCs w:val="24"/>
          <w:lang w:val="en-US"/>
        </w:rPr>
        <w:t>(</w:t>
      </w:r>
      <w:r w:rsidR="008F5536" w:rsidRPr="002B3E1D">
        <w:rPr>
          <w:rFonts w:ascii="Times New Roman" w:eastAsia="Batang" w:hAnsi="Times New Roman" w:cs="Times New Roman"/>
          <w:sz w:val="24"/>
          <w:szCs w:val="24"/>
          <w:lang w:val="en-US"/>
        </w:rPr>
        <w:t>1996</w:t>
      </w:r>
      <w:r w:rsidRPr="002B3E1D">
        <w:rPr>
          <w:rFonts w:ascii="Times New Roman" w:eastAsia="Batang" w:hAnsi="Times New Roman" w:cs="Times New Roman"/>
          <w:sz w:val="24"/>
          <w:szCs w:val="24"/>
          <w:lang w:val="en-US"/>
        </w:rPr>
        <w:t>)</w:t>
      </w:r>
      <w:r w:rsidR="008F5536" w:rsidRPr="002B3E1D">
        <w:rPr>
          <w:rFonts w:ascii="Times New Roman" w:eastAsia="Batang" w:hAnsi="Times New Roman" w:cs="Times New Roman"/>
          <w:sz w:val="24"/>
          <w:szCs w:val="24"/>
          <w:lang w:val="en-US"/>
        </w:rPr>
        <w:t xml:space="preserve">. Towards a knowledge-based theory of the firm. </w:t>
      </w:r>
      <w:r w:rsidR="008F5536" w:rsidRPr="002B3E1D">
        <w:rPr>
          <w:rFonts w:ascii="Times New Roman" w:eastAsia="Batang" w:hAnsi="Times New Roman" w:cs="Times New Roman"/>
          <w:i/>
          <w:sz w:val="24"/>
          <w:szCs w:val="24"/>
          <w:lang w:val="en-US"/>
        </w:rPr>
        <w:t>Strategic Management</w:t>
      </w:r>
      <w:r w:rsidRPr="002B3E1D">
        <w:rPr>
          <w:rFonts w:ascii="Times New Roman" w:eastAsia="Batang" w:hAnsi="Times New Roman" w:cs="Times New Roman"/>
          <w:i/>
          <w:sz w:val="24"/>
          <w:szCs w:val="24"/>
          <w:lang w:val="en-US"/>
        </w:rPr>
        <w:t xml:space="preserve"> </w:t>
      </w:r>
      <w:r w:rsidR="008F5536" w:rsidRPr="002B3E1D">
        <w:rPr>
          <w:rFonts w:ascii="Times New Roman" w:eastAsia="Batang" w:hAnsi="Times New Roman" w:cs="Times New Roman"/>
          <w:i/>
          <w:sz w:val="24"/>
          <w:szCs w:val="24"/>
          <w:lang w:val="en-US"/>
        </w:rPr>
        <w:t>Journal</w:t>
      </w:r>
      <w:r w:rsidR="008F5536" w:rsidRPr="002B3E1D">
        <w:rPr>
          <w:rFonts w:ascii="Times New Roman" w:eastAsia="Batang" w:hAnsi="Times New Roman" w:cs="Times New Roman"/>
          <w:sz w:val="24"/>
          <w:szCs w:val="24"/>
          <w:lang w:val="en-US"/>
        </w:rPr>
        <w:t>, 17</w:t>
      </w:r>
      <w:r w:rsidRPr="002B3E1D">
        <w:rPr>
          <w:rFonts w:ascii="Times New Roman" w:eastAsia="Batang" w:hAnsi="Times New Roman" w:cs="Times New Roman"/>
          <w:sz w:val="24"/>
          <w:szCs w:val="24"/>
          <w:lang w:val="en-US"/>
        </w:rPr>
        <w:t>(S2):</w:t>
      </w:r>
      <w:r w:rsidR="008F5536" w:rsidRPr="002B3E1D">
        <w:rPr>
          <w:rFonts w:ascii="Times New Roman" w:eastAsia="Batang" w:hAnsi="Times New Roman" w:cs="Times New Roman"/>
          <w:sz w:val="24"/>
          <w:szCs w:val="24"/>
          <w:lang w:val="en-US"/>
        </w:rPr>
        <w:t xml:space="preserve"> 109-122.</w:t>
      </w:r>
    </w:p>
    <w:p w14:paraId="47769862" w14:textId="77777777" w:rsidR="008F5536" w:rsidRPr="002B3E1D" w:rsidRDefault="008F5536" w:rsidP="008F5536">
      <w:pPr>
        <w:autoSpaceDE w:val="0"/>
        <w:autoSpaceDN w:val="0"/>
        <w:adjustRightInd w:val="0"/>
        <w:spacing w:after="0" w:line="240" w:lineRule="auto"/>
        <w:ind w:left="284" w:hanging="284"/>
        <w:jc w:val="both"/>
        <w:rPr>
          <w:rFonts w:ascii="Times New Roman" w:hAnsi="Times New Roman" w:cs="Times New Roman"/>
          <w:sz w:val="24"/>
          <w:szCs w:val="24"/>
          <w:shd w:val="clear" w:color="auto" w:fill="FFFFFF"/>
          <w:lang w:val="en-US"/>
        </w:rPr>
      </w:pPr>
      <w:r w:rsidRPr="002B3E1D">
        <w:rPr>
          <w:rFonts w:ascii="Times New Roman" w:hAnsi="Times New Roman" w:cs="Times New Roman"/>
          <w:sz w:val="24"/>
          <w:szCs w:val="24"/>
          <w:shd w:val="clear" w:color="auto" w:fill="FFFFFF"/>
          <w:lang w:val="en-US"/>
        </w:rPr>
        <w:t>Hagedoorn, J.</w:t>
      </w:r>
      <w:r w:rsidR="00B56E7C" w:rsidRPr="002B3E1D">
        <w:rPr>
          <w:rFonts w:ascii="Times New Roman" w:hAnsi="Times New Roman" w:cs="Times New Roman"/>
          <w:sz w:val="24"/>
          <w:szCs w:val="24"/>
          <w:shd w:val="clear" w:color="auto" w:fill="FFFFFF"/>
          <w:lang w:val="en-US"/>
        </w:rPr>
        <w:t>,</w:t>
      </w:r>
      <w:r w:rsidRPr="002B3E1D">
        <w:rPr>
          <w:rFonts w:ascii="Times New Roman" w:hAnsi="Times New Roman" w:cs="Times New Roman"/>
          <w:sz w:val="24"/>
          <w:szCs w:val="24"/>
          <w:shd w:val="clear" w:color="auto" w:fill="FFFFFF"/>
          <w:lang w:val="en-US"/>
        </w:rPr>
        <w:t xml:space="preserve"> and Duysters, G. (2002). The effect of mergers and acquisitions on the technological performance of companies in a high-tech environment. </w:t>
      </w:r>
      <w:r w:rsidRPr="002B3E1D">
        <w:rPr>
          <w:rFonts w:ascii="Times New Roman" w:hAnsi="Times New Roman" w:cs="Times New Roman"/>
          <w:i/>
          <w:sz w:val="24"/>
          <w:szCs w:val="24"/>
          <w:shd w:val="clear" w:color="auto" w:fill="FFFFFF"/>
          <w:lang w:val="en-US"/>
        </w:rPr>
        <w:t>Technology Analysis and Strategic Management</w:t>
      </w:r>
      <w:r w:rsidRPr="002B3E1D">
        <w:rPr>
          <w:rFonts w:ascii="Times New Roman" w:hAnsi="Times New Roman" w:cs="Times New Roman"/>
          <w:sz w:val="24"/>
          <w:szCs w:val="24"/>
          <w:shd w:val="clear" w:color="auto" w:fill="FFFFFF"/>
          <w:lang w:val="en-US"/>
        </w:rPr>
        <w:t>, 14, 67–85.</w:t>
      </w:r>
    </w:p>
    <w:p w14:paraId="1F258291" w14:textId="77777777" w:rsidR="008F5536" w:rsidRPr="002B3E1D" w:rsidRDefault="008F5536" w:rsidP="008F5536">
      <w:pPr>
        <w:autoSpaceDE w:val="0"/>
        <w:autoSpaceDN w:val="0"/>
        <w:adjustRightInd w:val="0"/>
        <w:spacing w:after="0" w:line="240" w:lineRule="auto"/>
        <w:ind w:left="284" w:hanging="284"/>
        <w:jc w:val="both"/>
        <w:rPr>
          <w:rFonts w:ascii="Times New Roman" w:hAnsi="Times New Roman" w:cs="Times New Roman"/>
          <w:color w:val="222222"/>
          <w:sz w:val="24"/>
          <w:szCs w:val="24"/>
          <w:shd w:val="clear" w:color="auto" w:fill="FFFFFF"/>
          <w:lang w:val="en-US"/>
        </w:rPr>
      </w:pPr>
      <w:proofErr w:type="spellStart"/>
      <w:r w:rsidRPr="002B3E1D">
        <w:rPr>
          <w:rFonts w:ascii="Times New Roman" w:hAnsi="Times New Roman" w:cs="Times New Roman"/>
          <w:color w:val="222222"/>
          <w:sz w:val="24"/>
          <w:szCs w:val="24"/>
          <w:shd w:val="clear" w:color="auto" w:fill="FFFFFF"/>
          <w:lang w:val="en-US"/>
        </w:rPr>
        <w:lastRenderedPageBreak/>
        <w:t>Helfat</w:t>
      </w:r>
      <w:proofErr w:type="spellEnd"/>
      <w:r w:rsidRPr="002B3E1D">
        <w:rPr>
          <w:rFonts w:ascii="Times New Roman" w:hAnsi="Times New Roman" w:cs="Times New Roman"/>
          <w:color w:val="222222"/>
          <w:sz w:val="24"/>
          <w:szCs w:val="24"/>
          <w:shd w:val="clear" w:color="auto" w:fill="FFFFFF"/>
          <w:lang w:val="en-US"/>
        </w:rPr>
        <w:t>, C.E.</w:t>
      </w:r>
      <w:r w:rsidR="00B56E7C" w:rsidRPr="002B3E1D">
        <w:rPr>
          <w:rFonts w:ascii="Times New Roman" w:hAnsi="Times New Roman" w:cs="Times New Roman"/>
          <w:color w:val="222222"/>
          <w:sz w:val="24"/>
          <w:szCs w:val="24"/>
          <w:shd w:val="clear" w:color="auto" w:fill="FFFFFF"/>
          <w:lang w:val="en-US"/>
        </w:rPr>
        <w:t>,</w:t>
      </w:r>
      <w:r w:rsidRPr="002B3E1D">
        <w:rPr>
          <w:rFonts w:ascii="Times New Roman" w:hAnsi="Times New Roman" w:cs="Times New Roman"/>
          <w:color w:val="222222"/>
          <w:sz w:val="24"/>
          <w:szCs w:val="24"/>
          <w:shd w:val="clear" w:color="auto" w:fill="FFFFFF"/>
          <w:lang w:val="en-US"/>
        </w:rPr>
        <w:t xml:space="preserve"> and </w:t>
      </w:r>
      <w:proofErr w:type="spellStart"/>
      <w:r w:rsidRPr="002B3E1D">
        <w:rPr>
          <w:rFonts w:ascii="Times New Roman" w:hAnsi="Times New Roman" w:cs="Times New Roman"/>
          <w:color w:val="222222"/>
          <w:sz w:val="24"/>
          <w:szCs w:val="24"/>
          <w:shd w:val="clear" w:color="auto" w:fill="FFFFFF"/>
          <w:lang w:val="en-US"/>
        </w:rPr>
        <w:t>Peteraf</w:t>
      </w:r>
      <w:proofErr w:type="spellEnd"/>
      <w:r w:rsidRPr="002B3E1D">
        <w:rPr>
          <w:rFonts w:ascii="Times New Roman" w:hAnsi="Times New Roman" w:cs="Times New Roman"/>
          <w:color w:val="222222"/>
          <w:sz w:val="24"/>
          <w:szCs w:val="24"/>
          <w:shd w:val="clear" w:color="auto" w:fill="FFFFFF"/>
          <w:lang w:val="en-US"/>
        </w:rPr>
        <w:t xml:space="preserve">, M.A. (2015). Managerial cognitive capabilities and the micro-foundations of dynamic capabilities. </w:t>
      </w:r>
      <w:r w:rsidRPr="002B3E1D">
        <w:rPr>
          <w:rFonts w:ascii="Times New Roman" w:hAnsi="Times New Roman" w:cs="Times New Roman"/>
          <w:i/>
          <w:color w:val="222222"/>
          <w:sz w:val="24"/>
          <w:szCs w:val="24"/>
          <w:shd w:val="clear" w:color="auto" w:fill="FFFFFF"/>
          <w:lang w:val="en-US"/>
        </w:rPr>
        <w:t>Strategic Management Journal</w:t>
      </w:r>
      <w:r w:rsidRPr="002B3E1D">
        <w:rPr>
          <w:rFonts w:ascii="Times New Roman" w:hAnsi="Times New Roman" w:cs="Times New Roman"/>
          <w:color w:val="222222"/>
          <w:sz w:val="24"/>
          <w:szCs w:val="24"/>
          <w:shd w:val="clear" w:color="auto" w:fill="FFFFFF"/>
          <w:lang w:val="en-US"/>
        </w:rPr>
        <w:t>, 36(6</w:t>
      </w:r>
      <w:r w:rsidR="00562D43" w:rsidRPr="002B3E1D">
        <w:rPr>
          <w:rFonts w:ascii="Times New Roman" w:hAnsi="Times New Roman" w:cs="Times New Roman"/>
          <w:color w:val="222222"/>
          <w:sz w:val="24"/>
          <w:szCs w:val="24"/>
          <w:shd w:val="clear" w:color="auto" w:fill="FFFFFF"/>
          <w:lang w:val="en-US"/>
        </w:rPr>
        <w:t>):</w:t>
      </w:r>
      <w:r w:rsidRPr="002B3E1D">
        <w:rPr>
          <w:rFonts w:ascii="Times New Roman" w:hAnsi="Times New Roman" w:cs="Times New Roman"/>
          <w:color w:val="222222"/>
          <w:sz w:val="24"/>
          <w:szCs w:val="24"/>
          <w:shd w:val="clear" w:color="auto" w:fill="FFFFFF"/>
          <w:lang w:val="en-US"/>
        </w:rPr>
        <w:t xml:space="preserve"> 831-850.</w:t>
      </w:r>
    </w:p>
    <w:p w14:paraId="38CE1564" w14:textId="77777777" w:rsidR="008F5536" w:rsidRPr="002B3E1D" w:rsidRDefault="00B56E7C" w:rsidP="008F5536">
      <w:pPr>
        <w:shd w:val="clear" w:color="auto" w:fill="FFFFFF"/>
        <w:spacing w:after="0" w:line="240" w:lineRule="auto"/>
        <w:ind w:left="284" w:hanging="284"/>
        <w:jc w:val="both"/>
        <w:textAlignment w:val="baseline"/>
        <w:rPr>
          <w:rFonts w:ascii="Times New Roman" w:hAnsi="Times New Roman" w:cs="Times New Roman"/>
          <w:color w:val="222222"/>
          <w:sz w:val="24"/>
          <w:szCs w:val="24"/>
          <w:shd w:val="clear" w:color="auto" w:fill="FFFFFF"/>
          <w:lang w:val="en-US"/>
        </w:rPr>
      </w:pPr>
      <w:r w:rsidRPr="002B3E1D">
        <w:rPr>
          <w:rFonts w:ascii="Times New Roman" w:hAnsi="Times New Roman" w:cs="Times New Roman"/>
          <w:color w:val="222222"/>
          <w:sz w:val="24"/>
          <w:szCs w:val="24"/>
          <w:shd w:val="clear" w:color="auto" w:fill="FFFFFF"/>
          <w:lang w:val="en-US"/>
        </w:rPr>
        <w:t xml:space="preserve">Hodgkinson, I.R., </w:t>
      </w:r>
      <w:proofErr w:type="spellStart"/>
      <w:r w:rsidRPr="002B3E1D">
        <w:rPr>
          <w:rFonts w:ascii="Times New Roman" w:hAnsi="Times New Roman" w:cs="Times New Roman"/>
          <w:color w:val="222222"/>
          <w:sz w:val="24"/>
          <w:szCs w:val="24"/>
          <w:shd w:val="clear" w:color="auto" w:fill="FFFFFF"/>
          <w:lang w:val="en-US"/>
        </w:rPr>
        <w:t>Ravishankar</w:t>
      </w:r>
      <w:proofErr w:type="spellEnd"/>
      <w:r w:rsidRPr="002B3E1D">
        <w:rPr>
          <w:rFonts w:ascii="Times New Roman" w:hAnsi="Times New Roman" w:cs="Times New Roman"/>
          <w:color w:val="222222"/>
          <w:sz w:val="24"/>
          <w:szCs w:val="24"/>
          <w:shd w:val="clear" w:color="auto" w:fill="FFFFFF"/>
          <w:lang w:val="en-US"/>
        </w:rPr>
        <w:t>, M.</w:t>
      </w:r>
      <w:r w:rsidR="008F5536" w:rsidRPr="002B3E1D">
        <w:rPr>
          <w:rFonts w:ascii="Times New Roman" w:hAnsi="Times New Roman" w:cs="Times New Roman"/>
          <w:color w:val="222222"/>
          <w:sz w:val="24"/>
          <w:szCs w:val="24"/>
          <w:shd w:val="clear" w:color="auto" w:fill="FFFFFF"/>
          <w:lang w:val="en-US"/>
        </w:rPr>
        <w:t xml:space="preserve">N., and Aitken-Fischer, M. (2014). A resource-advantage perspective on the orchestration of ambidexterity. </w:t>
      </w:r>
      <w:r w:rsidR="008F5536" w:rsidRPr="002B3E1D">
        <w:rPr>
          <w:rFonts w:ascii="Times New Roman" w:hAnsi="Times New Roman" w:cs="Times New Roman"/>
          <w:i/>
          <w:color w:val="222222"/>
          <w:sz w:val="24"/>
          <w:szCs w:val="24"/>
          <w:shd w:val="clear" w:color="auto" w:fill="FFFFFF"/>
          <w:lang w:val="en-US"/>
        </w:rPr>
        <w:t>Service Industries Journal</w:t>
      </w:r>
      <w:r w:rsidR="008F5536" w:rsidRPr="002B3E1D">
        <w:rPr>
          <w:rFonts w:ascii="Times New Roman" w:hAnsi="Times New Roman" w:cs="Times New Roman"/>
          <w:color w:val="222222"/>
          <w:sz w:val="24"/>
          <w:szCs w:val="24"/>
          <w:shd w:val="clear" w:color="auto" w:fill="FFFFFF"/>
          <w:lang w:val="en-US"/>
        </w:rPr>
        <w:t>, 34(15</w:t>
      </w:r>
      <w:r w:rsidR="00562D43" w:rsidRPr="002B3E1D">
        <w:rPr>
          <w:rFonts w:ascii="Times New Roman" w:hAnsi="Times New Roman" w:cs="Times New Roman"/>
          <w:color w:val="222222"/>
          <w:sz w:val="24"/>
          <w:szCs w:val="24"/>
          <w:shd w:val="clear" w:color="auto" w:fill="FFFFFF"/>
          <w:lang w:val="en-US"/>
        </w:rPr>
        <w:t>):</w:t>
      </w:r>
      <w:r w:rsidR="008F5536" w:rsidRPr="002B3E1D">
        <w:rPr>
          <w:rFonts w:ascii="Times New Roman" w:hAnsi="Times New Roman" w:cs="Times New Roman"/>
          <w:color w:val="222222"/>
          <w:sz w:val="24"/>
          <w:szCs w:val="24"/>
          <w:shd w:val="clear" w:color="auto" w:fill="FFFFFF"/>
          <w:lang w:val="en-US"/>
        </w:rPr>
        <w:t xml:space="preserve"> 1234–1252.</w:t>
      </w:r>
    </w:p>
    <w:p w14:paraId="55175E97" w14:textId="77777777" w:rsidR="008F5536" w:rsidRPr="002B3E1D" w:rsidRDefault="008F5536" w:rsidP="008F5536">
      <w:pPr>
        <w:autoSpaceDE w:val="0"/>
        <w:autoSpaceDN w:val="0"/>
        <w:adjustRightInd w:val="0"/>
        <w:spacing w:after="0" w:line="240" w:lineRule="auto"/>
        <w:ind w:left="284" w:hanging="284"/>
        <w:jc w:val="both"/>
        <w:rPr>
          <w:rFonts w:ascii="Times New Roman" w:hAnsi="Times New Roman" w:cs="Times New Roman"/>
          <w:color w:val="222222"/>
          <w:sz w:val="24"/>
          <w:szCs w:val="24"/>
          <w:shd w:val="clear" w:color="auto" w:fill="FFFFFF"/>
          <w:lang w:val="en-US"/>
        </w:rPr>
      </w:pPr>
      <w:r w:rsidRPr="002B3E1D">
        <w:rPr>
          <w:rFonts w:ascii="Times New Roman" w:hAnsi="Times New Roman" w:cs="Times New Roman"/>
          <w:color w:val="222222"/>
          <w:sz w:val="24"/>
          <w:szCs w:val="24"/>
          <w:shd w:val="clear" w:color="auto" w:fill="FFFFFF"/>
          <w:lang w:val="en-US"/>
        </w:rPr>
        <w:t>Hodgkinson, I.R., Hughes, P.</w:t>
      </w:r>
      <w:r w:rsidR="00B56E7C" w:rsidRPr="002B3E1D">
        <w:rPr>
          <w:rFonts w:ascii="Times New Roman" w:hAnsi="Times New Roman" w:cs="Times New Roman"/>
          <w:color w:val="222222"/>
          <w:sz w:val="24"/>
          <w:szCs w:val="24"/>
          <w:shd w:val="clear" w:color="auto" w:fill="FFFFFF"/>
          <w:lang w:val="en-US"/>
        </w:rPr>
        <w:t>,</w:t>
      </w:r>
      <w:r w:rsidRPr="002B3E1D">
        <w:rPr>
          <w:rFonts w:ascii="Times New Roman" w:hAnsi="Times New Roman" w:cs="Times New Roman"/>
          <w:color w:val="222222"/>
          <w:sz w:val="24"/>
          <w:szCs w:val="24"/>
          <w:shd w:val="clear" w:color="auto" w:fill="FFFFFF"/>
          <w:lang w:val="en-US"/>
        </w:rPr>
        <w:t xml:space="preserve"> and Arshad, D. (2016). Strategy development: Driving improvisation in Malaysia. </w:t>
      </w:r>
      <w:r w:rsidRPr="002B3E1D">
        <w:rPr>
          <w:rFonts w:ascii="Times New Roman" w:hAnsi="Times New Roman" w:cs="Times New Roman"/>
          <w:i/>
          <w:color w:val="222222"/>
          <w:sz w:val="24"/>
          <w:szCs w:val="24"/>
          <w:shd w:val="clear" w:color="auto" w:fill="FFFFFF"/>
          <w:lang w:val="en-US"/>
        </w:rPr>
        <w:t>Journal of World Business</w:t>
      </w:r>
      <w:r w:rsidRPr="002B3E1D">
        <w:rPr>
          <w:rFonts w:ascii="Times New Roman" w:hAnsi="Times New Roman" w:cs="Times New Roman"/>
          <w:color w:val="222222"/>
          <w:sz w:val="24"/>
          <w:szCs w:val="24"/>
          <w:shd w:val="clear" w:color="auto" w:fill="FFFFFF"/>
          <w:lang w:val="en-US"/>
        </w:rPr>
        <w:t>, 51(3</w:t>
      </w:r>
      <w:r w:rsidR="00562D43" w:rsidRPr="002B3E1D">
        <w:rPr>
          <w:rFonts w:ascii="Times New Roman" w:hAnsi="Times New Roman" w:cs="Times New Roman"/>
          <w:color w:val="222222"/>
          <w:sz w:val="24"/>
          <w:szCs w:val="24"/>
          <w:shd w:val="clear" w:color="auto" w:fill="FFFFFF"/>
          <w:lang w:val="en-US"/>
        </w:rPr>
        <w:t>):</w:t>
      </w:r>
      <w:r w:rsidRPr="002B3E1D">
        <w:rPr>
          <w:rFonts w:ascii="Times New Roman" w:hAnsi="Times New Roman" w:cs="Times New Roman"/>
          <w:color w:val="222222"/>
          <w:sz w:val="24"/>
          <w:szCs w:val="24"/>
          <w:shd w:val="clear" w:color="auto" w:fill="FFFFFF"/>
          <w:lang w:val="en-US"/>
        </w:rPr>
        <w:t xml:space="preserve"> 379-390.</w:t>
      </w:r>
    </w:p>
    <w:p w14:paraId="7C94A8B5" w14:textId="77777777" w:rsidR="008F5536" w:rsidRPr="002B3E1D" w:rsidRDefault="008F5536" w:rsidP="008F5536">
      <w:pPr>
        <w:shd w:val="clear" w:color="auto" w:fill="FFFFFF"/>
        <w:spacing w:after="0" w:line="240" w:lineRule="auto"/>
        <w:ind w:left="284" w:hanging="284"/>
        <w:jc w:val="both"/>
        <w:textAlignment w:val="baseline"/>
        <w:rPr>
          <w:rFonts w:ascii="Times New Roman" w:hAnsi="Times New Roman" w:cs="Times New Roman"/>
          <w:color w:val="222222"/>
          <w:sz w:val="24"/>
          <w:szCs w:val="24"/>
          <w:shd w:val="clear" w:color="auto" w:fill="FFFFFF"/>
          <w:lang w:val="en-US"/>
        </w:rPr>
      </w:pPr>
      <w:r w:rsidRPr="002B3E1D">
        <w:rPr>
          <w:rFonts w:ascii="Times New Roman" w:hAnsi="Times New Roman" w:cs="Times New Roman"/>
          <w:color w:val="222222"/>
          <w:sz w:val="24"/>
          <w:szCs w:val="24"/>
          <w:shd w:val="clear" w:color="auto" w:fill="FFFFFF"/>
          <w:lang w:val="en-US"/>
        </w:rPr>
        <w:t xml:space="preserve">Hodgson, G.M. (2012). The mirage of micro-foundations. </w:t>
      </w:r>
      <w:r w:rsidRPr="002B3E1D">
        <w:rPr>
          <w:rFonts w:ascii="Times New Roman" w:hAnsi="Times New Roman" w:cs="Times New Roman"/>
          <w:i/>
          <w:color w:val="222222"/>
          <w:sz w:val="24"/>
          <w:szCs w:val="24"/>
          <w:shd w:val="clear" w:color="auto" w:fill="FFFFFF"/>
          <w:lang w:val="en-US"/>
        </w:rPr>
        <w:t>Journal of Management Studies</w:t>
      </w:r>
      <w:r w:rsidRPr="002B3E1D">
        <w:rPr>
          <w:rFonts w:ascii="Times New Roman" w:hAnsi="Times New Roman" w:cs="Times New Roman"/>
          <w:color w:val="222222"/>
          <w:sz w:val="24"/>
          <w:szCs w:val="24"/>
          <w:shd w:val="clear" w:color="auto" w:fill="FFFFFF"/>
          <w:lang w:val="en-US"/>
        </w:rPr>
        <w:t>, 49(8</w:t>
      </w:r>
      <w:r w:rsidR="00562D43" w:rsidRPr="002B3E1D">
        <w:rPr>
          <w:rFonts w:ascii="Times New Roman" w:hAnsi="Times New Roman" w:cs="Times New Roman"/>
          <w:color w:val="222222"/>
          <w:sz w:val="24"/>
          <w:szCs w:val="24"/>
          <w:shd w:val="clear" w:color="auto" w:fill="FFFFFF"/>
          <w:lang w:val="en-US"/>
        </w:rPr>
        <w:t>):</w:t>
      </w:r>
      <w:r w:rsidRPr="002B3E1D">
        <w:rPr>
          <w:rFonts w:ascii="Times New Roman" w:hAnsi="Times New Roman" w:cs="Times New Roman"/>
          <w:color w:val="222222"/>
          <w:sz w:val="24"/>
          <w:szCs w:val="24"/>
          <w:shd w:val="clear" w:color="auto" w:fill="FFFFFF"/>
          <w:lang w:val="en-US"/>
        </w:rPr>
        <w:t xml:space="preserve"> 1389-1394.</w:t>
      </w:r>
    </w:p>
    <w:p w14:paraId="6E19307F" w14:textId="77777777" w:rsidR="008F5536" w:rsidRPr="002B3E1D" w:rsidRDefault="00B56E7C" w:rsidP="008F5536">
      <w:pPr>
        <w:shd w:val="clear" w:color="auto" w:fill="FFFFFF"/>
        <w:spacing w:after="0" w:line="240" w:lineRule="auto"/>
        <w:ind w:left="284" w:hanging="284"/>
        <w:jc w:val="both"/>
        <w:textAlignment w:val="baseline"/>
        <w:rPr>
          <w:rFonts w:ascii="Times New Roman" w:hAnsi="Times New Roman" w:cs="Times New Roman"/>
          <w:color w:val="222222"/>
          <w:sz w:val="24"/>
          <w:szCs w:val="24"/>
          <w:shd w:val="clear" w:color="auto" w:fill="FFFFFF"/>
          <w:lang w:val="en-US"/>
        </w:rPr>
      </w:pPr>
      <w:r w:rsidRPr="002B3E1D">
        <w:rPr>
          <w:rFonts w:ascii="Times New Roman" w:hAnsi="Times New Roman" w:cs="Times New Roman"/>
          <w:color w:val="222222"/>
          <w:sz w:val="24"/>
          <w:szCs w:val="24"/>
          <w:shd w:val="clear" w:color="auto" w:fill="FFFFFF"/>
          <w:lang w:val="en-US"/>
        </w:rPr>
        <w:t>Hornsby, J.S., Kuratko, D.F., Shepherd, D.A., and Bott, J.</w:t>
      </w:r>
      <w:r w:rsidR="008F5536" w:rsidRPr="002B3E1D">
        <w:rPr>
          <w:rFonts w:ascii="Times New Roman" w:hAnsi="Times New Roman" w:cs="Times New Roman"/>
          <w:color w:val="222222"/>
          <w:sz w:val="24"/>
          <w:szCs w:val="24"/>
          <w:shd w:val="clear" w:color="auto" w:fill="FFFFFF"/>
          <w:lang w:val="en-US"/>
        </w:rPr>
        <w:t xml:space="preserve">P. (2009). Managers' corporate entrepreneurial actions: Examining perception and position. </w:t>
      </w:r>
      <w:r w:rsidR="008F5536" w:rsidRPr="002B3E1D">
        <w:rPr>
          <w:rFonts w:ascii="Times New Roman" w:hAnsi="Times New Roman" w:cs="Times New Roman"/>
          <w:i/>
          <w:color w:val="222222"/>
          <w:sz w:val="24"/>
          <w:szCs w:val="24"/>
          <w:shd w:val="clear" w:color="auto" w:fill="FFFFFF"/>
          <w:lang w:val="en-US"/>
        </w:rPr>
        <w:t>Journal of Business Venturing</w:t>
      </w:r>
      <w:r w:rsidR="008F5536" w:rsidRPr="002B3E1D">
        <w:rPr>
          <w:rFonts w:ascii="Times New Roman" w:hAnsi="Times New Roman" w:cs="Times New Roman"/>
          <w:color w:val="222222"/>
          <w:sz w:val="24"/>
          <w:szCs w:val="24"/>
          <w:shd w:val="clear" w:color="auto" w:fill="FFFFFF"/>
          <w:lang w:val="en-US"/>
        </w:rPr>
        <w:t>, 24(3</w:t>
      </w:r>
      <w:r w:rsidR="00562D43" w:rsidRPr="002B3E1D">
        <w:rPr>
          <w:rFonts w:ascii="Times New Roman" w:hAnsi="Times New Roman" w:cs="Times New Roman"/>
          <w:color w:val="222222"/>
          <w:sz w:val="24"/>
          <w:szCs w:val="24"/>
          <w:shd w:val="clear" w:color="auto" w:fill="FFFFFF"/>
          <w:lang w:val="en-US"/>
        </w:rPr>
        <w:t>):</w:t>
      </w:r>
      <w:r w:rsidR="008F5536" w:rsidRPr="002B3E1D">
        <w:rPr>
          <w:rFonts w:ascii="Times New Roman" w:hAnsi="Times New Roman" w:cs="Times New Roman"/>
          <w:color w:val="222222"/>
          <w:sz w:val="24"/>
          <w:szCs w:val="24"/>
          <w:shd w:val="clear" w:color="auto" w:fill="FFFFFF"/>
          <w:lang w:val="en-US"/>
        </w:rPr>
        <w:t xml:space="preserve"> 236-247.</w:t>
      </w:r>
    </w:p>
    <w:p w14:paraId="57666502" w14:textId="77777777" w:rsidR="008F5536" w:rsidRPr="002B3E1D" w:rsidRDefault="008F5536" w:rsidP="008F5536">
      <w:pPr>
        <w:spacing w:after="0" w:line="240" w:lineRule="auto"/>
        <w:ind w:left="284" w:hanging="284"/>
        <w:jc w:val="both"/>
        <w:rPr>
          <w:rFonts w:ascii="Times New Roman" w:hAnsi="Times New Roman" w:cs="Times New Roman"/>
          <w:sz w:val="24"/>
          <w:szCs w:val="24"/>
          <w:lang w:val="en-US"/>
        </w:rPr>
      </w:pPr>
      <w:r w:rsidRPr="002B3E1D">
        <w:rPr>
          <w:rFonts w:ascii="Times New Roman" w:hAnsi="Times New Roman" w:cs="Times New Roman"/>
          <w:sz w:val="24"/>
          <w:szCs w:val="24"/>
          <w:lang w:val="en-US"/>
        </w:rPr>
        <w:t xml:space="preserve">Hu, L. and Bentler, P. M. (1999). Cutoff criteria for fit indices in covariance structure analysis: Conventional criteria versus new alternatives. </w:t>
      </w:r>
      <w:r w:rsidRPr="002B3E1D">
        <w:rPr>
          <w:rFonts w:ascii="Times New Roman" w:hAnsi="Times New Roman" w:cs="Times New Roman"/>
          <w:i/>
          <w:sz w:val="24"/>
          <w:szCs w:val="24"/>
          <w:lang w:val="en-US"/>
        </w:rPr>
        <w:t>Structural Equation Modeling</w:t>
      </w:r>
      <w:r w:rsidRPr="002B3E1D">
        <w:rPr>
          <w:rFonts w:ascii="Times New Roman" w:hAnsi="Times New Roman" w:cs="Times New Roman"/>
          <w:sz w:val="24"/>
          <w:szCs w:val="24"/>
          <w:lang w:val="en-US"/>
        </w:rPr>
        <w:t>, 6(1</w:t>
      </w:r>
      <w:r w:rsidR="00562D43" w:rsidRPr="002B3E1D">
        <w:rPr>
          <w:rFonts w:ascii="Times New Roman" w:hAnsi="Times New Roman" w:cs="Times New Roman"/>
          <w:sz w:val="24"/>
          <w:szCs w:val="24"/>
          <w:lang w:val="en-US"/>
        </w:rPr>
        <w:t>):</w:t>
      </w:r>
      <w:r w:rsidRPr="002B3E1D">
        <w:rPr>
          <w:rFonts w:ascii="Times New Roman" w:hAnsi="Times New Roman" w:cs="Times New Roman"/>
          <w:sz w:val="24"/>
          <w:szCs w:val="24"/>
          <w:lang w:val="en-US"/>
        </w:rPr>
        <w:t xml:space="preserve"> 1-55.</w:t>
      </w:r>
    </w:p>
    <w:p w14:paraId="0E3DD4B9" w14:textId="77777777" w:rsidR="008F5536" w:rsidRPr="002B3E1D" w:rsidRDefault="008F5536" w:rsidP="008F5536">
      <w:pPr>
        <w:shd w:val="clear" w:color="auto" w:fill="FFFFFF"/>
        <w:spacing w:after="0" w:line="240" w:lineRule="auto"/>
        <w:ind w:left="284" w:hanging="284"/>
        <w:jc w:val="both"/>
        <w:textAlignment w:val="baseline"/>
        <w:rPr>
          <w:rFonts w:ascii="Times New Roman" w:hAnsi="Times New Roman" w:cs="Times New Roman"/>
          <w:color w:val="222222"/>
          <w:sz w:val="24"/>
          <w:szCs w:val="24"/>
          <w:shd w:val="clear" w:color="auto" w:fill="FFFFFF"/>
          <w:lang w:val="en-US"/>
        </w:rPr>
      </w:pPr>
      <w:r w:rsidRPr="002B3E1D">
        <w:rPr>
          <w:rFonts w:ascii="Times New Roman" w:hAnsi="Times New Roman" w:cs="Times New Roman"/>
          <w:color w:val="222222"/>
          <w:sz w:val="24"/>
          <w:szCs w:val="24"/>
          <w:shd w:val="clear" w:color="auto" w:fill="FFFFFF"/>
          <w:lang w:val="en-US"/>
        </w:rPr>
        <w:t xml:space="preserve">Hughes, M., Hughes, P., and Morgan, R. E. (2007). Exploitative learning and entrepreneurial orientation alignment in emerging young firms: Implications for market and response performance. </w:t>
      </w:r>
      <w:r w:rsidRPr="002B3E1D">
        <w:rPr>
          <w:rFonts w:ascii="Times New Roman" w:hAnsi="Times New Roman" w:cs="Times New Roman"/>
          <w:i/>
          <w:color w:val="222222"/>
          <w:sz w:val="24"/>
          <w:szCs w:val="24"/>
          <w:shd w:val="clear" w:color="auto" w:fill="FFFFFF"/>
          <w:lang w:val="en-US"/>
        </w:rPr>
        <w:t>British Journal of Management</w:t>
      </w:r>
      <w:r w:rsidRPr="002B3E1D">
        <w:rPr>
          <w:rFonts w:ascii="Times New Roman" w:hAnsi="Times New Roman" w:cs="Times New Roman"/>
          <w:color w:val="222222"/>
          <w:sz w:val="24"/>
          <w:szCs w:val="24"/>
          <w:shd w:val="clear" w:color="auto" w:fill="FFFFFF"/>
          <w:lang w:val="en-US"/>
        </w:rPr>
        <w:t>, 18(4</w:t>
      </w:r>
      <w:r w:rsidR="00562D43" w:rsidRPr="002B3E1D">
        <w:rPr>
          <w:rFonts w:ascii="Times New Roman" w:hAnsi="Times New Roman" w:cs="Times New Roman"/>
          <w:color w:val="222222"/>
          <w:sz w:val="24"/>
          <w:szCs w:val="24"/>
          <w:shd w:val="clear" w:color="auto" w:fill="FFFFFF"/>
          <w:lang w:val="en-US"/>
        </w:rPr>
        <w:t>):</w:t>
      </w:r>
      <w:r w:rsidRPr="002B3E1D">
        <w:rPr>
          <w:rFonts w:ascii="Times New Roman" w:hAnsi="Times New Roman" w:cs="Times New Roman"/>
          <w:color w:val="222222"/>
          <w:sz w:val="24"/>
          <w:szCs w:val="24"/>
          <w:shd w:val="clear" w:color="auto" w:fill="FFFFFF"/>
          <w:lang w:val="en-US"/>
        </w:rPr>
        <w:t xml:space="preserve"> 359-375.</w:t>
      </w:r>
    </w:p>
    <w:p w14:paraId="75166C42" w14:textId="77777777" w:rsidR="008F5536" w:rsidRPr="002B3E1D" w:rsidRDefault="008F5536" w:rsidP="008F5536">
      <w:pPr>
        <w:shd w:val="clear" w:color="auto" w:fill="FFFFFF"/>
        <w:spacing w:after="0" w:line="240" w:lineRule="auto"/>
        <w:ind w:left="284" w:hanging="284"/>
        <w:jc w:val="both"/>
        <w:textAlignment w:val="baseline"/>
        <w:rPr>
          <w:rFonts w:ascii="Times New Roman" w:hAnsi="Times New Roman" w:cs="Times New Roman"/>
          <w:color w:val="222222"/>
          <w:sz w:val="24"/>
          <w:szCs w:val="24"/>
          <w:shd w:val="clear" w:color="auto" w:fill="FFFFFF"/>
          <w:lang w:val="en-US"/>
        </w:rPr>
      </w:pPr>
      <w:r w:rsidRPr="002B3E1D">
        <w:rPr>
          <w:rFonts w:ascii="Times New Roman" w:hAnsi="Times New Roman" w:cs="Times New Roman"/>
          <w:color w:val="222222"/>
          <w:sz w:val="24"/>
          <w:szCs w:val="24"/>
          <w:shd w:val="clear" w:color="auto" w:fill="FFFFFF"/>
          <w:lang w:val="en-US"/>
        </w:rPr>
        <w:t xml:space="preserve">Hughes M. (2018). Organizational ambidexterity and firm performance: Burning research questions for marketing scholars. </w:t>
      </w:r>
      <w:r w:rsidRPr="002B3E1D">
        <w:rPr>
          <w:rFonts w:ascii="Times New Roman" w:hAnsi="Times New Roman" w:cs="Times New Roman"/>
          <w:i/>
          <w:color w:val="222222"/>
          <w:sz w:val="24"/>
          <w:szCs w:val="24"/>
          <w:shd w:val="clear" w:color="auto" w:fill="FFFFFF"/>
          <w:lang w:val="en-US"/>
        </w:rPr>
        <w:t>Journal of Marketing Management</w:t>
      </w:r>
      <w:r w:rsidRPr="002B3E1D">
        <w:rPr>
          <w:rFonts w:ascii="Times New Roman" w:hAnsi="Times New Roman" w:cs="Times New Roman"/>
          <w:color w:val="222222"/>
          <w:sz w:val="24"/>
          <w:szCs w:val="24"/>
          <w:shd w:val="clear" w:color="auto" w:fill="FFFFFF"/>
          <w:lang w:val="en-US"/>
        </w:rPr>
        <w:t>, 34(1-2</w:t>
      </w:r>
      <w:r w:rsidR="00562D43" w:rsidRPr="002B3E1D">
        <w:rPr>
          <w:rFonts w:ascii="Times New Roman" w:hAnsi="Times New Roman" w:cs="Times New Roman"/>
          <w:color w:val="222222"/>
          <w:sz w:val="24"/>
          <w:szCs w:val="24"/>
          <w:shd w:val="clear" w:color="auto" w:fill="FFFFFF"/>
          <w:lang w:val="en-US"/>
        </w:rPr>
        <w:t>):</w:t>
      </w:r>
      <w:r w:rsidRPr="002B3E1D">
        <w:rPr>
          <w:rFonts w:ascii="Times New Roman" w:hAnsi="Times New Roman" w:cs="Times New Roman"/>
          <w:color w:val="222222"/>
          <w:sz w:val="24"/>
          <w:szCs w:val="24"/>
          <w:shd w:val="clear" w:color="auto" w:fill="FFFFFF"/>
          <w:lang w:val="en-US"/>
        </w:rPr>
        <w:t xml:space="preserve"> 178-229.</w:t>
      </w:r>
    </w:p>
    <w:p w14:paraId="784422E0" w14:textId="77777777" w:rsidR="008F5536" w:rsidRPr="002B3E1D" w:rsidRDefault="008F5536" w:rsidP="008F5536">
      <w:pPr>
        <w:shd w:val="clear" w:color="auto" w:fill="FFFFFF"/>
        <w:spacing w:after="0" w:line="240" w:lineRule="auto"/>
        <w:ind w:left="284" w:hanging="284"/>
        <w:jc w:val="both"/>
        <w:textAlignment w:val="baseline"/>
        <w:rPr>
          <w:rFonts w:ascii="Times New Roman" w:eastAsia="Times New Roman" w:hAnsi="Times New Roman" w:cs="Times New Roman"/>
          <w:color w:val="000000"/>
          <w:sz w:val="24"/>
          <w:szCs w:val="24"/>
          <w:lang w:val="en-US" w:eastAsia="en-GB"/>
        </w:rPr>
      </w:pPr>
      <w:r w:rsidRPr="002B3E1D">
        <w:rPr>
          <w:rFonts w:ascii="Times New Roman" w:eastAsia="Times New Roman" w:hAnsi="Times New Roman" w:cs="Times New Roman"/>
          <w:color w:val="000000"/>
          <w:sz w:val="24"/>
          <w:szCs w:val="24"/>
          <w:lang w:val="en-US" w:eastAsia="en-GB"/>
        </w:rPr>
        <w:t xml:space="preserve">Hughes, P., Hodgkinson, I. R., Arshad, D. Hughes, M. and Leone, V. (2018). Planning to improvise? The role of reasoning in the strategy process: Evidence from Malaysia. </w:t>
      </w:r>
      <w:r w:rsidRPr="002B3E1D">
        <w:rPr>
          <w:rFonts w:ascii="Times New Roman" w:eastAsia="Times New Roman" w:hAnsi="Times New Roman" w:cs="Times New Roman"/>
          <w:i/>
          <w:color w:val="000000"/>
          <w:sz w:val="24"/>
          <w:szCs w:val="24"/>
          <w:lang w:val="en-US" w:eastAsia="en-GB"/>
        </w:rPr>
        <w:t>Asia Pacific Journal of Management</w:t>
      </w:r>
      <w:r w:rsidRPr="002B3E1D">
        <w:rPr>
          <w:rFonts w:ascii="Times New Roman" w:eastAsia="Times New Roman" w:hAnsi="Times New Roman" w:cs="Times New Roman"/>
          <w:color w:val="000000"/>
          <w:sz w:val="24"/>
          <w:szCs w:val="24"/>
          <w:lang w:val="en-US" w:eastAsia="en-GB"/>
        </w:rPr>
        <w:t>, 35(2</w:t>
      </w:r>
      <w:r w:rsidR="00562D43" w:rsidRPr="002B3E1D">
        <w:rPr>
          <w:rFonts w:ascii="Times New Roman" w:eastAsia="Times New Roman" w:hAnsi="Times New Roman" w:cs="Times New Roman"/>
          <w:color w:val="000000"/>
          <w:sz w:val="24"/>
          <w:szCs w:val="24"/>
          <w:lang w:val="en-US" w:eastAsia="en-GB"/>
        </w:rPr>
        <w:t>):</w:t>
      </w:r>
      <w:r w:rsidRPr="002B3E1D">
        <w:rPr>
          <w:rFonts w:ascii="Times New Roman" w:eastAsia="Times New Roman" w:hAnsi="Times New Roman" w:cs="Times New Roman"/>
          <w:color w:val="000000"/>
          <w:sz w:val="24"/>
          <w:szCs w:val="24"/>
          <w:lang w:val="en-US" w:eastAsia="en-GB"/>
        </w:rPr>
        <w:t xml:space="preserve"> 449-470.</w:t>
      </w:r>
    </w:p>
    <w:p w14:paraId="68FAD1CD" w14:textId="77777777" w:rsidR="008F5536" w:rsidRPr="002B3E1D" w:rsidRDefault="008F5536" w:rsidP="008F5536">
      <w:pPr>
        <w:shd w:val="clear" w:color="auto" w:fill="FFFFFF"/>
        <w:spacing w:after="0" w:line="240" w:lineRule="auto"/>
        <w:ind w:left="284" w:hanging="284"/>
        <w:jc w:val="both"/>
        <w:textAlignment w:val="baseline"/>
        <w:rPr>
          <w:rFonts w:ascii="Times New Roman" w:hAnsi="Times New Roman" w:cs="Times New Roman"/>
          <w:color w:val="222222"/>
          <w:sz w:val="24"/>
          <w:szCs w:val="24"/>
          <w:shd w:val="clear" w:color="auto" w:fill="FFFFFF"/>
          <w:lang w:val="en-US"/>
        </w:rPr>
      </w:pPr>
      <w:r w:rsidRPr="002B3E1D">
        <w:rPr>
          <w:rFonts w:ascii="Times New Roman" w:hAnsi="Times New Roman" w:cs="Times New Roman"/>
          <w:color w:val="222222"/>
          <w:sz w:val="24"/>
          <w:szCs w:val="24"/>
          <w:shd w:val="clear" w:color="auto" w:fill="FFFFFF"/>
          <w:lang w:val="en-US"/>
        </w:rPr>
        <w:t xml:space="preserve">Im, G., and Rai, A. (2008). Knowledge sharing ambidexterity in long-term interorganizational relationships. </w:t>
      </w:r>
      <w:r w:rsidRPr="002B3E1D">
        <w:rPr>
          <w:rFonts w:ascii="Times New Roman" w:hAnsi="Times New Roman" w:cs="Times New Roman"/>
          <w:i/>
          <w:color w:val="222222"/>
          <w:sz w:val="24"/>
          <w:szCs w:val="24"/>
          <w:shd w:val="clear" w:color="auto" w:fill="FFFFFF"/>
          <w:lang w:val="en-US"/>
        </w:rPr>
        <w:t>Management Science</w:t>
      </w:r>
      <w:r w:rsidRPr="002B3E1D">
        <w:rPr>
          <w:rFonts w:ascii="Times New Roman" w:hAnsi="Times New Roman" w:cs="Times New Roman"/>
          <w:color w:val="222222"/>
          <w:sz w:val="24"/>
          <w:szCs w:val="24"/>
          <w:shd w:val="clear" w:color="auto" w:fill="FFFFFF"/>
          <w:lang w:val="en-US"/>
        </w:rPr>
        <w:t>, 54(7</w:t>
      </w:r>
      <w:r w:rsidR="00562D43" w:rsidRPr="002B3E1D">
        <w:rPr>
          <w:rFonts w:ascii="Times New Roman" w:hAnsi="Times New Roman" w:cs="Times New Roman"/>
          <w:color w:val="222222"/>
          <w:sz w:val="24"/>
          <w:szCs w:val="24"/>
          <w:shd w:val="clear" w:color="auto" w:fill="FFFFFF"/>
          <w:lang w:val="en-US"/>
        </w:rPr>
        <w:t>):</w:t>
      </w:r>
      <w:r w:rsidRPr="002B3E1D">
        <w:rPr>
          <w:rFonts w:ascii="Times New Roman" w:hAnsi="Times New Roman" w:cs="Times New Roman"/>
          <w:color w:val="222222"/>
          <w:sz w:val="24"/>
          <w:szCs w:val="24"/>
          <w:shd w:val="clear" w:color="auto" w:fill="FFFFFF"/>
          <w:lang w:val="en-US"/>
        </w:rPr>
        <w:t xml:space="preserve"> 1281-1296.</w:t>
      </w:r>
    </w:p>
    <w:p w14:paraId="794F8AFF" w14:textId="77777777" w:rsidR="008F5536" w:rsidRPr="002B3E1D" w:rsidRDefault="007C156D" w:rsidP="008F5536">
      <w:pPr>
        <w:spacing w:after="0" w:line="240" w:lineRule="auto"/>
        <w:ind w:left="284" w:hanging="284"/>
        <w:jc w:val="both"/>
        <w:rPr>
          <w:rFonts w:ascii="Times New Roman" w:hAnsi="Times New Roman" w:cs="Times New Roman"/>
          <w:color w:val="222222"/>
          <w:sz w:val="24"/>
          <w:szCs w:val="24"/>
          <w:shd w:val="clear" w:color="auto" w:fill="FFFFFF"/>
          <w:lang w:val="en-US"/>
        </w:rPr>
      </w:pPr>
      <w:r w:rsidRPr="002B3E1D">
        <w:rPr>
          <w:rFonts w:ascii="Times New Roman" w:hAnsi="Times New Roman" w:cs="Times New Roman"/>
          <w:color w:val="222222"/>
          <w:sz w:val="24"/>
          <w:szCs w:val="24"/>
          <w:shd w:val="clear" w:color="auto" w:fill="FFFFFF"/>
          <w:lang w:val="en-US"/>
        </w:rPr>
        <w:t>Ireland, R.D., Covin, J.G. and Kuratko, D.</w:t>
      </w:r>
      <w:r w:rsidR="008F5536" w:rsidRPr="002B3E1D">
        <w:rPr>
          <w:rFonts w:ascii="Times New Roman" w:hAnsi="Times New Roman" w:cs="Times New Roman"/>
          <w:color w:val="222222"/>
          <w:sz w:val="24"/>
          <w:szCs w:val="24"/>
          <w:shd w:val="clear" w:color="auto" w:fill="FFFFFF"/>
          <w:lang w:val="en-US"/>
        </w:rPr>
        <w:t xml:space="preserve">F. (2009). Conceptualizing corporate entrepreneurship strategy. </w:t>
      </w:r>
      <w:r w:rsidR="008F5536" w:rsidRPr="002B3E1D">
        <w:rPr>
          <w:rFonts w:ascii="Times New Roman" w:hAnsi="Times New Roman" w:cs="Times New Roman"/>
          <w:i/>
          <w:color w:val="222222"/>
          <w:sz w:val="24"/>
          <w:szCs w:val="24"/>
          <w:shd w:val="clear" w:color="auto" w:fill="FFFFFF"/>
          <w:lang w:val="en-US"/>
        </w:rPr>
        <w:t>Entrepreneurship Theory and Practice</w:t>
      </w:r>
      <w:r w:rsidR="008F5536" w:rsidRPr="002B3E1D">
        <w:rPr>
          <w:rFonts w:ascii="Times New Roman" w:hAnsi="Times New Roman" w:cs="Times New Roman"/>
          <w:color w:val="222222"/>
          <w:sz w:val="24"/>
          <w:szCs w:val="24"/>
          <w:shd w:val="clear" w:color="auto" w:fill="FFFFFF"/>
          <w:lang w:val="en-US"/>
        </w:rPr>
        <w:t>, 33</w:t>
      </w:r>
      <w:r w:rsidRPr="002B3E1D">
        <w:rPr>
          <w:rFonts w:ascii="Times New Roman" w:hAnsi="Times New Roman" w:cs="Times New Roman"/>
          <w:color w:val="222222"/>
          <w:sz w:val="24"/>
          <w:szCs w:val="24"/>
          <w:shd w:val="clear" w:color="auto" w:fill="FFFFFF"/>
          <w:lang w:val="en-US"/>
        </w:rPr>
        <w:t>(1):</w:t>
      </w:r>
      <w:r w:rsidR="008F5536" w:rsidRPr="002B3E1D">
        <w:rPr>
          <w:rFonts w:ascii="Times New Roman" w:hAnsi="Times New Roman" w:cs="Times New Roman"/>
          <w:color w:val="222222"/>
          <w:sz w:val="24"/>
          <w:szCs w:val="24"/>
          <w:shd w:val="clear" w:color="auto" w:fill="FFFFFF"/>
          <w:lang w:val="en-US"/>
        </w:rPr>
        <w:t xml:space="preserve"> 19–46.</w:t>
      </w:r>
    </w:p>
    <w:p w14:paraId="7B945D8E" w14:textId="77777777" w:rsidR="008F5536" w:rsidRPr="002B3E1D" w:rsidRDefault="008F5536" w:rsidP="008F5536">
      <w:pPr>
        <w:spacing w:after="0" w:line="240" w:lineRule="auto"/>
        <w:ind w:left="284" w:hanging="284"/>
        <w:jc w:val="both"/>
        <w:rPr>
          <w:rFonts w:ascii="Times New Roman" w:hAnsi="Times New Roman" w:cs="Times New Roman"/>
          <w:color w:val="222222"/>
          <w:sz w:val="24"/>
          <w:szCs w:val="24"/>
          <w:shd w:val="clear" w:color="auto" w:fill="FFFFFF"/>
          <w:lang w:val="en-US"/>
        </w:rPr>
      </w:pPr>
      <w:r w:rsidRPr="002B3E1D">
        <w:rPr>
          <w:rFonts w:ascii="Times New Roman" w:hAnsi="Times New Roman" w:cs="Times New Roman"/>
          <w:color w:val="222222"/>
          <w:sz w:val="24"/>
          <w:szCs w:val="24"/>
          <w:shd w:val="clear" w:color="auto" w:fill="FFFFFF"/>
          <w:lang w:val="en-US"/>
        </w:rPr>
        <w:t>Jansen,</w:t>
      </w:r>
      <w:r w:rsidR="007C156D" w:rsidRPr="002B3E1D">
        <w:rPr>
          <w:rFonts w:ascii="Times New Roman" w:hAnsi="Times New Roman" w:cs="Times New Roman"/>
          <w:color w:val="222222"/>
          <w:sz w:val="24"/>
          <w:szCs w:val="24"/>
          <w:shd w:val="clear" w:color="auto" w:fill="FFFFFF"/>
          <w:lang w:val="en-US"/>
        </w:rPr>
        <w:t xml:space="preserve"> J.J.P., Van den Bosch, F.A.J., and Volberda, H.</w:t>
      </w:r>
      <w:r w:rsidRPr="002B3E1D">
        <w:rPr>
          <w:rFonts w:ascii="Times New Roman" w:hAnsi="Times New Roman" w:cs="Times New Roman"/>
          <w:color w:val="222222"/>
          <w:sz w:val="24"/>
          <w:szCs w:val="24"/>
          <w:shd w:val="clear" w:color="auto" w:fill="FFFFFF"/>
          <w:lang w:val="en-US"/>
        </w:rPr>
        <w:t xml:space="preserve">W. (2006). Exploratory innovation, exploitative innovation, and performance: Effects of organizational antecedents and environmental moderators. </w:t>
      </w:r>
      <w:r w:rsidRPr="002B3E1D">
        <w:rPr>
          <w:rFonts w:ascii="Times New Roman" w:hAnsi="Times New Roman" w:cs="Times New Roman"/>
          <w:i/>
          <w:color w:val="222222"/>
          <w:sz w:val="24"/>
          <w:szCs w:val="24"/>
          <w:shd w:val="clear" w:color="auto" w:fill="FFFFFF"/>
          <w:lang w:val="en-US"/>
        </w:rPr>
        <w:t>Management Science</w:t>
      </w:r>
      <w:r w:rsidRPr="002B3E1D">
        <w:rPr>
          <w:rFonts w:ascii="Times New Roman" w:hAnsi="Times New Roman" w:cs="Times New Roman"/>
          <w:color w:val="222222"/>
          <w:sz w:val="24"/>
          <w:szCs w:val="24"/>
          <w:shd w:val="clear" w:color="auto" w:fill="FFFFFF"/>
          <w:lang w:val="en-US"/>
        </w:rPr>
        <w:t>, 52, 1661–1674.</w:t>
      </w:r>
    </w:p>
    <w:p w14:paraId="05D619C9" w14:textId="77777777" w:rsidR="008F5536" w:rsidRPr="002B3E1D" w:rsidRDefault="007C156D" w:rsidP="008F5536">
      <w:pPr>
        <w:spacing w:after="0" w:line="240" w:lineRule="auto"/>
        <w:ind w:left="284" w:hanging="284"/>
        <w:jc w:val="both"/>
        <w:rPr>
          <w:rFonts w:ascii="Times New Roman" w:hAnsi="Times New Roman" w:cs="Times New Roman"/>
          <w:color w:val="222222"/>
          <w:sz w:val="24"/>
          <w:szCs w:val="24"/>
          <w:shd w:val="clear" w:color="auto" w:fill="FFFFFF"/>
          <w:lang w:val="en-US"/>
        </w:rPr>
      </w:pPr>
      <w:r w:rsidRPr="002B3E1D">
        <w:rPr>
          <w:rFonts w:ascii="Times New Roman" w:hAnsi="Times New Roman" w:cs="Times New Roman"/>
          <w:color w:val="222222"/>
          <w:sz w:val="24"/>
          <w:szCs w:val="24"/>
          <w:shd w:val="clear" w:color="auto" w:fill="FFFFFF"/>
          <w:lang w:val="en-US"/>
        </w:rPr>
        <w:t>Jansen, J.J.P., Tempelaar, M.P., Van den Bosch, F.A.J., and Volberda, H.</w:t>
      </w:r>
      <w:r w:rsidR="008F5536" w:rsidRPr="002B3E1D">
        <w:rPr>
          <w:rFonts w:ascii="Times New Roman" w:hAnsi="Times New Roman" w:cs="Times New Roman"/>
          <w:color w:val="222222"/>
          <w:sz w:val="24"/>
          <w:szCs w:val="24"/>
          <w:shd w:val="clear" w:color="auto" w:fill="FFFFFF"/>
          <w:lang w:val="en-US"/>
        </w:rPr>
        <w:t xml:space="preserve">W. (2009). Structural differentiation and ambidexterity: The mediating role of integration mechanisms. </w:t>
      </w:r>
      <w:r w:rsidR="008F5536" w:rsidRPr="002B3E1D">
        <w:rPr>
          <w:rFonts w:ascii="Times New Roman" w:hAnsi="Times New Roman" w:cs="Times New Roman"/>
          <w:i/>
          <w:color w:val="222222"/>
          <w:sz w:val="24"/>
          <w:szCs w:val="24"/>
          <w:shd w:val="clear" w:color="auto" w:fill="FFFFFF"/>
          <w:lang w:val="en-US"/>
        </w:rPr>
        <w:t>Organization Science</w:t>
      </w:r>
      <w:r w:rsidR="008F5536" w:rsidRPr="002B3E1D">
        <w:rPr>
          <w:rFonts w:ascii="Times New Roman" w:hAnsi="Times New Roman" w:cs="Times New Roman"/>
          <w:color w:val="222222"/>
          <w:sz w:val="24"/>
          <w:szCs w:val="24"/>
          <w:shd w:val="clear" w:color="auto" w:fill="FFFFFF"/>
          <w:lang w:val="en-US"/>
        </w:rPr>
        <w:t>, 20(4</w:t>
      </w:r>
      <w:r w:rsidR="00562D43" w:rsidRPr="002B3E1D">
        <w:rPr>
          <w:rFonts w:ascii="Times New Roman" w:hAnsi="Times New Roman" w:cs="Times New Roman"/>
          <w:color w:val="222222"/>
          <w:sz w:val="24"/>
          <w:szCs w:val="24"/>
          <w:shd w:val="clear" w:color="auto" w:fill="FFFFFF"/>
          <w:lang w:val="en-US"/>
        </w:rPr>
        <w:t>):</w:t>
      </w:r>
      <w:r w:rsidR="008F5536" w:rsidRPr="002B3E1D">
        <w:rPr>
          <w:rFonts w:ascii="Times New Roman" w:hAnsi="Times New Roman" w:cs="Times New Roman"/>
          <w:color w:val="222222"/>
          <w:sz w:val="24"/>
          <w:szCs w:val="24"/>
          <w:shd w:val="clear" w:color="auto" w:fill="FFFFFF"/>
          <w:lang w:val="en-US"/>
        </w:rPr>
        <w:t xml:space="preserve"> 797–811.</w:t>
      </w:r>
    </w:p>
    <w:p w14:paraId="01A7D79D" w14:textId="77777777" w:rsidR="008F5536" w:rsidRPr="002B3E1D" w:rsidRDefault="008F5536" w:rsidP="008F5536">
      <w:pPr>
        <w:spacing w:after="0" w:line="240" w:lineRule="auto"/>
        <w:ind w:left="284" w:hanging="284"/>
        <w:jc w:val="both"/>
        <w:rPr>
          <w:rFonts w:ascii="Times New Roman" w:hAnsi="Times New Roman" w:cs="Times New Roman"/>
          <w:color w:val="222222"/>
          <w:sz w:val="24"/>
          <w:szCs w:val="24"/>
          <w:shd w:val="clear" w:color="auto" w:fill="FFFFFF"/>
          <w:lang w:val="en-US"/>
        </w:rPr>
      </w:pPr>
      <w:r w:rsidRPr="002B3E1D">
        <w:rPr>
          <w:rFonts w:ascii="Times New Roman" w:hAnsi="Times New Roman" w:cs="Times New Roman"/>
          <w:color w:val="222222"/>
          <w:sz w:val="24"/>
          <w:szCs w:val="24"/>
          <w:shd w:val="clear" w:color="auto" w:fill="FFFFFF"/>
          <w:lang w:val="en-US"/>
        </w:rPr>
        <w:t xml:space="preserve">Junni, P., Sarala, R. M., Taras, V., and Tarba, S. Y. (2013). Organizational ambidexterity and performance: A meta-analysis. </w:t>
      </w:r>
      <w:r w:rsidRPr="002B3E1D">
        <w:rPr>
          <w:rFonts w:ascii="Times New Roman" w:hAnsi="Times New Roman" w:cs="Times New Roman"/>
          <w:i/>
          <w:color w:val="222222"/>
          <w:sz w:val="24"/>
          <w:szCs w:val="24"/>
          <w:shd w:val="clear" w:color="auto" w:fill="FFFFFF"/>
          <w:lang w:val="en-US"/>
        </w:rPr>
        <w:t>Academy of Management Perspectives</w:t>
      </w:r>
      <w:r w:rsidRPr="002B3E1D">
        <w:rPr>
          <w:rFonts w:ascii="Times New Roman" w:hAnsi="Times New Roman" w:cs="Times New Roman"/>
          <w:color w:val="222222"/>
          <w:sz w:val="24"/>
          <w:szCs w:val="24"/>
          <w:shd w:val="clear" w:color="auto" w:fill="FFFFFF"/>
          <w:lang w:val="en-US"/>
        </w:rPr>
        <w:t>, 27(4</w:t>
      </w:r>
      <w:r w:rsidR="00562D43" w:rsidRPr="002B3E1D">
        <w:rPr>
          <w:rFonts w:ascii="Times New Roman" w:hAnsi="Times New Roman" w:cs="Times New Roman"/>
          <w:color w:val="222222"/>
          <w:sz w:val="24"/>
          <w:szCs w:val="24"/>
          <w:shd w:val="clear" w:color="auto" w:fill="FFFFFF"/>
          <w:lang w:val="en-US"/>
        </w:rPr>
        <w:t>):</w:t>
      </w:r>
      <w:r w:rsidRPr="002B3E1D">
        <w:rPr>
          <w:rFonts w:ascii="Times New Roman" w:hAnsi="Times New Roman" w:cs="Times New Roman"/>
          <w:color w:val="222222"/>
          <w:sz w:val="24"/>
          <w:szCs w:val="24"/>
          <w:shd w:val="clear" w:color="auto" w:fill="FFFFFF"/>
          <w:lang w:val="en-US"/>
        </w:rPr>
        <w:t xml:space="preserve"> 299–312.</w:t>
      </w:r>
    </w:p>
    <w:p w14:paraId="1F07603A" w14:textId="77777777" w:rsidR="008F5536" w:rsidRPr="002B3E1D" w:rsidRDefault="008F5536" w:rsidP="008F5536">
      <w:pPr>
        <w:spacing w:after="0" w:line="240" w:lineRule="auto"/>
        <w:ind w:left="284" w:hanging="284"/>
        <w:jc w:val="both"/>
        <w:rPr>
          <w:rFonts w:ascii="Times New Roman" w:hAnsi="Times New Roman" w:cs="Times New Roman"/>
          <w:color w:val="222222"/>
          <w:sz w:val="24"/>
          <w:szCs w:val="24"/>
          <w:shd w:val="clear" w:color="auto" w:fill="FFFFFF"/>
          <w:lang w:val="en-US"/>
        </w:rPr>
      </w:pPr>
      <w:r w:rsidRPr="002B3E1D">
        <w:rPr>
          <w:rFonts w:ascii="Times New Roman" w:hAnsi="Times New Roman" w:cs="Times New Roman"/>
          <w:color w:val="222222"/>
          <w:sz w:val="24"/>
          <w:szCs w:val="24"/>
          <w:shd w:val="clear" w:color="auto" w:fill="FFFFFF"/>
          <w:lang w:val="en-US"/>
        </w:rPr>
        <w:t>Kang, S. C., and Snell, S. A. (2009). Intellectual capital architectures and ambidextrous learning: a framework for human resource management.</w:t>
      </w:r>
      <w:r w:rsidRPr="002B3E1D">
        <w:rPr>
          <w:rStyle w:val="apple-converted-space"/>
          <w:rFonts w:ascii="Times New Roman" w:hAnsi="Times New Roman" w:cs="Times New Roman"/>
          <w:color w:val="222222"/>
          <w:sz w:val="24"/>
          <w:szCs w:val="24"/>
          <w:shd w:val="clear" w:color="auto" w:fill="FFFFFF"/>
          <w:lang w:val="en-US"/>
        </w:rPr>
        <w:t> </w:t>
      </w:r>
      <w:r w:rsidRPr="002B3E1D">
        <w:rPr>
          <w:rFonts w:ascii="Times New Roman" w:hAnsi="Times New Roman" w:cs="Times New Roman"/>
          <w:i/>
          <w:iCs/>
          <w:color w:val="222222"/>
          <w:sz w:val="24"/>
          <w:szCs w:val="24"/>
          <w:shd w:val="clear" w:color="auto" w:fill="FFFFFF"/>
          <w:lang w:val="en-US"/>
        </w:rPr>
        <w:t>Journal of Management Studies</w:t>
      </w:r>
      <w:r w:rsidRPr="002B3E1D">
        <w:rPr>
          <w:rFonts w:ascii="Times New Roman" w:hAnsi="Times New Roman" w:cs="Times New Roman"/>
          <w:color w:val="222222"/>
          <w:sz w:val="24"/>
          <w:szCs w:val="24"/>
          <w:shd w:val="clear" w:color="auto" w:fill="FFFFFF"/>
          <w:lang w:val="en-US"/>
        </w:rPr>
        <w:t>,</w:t>
      </w:r>
      <w:r w:rsidRPr="002B3E1D">
        <w:rPr>
          <w:rStyle w:val="apple-converted-space"/>
          <w:rFonts w:ascii="Times New Roman" w:hAnsi="Times New Roman" w:cs="Times New Roman"/>
          <w:color w:val="222222"/>
          <w:sz w:val="24"/>
          <w:szCs w:val="24"/>
          <w:shd w:val="clear" w:color="auto" w:fill="FFFFFF"/>
          <w:lang w:val="en-US"/>
        </w:rPr>
        <w:t> </w:t>
      </w:r>
      <w:r w:rsidRPr="002B3E1D">
        <w:rPr>
          <w:rFonts w:ascii="Times New Roman" w:hAnsi="Times New Roman" w:cs="Times New Roman"/>
          <w:iCs/>
          <w:color w:val="222222"/>
          <w:sz w:val="24"/>
          <w:szCs w:val="24"/>
          <w:shd w:val="clear" w:color="auto" w:fill="FFFFFF"/>
          <w:lang w:val="en-US"/>
        </w:rPr>
        <w:t>46</w:t>
      </w:r>
      <w:r w:rsidRPr="002B3E1D">
        <w:rPr>
          <w:rFonts w:ascii="Times New Roman" w:hAnsi="Times New Roman" w:cs="Times New Roman"/>
          <w:color w:val="222222"/>
          <w:sz w:val="24"/>
          <w:szCs w:val="24"/>
          <w:shd w:val="clear" w:color="auto" w:fill="FFFFFF"/>
          <w:lang w:val="en-US"/>
        </w:rPr>
        <w:t>(1</w:t>
      </w:r>
      <w:r w:rsidR="00562D43" w:rsidRPr="002B3E1D">
        <w:rPr>
          <w:rFonts w:ascii="Times New Roman" w:hAnsi="Times New Roman" w:cs="Times New Roman"/>
          <w:color w:val="222222"/>
          <w:sz w:val="24"/>
          <w:szCs w:val="24"/>
          <w:shd w:val="clear" w:color="auto" w:fill="FFFFFF"/>
          <w:lang w:val="en-US"/>
        </w:rPr>
        <w:t>):</w:t>
      </w:r>
      <w:r w:rsidRPr="002B3E1D">
        <w:rPr>
          <w:rFonts w:ascii="Times New Roman" w:hAnsi="Times New Roman" w:cs="Times New Roman"/>
          <w:color w:val="222222"/>
          <w:sz w:val="24"/>
          <w:szCs w:val="24"/>
          <w:shd w:val="clear" w:color="auto" w:fill="FFFFFF"/>
          <w:lang w:val="en-US"/>
        </w:rPr>
        <w:t xml:space="preserve"> 65-92.</w:t>
      </w:r>
    </w:p>
    <w:p w14:paraId="790361C4" w14:textId="77777777" w:rsidR="008F5536" w:rsidRPr="002B3E1D" w:rsidRDefault="008F5536" w:rsidP="008F5536">
      <w:pPr>
        <w:spacing w:after="0" w:line="240" w:lineRule="auto"/>
        <w:ind w:left="284" w:hanging="284"/>
        <w:jc w:val="both"/>
        <w:rPr>
          <w:rFonts w:ascii="Times New Roman" w:hAnsi="Times New Roman" w:cs="Times New Roman"/>
          <w:color w:val="222222"/>
          <w:sz w:val="24"/>
          <w:szCs w:val="24"/>
          <w:shd w:val="clear" w:color="auto" w:fill="FFFFFF"/>
          <w:lang w:val="en-US"/>
        </w:rPr>
      </w:pPr>
      <w:r w:rsidRPr="002B3E1D">
        <w:rPr>
          <w:rFonts w:ascii="Times New Roman" w:hAnsi="Times New Roman" w:cs="Times New Roman"/>
          <w:color w:val="222222"/>
          <w:sz w:val="24"/>
          <w:szCs w:val="24"/>
          <w:shd w:val="clear" w:color="auto" w:fill="FFFFFF"/>
          <w:lang w:val="en-US"/>
        </w:rPr>
        <w:t xml:space="preserve">Kauppila, O. P. (2010). Creating ambidexterity by integrating and balancing separate interorganizational partnerships. </w:t>
      </w:r>
      <w:r w:rsidRPr="00BB517D">
        <w:rPr>
          <w:rFonts w:ascii="Times New Roman" w:hAnsi="Times New Roman" w:cs="Times New Roman"/>
          <w:i/>
          <w:color w:val="222222"/>
          <w:sz w:val="24"/>
          <w:szCs w:val="24"/>
          <w:shd w:val="clear" w:color="auto" w:fill="FFFFFF"/>
          <w:lang w:val="en-US"/>
        </w:rPr>
        <w:t>Strategic Organization</w:t>
      </w:r>
      <w:r w:rsidRPr="002B3E1D">
        <w:rPr>
          <w:rFonts w:ascii="Times New Roman" w:hAnsi="Times New Roman" w:cs="Times New Roman"/>
          <w:color w:val="222222"/>
          <w:sz w:val="24"/>
          <w:szCs w:val="24"/>
          <w:shd w:val="clear" w:color="auto" w:fill="FFFFFF"/>
          <w:lang w:val="en-US"/>
        </w:rPr>
        <w:t>, 8, 283–312.</w:t>
      </w:r>
    </w:p>
    <w:p w14:paraId="11CA9999" w14:textId="77777777" w:rsidR="008F5536" w:rsidRPr="002B3E1D" w:rsidRDefault="008F5536" w:rsidP="008F5536">
      <w:pPr>
        <w:spacing w:after="0" w:line="240" w:lineRule="auto"/>
        <w:ind w:left="284" w:hanging="284"/>
        <w:jc w:val="both"/>
        <w:rPr>
          <w:rFonts w:ascii="Times New Roman" w:hAnsi="Times New Roman" w:cs="Times New Roman"/>
          <w:color w:val="222222"/>
          <w:sz w:val="24"/>
          <w:szCs w:val="24"/>
          <w:shd w:val="clear" w:color="auto" w:fill="FFFFFF"/>
          <w:lang w:val="en-US"/>
        </w:rPr>
      </w:pPr>
      <w:r w:rsidRPr="002B3E1D">
        <w:rPr>
          <w:rFonts w:ascii="Times New Roman" w:hAnsi="Times New Roman" w:cs="Times New Roman"/>
          <w:color w:val="222222"/>
          <w:sz w:val="24"/>
          <w:szCs w:val="24"/>
          <w:shd w:val="clear" w:color="auto" w:fill="FFFFFF"/>
          <w:lang w:val="en-US"/>
        </w:rPr>
        <w:t xml:space="preserve">Kelley, D. J., Peters, L., and O'Connor, G. C. (2009). Intra-organizational networking for innovation-based corporate entrepreneurship. </w:t>
      </w:r>
      <w:r w:rsidRPr="002B3E1D">
        <w:rPr>
          <w:rFonts w:ascii="Times New Roman" w:hAnsi="Times New Roman" w:cs="Times New Roman"/>
          <w:i/>
          <w:color w:val="222222"/>
          <w:sz w:val="24"/>
          <w:szCs w:val="24"/>
          <w:shd w:val="clear" w:color="auto" w:fill="FFFFFF"/>
          <w:lang w:val="en-US"/>
        </w:rPr>
        <w:t>Journal of Business Venturing</w:t>
      </w:r>
      <w:r w:rsidRPr="002B3E1D">
        <w:rPr>
          <w:rFonts w:ascii="Times New Roman" w:hAnsi="Times New Roman" w:cs="Times New Roman"/>
          <w:color w:val="222222"/>
          <w:sz w:val="24"/>
          <w:szCs w:val="24"/>
          <w:shd w:val="clear" w:color="auto" w:fill="FFFFFF"/>
          <w:lang w:val="en-US"/>
        </w:rPr>
        <w:t>, 24(3</w:t>
      </w:r>
      <w:r w:rsidR="00562D43" w:rsidRPr="002B3E1D">
        <w:rPr>
          <w:rFonts w:ascii="Times New Roman" w:hAnsi="Times New Roman" w:cs="Times New Roman"/>
          <w:color w:val="222222"/>
          <w:sz w:val="24"/>
          <w:szCs w:val="24"/>
          <w:shd w:val="clear" w:color="auto" w:fill="FFFFFF"/>
          <w:lang w:val="en-US"/>
        </w:rPr>
        <w:t>):</w:t>
      </w:r>
      <w:r w:rsidRPr="002B3E1D">
        <w:rPr>
          <w:rFonts w:ascii="Times New Roman" w:hAnsi="Times New Roman" w:cs="Times New Roman"/>
          <w:color w:val="222222"/>
          <w:sz w:val="24"/>
          <w:szCs w:val="24"/>
          <w:shd w:val="clear" w:color="auto" w:fill="FFFFFF"/>
          <w:lang w:val="en-US"/>
        </w:rPr>
        <w:t xml:space="preserve"> 221-235.</w:t>
      </w:r>
    </w:p>
    <w:p w14:paraId="24734858" w14:textId="77777777" w:rsidR="008F5536" w:rsidRPr="002B3E1D" w:rsidRDefault="008F5536" w:rsidP="008F5536">
      <w:pPr>
        <w:pStyle w:val="NormalWeb"/>
        <w:spacing w:before="0" w:beforeAutospacing="0"/>
        <w:ind w:left="284" w:right="0" w:hanging="284"/>
        <w:jc w:val="both"/>
        <w:rPr>
          <w:lang w:val="en-US"/>
        </w:rPr>
      </w:pPr>
      <w:r w:rsidRPr="002B3E1D">
        <w:rPr>
          <w:lang w:val="en-US"/>
        </w:rPr>
        <w:t xml:space="preserve">Kiessling, T., Harvey, M., and Moeller, M. (2012). Supply-Chain Corporate Venturing through Acquisition: Key Management Team Retention. </w:t>
      </w:r>
      <w:r w:rsidRPr="002B3E1D">
        <w:rPr>
          <w:i/>
          <w:iCs/>
          <w:lang w:val="en-US"/>
        </w:rPr>
        <w:t>Journal of World Business</w:t>
      </w:r>
      <w:r w:rsidRPr="002B3E1D">
        <w:rPr>
          <w:iCs/>
          <w:lang w:val="en-US"/>
        </w:rPr>
        <w:t>, 47(1)</w:t>
      </w:r>
      <w:r w:rsidRPr="002B3E1D">
        <w:rPr>
          <w:lang w:val="en-US"/>
        </w:rPr>
        <w:t>: 81-92.</w:t>
      </w:r>
    </w:p>
    <w:p w14:paraId="75AB0F90" w14:textId="77777777" w:rsidR="008F5536" w:rsidRPr="002B3E1D" w:rsidRDefault="008F5536" w:rsidP="008F5536">
      <w:pPr>
        <w:pStyle w:val="NormalWeb"/>
        <w:spacing w:before="0" w:beforeAutospacing="0"/>
        <w:ind w:left="284" w:right="0" w:hanging="284"/>
        <w:jc w:val="both"/>
        <w:rPr>
          <w:lang w:val="en-US"/>
        </w:rPr>
      </w:pPr>
      <w:r w:rsidRPr="002B3E1D">
        <w:rPr>
          <w:lang w:val="en-US"/>
        </w:rPr>
        <w:t xml:space="preserve">Kouropalatis, Y., Hughes, P., and Morgan, R.E. (2012). Pursuing “flexible commitment” as strategic ambidexterity: An empirical justification in high technology firms. </w:t>
      </w:r>
      <w:r w:rsidRPr="002B3E1D">
        <w:rPr>
          <w:i/>
          <w:lang w:val="en-US"/>
        </w:rPr>
        <w:t>European Journal of Marketing</w:t>
      </w:r>
      <w:r w:rsidRPr="002B3E1D">
        <w:rPr>
          <w:lang w:val="en-US"/>
        </w:rPr>
        <w:t>, 46(10): 1389-1417.</w:t>
      </w:r>
    </w:p>
    <w:p w14:paraId="3E80FEF9" w14:textId="77777777" w:rsidR="008F5536" w:rsidRPr="002B3E1D" w:rsidRDefault="008F5536" w:rsidP="008F5536">
      <w:pPr>
        <w:shd w:val="clear" w:color="auto" w:fill="FFFFFF"/>
        <w:spacing w:after="0" w:line="240" w:lineRule="auto"/>
        <w:ind w:left="284" w:hanging="284"/>
        <w:contextualSpacing/>
        <w:jc w:val="both"/>
        <w:textAlignment w:val="baseline"/>
        <w:rPr>
          <w:rFonts w:ascii="Times New Roman" w:eastAsia="Times New Roman" w:hAnsi="Times New Roman" w:cs="Times New Roman"/>
          <w:color w:val="222222"/>
          <w:sz w:val="24"/>
          <w:szCs w:val="24"/>
          <w:lang w:val="en-US" w:eastAsia="en-GB"/>
        </w:rPr>
      </w:pPr>
      <w:r w:rsidRPr="002B3E1D">
        <w:rPr>
          <w:rFonts w:ascii="Times New Roman" w:eastAsia="Times New Roman" w:hAnsi="Times New Roman" w:cs="Times New Roman"/>
          <w:color w:val="222222"/>
          <w:sz w:val="24"/>
          <w:szCs w:val="24"/>
          <w:lang w:val="en-US" w:eastAsia="en-GB"/>
        </w:rPr>
        <w:lastRenderedPageBreak/>
        <w:t xml:space="preserve">Koryak, O., Lockett, A., Hayton, J., Nicolaou, N., and Mole, K. (2018). Disentangling the antecedents of ambidexterity: Exploration and exploitation. </w:t>
      </w:r>
      <w:r w:rsidRPr="002B3E1D">
        <w:rPr>
          <w:rFonts w:ascii="Times New Roman" w:eastAsia="Times New Roman" w:hAnsi="Times New Roman" w:cs="Times New Roman"/>
          <w:i/>
          <w:color w:val="222222"/>
          <w:sz w:val="24"/>
          <w:szCs w:val="24"/>
          <w:lang w:val="en-US" w:eastAsia="en-GB"/>
        </w:rPr>
        <w:t>Research Policy</w:t>
      </w:r>
      <w:r w:rsidRPr="002B3E1D">
        <w:rPr>
          <w:rFonts w:ascii="Times New Roman" w:eastAsia="Times New Roman" w:hAnsi="Times New Roman" w:cs="Times New Roman"/>
          <w:color w:val="222222"/>
          <w:sz w:val="24"/>
          <w:szCs w:val="24"/>
          <w:lang w:val="en-US" w:eastAsia="en-GB"/>
        </w:rPr>
        <w:t>, 47(2</w:t>
      </w:r>
      <w:r w:rsidR="00562D43" w:rsidRPr="002B3E1D">
        <w:rPr>
          <w:rFonts w:ascii="Times New Roman" w:eastAsia="Times New Roman" w:hAnsi="Times New Roman" w:cs="Times New Roman"/>
          <w:color w:val="222222"/>
          <w:sz w:val="24"/>
          <w:szCs w:val="24"/>
          <w:lang w:val="en-US" w:eastAsia="en-GB"/>
        </w:rPr>
        <w:t>):</w:t>
      </w:r>
      <w:r w:rsidRPr="002B3E1D">
        <w:rPr>
          <w:rFonts w:ascii="Times New Roman" w:eastAsia="Times New Roman" w:hAnsi="Times New Roman" w:cs="Times New Roman"/>
          <w:color w:val="222222"/>
          <w:sz w:val="24"/>
          <w:szCs w:val="24"/>
          <w:lang w:val="en-US" w:eastAsia="en-GB"/>
        </w:rPr>
        <w:t xml:space="preserve"> 413-427.</w:t>
      </w:r>
    </w:p>
    <w:p w14:paraId="75C27371" w14:textId="77777777" w:rsidR="008F5536" w:rsidRPr="002B3E1D" w:rsidRDefault="008F5536" w:rsidP="008F5536">
      <w:pPr>
        <w:spacing w:after="0" w:line="240" w:lineRule="auto"/>
        <w:ind w:left="284" w:hanging="284"/>
        <w:jc w:val="both"/>
        <w:rPr>
          <w:rFonts w:ascii="Times New Roman" w:eastAsia="Times New Roman" w:hAnsi="Times New Roman" w:cs="Times New Roman"/>
          <w:sz w:val="24"/>
          <w:szCs w:val="24"/>
          <w:shd w:val="clear" w:color="auto" w:fill="FFFFFF"/>
          <w:lang w:val="en-US"/>
        </w:rPr>
      </w:pPr>
      <w:r w:rsidRPr="002B3E1D">
        <w:rPr>
          <w:rFonts w:ascii="Times New Roman" w:eastAsia="Times New Roman" w:hAnsi="Times New Roman" w:cs="Times New Roman"/>
          <w:color w:val="222222"/>
          <w:sz w:val="24"/>
          <w:szCs w:val="24"/>
          <w:shd w:val="clear" w:color="auto" w:fill="FFFFFF"/>
          <w:lang w:val="en-US"/>
        </w:rPr>
        <w:t>Kuratko</w:t>
      </w:r>
      <w:r w:rsidRPr="002B3E1D">
        <w:rPr>
          <w:rFonts w:ascii="Times New Roman" w:eastAsia="Times New Roman" w:hAnsi="Times New Roman" w:cs="Times New Roman"/>
          <w:sz w:val="24"/>
          <w:szCs w:val="24"/>
          <w:shd w:val="clear" w:color="auto" w:fill="FFFFFF"/>
          <w:lang w:val="en-US"/>
        </w:rPr>
        <w:t>, D.F., Hornsby, J.S. and Hayton, J., (2015). Corporate entrepreneurship: the innovative challenge for a new global economic reality. </w:t>
      </w:r>
      <w:r w:rsidRPr="002B3E1D">
        <w:rPr>
          <w:rFonts w:ascii="Times New Roman" w:eastAsia="Times New Roman" w:hAnsi="Times New Roman" w:cs="Times New Roman"/>
          <w:i/>
          <w:iCs/>
          <w:sz w:val="24"/>
          <w:szCs w:val="24"/>
          <w:lang w:val="en-US"/>
        </w:rPr>
        <w:t>Small Business Economics</w:t>
      </w:r>
      <w:r w:rsidRPr="002B3E1D">
        <w:rPr>
          <w:rFonts w:ascii="Times New Roman" w:eastAsia="Times New Roman" w:hAnsi="Times New Roman" w:cs="Times New Roman"/>
          <w:sz w:val="24"/>
          <w:szCs w:val="24"/>
          <w:shd w:val="clear" w:color="auto" w:fill="FFFFFF"/>
          <w:lang w:val="en-US"/>
        </w:rPr>
        <w:t>, </w:t>
      </w:r>
      <w:r w:rsidRPr="002B3E1D">
        <w:rPr>
          <w:rFonts w:ascii="Times New Roman" w:eastAsia="Times New Roman" w:hAnsi="Times New Roman" w:cs="Times New Roman"/>
          <w:iCs/>
          <w:sz w:val="24"/>
          <w:szCs w:val="24"/>
          <w:lang w:val="en-US"/>
        </w:rPr>
        <w:t>45</w:t>
      </w:r>
      <w:r w:rsidRPr="002B3E1D">
        <w:rPr>
          <w:rFonts w:ascii="Times New Roman" w:eastAsia="Times New Roman" w:hAnsi="Times New Roman" w:cs="Times New Roman"/>
          <w:sz w:val="24"/>
          <w:szCs w:val="24"/>
          <w:shd w:val="clear" w:color="auto" w:fill="FFFFFF"/>
          <w:lang w:val="en-US"/>
        </w:rPr>
        <w:t>(2</w:t>
      </w:r>
      <w:r w:rsidR="00562D43" w:rsidRPr="002B3E1D">
        <w:rPr>
          <w:rFonts w:ascii="Times New Roman" w:eastAsia="Times New Roman" w:hAnsi="Times New Roman" w:cs="Times New Roman"/>
          <w:sz w:val="24"/>
          <w:szCs w:val="24"/>
          <w:shd w:val="clear" w:color="auto" w:fill="FFFFFF"/>
          <w:lang w:val="en-US"/>
        </w:rPr>
        <w:t>):</w:t>
      </w:r>
      <w:r w:rsidRPr="002B3E1D">
        <w:rPr>
          <w:rFonts w:ascii="Times New Roman" w:eastAsia="Times New Roman" w:hAnsi="Times New Roman" w:cs="Times New Roman"/>
          <w:sz w:val="24"/>
          <w:szCs w:val="24"/>
          <w:shd w:val="clear" w:color="auto" w:fill="FFFFFF"/>
          <w:lang w:val="en-US"/>
        </w:rPr>
        <w:t xml:space="preserve"> 245-253.</w:t>
      </w:r>
    </w:p>
    <w:p w14:paraId="34A833F4" w14:textId="77777777" w:rsidR="008F5536" w:rsidRPr="002B3E1D" w:rsidRDefault="008F5536" w:rsidP="008F5536">
      <w:pPr>
        <w:spacing w:after="0" w:line="240" w:lineRule="auto"/>
        <w:ind w:left="284" w:hanging="284"/>
        <w:jc w:val="both"/>
        <w:rPr>
          <w:rFonts w:ascii="Times New Roman" w:hAnsi="Times New Roman" w:cs="Times New Roman"/>
          <w:sz w:val="24"/>
          <w:szCs w:val="24"/>
          <w:shd w:val="clear" w:color="auto" w:fill="FFFFFF"/>
          <w:lang w:val="en-US"/>
        </w:rPr>
      </w:pPr>
      <w:r w:rsidRPr="002B3E1D">
        <w:rPr>
          <w:rFonts w:ascii="Times New Roman" w:hAnsi="Times New Roman" w:cs="Times New Roman"/>
          <w:sz w:val="24"/>
          <w:szCs w:val="24"/>
          <w:shd w:val="clear" w:color="auto" w:fill="FFFFFF"/>
          <w:lang w:val="en-US"/>
        </w:rPr>
        <w:t xml:space="preserve">Lavie, D., Stettner, U., and Tushman, M. L. (2010). Exploration and exploitation within and across organizations. </w:t>
      </w:r>
      <w:r w:rsidRPr="00BB517D">
        <w:rPr>
          <w:rFonts w:ascii="Times New Roman" w:hAnsi="Times New Roman" w:cs="Times New Roman"/>
          <w:i/>
          <w:sz w:val="24"/>
          <w:szCs w:val="24"/>
          <w:shd w:val="clear" w:color="auto" w:fill="FFFFFF"/>
          <w:lang w:val="en-US"/>
        </w:rPr>
        <w:t>Academy of Management Annals</w:t>
      </w:r>
      <w:r w:rsidRPr="002B3E1D">
        <w:rPr>
          <w:rFonts w:ascii="Times New Roman" w:hAnsi="Times New Roman" w:cs="Times New Roman"/>
          <w:sz w:val="24"/>
          <w:szCs w:val="24"/>
          <w:shd w:val="clear" w:color="auto" w:fill="FFFFFF"/>
          <w:lang w:val="en-US"/>
        </w:rPr>
        <w:t>, 4(1</w:t>
      </w:r>
      <w:r w:rsidR="00562D43" w:rsidRPr="002B3E1D">
        <w:rPr>
          <w:rFonts w:ascii="Times New Roman" w:hAnsi="Times New Roman" w:cs="Times New Roman"/>
          <w:sz w:val="24"/>
          <w:szCs w:val="24"/>
          <w:shd w:val="clear" w:color="auto" w:fill="FFFFFF"/>
          <w:lang w:val="en-US"/>
        </w:rPr>
        <w:t>):</w:t>
      </w:r>
      <w:r w:rsidRPr="002B3E1D">
        <w:rPr>
          <w:rFonts w:ascii="Times New Roman" w:hAnsi="Times New Roman" w:cs="Times New Roman"/>
          <w:sz w:val="24"/>
          <w:szCs w:val="24"/>
          <w:shd w:val="clear" w:color="auto" w:fill="FFFFFF"/>
          <w:lang w:val="en-US"/>
        </w:rPr>
        <w:t xml:space="preserve"> 109–155.</w:t>
      </w:r>
    </w:p>
    <w:p w14:paraId="2D44B570" w14:textId="77777777" w:rsidR="008F5536" w:rsidRPr="002B3E1D" w:rsidRDefault="008F5536" w:rsidP="008F5536">
      <w:pPr>
        <w:spacing w:after="0" w:line="240" w:lineRule="auto"/>
        <w:ind w:left="284" w:hanging="284"/>
        <w:jc w:val="both"/>
        <w:rPr>
          <w:rFonts w:ascii="Times New Roman" w:hAnsi="Times New Roman" w:cs="Times New Roman"/>
          <w:color w:val="222222"/>
          <w:sz w:val="24"/>
          <w:szCs w:val="24"/>
          <w:shd w:val="clear" w:color="auto" w:fill="FFFFFF"/>
          <w:lang w:val="en-US"/>
        </w:rPr>
      </w:pPr>
      <w:r w:rsidRPr="002B3E1D">
        <w:rPr>
          <w:rFonts w:ascii="Times New Roman" w:hAnsi="Times New Roman" w:cs="Times New Roman"/>
          <w:sz w:val="24"/>
          <w:szCs w:val="24"/>
          <w:lang w:val="en-US"/>
        </w:rPr>
        <w:t>Larsson, R., and Finkelstein, S. (1999). Integrating Strategic, Organizational, and Human Resource Perspectives on Mergers and Acquisitions: A Case Survey of Synergy Realization</w:t>
      </w:r>
      <w:r w:rsidRPr="002B3E1D">
        <w:rPr>
          <w:rFonts w:ascii="Times New Roman" w:eastAsiaTheme="minorEastAsia" w:hAnsi="Times New Roman" w:cs="Times New Roman"/>
          <w:sz w:val="24"/>
          <w:szCs w:val="24"/>
          <w:lang w:val="en-US"/>
        </w:rPr>
        <w:t>.</w:t>
      </w:r>
      <w:r w:rsidRPr="002B3E1D">
        <w:rPr>
          <w:rFonts w:ascii="Times New Roman" w:hAnsi="Times New Roman" w:cs="Times New Roman"/>
          <w:sz w:val="24"/>
          <w:szCs w:val="24"/>
          <w:lang w:val="en-US"/>
        </w:rPr>
        <w:t> </w:t>
      </w:r>
      <w:r w:rsidRPr="002B3E1D">
        <w:rPr>
          <w:rFonts w:ascii="Times New Roman" w:hAnsi="Times New Roman" w:cs="Times New Roman"/>
          <w:i/>
          <w:iCs/>
          <w:sz w:val="24"/>
          <w:szCs w:val="24"/>
          <w:lang w:val="en-US"/>
        </w:rPr>
        <w:t>Organization Science</w:t>
      </w:r>
      <w:r w:rsidRPr="002B3E1D">
        <w:rPr>
          <w:rFonts w:ascii="Times New Roman" w:hAnsi="Times New Roman" w:cs="Times New Roman"/>
          <w:iCs/>
          <w:sz w:val="24"/>
          <w:szCs w:val="24"/>
          <w:lang w:val="en-US"/>
        </w:rPr>
        <w:t>, 10(1)</w:t>
      </w:r>
      <w:r w:rsidRPr="002B3E1D">
        <w:rPr>
          <w:rFonts w:ascii="Times New Roman" w:hAnsi="Times New Roman" w:cs="Times New Roman"/>
          <w:sz w:val="24"/>
          <w:szCs w:val="24"/>
          <w:lang w:val="en-US"/>
        </w:rPr>
        <w:t>: 1-26.</w:t>
      </w:r>
    </w:p>
    <w:p w14:paraId="3FF14628" w14:textId="77777777" w:rsidR="008F5536" w:rsidRPr="002B3E1D" w:rsidRDefault="007C156D" w:rsidP="008F5536">
      <w:pPr>
        <w:spacing w:after="0" w:line="240" w:lineRule="auto"/>
        <w:ind w:left="284" w:hanging="284"/>
        <w:jc w:val="both"/>
        <w:rPr>
          <w:rFonts w:ascii="Times New Roman" w:hAnsi="Times New Roman" w:cs="Times New Roman"/>
          <w:sz w:val="24"/>
          <w:szCs w:val="24"/>
          <w:shd w:val="clear" w:color="auto" w:fill="FFFFFF"/>
          <w:lang w:val="en-US"/>
        </w:rPr>
      </w:pPr>
      <w:r w:rsidRPr="002B3E1D">
        <w:rPr>
          <w:rFonts w:ascii="Times New Roman" w:hAnsi="Times New Roman" w:cs="Times New Roman"/>
          <w:sz w:val="24"/>
          <w:szCs w:val="24"/>
          <w:shd w:val="clear" w:color="auto" w:fill="FFFFFF"/>
          <w:lang w:val="en-US"/>
        </w:rPr>
        <w:t>Lindell, M.K. and Whitney, D.</w:t>
      </w:r>
      <w:r w:rsidR="008F5536" w:rsidRPr="002B3E1D">
        <w:rPr>
          <w:rFonts w:ascii="Times New Roman" w:hAnsi="Times New Roman" w:cs="Times New Roman"/>
          <w:sz w:val="24"/>
          <w:szCs w:val="24"/>
          <w:shd w:val="clear" w:color="auto" w:fill="FFFFFF"/>
          <w:lang w:val="en-US"/>
        </w:rPr>
        <w:t xml:space="preserve">J. (2001). Accounting for common method variance in cross-sectional research designs. </w:t>
      </w:r>
      <w:r w:rsidR="008F5536" w:rsidRPr="002B3E1D">
        <w:rPr>
          <w:rFonts w:ascii="Times New Roman" w:hAnsi="Times New Roman" w:cs="Times New Roman"/>
          <w:i/>
          <w:sz w:val="24"/>
          <w:szCs w:val="24"/>
          <w:shd w:val="clear" w:color="auto" w:fill="FFFFFF"/>
          <w:lang w:val="en-US"/>
        </w:rPr>
        <w:t>Journal of Applied Psychology</w:t>
      </w:r>
      <w:r w:rsidR="008F5536" w:rsidRPr="002B3E1D">
        <w:rPr>
          <w:rFonts w:ascii="Times New Roman" w:hAnsi="Times New Roman" w:cs="Times New Roman"/>
          <w:sz w:val="24"/>
          <w:szCs w:val="24"/>
          <w:shd w:val="clear" w:color="auto" w:fill="FFFFFF"/>
          <w:lang w:val="en-US"/>
        </w:rPr>
        <w:t>, 86(1</w:t>
      </w:r>
      <w:r w:rsidR="00562D43" w:rsidRPr="002B3E1D">
        <w:rPr>
          <w:rFonts w:ascii="Times New Roman" w:hAnsi="Times New Roman" w:cs="Times New Roman"/>
          <w:sz w:val="24"/>
          <w:szCs w:val="24"/>
          <w:shd w:val="clear" w:color="auto" w:fill="FFFFFF"/>
          <w:lang w:val="en-US"/>
        </w:rPr>
        <w:t>):</w:t>
      </w:r>
      <w:r w:rsidR="008F5536" w:rsidRPr="002B3E1D">
        <w:rPr>
          <w:rFonts w:ascii="Times New Roman" w:hAnsi="Times New Roman" w:cs="Times New Roman"/>
          <w:sz w:val="24"/>
          <w:szCs w:val="24"/>
          <w:shd w:val="clear" w:color="auto" w:fill="FFFFFF"/>
          <w:lang w:val="en-US"/>
        </w:rPr>
        <w:t xml:space="preserve"> 114-121.</w:t>
      </w:r>
    </w:p>
    <w:p w14:paraId="261D366A" w14:textId="77777777" w:rsidR="008F5536" w:rsidRPr="002B3E1D" w:rsidRDefault="007C156D" w:rsidP="008F5536">
      <w:pPr>
        <w:spacing w:after="0" w:line="240" w:lineRule="auto"/>
        <w:ind w:left="284" w:hanging="284"/>
        <w:jc w:val="both"/>
        <w:rPr>
          <w:rFonts w:ascii="Times New Roman" w:hAnsi="Times New Roman" w:cs="Times New Roman"/>
          <w:sz w:val="24"/>
          <w:szCs w:val="24"/>
          <w:shd w:val="clear" w:color="auto" w:fill="FFFFFF"/>
          <w:lang w:val="en-US"/>
        </w:rPr>
      </w:pPr>
      <w:r w:rsidRPr="002B3E1D">
        <w:rPr>
          <w:rFonts w:ascii="Times New Roman" w:hAnsi="Times New Roman" w:cs="Times New Roman"/>
          <w:sz w:val="24"/>
          <w:szCs w:val="24"/>
          <w:shd w:val="clear" w:color="auto" w:fill="FFFFFF"/>
          <w:lang w:val="en-US"/>
        </w:rPr>
        <w:t>Liu, X., Hodgkinson, I.</w:t>
      </w:r>
      <w:r w:rsidR="008F5536" w:rsidRPr="002B3E1D">
        <w:rPr>
          <w:rFonts w:ascii="Times New Roman" w:hAnsi="Times New Roman" w:cs="Times New Roman"/>
          <w:sz w:val="24"/>
          <w:szCs w:val="24"/>
          <w:shd w:val="clear" w:color="auto" w:fill="FFFFFF"/>
          <w:lang w:val="en-US"/>
        </w:rPr>
        <w:t>R., and</w:t>
      </w:r>
      <w:r w:rsidRPr="002B3E1D">
        <w:rPr>
          <w:rFonts w:ascii="Times New Roman" w:hAnsi="Times New Roman" w:cs="Times New Roman"/>
          <w:sz w:val="24"/>
          <w:szCs w:val="24"/>
          <w:shd w:val="clear" w:color="auto" w:fill="FFFFFF"/>
          <w:lang w:val="en-US"/>
        </w:rPr>
        <w:t xml:space="preserve"> Chuang, F.</w:t>
      </w:r>
      <w:r w:rsidR="008F5536" w:rsidRPr="002B3E1D">
        <w:rPr>
          <w:rFonts w:ascii="Times New Roman" w:hAnsi="Times New Roman" w:cs="Times New Roman"/>
          <w:sz w:val="24"/>
          <w:szCs w:val="24"/>
          <w:shd w:val="clear" w:color="auto" w:fill="FFFFFF"/>
          <w:lang w:val="en-US"/>
        </w:rPr>
        <w:t xml:space="preserve">M. (2014). Foreign competition, domestic knowledge base and innovation activities: Evidence from Chinese high-tech industries. </w:t>
      </w:r>
      <w:r w:rsidR="008F5536" w:rsidRPr="002B3E1D">
        <w:rPr>
          <w:rFonts w:ascii="Times New Roman" w:hAnsi="Times New Roman" w:cs="Times New Roman"/>
          <w:i/>
          <w:sz w:val="24"/>
          <w:szCs w:val="24"/>
          <w:shd w:val="clear" w:color="auto" w:fill="FFFFFF"/>
          <w:lang w:val="en-US"/>
        </w:rPr>
        <w:t>Research Policy</w:t>
      </w:r>
      <w:r w:rsidR="008F5536" w:rsidRPr="002B3E1D">
        <w:rPr>
          <w:rFonts w:ascii="Times New Roman" w:hAnsi="Times New Roman" w:cs="Times New Roman"/>
          <w:sz w:val="24"/>
          <w:szCs w:val="24"/>
          <w:shd w:val="clear" w:color="auto" w:fill="FFFFFF"/>
          <w:lang w:val="en-US"/>
        </w:rPr>
        <w:t>, 43(2): 414-422.</w:t>
      </w:r>
    </w:p>
    <w:p w14:paraId="49BD37BB" w14:textId="77777777" w:rsidR="008F5536" w:rsidRPr="002B3E1D" w:rsidRDefault="008F5536" w:rsidP="008F5536">
      <w:pPr>
        <w:spacing w:after="0" w:line="240" w:lineRule="auto"/>
        <w:ind w:left="284" w:hanging="284"/>
        <w:jc w:val="both"/>
        <w:rPr>
          <w:rFonts w:ascii="Times New Roman" w:hAnsi="Times New Roman" w:cs="Times New Roman"/>
          <w:sz w:val="24"/>
          <w:szCs w:val="24"/>
          <w:shd w:val="clear" w:color="auto" w:fill="FFFFFF"/>
          <w:lang w:val="en-US"/>
        </w:rPr>
      </w:pPr>
      <w:r w:rsidRPr="002B3E1D">
        <w:rPr>
          <w:rFonts w:ascii="Times New Roman" w:hAnsi="Times New Roman" w:cs="Times New Roman"/>
          <w:sz w:val="24"/>
          <w:szCs w:val="24"/>
          <w:shd w:val="clear" w:color="auto" w:fill="FFFFFF"/>
          <w:lang w:val="en-US"/>
        </w:rPr>
        <w:t xml:space="preserve">Lubatkin, M.H., Simsek, Z., Ling, Y., and Veiga, J.F. (2006). Ambidexterity and performance in small-to medium-sized firms: The pivotal role of top management team behavioral integration. </w:t>
      </w:r>
      <w:r w:rsidRPr="002B3E1D">
        <w:rPr>
          <w:rFonts w:ascii="Times New Roman" w:hAnsi="Times New Roman" w:cs="Times New Roman"/>
          <w:i/>
          <w:sz w:val="24"/>
          <w:szCs w:val="24"/>
          <w:shd w:val="clear" w:color="auto" w:fill="FFFFFF"/>
          <w:lang w:val="en-US"/>
        </w:rPr>
        <w:t>Journal of Management</w:t>
      </w:r>
      <w:r w:rsidRPr="002B3E1D">
        <w:rPr>
          <w:rFonts w:ascii="Times New Roman" w:hAnsi="Times New Roman" w:cs="Times New Roman"/>
          <w:sz w:val="24"/>
          <w:szCs w:val="24"/>
          <w:shd w:val="clear" w:color="auto" w:fill="FFFFFF"/>
          <w:lang w:val="en-US"/>
        </w:rPr>
        <w:t>, 32(5</w:t>
      </w:r>
      <w:r w:rsidR="00562D43" w:rsidRPr="002B3E1D">
        <w:rPr>
          <w:rFonts w:ascii="Times New Roman" w:hAnsi="Times New Roman" w:cs="Times New Roman"/>
          <w:sz w:val="24"/>
          <w:szCs w:val="24"/>
          <w:shd w:val="clear" w:color="auto" w:fill="FFFFFF"/>
          <w:lang w:val="en-US"/>
        </w:rPr>
        <w:t>):</w:t>
      </w:r>
      <w:r w:rsidRPr="002B3E1D">
        <w:rPr>
          <w:rFonts w:ascii="Times New Roman" w:hAnsi="Times New Roman" w:cs="Times New Roman"/>
          <w:sz w:val="24"/>
          <w:szCs w:val="24"/>
          <w:shd w:val="clear" w:color="auto" w:fill="FFFFFF"/>
          <w:lang w:val="en-US"/>
        </w:rPr>
        <w:t xml:space="preserve"> 646–672.</w:t>
      </w:r>
    </w:p>
    <w:p w14:paraId="7B0FD5C0" w14:textId="77777777" w:rsidR="008F5536" w:rsidRPr="002B3E1D" w:rsidRDefault="007C156D" w:rsidP="008F5536">
      <w:pPr>
        <w:spacing w:after="0" w:line="240" w:lineRule="auto"/>
        <w:ind w:left="284" w:hanging="284"/>
        <w:jc w:val="both"/>
        <w:rPr>
          <w:rFonts w:ascii="Times New Roman" w:hAnsi="Times New Roman" w:cs="Times New Roman"/>
          <w:sz w:val="24"/>
          <w:szCs w:val="24"/>
          <w:shd w:val="clear" w:color="auto" w:fill="FFFFFF"/>
          <w:lang w:val="en-US"/>
        </w:rPr>
      </w:pPr>
      <w:r w:rsidRPr="002B3E1D">
        <w:rPr>
          <w:rFonts w:ascii="Times New Roman" w:hAnsi="Times New Roman" w:cs="Times New Roman"/>
          <w:sz w:val="24"/>
          <w:szCs w:val="24"/>
          <w:shd w:val="clear" w:color="auto" w:fill="FFFFFF"/>
          <w:lang w:val="en-US"/>
        </w:rPr>
        <w:t>March, J.</w:t>
      </w:r>
      <w:r w:rsidR="008F5536" w:rsidRPr="002B3E1D">
        <w:rPr>
          <w:rFonts w:ascii="Times New Roman" w:hAnsi="Times New Roman" w:cs="Times New Roman"/>
          <w:sz w:val="24"/>
          <w:szCs w:val="24"/>
          <w:shd w:val="clear" w:color="auto" w:fill="FFFFFF"/>
          <w:lang w:val="en-US"/>
        </w:rPr>
        <w:t xml:space="preserve">G. (1991). Exploration and exploitation in organizational learning. </w:t>
      </w:r>
      <w:r w:rsidR="008F5536" w:rsidRPr="002B3E1D">
        <w:rPr>
          <w:rFonts w:ascii="Times New Roman" w:hAnsi="Times New Roman" w:cs="Times New Roman"/>
          <w:i/>
          <w:sz w:val="24"/>
          <w:szCs w:val="24"/>
          <w:shd w:val="clear" w:color="auto" w:fill="FFFFFF"/>
          <w:lang w:val="en-US"/>
        </w:rPr>
        <w:t>Organization Science</w:t>
      </w:r>
      <w:r w:rsidR="008F5536" w:rsidRPr="002B3E1D">
        <w:rPr>
          <w:rFonts w:ascii="Times New Roman" w:hAnsi="Times New Roman" w:cs="Times New Roman"/>
          <w:sz w:val="24"/>
          <w:szCs w:val="24"/>
          <w:shd w:val="clear" w:color="auto" w:fill="FFFFFF"/>
          <w:lang w:val="en-US"/>
        </w:rPr>
        <w:t>, 2(1): 71-87.</w:t>
      </w:r>
    </w:p>
    <w:p w14:paraId="6517C9BC" w14:textId="46292A52" w:rsidR="008F5536" w:rsidRPr="002B3E1D" w:rsidRDefault="007C156D" w:rsidP="008F5536">
      <w:pPr>
        <w:spacing w:after="0" w:line="240" w:lineRule="auto"/>
        <w:ind w:left="284" w:hanging="284"/>
        <w:jc w:val="both"/>
        <w:rPr>
          <w:rFonts w:ascii="Times New Roman" w:hAnsi="Times New Roman" w:cs="Times New Roman"/>
          <w:color w:val="222222"/>
          <w:sz w:val="24"/>
          <w:szCs w:val="24"/>
          <w:shd w:val="clear" w:color="auto" w:fill="FFFFFF"/>
          <w:lang w:val="en-US"/>
        </w:rPr>
      </w:pPr>
      <w:r w:rsidRPr="002B3E1D">
        <w:rPr>
          <w:rFonts w:ascii="Times New Roman" w:hAnsi="Times New Roman" w:cs="Times New Roman"/>
          <w:color w:val="222222"/>
          <w:sz w:val="24"/>
          <w:szCs w:val="24"/>
          <w:shd w:val="clear" w:color="auto" w:fill="FFFFFF"/>
          <w:lang w:val="en-US"/>
        </w:rPr>
        <w:t>McCarthy, I.P., and Gordon, B.</w:t>
      </w:r>
      <w:r w:rsidR="008F5536" w:rsidRPr="002B3E1D">
        <w:rPr>
          <w:rFonts w:ascii="Times New Roman" w:hAnsi="Times New Roman" w:cs="Times New Roman"/>
          <w:color w:val="222222"/>
          <w:sz w:val="24"/>
          <w:szCs w:val="24"/>
          <w:shd w:val="clear" w:color="auto" w:fill="FFFFFF"/>
          <w:lang w:val="en-US"/>
        </w:rPr>
        <w:t xml:space="preserve">R. (2011). Achieving contextual ambidexterity in R&amp;D organizations: </w:t>
      </w:r>
      <w:r w:rsidR="00316275">
        <w:rPr>
          <w:rFonts w:ascii="Times New Roman" w:hAnsi="Times New Roman" w:cs="Times New Roman"/>
          <w:color w:val="222222"/>
          <w:sz w:val="24"/>
          <w:szCs w:val="24"/>
          <w:shd w:val="clear" w:color="auto" w:fill="FFFFFF"/>
          <w:lang w:val="en-US"/>
        </w:rPr>
        <w:t>A</w:t>
      </w:r>
      <w:r w:rsidR="00316275" w:rsidRPr="002B3E1D">
        <w:rPr>
          <w:rFonts w:ascii="Times New Roman" w:hAnsi="Times New Roman" w:cs="Times New Roman"/>
          <w:color w:val="222222"/>
          <w:sz w:val="24"/>
          <w:szCs w:val="24"/>
          <w:shd w:val="clear" w:color="auto" w:fill="FFFFFF"/>
          <w:lang w:val="en-US"/>
        </w:rPr>
        <w:t xml:space="preserve"> </w:t>
      </w:r>
      <w:r w:rsidR="008F5536" w:rsidRPr="002B3E1D">
        <w:rPr>
          <w:rFonts w:ascii="Times New Roman" w:hAnsi="Times New Roman" w:cs="Times New Roman"/>
          <w:color w:val="222222"/>
          <w:sz w:val="24"/>
          <w:szCs w:val="24"/>
          <w:shd w:val="clear" w:color="auto" w:fill="FFFFFF"/>
          <w:lang w:val="en-US"/>
        </w:rPr>
        <w:t>management control system approach.</w:t>
      </w:r>
      <w:r w:rsidR="008F5536" w:rsidRPr="002B3E1D">
        <w:rPr>
          <w:rStyle w:val="apple-converted-space"/>
          <w:rFonts w:ascii="Times New Roman" w:hAnsi="Times New Roman" w:cs="Times New Roman"/>
          <w:color w:val="222222"/>
          <w:sz w:val="24"/>
          <w:szCs w:val="24"/>
          <w:shd w:val="clear" w:color="auto" w:fill="FFFFFF"/>
          <w:lang w:val="en-US"/>
        </w:rPr>
        <w:t> </w:t>
      </w:r>
      <w:r w:rsidR="008F5536" w:rsidRPr="002B3E1D">
        <w:rPr>
          <w:rFonts w:ascii="Times New Roman" w:hAnsi="Times New Roman" w:cs="Times New Roman"/>
          <w:i/>
          <w:iCs/>
          <w:color w:val="222222"/>
          <w:sz w:val="24"/>
          <w:szCs w:val="24"/>
          <w:shd w:val="clear" w:color="auto" w:fill="FFFFFF"/>
          <w:lang w:val="en-US"/>
        </w:rPr>
        <w:t>R&amp;D Management</w:t>
      </w:r>
      <w:r w:rsidR="008F5536" w:rsidRPr="002B3E1D">
        <w:rPr>
          <w:rFonts w:ascii="Times New Roman" w:hAnsi="Times New Roman" w:cs="Times New Roman"/>
          <w:color w:val="222222"/>
          <w:sz w:val="24"/>
          <w:szCs w:val="24"/>
          <w:shd w:val="clear" w:color="auto" w:fill="FFFFFF"/>
          <w:lang w:val="en-US"/>
        </w:rPr>
        <w:t>,</w:t>
      </w:r>
      <w:r w:rsidR="008F5536" w:rsidRPr="002B3E1D">
        <w:rPr>
          <w:rStyle w:val="apple-converted-space"/>
          <w:rFonts w:ascii="Times New Roman" w:hAnsi="Times New Roman" w:cs="Times New Roman"/>
          <w:color w:val="222222"/>
          <w:sz w:val="24"/>
          <w:szCs w:val="24"/>
          <w:shd w:val="clear" w:color="auto" w:fill="FFFFFF"/>
          <w:lang w:val="en-US"/>
        </w:rPr>
        <w:t> </w:t>
      </w:r>
      <w:r w:rsidR="008F5536" w:rsidRPr="002B3E1D">
        <w:rPr>
          <w:rFonts w:ascii="Times New Roman" w:hAnsi="Times New Roman" w:cs="Times New Roman"/>
          <w:iCs/>
          <w:color w:val="222222"/>
          <w:sz w:val="24"/>
          <w:szCs w:val="24"/>
          <w:shd w:val="clear" w:color="auto" w:fill="FFFFFF"/>
          <w:lang w:val="en-US"/>
        </w:rPr>
        <w:t>41</w:t>
      </w:r>
      <w:r w:rsidR="008F5536" w:rsidRPr="002B3E1D">
        <w:rPr>
          <w:rFonts w:ascii="Times New Roman" w:hAnsi="Times New Roman" w:cs="Times New Roman"/>
          <w:color w:val="222222"/>
          <w:sz w:val="24"/>
          <w:szCs w:val="24"/>
          <w:shd w:val="clear" w:color="auto" w:fill="FFFFFF"/>
          <w:lang w:val="en-US"/>
        </w:rPr>
        <w:t>(3</w:t>
      </w:r>
      <w:r w:rsidR="00562D43" w:rsidRPr="002B3E1D">
        <w:rPr>
          <w:rFonts w:ascii="Times New Roman" w:hAnsi="Times New Roman" w:cs="Times New Roman"/>
          <w:color w:val="222222"/>
          <w:sz w:val="24"/>
          <w:szCs w:val="24"/>
          <w:shd w:val="clear" w:color="auto" w:fill="FFFFFF"/>
          <w:lang w:val="en-US"/>
        </w:rPr>
        <w:t>):</w:t>
      </w:r>
      <w:r w:rsidR="008F5536" w:rsidRPr="002B3E1D">
        <w:rPr>
          <w:rFonts w:ascii="Times New Roman" w:hAnsi="Times New Roman" w:cs="Times New Roman"/>
          <w:color w:val="222222"/>
          <w:sz w:val="24"/>
          <w:szCs w:val="24"/>
          <w:shd w:val="clear" w:color="auto" w:fill="FFFFFF"/>
          <w:lang w:val="en-US"/>
        </w:rPr>
        <w:t xml:space="preserve"> 240-258.</w:t>
      </w:r>
    </w:p>
    <w:p w14:paraId="5CA313C0" w14:textId="77777777" w:rsidR="008F5536" w:rsidRPr="002B3E1D" w:rsidRDefault="008F5536" w:rsidP="008F5536">
      <w:pPr>
        <w:spacing w:after="0" w:line="240" w:lineRule="auto"/>
        <w:ind w:left="284" w:hanging="284"/>
        <w:jc w:val="both"/>
        <w:rPr>
          <w:rFonts w:ascii="Times New Roman" w:hAnsi="Times New Roman" w:cs="Times New Roman"/>
          <w:color w:val="222222"/>
          <w:sz w:val="24"/>
          <w:szCs w:val="24"/>
          <w:shd w:val="clear" w:color="auto" w:fill="FFFFFF"/>
          <w:lang w:val="en-US"/>
        </w:rPr>
      </w:pPr>
      <w:r w:rsidRPr="002B3E1D">
        <w:rPr>
          <w:rFonts w:ascii="Times New Roman" w:hAnsi="Times New Roman" w:cs="Times New Roman"/>
          <w:color w:val="222222"/>
          <w:sz w:val="24"/>
          <w:szCs w:val="24"/>
          <w:shd w:val="clear" w:color="auto" w:fill="FFFFFF"/>
          <w:lang w:val="en-US"/>
        </w:rPr>
        <w:t xml:space="preserve">Meglio, O., King, D.R., and Risberg, A. (2015). Improving acquisition outcomes with contextual ambidexterity. </w:t>
      </w:r>
      <w:r w:rsidRPr="002B3E1D">
        <w:rPr>
          <w:rFonts w:ascii="Times New Roman" w:hAnsi="Times New Roman" w:cs="Times New Roman"/>
          <w:i/>
          <w:color w:val="222222"/>
          <w:sz w:val="24"/>
          <w:szCs w:val="24"/>
          <w:shd w:val="clear" w:color="auto" w:fill="FFFFFF"/>
          <w:lang w:val="en-US"/>
        </w:rPr>
        <w:t>Human Resource Management</w:t>
      </w:r>
      <w:r w:rsidRPr="002B3E1D">
        <w:rPr>
          <w:rFonts w:ascii="Times New Roman" w:hAnsi="Times New Roman" w:cs="Times New Roman"/>
          <w:color w:val="222222"/>
          <w:sz w:val="24"/>
          <w:szCs w:val="24"/>
          <w:shd w:val="clear" w:color="auto" w:fill="FFFFFF"/>
          <w:lang w:val="en-US"/>
        </w:rPr>
        <w:t>, 54(S1</w:t>
      </w:r>
      <w:r w:rsidR="00562D43" w:rsidRPr="002B3E1D">
        <w:rPr>
          <w:rFonts w:ascii="Times New Roman" w:hAnsi="Times New Roman" w:cs="Times New Roman"/>
          <w:color w:val="222222"/>
          <w:sz w:val="24"/>
          <w:szCs w:val="24"/>
          <w:shd w:val="clear" w:color="auto" w:fill="FFFFFF"/>
          <w:lang w:val="en-US"/>
        </w:rPr>
        <w:t>):</w:t>
      </w:r>
      <w:r w:rsidRPr="002B3E1D">
        <w:rPr>
          <w:rFonts w:ascii="Times New Roman" w:hAnsi="Times New Roman" w:cs="Times New Roman"/>
          <w:color w:val="222222"/>
          <w:sz w:val="24"/>
          <w:szCs w:val="24"/>
          <w:shd w:val="clear" w:color="auto" w:fill="FFFFFF"/>
          <w:lang w:val="en-US"/>
        </w:rPr>
        <w:t xml:space="preserve"> s29-s43.</w:t>
      </w:r>
    </w:p>
    <w:p w14:paraId="7739A083" w14:textId="77777777" w:rsidR="008F5536" w:rsidRPr="002B3E1D" w:rsidRDefault="008F5536" w:rsidP="008F5536">
      <w:pPr>
        <w:spacing w:after="0" w:line="240" w:lineRule="auto"/>
        <w:ind w:left="284" w:hanging="284"/>
        <w:jc w:val="both"/>
        <w:rPr>
          <w:rFonts w:ascii="Times New Roman" w:hAnsi="Times New Roman" w:cs="Times New Roman"/>
          <w:color w:val="222222"/>
          <w:sz w:val="24"/>
          <w:szCs w:val="24"/>
          <w:shd w:val="clear" w:color="auto" w:fill="FFFFFF"/>
          <w:lang w:val="en-US"/>
        </w:rPr>
      </w:pPr>
      <w:r w:rsidRPr="002B3E1D">
        <w:rPr>
          <w:rFonts w:ascii="Times New Roman" w:hAnsi="Times New Roman" w:cs="Times New Roman"/>
          <w:color w:val="222222"/>
          <w:sz w:val="24"/>
          <w:szCs w:val="24"/>
          <w:shd w:val="clear" w:color="auto" w:fill="FFFFFF"/>
          <w:lang w:val="en-US"/>
        </w:rPr>
        <w:t>Miron-Spektor, E., In</w:t>
      </w:r>
      <w:r w:rsidR="007C156D" w:rsidRPr="002B3E1D">
        <w:rPr>
          <w:rFonts w:ascii="Times New Roman" w:hAnsi="Times New Roman" w:cs="Times New Roman"/>
          <w:color w:val="222222"/>
          <w:sz w:val="24"/>
          <w:szCs w:val="24"/>
          <w:shd w:val="clear" w:color="auto" w:fill="FFFFFF"/>
          <w:lang w:val="en-US"/>
        </w:rPr>
        <w:t>gram, A., Keller, J., Smith, W.K., and Lewis, M.</w:t>
      </w:r>
      <w:r w:rsidRPr="002B3E1D">
        <w:rPr>
          <w:rFonts w:ascii="Times New Roman" w:hAnsi="Times New Roman" w:cs="Times New Roman"/>
          <w:color w:val="222222"/>
          <w:sz w:val="24"/>
          <w:szCs w:val="24"/>
          <w:shd w:val="clear" w:color="auto" w:fill="FFFFFF"/>
          <w:lang w:val="en-US"/>
        </w:rPr>
        <w:t xml:space="preserve">W. (2018). Micro-foundations of organizational paradox: The problem is how we think about the problem. </w:t>
      </w:r>
      <w:r w:rsidRPr="002B3E1D">
        <w:rPr>
          <w:rFonts w:ascii="Times New Roman" w:hAnsi="Times New Roman" w:cs="Times New Roman"/>
          <w:i/>
          <w:color w:val="222222"/>
          <w:sz w:val="24"/>
          <w:szCs w:val="24"/>
          <w:shd w:val="clear" w:color="auto" w:fill="FFFFFF"/>
          <w:lang w:val="en-US"/>
        </w:rPr>
        <w:t>Academy of Management Journal</w:t>
      </w:r>
      <w:r w:rsidRPr="002B3E1D">
        <w:rPr>
          <w:rFonts w:ascii="Times New Roman" w:hAnsi="Times New Roman" w:cs="Times New Roman"/>
          <w:color w:val="222222"/>
          <w:sz w:val="24"/>
          <w:szCs w:val="24"/>
          <w:shd w:val="clear" w:color="auto" w:fill="FFFFFF"/>
          <w:lang w:val="en-US"/>
        </w:rPr>
        <w:t>, 61(1</w:t>
      </w:r>
      <w:r w:rsidR="00562D43" w:rsidRPr="002B3E1D">
        <w:rPr>
          <w:rFonts w:ascii="Times New Roman" w:hAnsi="Times New Roman" w:cs="Times New Roman"/>
          <w:color w:val="222222"/>
          <w:sz w:val="24"/>
          <w:szCs w:val="24"/>
          <w:shd w:val="clear" w:color="auto" w:fill="FFFFFF"/>
          <w:lang w:val="en-US"/>
        </w:rPr>
        <w:t>):</w:t>
      </w:r>
      <w:r w:rsidRPr="002B3E1D">
        <w:rPr>
          <w:rFonts w:ascii="Times New Roman" w:hAnsi="Times New Roman" w:cs="Times New Roman"/>
          <w:color w:val="222222"/>
          <w:sz w:val="24"/>
          <w:szCs w:val="24"/>
          <w:shd w:val="clear" w:color="auto" w:fill="FFFFFF"/>
          <w:lang w:val="en-US"/>
        </w:rPr>
        <w:t xml:space="preserve"> 26-45.</w:t>
      </w:r>
    </w:p>
    <w:p w14:paraId="78CFB3C7" w14:textId="77777777" w:rsidR="008F5536" w:rsidRPr="002B3E1D" w:rsidRDefault="008F5536" w:rsidP="008F5536">
      <w:pPr>
        <w:spacing w:after="0" w:line="240" w:lineRule="auto"/>
        <w:ind w:left="284" w:hanging="284"/>
        <w:jc w:val="both"/>
        <w:rPr>
          <w:rFonts w:ascii="Times New Roman" w:hAnsi="Times New Roman" w:cs="Times New Roman"/>
          <w:color w:val="222222"/>
          <w:sz w:val="24"/>
          <w:szCs w:val="24"/>
          <w:shd w:val="clear" w:color="auto" w:fill="FFFFFF"/>
          <w:lang w:val="en-US"/>
        </w:rPr>
      </w:pPr>
      <w:r w:rsidRPr="002B3E1D">
        <w:rPr>
          <w:rFonts w:ascii="Times New Roman" w:hAnsi="Times New Roman" w:cs="Times New Roman"/>
          <w:color w:val="222222"/>
          <w:sz w:val="24"/>
          <w:szCs w:val="24"/>
          <w:shd w:val="clear" w:color="auto" w:fill="FFFFFF"/>
          <w:lang w:val="en-US"/>
        </w:rPr>
        <w:t xml:space="preserve">Mom, T.J.M., Van Den Bosch, F.A.J., and Volberda, H.W. (2007). Investigating managers’ exploration and exploitation activities: The influence of top-down, bottom-up, and horizontal knowledge inflows.  </w:t>
      </w:r>
      <w:r w:rsidRPr="002B3E1D">
        <w:rPr>
          <w:rFonts w:ascii="Times New Roman" w:hAnsi="Times New Roman" w:cs="Times New Roman"/>
          <w:i/>
          <w:color w:val="222222"/>
          <w:sz w:val="24"/>
          <w:szCs w:val="24"/>
          <w:shd w:val="clear" w:color="auto" w:fill="FFFFFF"/>
          <w:lang w:val="en-US"/>
        </w:rPr>
        <w:t>Journal of Management Studies</w:t>
      </w:r>
      <w:r w:rsidRPr="002B3E1D">
        <w:rPr>
          <w:rFonts w:ascii="Times New Roman" w:hAnsi="Times New Roman" w:cs="Times New Roman"/>
          <w:color w:val="222222"/>
          <w:sz w:val="24"/>
          <w:szCs w:val="24"/>
          <w:shd w:val="clear" w:color="auto" w:fill="FFFFFF"/>
          <w:lang w:val="en-US"/>
        </w:rPr>
        <w:t>, 44(6</w:t>
      </w:r>
      <w:r w:rsidR="00562D43" w:rsidRPr="002B3E1D">
        <w:rPr>
          <w:rFonts w:ascii="Times New Roman" w:hAnsi="Times New Roman" w:cs="Times New Roman"/>
          <w:color w:val="222222"/>
          <w:sz w:val="24"/>
          <w:szCs w:val="24"/>
          <w:shd w:val="clear" w:color="auto" w:fill="FFFFFF"/>
          <w:lang w:val="en-US"/>
        </w:rPr>
        <w:t>):</w:t>
      </w:r>
      <w:r w:rsidRPr="002B3E1D">
        <w:rPr>
          <w:rFonts w:ascii="Times New Roman" w:hAnsi="Times New Roman" w:cs="Times New Roman"/>
          <w:color w:val="222222"/>
          <w:sz w:val="24"/>
          <w:szCs w:val="24"/>
          <w:shd w:val="clear" w:color="auto" w:fill="FFFFFF"/>
          <w:lang w:val="en-US"/>
        </w:rPr>
        <w:t xml:space="preserve"> 910-931.</w:t>
      </w:r>
    </w:p>
    <w:p w14:paraId="5330D29A" w14:textId="77777777" w:rsidR="008F5536" w:rsidRPr="002B3E1D" w:rsidRDefault="008F5536" w:rsidP="008F5536">
      <w:pPr>
        <w:spacing w:after="0" w:line="240" w:lineRule="auto"/>
        <w:ind w:left="284" w:hanging="284"/>
        <w:jc w:val="both"/>
        <w:rPr>
          <w:rFonts w:ascii="Times New Roman" w:hAnsi="Times New Roman" w:cs="Times New Roman"/>
          <w:sz w:val="24"/>
          <w:szCs w:val="24"/>
          <w:shd w:val="clear" w:color="auto" w:fill="FFFFFF"/>
          <w:lang w:val="en-US"/>
        </w:rPr>
      </w:pPr>
      <w:r w:rsidRPr="002B3E1D">
        <w:rPr>
          <w:rFonts w:ascii="Times New Roman" w:hAnsi="Times New Roman" w:cs="Times New Roman"/>
          <w:color w:val="222222"/>
          <w:sz w:val="24"/>
          <w:szCs w:val="24"/>
          <w:shd w:val="clear" w:color="auto" w:fill="FFFFFF"/>
          <w:lang w:val="en-US"/>
        </w:rPr>
        <w:t xml:space="preserve">Mom, T.J.M., Van Den Bosch, F.A.J., and Volberda, H.W. (2009). Understanding variation in manager's ambidexterity: Investigating direct and interaction effects of formal structural and </w:t>
      </w:r>
      <w:r w:rsidRPr="002B3E1D">
        <w:rPr>
          <w:rFonts w:ascii="Times New Roman" w:hAnsi="Times New Roman" w:cs="Times New Roman"/>
          <w:sz w:val="24"/>
          <w:szCs w:val="24"/>
          <w:shd w:val="clear" w:color="auto" w:fill="FFFFFF"/>
          <w:lang w:val="en-US"/>
        </w:rPr>
        <w:t xml:space="preserve">personal coordination mechanisms. </w:t>
      </w:r>
      <w:r w:rsidRPr="002B3E1D">
        <w:rPr>
          <w:rFonts w:ascii="Times New Roman" w:hAnsi="Times New Roman" w:cs="Times New Roman"/>
          <w:i/>
          <w:sz w:val="24"/>
          <w:szCs w:val="24"/>
          <w:shd w:val="clear" w:color="auto" w:fill="FFFFFF"/>
          <w:lang w:val="en-US"/>
        </w:rPr>
        <w:t>Organization Science</w:t>
      </w:r>
      <w:r w:rsidRPr="002B3E1D">
        <w:rPr>
          <w:rFonts w:ascii="Times New Roman" w:hAnsi="Times New Roman" w:cs="Times New Roman"/>
          <w:sz w:val="24"/>
          <w:szCs w:val="24"/>
          <w:shd w:val="clear" w:color="auto" w:fill="FFFFFF"/>
          <w:lang w:val="en-US"/>
        </w:rPr>
        <w:t>, 20(4</w:t>
      </w:r>
      <w:r w:rsidR="00562D43" w:rsidRPr="002B3E1D">
        <w:rPr>
          <w:rFonts w:ascii="Times New Roman" w:hAnsi="Times New Roman" w:cs="Times New Roman"/>
          <w:sz w:val="24"/>
          <w:szCs w:val="24"/>
          <w:shd w:val="clear" w:color="auto" w:fill="FFFFFF"/>
          <w:lang w:val="en-US"/>
        </w:rPr>
        <w:t>):</w:t>
      </w:r>
      <w:r w:rsidRPr="002B3E1D">
        <w:rPr>
          <w:rFonts w:ascii="Times New Roman" w:hAnsi="Times New Roman" w:cs="Times New Roman"/>
          <w:sz w:val="24"/>
          <w:szCs w:val="24"/>
          <w:shd w:val="clear" w:color="auto" w:fill="FFFFFF"/>
          <w:lang w:val="en-US"/>
        </w:rPr>
        <w:t xml:space="preserve"> 812-828.</w:t>
      </w:r>
    </w:p>
    <w:p w14:paraId="130C3AC9" w14:textId="77777777" w:rsidR="008F5536" w:rsidRPr="002B3E1D" w:rsidRDefault="008F5536" w:rsidP="008F5536">
      <w:pPr>
        <w:spacing w:after="0" w:line="240" w:lineRule="auto"/>
        <w:ind w:left="284" w:hanging="284"/>
        <w:jc w:val="both"/>
        <w:rPr>
          <w:rFonts w:ascii="Times New Roman" w:hAnsi="Times New Roman" w:cs="Times New Roman"/>
          <w:sz w:val="24"/>
          <w:szCs w:val="24"/>
          <w:shd w:val="clear" w:color="auto" w:fill="FFFFFF"/>
          <w:lang w:val="en-US"/>
        </w:rPr>
      </w:pPr>
      <w:r w:rsidRPr="002B3E1D">
        <w:rPr>
          <w:rFonts w:ascii="Times New Roman" w:hAnsi="Times New Roman" w:cs="Times New Roman"/>
          <w:sz w:val="24"/>
          <w:szCs w:val="24"/>
          <w:shd w:val="clear" w:color="auto" w:fill="FFFFFF"/>
          <w:lang w:val="en-US"/>
        </w:rPr>
        <w:t>Mom, T.J.M., Chang, Y.Y., Cholakova, M.N., and Jansen, J.J.P. (2018). A Multilevel integrated framework of firm HR practices, individual ambidexterity and organizational ambidexterity. Journal of Management, forthcoming, doi: 10.1177/0149206318776775.</w:t>
      </w:r>
    </w:p>
    <w:p w14:paraId="5737E684" w14:textId="77777777" w:rsidR="008F5536" w:rsidRPr="002B3E1D" w:rsidRDefault="008F5536" w:rsidP="008F5536">
      <w:pPr>
        <w:spacing w:after="0" w:line="240" w:lineRule="auto"/>
        <w:ind w:left="284" w:hanging="284"/>
        <w:jc w:val="both"/>
        <w:rPr>
          <w:rFonts w:ascii="Times New Roman" w:hAnsi="Times New Roman" w:cs="Times New Roman"/>
          <w:color w:val="222222"/>
          <w:sz w:val="24"/>
          <w:szCs w:val="24"/>
          <w:shd w:val="clear" w:color="auto" w:fill="FFFFFF"/>
          <w:lang w:val="en-US"/>
        </w:rPr>
      </w:pPr>
      <w:r w:rsidRPr="002B3E1D">
        <w:rPr>
          <w:rFonts w:ascii="Times New Roman" w:hAnsi="Times New Roman" w:cs="Times New Roman"/>
          <w:sz w:val="24"/>
          <w:szCs w:val="24"/>
          <w:shd w:val="clear" w:color="auto" w:fill="FFFFFF"/>
          <w:lang w:val="en-US"/>
        </w:rPr>
        <w:t xml:space="preserve">Nonaka, I., and Von Krogh, G. (2009). Tacit knowledge and knowledge conversion: Controversy and advancement </w:t>
      </w:r>
      <w:r w:rsidRPr="002B3E1D">
        <w:rPr>
          <w:rFonts w:ascii="Times New Roman" w:hAnsi="Times New Roman" w:cs="Times New Roman"/>
          <w:color w:val="222222"/>
          <w:sz w:val="24"/>
          <w:szCs w:val="24"/>
          <w:shd w:val="clear" w:color="auto" w:fill="FFFFFF"/>
          <w:lang w:val="en-US"/>
        </w:rPr>
        <w:t xml:space="preserve">in organizational knowledge creation theory. </w:t>
      </w:r>
      <w:r w:rsidRPr="002B3E1D">
        <w:rPr>
          <w:rFonts w:ascii="Times New Roman" w:hAnsi="Times New Roman" w:cs="Times New Roman"/>
          <w:i/>
          <w:color w:val="222222"/>
          <w:sz w:val="24"/>
          <w:szCs w:val="24"/>
          <w:shd w:val="clear" w:color="auto" w:fill="FFFFFF"/>
          <w:lang w:val="en-US"/>
        </w:rPr>
        <w:t>Organization Science</w:t>
      </w:r>
      <w:r w:rsidRPr="002B3E1D">
        <w:rPr>
          <w:rFonts w:ascii="Times New Roman" w:hAnsi="Times New Roman" w:cs="Times New Roman"/>
          <w:color w:val="222222"/>
          <w:sz w:val="24"/>
          <w:szCs w:val="24"/>
          <w:shd w:val="clear" w:color="auto" w:fill="FFFFFF"/>
          <w:lang w:val="en-US"/>
        </w:rPr>
        <w:t>, 20(3</w:t>
      </w:r>
      <w:r w:rsidR="00562D43" w:rsidRPr="002B3E1D">
        <w:rPr>
          <w:rFonts w:ascii="Times New Roman" w:hAnsi="Times New Roman" w:cs="Times New Roman"/>
          <w:color w:val="222222"/>
          <w:sz w:val="24"/>
          <w:szCs w:val="24"/>
          <w:shd w:val="clear" w:color="auto" w:fill="FFFFFF"/>
          <w:lang w:val="en-US"/>
        </w:rPr>
        <w:t>):</w:t>
      </w:r>
      <w:r w:rsidRPr="002B3E1D">
        <w:rPr>
          <w:rFonts w:ascii="Times New Roman" w:hAnsi="Times New Roman" w:cs="Times New Roman"/>
          <w:color w:val="222222"/>
          <w:sz w:val="24"/>
          <w:szCs w:val="24"/>
          <w:shd w:val="clear" w:color="auto" w:fill="FFFFFF"/>
          <w:lang w:val="en-US"/>
        </w:rPr>
        <w:t xml:space="preserve"> 635-652.</w:t>
      </w:r>
    </w:p>
    <w:p w14:paraId="16934A52" w14:textId="77777777" w:rsidR="008F5536" w:rsidRPr="002B3E1D" w:rsidRDefault="008F5536" w:rsidP="008F5536">
      <w:pPr>
        <w:spacing w:after="0" w:line="240" w:lineRule="auto"/>
        <w:ind w:left="284" w:hanging="284"/>
        <w:jc w:val="both"/>
        <w:rPr>
          <w:rFonts w:ascii="Times New Roman" w:hAnsi="Times New Roman" w:cs="Times New Roman"/>
          <w:color w:val="222222"/>
          <w:sz w:val="24"/>
          <w:szCs w:val="24"/>
          <w:shd w:val="clear" w:color="auto" w:fill="FFFFFF"/>
          <w:lang w:val="en-US"/>
        </w:rPr>
      </w:pPr>
      <w:r w:rsidRPr="002B3E1D">
        <w:rPr>
          <w:rFonts w:ascii="Times New Roman" w:hAnsi="Times New Roman" w:cs="Times New Roman"/>
          <w:color w:val="222222"/>
          <w:sz w:val="24"/>
          <w:szCs w:val="24"/>
          <w:shd w:val="clear" w:color="auto" w:fill="FFFFFF"/>
          <w:lang w:val="en-US"/>
        </w:rPr>
        <w:t xml:space="preserve">Nosella, A., Cantarello, S., and Filippini, R. (2012). The intellectual structure of organizational ambidexterity: A bibliographic investigation into the state of the art. </w:t>
      </w:r>
      <w:r w:rsidRPr="002B3E1D">
        <w:rPr>
          <w:rFonts w:ascii="Times New Roman" w:hAnsi="Times New Roman" w:cs="Times New Roman"/>
          <w:i/>
          <w:color w:val="222222"/>
          <w:sz w:val="24"/>
          <w:szCs w:val="24"/>
          <w:shd w:val="clear" w:color="auto" w:fill="FFFFFF"/>
          <w:lang w:val="en-US"/>
        </w:rPr>
        <w:t>Strategic Organization</w:t>
      </w:r>
      <w:r w:rsidRPr="002B3E1D">
        <w:rPr>
          <w:rFonts w:ascii="Times New Roman" w:hAnsi="Times New Roman" w:cs="Times New Roman"/>
          <w:color w:val="222222"/>
          <w:sz w:val="24"/>
          <w:szCs w:val="24"/>
          <w:shd w:val="clear" w:color="auto" w:fill="FFFFFF"/>
          <w:lang w:val="en-US"/>
        </w:rPr>
        <w:t>, 10(4</w:t>
      </w:r>
      <w:r w:rsidR="00562D43" w:rsidRPr="002B3E1D">
        <w:rPr>
          <w:rFonts w:ascii="Times New Roman" w:hAnsi="Times New Roman" w:cs="Times New Roman"/>
          <w:color w:val="222222"/>
          <w:sz w:val="24"/>
          <w:szCs w:val="24"/>
          <w:shd w:val="clear" w:color="auto" w:fill="FFFFFF"/>
          <w:lang w:val="en-US"/>
        </w:rPr>
        <w:t>):</w:t>
      </w:r>
      <w:r w:rsidRPr="002B3E1D">
        <w:rPr>
          <w:rFonts w:ascii="Times New Roman" w:hAnsi="Times New Roman" w:cs="Times New Roman"/>
          <w:color w:val="222222"/>
          <w:sz w:val="24"/>
          <w:szCs w:val="24"/>
          <w:shd w:val="clear" w:color="auto" w:fill="FFFFFF"/>
          <w:lang w:val="en-US"/>
        </w:rPr>
        <w:t xml:space="preserve"> 450–465.</w:t>
      </w:r>
    </w:p>
    <w:p w14:paraId="2B96E2A3" w14:textId="77777777" w:rsidR="008F5536" w:rsidRPr="002B3E1D" w:rsidRDefault="008F5536" w:rsidP="008F5536">
      <w:pPr>
        <w:spacing w:after="0" w:line="240" w:lineRule="auto"/>
        <w:ind w:left="284" w:hanging="284"/>
        <w:jc w:val="both"/>
        <w:rPr>
          <w:rFonts w:ascii="Times New Roman" w:hAnsi="Times New Roman" w:cs="Times New Roman"/>
          <w:color w:val="222222"/>
          <w:sz w:val="24"/>
          <w:szCs w:val="24"/>
          <w:shd w:val="clear" w:color="auto" w:fill="FFFFFF"/>
          <w:lang w:val="en-US"/>
        </w:rPr>
      </w:pPr>
      <w:r w:rsidRPr="002B3E1D">
        <w:rPr>
          <w:rFonts w:ascii="Times New Roman" w:hAnsi="Times New Roman" w:cs="Times New Roman"/>
          <w:color w:val="222222"/>
          <w:sz w:val="24"/>
          <w:szCs w:val="24"/>
          <w:shd w:val="clear" w:color="auto" w:fill="FFFFFF"/>
          <w:lang w:val="en-US"/>
        </w:rPr>
        <w:t xml:space="preserve">O’Reilly, C. A., and Tushman, M. L. (2013). Organizational ambidexterity: Past, present, and future. </w:t>
      </w:r>
      <w:r w:rsidRPr="002B3E1D">
        <w:rPr>
          <w:rFonts w:ascii="Times New Roman" w:hAnsi="Times New Roman" w:cs="Times New Roman"/>
          <w:i/>
          <w:color w:val="222222"/>
          <w:sz w:val="24"/>
          <w:szCs w:val="24"/>
          <w:shd w:val="clear" w:color="auto" w:fill="FFFFFF"/>
          <w:lang w:val="en-US"/>
        </w:rPr>
        <w:t>Academy of Management Perspectives</w:t>
      </w:r>
      <w:r w:rsidRPr="002B3E1D">
        <w:rPr>
          <w:rFonts w:ascii="Times New Roman" w:hAnsi="Times New Roman" w:cs="Times New Roman"/>
          <w:color w:val="222222"/>
          <w:sz w:val="24"/>
          <w:szCs w:val="24"/>
          <w:shd w:val="clear" w:color="auto" w:fill="FFFFFF"/>
          <w:lang w:val="en-US"/>
        </w:rPr>
        <w:t>, 27(4</w:t>
      </w:r>
      <w:r w:rsidR="00562D43" w:rsidRPr="002B3E1D">
        <w:rPr>
          <w:rFonts w:ascii="Times New Roman" w:hAnsi="Times New Roman" w:cs="Times New Roman"/>
          <w:color w:val="222222"/>
          <w:sz w:val="24"/>
          <w:szCs w:val="24"/>
          <w:shd w:val="clear" w:color="auto" w:fill="FFFFFF"/>
          <w:lang w:val="en-US"/>
        </w:rPr>
        <w:t>):</w:t>
      </w:r>
      <w:r w:rsidRPr="002B3E1D">
        <w:rPr>
          <w:rFonts w:ascii="Times New Roman" w:hAnsi="Times New Roman" w:cs="Times New Roman"/>
          <w:color w:val="222222"/>
          <w:sz w:val="24"/>
          <w:szCs w:val="24"/>
          <w:shd w:val="clear" w:color="auto" w:fill="FFFFFF"/>
          <w:lang w:val="en-US"/>
        </w:rPr>
        <w:t xml:space="preserve"> 324–338.</w:t>
      </w:r>
    </w:p>
    <w:p w14:paraId="56815F8E" w14:textId="77777777" w:rsidR="008F5536" w:rsidRPr="002B3E1D" w:rsidRDefault="008F5536" w:rsidP="00596052">
      <w:pPr>
        <w:spacing w:after="0" w:line="240" w:lineRule="auto"/>
        <w:ind w:left="284" w:hanging="284"/>
        <w:jc w:val="both"/>
        <w:rPr>
          <w:rFonts w:ascii="Times New Roman" w:eastAsia="Batang" w:hAnsi="Times New Roman" w:cs="Times New Roman"/>
          <w:color w:val="000000"/>
          <w:sz w:val="24"/>
          <w:szCs w:val="24"/>
          <w:lang w:val="en-US"/>
        </w:rPr>
      </w:pPr>
      <w:proofErr w:type="spellStart"/>
      <w:r w:rsidRPr="002B3E1D">
        <w:rPr>
          <w:rFonts w:ascii="Times New Roman" w:eastAsia="Batang" w:hAnsi="Times New Roman" w:cs="Times New Roman"/>
          <w:color w:val="000000"/>
          <w:sz w:val="24"/>
          <w:szCs w:val="24"/>
          <w:lang w:val="en-US"/>
        </w:rPr>
        <w:t>Papadakis</w:t>
      </w:r>
      <w:proofErr w:type="spellEnd"/>
      <w:r w:rsidRPr="002B3E1D">
        <w:rPr>
          <w:rFonts w:ascii="Times New Roman" w:eastAsia="Batang" w:hAnsi="Times New Roman" w:cs="Times New Roman"/>
          <w:color w:val="000000"/>
          <w:sz w:val="24"/>
          <w:szCs w:val="24"/>
          <w:lang w:val="en-US"/>
        </w:rPr>
        <w:t xml:space="preserve">, V. M. and Thanos, I. C. (2010) 'Measuring the Performance of Acquisitions: An </w:t>
      </w:r>
    </w:p>
    <w:p w14:paraId="3C3BAA58" w14:textId="77777777" w:rsidR="008F5536" w:rsidRPr="002B3E1D" w:rsidRDefault="008F5536" w:rsidP="00596052">
      <w:pPr>
        <w:shd w:val="clear" w:color="auto" w:fill="FFFFFF"/>
        <w:spacing w:after="0" w:line="240" w:lineRule="auto"/>
        <w:ind w:leftChars="-1" w:left="282" w:hanging="284"/>
        <w:jc w:val="both"/>
        <w:rPr>
          <w:rFonts w:ascii="Times New Roman" w:eastAsia="Batang" w:hAnsi="Times New Roman" w:cs="Times New Roman"/>
          <w:color w:val="000000"/>
          <w:sz w:val="24"/>
          <w:szCs w:val="24"/>
          <w:lang w:val="en-US"/>
        </w:rPr>
      </w:pPr>
      <w:r w:rsidRPr="002B3E1D">
        <w:rPr>
          <w:rFonts w:ascii="Times New Roman" w:eastAsia="Batang" w:hAnsi="Times New Roman" w:cs="Times New Roman"/>
          <w:color w:val="000000"/>
          <w:sz w:val="24"/>
          <w:szCs w:val="24"/>
          <w:lang w:val="en-US"/>
        </w:rPr>
        <w:tab/>
        <w:t xml:space="preserve">Empirical Investigation Using Multiple Criteria', </w:t>
      </w:r>
      <w:r w:rsidRPr="002B3E1D">
        <w:rPr>
          <w:rFonts w:ascii="Times New Roman" w:eastAsia="Batang" w:hAnsi="Times New Roman" w:cs="Times New Roman"/>
          <w:i/>
          <w:iCs/>
          <w:color w:val="000000"/>
          <w:sz w:val="24"/>
          <w:szCs w:val="24"/>
          <w:lang w:val="en-US"/>
        </w:rPr>
        <w:t>British Journal of Management</w:t>
      </w:r>
      <w:r w:rsidRPr="002B3E1D">
        <w:rPr>
          <w:rFonts w:ascii="Times New Roman" w:eastAsia="Batang" w:hAnsi="Times New Roman" w:cs="Times New Roman"/>
          <w:iCs/>
          <w:color w:val="000000"/>
          <w:sz w:val="24"/>
          <w:szCs w:val="24"/>
          <w:lang w:val="en-US"/>
        </w:rPr>
        <w:t>,</w:t>
      </w:r>
      <w:r w:rsidRPr="002B3E1D">
        <w:rPr>
          <w:rFonts w:ascii="Times New Roman" w:eastAsia="Batang" w:hAnsi="Times New Roman" w:cs="Times New Roman"/>
          <w:color w:val="000000"/>
          <w:sz w:val="24"/>
          <w:szCs w:val="24"/>
          <w:lang w:val="en-US"/>
        </w:rPr>
        <w:t xml:space="preserve"> 21(4</w:t>
      </w:r>
      <w:r w:rsidR="00562D43" w:rsidRPr="002B3E1D">
        <w:rPr>
          <w:rFonts w:ascii="Times New Roman" w:eastAsia="Batang" w:hAnsi="Times New Roman" w:cs="Times New Roman"/>
          <w:color w:val="000000"/>
          <w:sz w:val="24"/>
          <w:szCs w:val="24"/>
          <w:lang w:val="en-US"/>
        </w:rPr>
        <w:t>):</w:t>
      </w:r>
      <w:r w:rsidRPr="002B3E1D">
        <w:rPr>
          <w:rFonts w:ascii="Times New Roman" w:eastAsia="Batang" w:hAnsi="Times New Roman" w:cs="Times New Roman"/>
          <w:color w:val="000000"/>
          <w:sz w:val="24"/>
          <w:szCs w:val="24"/>
          <w:lang w:val="en-US"/>
        </w:rPr>
        <w:t xml:space="preserve"> </w:t>
      </w:r>
    </w:p>
    <w:p w14:paraId="5802D10D" w14:textId="77777777" w:rsidR="008F5536" w:rsidRPr="002B3E1D" w:rsidRDefault="008F5536" w:rsidP="00596052">
      <w:pPr>
        <w:shd w:val="clear" w:color="auto" w:fill="FFFFFF"/>
        <w:spacing w:after="0" w:line="240" w:lineRule="auto"/>
        <w:ind w:leftChars="-1" w:left="282" w:hanging="284"/>
        <w:jc w:val="both"/>
        <w:rPr>
          <w:rFonts w:ascii="Times New Roman" w:eastAsia="Times New Roman" w:hAnsi="Times New Roman" w:cs="Times New Roman"/>
          <w:color w:val="222222"/>
          <w:sz w:val="24"/>
          <w:szCs w:val="24"/>
          <w:lang w:val="en-US" w:eastAsia="en-GB"/>
        </w:rPr>
      </w:pPr>
      <w:r w:rsidRPr="002B3E1D">
        <w:rPr>
          <w:rFonts w:ascii="Times New Roman" w:eastAsia="Batang" w:hAnsi="Times New Roman" w:cs="Times New Roman"/>
          <w:color w:val="000000"/>
          <w:sz w:val="24"/>
          <w:szCs w:val="24"/>
          <w:lang w:val="en-US"/>
        </w:rPr>
        <w:tab/>
        <w:t>pp. 859–873.</w:t>
      </w:r>
    </w:p>
    <w:p w14:paraId="7F1ACCD1" w14:textId="77777777" w:rsidR="008F5536" w:rsidRPr="002B3E1D" w:rsidRDefault="008F5536" w:rsidP="008F5536">
      <w:pPr>
        <w:spacing w:after="0" w:line="240" w:lineRule="auto"/>
        <w:ind w:left="284" w:hanging="284"/>
        <w:jc w:val="both"/>
        <w:rPr>
          <w:rFonts w:ascii="Times New Roman" w:hAnsi="Times New Roman" w:cs="Times New Roman"/>
          <w:color w:val="222222"/>
          <w:sz w:val="24"/>
          <w:szCs w:val="24"/>
          <w:shd w:val="clear" w:color="auto" w:fill="FFFFFF"/>
          <w:lang w:val="en-US"/>
        </w:rPr>
      </w:pPr>
      <w:r w:rsidRPr="002B3E1D">
        <w:rPr>
          <w:rFonts w:ascii="Times New Roman" w:hAnsi="Times New Roman" w:cs="Times New Roman"/>
          <w:color w:val="222222"/>
          <w:sz w:val="24"/>
          <w:szCs w:val="24"/>
          <w:shd w:val="clear" w:color="auto" w:fill="FFFFFF"/>
          <w:lang w:val="en-US"/>
        </w:rPr>
        <w:lastRenderedPageBreak/>
        <w:t xml:space="preserve">Paruchuri, S. and Eisenman, M. (2012). Micro-foundations of firm R&amp;D capabilities: A study of inventor networks in a merger. </w:t>
      </w:r>
      <w:r w:rsidRPr="002B3E1D">
        <w:rPr>
          <w:rFonts w:ascii="Times New Roman" w:hAnsi="Times New Roman" w:cs="Times New Roman"/>
          <w:i/>
          <w:color w:val="222222"/>
          <w:sz w:val="24"/>
          <w:szCs w:val="24"/>
          <w:shd w:val="clear" w:color="auto" w:fill="FFFFFF"/>
          <w:lang w:val="en-US"/>
        </w:rPr>
        <w:t>Journal of Management Studies</w:t>
      </w:r>
      <w:r w:rsidRPr="002B3E1D">
        <w:rPr>
          <w:rFonts w:ascii="Times New Roman" w:hAnsi="Times New Roman" w:cs="Times New Roman"/>
          <w:color w:val="222222"/>
          <w:sz w:val="24"/>
          <w:szCs w:val="24"/>
          <w:shd w:val="clear" w:color="auto" w:fill="FFFFFF"/>
          <w:lang w:val="en-US"/>
        </w:rPr>
        <w:t>, 49(8</w:t>
      </w:r>
      <w:r w:rsidR="00562D43" w:rsidRPr="002B3E1D">
        <w:rPr>
          <w:rFonts w:ascii="Times New Roman" w:hAnsi="Times New Roman" w:cs="Times New Roman"/>
          <w:color w:val="222222"/>
          <w:sz w:val="24"/>
          <w:szCs w:val="24"/>
          <w:shd w:val="clear" w:color="auto" w:fill="FFFFFF"/>
          <w:lang w:val="en-US"/>
        </w:rPr>
        <w:t>):</w:t>
      </w:r>
      <w:r w:rsidRPr="002B3E1D">
        <w:rPr>
          <w:rFonts w:ascii="Times New Roman" w:hAnsi="Times New Roman" w:cs="Times New Roman"/>
          <w:color w:val="222222"/>
          <w:sz w:val="24"/>
          <w:szCs w:val="24"/>
          <w:shd w:val="clear" w:color="auto" w:fill="FFFFFF"/>
          <w:lang w:val="en-US"/>
        </w:rPr>
        <w:t xml:space="preserve"> 1509-1535.</w:t>
      </w:r>
    </w:p>
    <w:p w14:paraId="423059BF" w14:textId="77777777" w:rsidR="008F5536" w:rsidRPr="002B3E1D" w:rsidRDefault="008F5536" w:rsidP="008F5536">
      <w:pPr>
        <w:spacing w:after="0" w:line="240" w:lineRule="auto"/>
        <w:ind w:left="284" w:hanging="284"/>
        <w:jc w:val="both"/>
        <w:rPr>
          <w:rFonts w:ascii="Times New Roman" w:hAnsi="Times New Roman" w:cs="Times New Roman"/>
          <w:color w:val="222222"/>
          <w:sz w:val="24"/>
          <w:szCs w:val="24"/>
          <w:shd w:val="clear" w:color="auto" w:fill="FFFFFF"/>
          <w:lang w:val="en-US"/>
        </w:rPr>
      </w:pPr>
      <w:r w:rsidRPr="002B3E1D">
        <w:rPr>
          <w:rFonts w:ascii="Times New Roman" w:hAnsi="Times New Roman" w:cs="Times New Roman"/>
          <w:color w:val="222222"/>
          <w:sz w:val="24"/>
          <w:szCs w:val="24"/>
          <w:shd w:val="clear" w:color="auto" w:fill="FFFFFF"/>
          <w:lang w:val="en-US"/>
        </w:rPr>
        <w:t xml:space="preserve">Phan, P. H., Wright, M., Ucbasaran, D., and Tan, W. L. (2009). Corporate entrepreneurship: Current research and future directions. </w:t>
      </w:r>
      <w:r w:rsidRPr="002B3E1D">
        <w:rPr>
          <w:rFonts w:ascii="Times New Roman" w:hAnsi="Times New Roman" w:cs="Times New Roman"/>
          <w:i/>
          <w:color w:val="222222"/>
          <w:sz w:val="24"/>
          <w:szCs w:val="24"/>
          <w:shd w:val="clear" w:color="auto" w:fill="FFFFFF"/>
          <w:lang w:val="en-US"/>
        </w:rPr>
        <w:t>Journal of Business Venturin</w:t>
      </w:r>
      <w:r w:rsidRPr="002B3E1D">
        <w:rPr>
          <w:rFonts w:ascii="Times New Roman" w:hAnsi="Times New Roman" w:cs="Times New Roman"/>
          <w:color w:val="222222"/>
          <w:sz w:val="24"/>
          <w:szCs w:val="24"/>
          <w:shd w:val="clear" w:color="auto" w:fill="FFFFFF"/>
          <w:lang w:val="en-US"/>
        </w:rPr>
        <w:t>g, 24(3</w:t>
      </w:r>
      <w:r w:rsidR="00562D43" w:rsidRPr="002B3E1D">
        <w:rPr>
          <w:rFonts w:ascii="Times New Roman" w:hAnsi="Times New Roman" w:cs="Times New Roman"/>
          <w:color w:val="222222"/>
          <w:sz w:val="24"/>
          <w:szCs w:val="24"/>
          <w:shd w:val="clear" w:color="auto" w:fill="FFFFFF"/>
          <w:lang w:val="en-US"/>
        </w:rPr>
        <w:t>):</w:t>
      </w:r>
      <w:r w:rsidRPr="002B3E1D">
        <w:rPr>
          <w:rFonts w:ascii="Times New Roman" w:hAnsi="Times New Roman" w:cs="Times New Roman"/>
          <w:color w:val="222222"/>
          <w:sz w:val="24"/>
          <w:szCs w:val="24"/>
          <w:shd w:val="clear" w:color="auto" w:fill="FFFFFF"/>
          <w:lang w:val="en-US"/>
        </w:rPr>
        <w:t xml:space="preserve"> 197-205.</w:t>
      </w:r>
    </w:p>
    <w:p w14:paraId="53EFDCE9" w14:textId="77777777" w:rsidR="008F5536" w:rsidRPr="002B3E1D" w:rsidRDefault="008F5536" w:rsidP="008F5536">
      <w:pPr>
        <w:spacing w:after="0" w:line="240" w:lineRule="auto"/>
        <w:ind w:left="284" w:hanging="284"/>
        <w:jc w:val="both"/>
        <w:rPr>
          <w:rFonts w:ascii="Times New Roman" w:hAnsi="Times New Roman" w:cs="Times New Roman"/>
          <w:color w:val="222222"/>
          <w:sz w:val="24"/>
          <w:szCs w:val="24"/>
          <w:shd w:val="clear" w:color="auto" w:fill="FFFFFF"/>
          <w:lang w:val="en-US"/>
        </w:rPr>
      </w:pPr>
      <w:r w:rsidRPr="002B3E1D">
        <w:rPr>
          <w:rFonts w:ascii="Times New Roman" w:hAnsi="Times New Roman" w:cs="Times New Roman"/>
          <w:color w:val="222222"/>
          <w:sz w:val="24"/>
          <w:szCs w:val="24"/>
          <w:shd w:val="clear" w:color="auto" w:fill="FFFFFF"/>
          <w:lang w:val="en-US"/>
        </w:rPr>
        <w:t xml:space="preserve">Polanyi, M. (1963). </w:t>
      </w:r>
      <w:r w:rsidRPr="002B3E1D">
        <w:rPr>
          <w:rFonts w:ascii="Times New Roman" w:hAnsi="Times New Roman" w:cs="Times New Roman"/>
          <w:i/>
          <w:color w:val="222222"/>
          <w:sz w:val="24"/>
          <w:szCs w:val="24"/>
          <w:shd w:val="clear" w:color="auto" w:fill="FFFFFF"/>
          <w:lang w:val="en-US"/>
        </w:rPr>
        <w:t xml:space="preserve">The </w:t>
      </w:r>
      <w:r w:rsidR="007C156D" w:rsidRPr="002B3E1D">
        <w:rPr>
          <w:rFonts w:ascii="Times New Roman" w:hAnsi="Times New Roman" w:cs="Times New Roman"/>
          <w:i/>
          <w:color w:val="222222"/>
          <w:sz w:val="24"/>
          <w:szCs w:val="24"/>
          <w:shd w:val="clear" w:color="auto" w:fill="FFFFFF"/>
          <w:lang w:val="en-US"/>
        </w:rPr>
        <w:t>T</w:t>
      </w:r>
      <w:r w:rsidRPr="002B3E1D">
        <w:rPr>
          <w:rFonts w:ascii="Times New Roman" w:hAnsi="Times New Roman" w:cs="Times New Roman"/>
          <w:i/>
          <w:color w:val="222222"/>
          <w:sz w:val="24"/>
          <w:szCs w:val="24"/>
          <w:shd w:val="clear" w:color="auto" w:fill="FFFFFF"/>
          <w:lang w:val="en-US"/>
        </w:rPr>
        <w:t xml:space="preserve">acit </w:t>
      </w:r>
      <w:r w:rsidR="007C156D" w:rsidRPr="002B3E1D">
        <w:rPr>
          <w:rFonts w:ascii="Times New Roman" w:hAnsi="Times New Roman" w:cs="Times New Roman"/>
          <w:i/>
          <w:color w:val="222222"/>
          <w:sz w:val="24"/>
          <w:szCs w:val="24"/>
          <w:shd w:val="clear" w:color="auto" w:fill="FFFFFF"/>
          <w:lang w:val="en-US"/>
        </w:rPr>
        <w:t>D</w:t>
      </w:r>
      <w:r w:rsidRPr="002B3E1D">
        <w:rPr>
          <w:rFonts w:ascii="Times New Roman" w:hAnsi="Times New Roman" w:cs="Times New Roman"/>
          <w:i/>
          <w:color w:val="222222"/>
          <w:sz w:val="24"/>
          <w:szCs w:val="24"/>
          <w:shd w:val="clear" w:color="auto" w:fill="FFFFFF"/>
          <w:lang w:val="en-US"/>
        </w:rPr>
        <w:t>imension</w:t>
      </w:r>
      <w:r w:rsidRPr="002B3E1D">
        <w:rPr>
          <w:rFonts w:ascii="Times New Roman" w:hAnsi="Times New Roman" w:cs="Times New Roman"/>
          <w:color w:val="222222"/>
          <w:sz w:val="24"/>
          <w:szCs w:val="24"/>
          <w:shd w:val="clear" w:color="auto" w:fill="FFFFFF"/>
          <w:lang w:val="en-US"/>
        </w:rPr>
        <w:t>. Gloucester, MA: Peter Smith.</w:t>
      </w:r>
    </w:p>
    <w:p w14:paraId="33FABF65" w14:textId="77777777" w:rsidR="008F5536" w:rsidRPr="002B3E1D" w:rsidRDefault="008F5536" w:rsidP="008F5536">
      <w:pPr>
        <w:spacing w:after="0" w:line="240" w:lineRule="auto"/>
        <w:ind w:left="284" w:hanging="284"/>
        <w:jc w:val="both"/>
        <w:rPr>
          <w:rFonts w:ascii="Times New Roman" w:hAnsi="Times New Roman" w:cs="Times New Roman"/>
          <w:sz w:val="24"/>
          <w:szCs w:val="24"/>
          <w:shd w:val="clear" w:color="auto" w:fill="FFFFFF"/>
          <w:lang w:val="en-US"/>
        </w:rPr>
      </w:pPr>
      <w:r w:rsidRPr="002B3E1D">
        <w:rPr>
          <w:rFonts w:ascii="Times New Roman" w:hAnsi="Times New Roman" w:cs="Times New Roman"/>
          <w:color w:val="222222"/>
          <w:sz w:val="24"/>
          <w:szCs w:val="24"/>
          <w:shd w:val="clear" w:color="auto" w:fill="FFFFFF"/>
          <w:lang w:val="en-US"/>
        </w:rPr>
        <w:t xml:space="preserve">Prieto, </w:t>
      </w:r>
      <w:r w:rsidR="004809B9" w:rsidRPr="002B3E1D">
        <w:rPr>
          <w:rFonts w:ascii="Times New Roman" w:hAnsi="Times New Roman" w:cs="Times New Roman"/>
          <w:color w:val="222222"/>
          <w:sz w:val="24"/>
          <w:szCs w:val="24"/>
          <w:shd w:val="clear" w:color="auto" w:fill="FFFFFF"/>
          <w:lang w:val="en-US"/>
        </w:rPr>
        <w:t>I.M., and Pérez Santana, M.</w:t>
      </w:r>
      <w:r w:rsidRPr="002B3E1D">
        <w:rPr>
          <w:rFonts w:ascii="Times New Roman" w:hAnsi="Times New Roman" w:cs="Times New Roman"/>
          <w:color w:val="222222"/>
          <w:sz w:val="24"/>
          <w:szCs w:val="24"/>
          <w:shd w:val="clear" w:color="auto" w:fill="FFFFFF"/>
          <w:lang w:val="en-US"/>
        </w:rPr>
        <w:t xml:space="preserve">P. (2012). Building ambidexterity: The role of human resource </w:t>
      </w:r>
      <w:r w:rsidRPr="002B3E1D">
        <w:rPr>
          <w:rFonts w:ascii="Times New Roman" w:hAnsi="Times New Roman" w:cs="Times New Roman"/>
          <w:sz w:val="24"/>
          <w:szCs w:val="24"/>
          <w:shd w:val="clear" w:color="auto" w:fill="FFFFFF"/>
          <w:lang w:val="en-US"/>
        </w:rPr>
        <w:t>practices in the performance of firms from Spain.</w:t>
      </w:r>
      <w:r w:rsidRPr="002B3E1D">
        <w:rPr>
          <w:rStyle w:val="apple-converted-space"/>
          <w:rFonts w:ascii="Times New Roman" w:hAnsi="Times New Roman" w:cs="Times New Roman"/>
          <w:sz w:val="24"/>
          <w:szCs w:val="24"/>
          <w:shd w:val="clear" w:color="auto" w:fill="FFFFFF"/>
          <w:lang w:val="en-US"/>
        </w:rPr>
        <w:t> </w:t>
      </w:r>
      <w:r w:rsidRPr="002B3E1D">
        <w:rPr>
          <w:rFonts w:ascii="Times New Roman" w:hAnsi="Times New Roman" w:cs="Times New Roman"/>
          <w:i/>
          <w:iCs/>
          <w:sz w:val="24"/>
          <w:szCs w:val="24"/>
          <w:shd w:val="clear" w:color="auto" w:fill="FFFFFF"/>
          <w:lang w:val="en-US"/>
        </w:rPr>
        <w:t>Human Resource Management</w:t>
      </w:r>
      <w:r w:rsidRPr="002B3E1D">
        <w:rPr>
          <w:rFonts w:ascii="Times New Roman" w:hAnsi="Times New Roman" w:cs="Times New Roman"/>
          <w:sz w:val="24"/>
          <w:szCs w:val="24"/>
          <w:shd w:val="clear" w:color="auto" w:fill="FFFFFF"/>
          <w:lang w:val="en-US"/>
        </w:rPr>
        <w:t>,</w:t>
      </w:r>
      <w:r w:rsidRPr="002B3E1D">
        <w:rPr>
          <w:rStyle w:val="apple-converted-space"/>
          <w:rFonts w:ascii="Times New Roman" w:hAnsi="Times New Roman" w:cs="Times New Roman"/>
          <w:sz w:val="24"/>
          <w:szCs w:val="24"/>
          <w:shd w:val="clear" w:color="auto" w:fill="FFFFFF"/>
          <w:lang w:val="en-US"/>
        </w:rPr>
        <w:t> </w:t>
      </w:r>
      <w:r w:rsidRPr="002B3E1D">
        <w:rPr>
          <w:rFonts w:ascii="Times New Roman" w:hAnsi="Times New Roman" w:cs="Times New Roman"/>
          <w:iCs/>
          <w:sz w:val="24"/>
          <w:szCs w:val="24"/>
          <w:shd w:val="clear" w:color="auto" w:fill="FFFFFF"/>
          <w:lang w:val="en-US"/>
        </w:rPr>
        <w:t>51</w:t>
      </w:r>
      <w:r w:rsidRPr="002B3E1D">
        <w:rPr>
          <w:rFonts w:ascii="Times New Roman" w:hAnsi="Times New Roman" w:cs="Times New Roman"/>
          <w:sz w:val="24"/>
          <w:szCs w:val="24"/>
          <w:shd w:val="clear" w:color="auto" w:fill="FFFFFF"/>
          <w:lang w:val="en-US"/>
        </w:rPr>
        <w:t>(2</w:t>
      </w:r>
      <w:r w:rsidR="00562D43" w:rsidRPr="002B3E1D">
        <w:rPr>
          <w:rFonts w:ascii="Times New Roman" w:hAnsi="Times New Roman" w:cs="Times New Roman"/>
          <w:sz w:val="24"/>
          <w:szCs w:val="24"/>
          <w:shd w:val="clear" w:color="auto" w:fill="FFFFFF"/>
          <w:lang w:val="en-US"/>
        </w:rPr>
        <w:t>):</w:t>
      </w:r>
      <w:r w:rsidRPr="002B3E1D">
        <w:rPr>
          <w:rFonts w:ascii="Times New Roman" w:hAnsi="Times New Roman" w:cs="Times New Roman"/>
          <w:sz w:val="24"/>
          <w:szCs w:val="24"/>
          <w:shd w:val="clear" w:color="auto" w:fill="FFFFFF"/>
          <w:lang w:val="en-US"/>
        </w:rPr>
        <w:t xml:space="preserve"> 189-211.</w:t>
      </w:r>
    </w:p>
    <w:p w14:paraId="358D5CFC" w14:textId="77777777" w:rsidR="008F5536" w:rsidRPr="002B3E1D" w:rsidRDefault="008F5536" w:rsidP="008F5536">
      <w:pPr>
        <w:spacing w:after="0" w:line="240" w:lineRule="auto"/>
        <w:ind w:left="284" w:hanging="284"/>
        <w:jc w:val="both"/>
        <w:rPr>
          <w:rFonts w:ascii="Times New Roman" w:hAnsi="Times New Roman" w:cs="Times New Roman"/>
          <w:color w:val="222222"/>
          <w:sz w:val="24"/>
          <w:szCs w:val="24"/>
          <w:shd w:val="clear" w:color="auto" w:fill="FFFFFF"/>
          <w:lang w:val="en-US"/>
        </w:rPr>
      </w:pPr>
      <w:r w:rsidRPr="002B3E1D">
        <w:rPr>
          <w:rFonts w:ascii="Times New Roman" w:hAnsi="Times New Roman" w:cs="Times New Roman"/>
          <w:sz w:val="24"/>
          <w:szCs w:val="24"/>
          <w:shd w:val="clear" w:color="auto" w:fill="FFFFFF"/>
          <w:lang w:val="en-US"/>
        </w:rPr>
        <w:t>Raisch, S., and Birkinshaw, J. (2008). Organizational ambidexterity: Antecedents, outcomes, and moderators</w:t>
      </w:r>
      <w:r w:rsidRPr="002B3E1D">
        <w:rPr>
          <w:rFonts w:ascii="Times New Roman" w:hAnsi="Times New Roman" w:cs="Times New Roman"/>
          <w:color w:val="222222"/>
          <w:sz w:val="24"/>
          <w:szCs w:val="24"/>
          <w:shd w:val="clear" w:color="auto" w:fill="FFFFFF"/>
          <w:lang w:val="en-US"/>
        </w:rPr>
        <w:t xml:space="preserve">. </w:t>
      </w:r>
      <w:r w:rsidRPr="002B3E1D">
        <w:rPr>
          <w:rFonts w:ascii="Times New Roman" w:hAnsi="Times New Roman" w:cs="Times New Roman"/>
          <w:i/>
          <w:iCs/>
          <w:color w:val="222222"/>
          <w:sz w:val="24"/>
          <w:szCs w:val="24"/>
          <w:shd w:val="clear" w:color="auto" w:fill="FFFFFF"/>
          <w:lang w:val="en-US"/>
        </w:rPr>
        <w:t>Journal of Management</w:t>
      </w:r>
      <w:r w:rsidRPr="002B3E1D">
        <w:rPr>
          <w:rFonts w:ascii="Times New Roman" w:hAnsi="Times New Roman" w:cs="Times New Roman"/>
          <w:color w:val="222222"/>
          <w:sz w:val="24"/>
          <w:szCs w:val="24"/>
          <w:shd w:val="clear" w:color="auto" w:fill="FFFFFF"/>
          <w:lang w:val="en-US"/>
        </w:rPr>
        <w:t>,</w:t>
      </w:r>
      <w:r w:rsidRPr="002B3E1D">
        <w:rPr>
          <w:rStyle w:val="apple-converted-space"/>
          <w:rFonts w:ascii="Times New Roman" w:hAnsi="Times New Roman" w:cs="Times New Roman"/>
          <w:color w:val="222222"/>
          <w:sz w:val="24"/>
          <w:szCs w:val="24"/>
          <w:shd w:val="clear" w:color="auto" w:fill="FFFFFF"/>
          <w:lang w:val="en-US"/>
        </w:rPr>
        <w:t> </w:t>
      </w:r>
      <w:r w:rsidRPr="002B3E1D">
        <w:rPr>
          <w:rFonts w:ascii="Times New Roman" w:hAnsi="Times New Roman" w:cs="Times New Roman"/>
          <w:iCs/>
          <w:color w:val="222222"/>
          <w:sz w:val="24"/>
          <w:szCs w:val="24"/>
          <w:shd w:val="clear" w:color="auto" w:fill="FFFFFF"/>
          <w:lang w:val="en-US"/>
        </w:rPr>
        <w:t>34</w:t>
      </w:r>
      <w:r w:rsidRPr="002B3E1D">
        <w:rPr>
          <w:rFonts w:ascii="Times New Roman" w:hAnsi="Times New Roman" w:cs="Times New Roman"/>
          <w:color w:val="222222"/>
          <w:sz w:val="24"/>
          <w:szCs w:val="24"/>
          <w:shd w:val="clear" w:color="auto" w:fill="FFFFFF"/>
          <w:lang w:val="en-US"/>
        </w:rPr>
        <w:t>(3</w:t>
      </w:r>
      <w:r w:rsidR="00562D43" w:rsidRPr="002B3E1D">
        <w:rPr>
          <w:rFonts w:ascii="Times New Roman" w:hAnsi="Times New Roman" w:cs="Times New Roman"/>
          <w:color w:val="222222"/>
          <w:sz w:val="24"/>
          <w:szCs w:val="24"/>
          <w:shd w:val="clear" w:color="auto" w:fill="FFFFFF"/>
          <w:lang w:val="en-US"/>
        </w:rPr>
        <w:t>):</w:t>
      </w:r>
      <w:r w:rsidRPr="002B3E1D">
        <w:rPr>
          <w:rFonts w:ascii="Times New Roman" w:hAnsi="Times New Roman" w:cs="Times New Roman"/>
          <w:color w:val="222222"/>
          <w:sz w:val="24"/>
          <w:szCs w:val="24"/>
          <w:shd w:val="clear" w:color="auto" w:fill="FFFFFF"/>
          <w:lang w:val="en-US"/>
        </w:rPr>
        <w:t xml:space="preserve"> 375-409.</w:t>
      </w:r>
    </w:p>
    <w:p w14:paraId="0187B25E" w14:textId="77777777" w:rsidR="008F5536" w:rsidRPr="002B3E1D" w:rsidRDefault="004809B9" w:rsidP="008F5536">
      <w:pPr>
        <w:spacing w:after="0" w:line="240" w:lineRule="auto"/>
        <w:ind w:left="284" w:hanging="284"/>
        <w:jc w:val="both"/>
        <w:rPr>
          <w:rFonts w:ascii="Times New Roman" w:hAnsi="Times New Roman" w:cs="Times New Roman"/>
          <w:color w:val="222222"/>
          <w:sz w:val="24"/>
          <w:szCs w:val="24"/>
          <w:shd w:val="clear" w:color="auto" w:fill="FFFFFF"/>
          <w:lang w:val="en-US"/>
        </w:rPr>
      </w:pPr>
      <w:r w:rsidRPr="002B3E1D">
        <w:rPr>
          <w:rFonts w:ascii="Times New Roman" w:eastAsia="Times New Roman" w:hAnsi="Times New Roman" w:cs="Times New Roman"/>
          <w:sz w:val="24"/>
          <w:szCs w:val="24"/>
          <w:lang w:val="en-US"/>
        </w:rPr>
        <w:t>Reus, T.</w:t>
      </w:r>
      <w:r w:rsidR="008F5536" w:rsidRPr="002B3E1D">
        <w:rPr>
          <w:rFonts w:ascii="Times New Roman" w:eastAsia="Times New Roman" w:hAnsi="Times New Roman" w:cs="Times New Roman"/>
          <w:sz w:val="24"/>
          <w:szCs w:val="24"/>
          <w:lang w:val="en-US"/>
        </w:rPr>
        <w:t xml:space="preserve">H. (2012). Culture's Consequences for Emotional Attending during Cross-Border Acquisition Implementation. </w:t>
      </w:r>
      <w:r w:rsidR="008F5536" w:rsidRPr="002B3E1D">
        <w:rPr>
          <w:rFonts w:ascii="Times New Roman" w:eastAsia="Times New Roman" w:hAnsi="Times New Roman" w:cs="Times New Roman"/>
          <w:i/>
          <w:iCs/>
          <w:sz w:val="24"/>
          <w:szCs w:val="24"/>
          <w:lang w:val="en-US"/>
        </w:rPr>
        <w:t>Journal of World Business</w:t>
      </w:r>
      <w:r w:rsidR="008F5536" w:rsidRPr="002B3E1D">
        <w:rPr>
          <w:rFonts w:ascii="Times New Roman" w:eastAsia="Times New Roman" w:hAnsi="Times New Roman" w:cs="Times New Roman"/>
          <w:iCs/>
          <w:sz w:val="24"/>
          <w:szCs w:val="24"/>
          <w:lang w:val="en-US"/>
        </w:rPr>
        <w:t>, 47(3)</w:t>
      </w:r>
      <w:r w:rsidR="008F5536" w:rsidRPr="002B3E1D">
        <w:rPr>
          <w:rFonts w:ascii="Times New Roman" w:eastAsia="Times New Roman" w:hAnsi="Times New Roman" w:cs="Times New Roman"/>
          <w:sz w:val="24"/>
          <w:szCs w:val="24"/>
          <w:lang w:val="en-US"/>
        </w:rPr>
        <w:t>: 342-351.</w:t>
      </w:r>
    </w:p>
    <w:p w14:paraId="4DD26A2F" w14:textId="77777777" w:rsidR="008F5536" w:rsidRPr="002B3E1D" w:rsidRDefault="004809B9" w:rsidP="008F5536">
      <w:pPr>
        <w:spacing w:after="0" w:line="240" w:lineRule="auto"/>
        <w:ind w:left="284" w:hanging="284"/>
        <w:jc w:val="both"/>
        <w:rPr>
          <w:rFonts w:ascii="Times New Roman" w:hAnsi="Times New Roman" w:cs="Times New Roman"/>
          <w:color w:val="222222"/>
          <w:sz w:val="24"/>
          <w:szCs w:val="24"/>
          <w:shd w:val="clear" w:color="auto" w:fill="FFFFFF"/>
          <w:lang w:val="en-US"/>
        </w:rPr>
      </w:pPr>
      <w:r w:rsidRPr="002B3E1D">
        <w:rPr>
          <w:rFonts w:ascii="Times New Roman" w:hAnsi="Times New Roman" w:cs="Times New Roman"/>
          <w:color w:val="222222"/>
          <w:sz w:val="24"/>
          <w:szCs w:val="24"/>
          <w:shd w:val="clear" w:color="auto" w:fill="FFFFFF"/>
          <w:lang w:val="en-US"/>
        </w:rPr>
        <w:t>Russell, R.</w:t>
      </w:r>
      <w:r w:rsidR="008F5536" w:rsidRPr="002B3E1D">
        <w:rPr>
          <w:rFonts w:ascii="Times New Roman" w:hAnsi="Times New Roman" w:cs="Times New Roman"/>
          <w:color w:val="222222"/>
          <w:sz w:val="24"/>
          <w:szCs w:val="24"/>
          <w:shd w:val="clear" w:color="auto" w:fill="FFFFFF"/>
          <w:lang w:val="en-US"/>
        </w:rPr>
        <w:t xml:space="preserve">D. (1999). Developing a process model of intrapreneurial systems: a cognitive mapping approach. </w:t>
      </w:r>
      <w:r w:rsidR="008F5536" w:rsidRPr="002B3E1D">
        <w:rPr>
          <w:rFonts w:ascii="Times New Roman" w:hAnsi="Times New Roman" w:cs="Times New Roman"/>
          <w:i/>
          <w:color w:val="222222"/>
          <w:sz w:val="24"/>
          <w:szCs w:val="24"/>
          <w:shd w:val="clear" w:color="auto" w:fill="FFFFFF"/>
          <w:lang w:val="en-US"/>
        </w:rPr>
        <w:t>Entrepreneurship Practice and Theory</w:t>
      </w:r>
      <w:r w:rsidR="008F5536" w:rsidRPr="002B3E1D">
        <w:rPr>
          <w:rFonts w:ascii="Times New Roman" w:hAnsi="Times New Roman" w:cs="Times New Roman"/>
          <w:color w:val="222222"/>
          <w:sz w:val="24"/>
          <w:szCs w:val="24"/>
          <w:shd w:val="clear" w:color="auto" w:fill="FFFFFF"/>
          <w:lang w:val="en-US"/>
        </w:rPr>
        <w:t>, 23, 65–84.</w:t>
      </w:r>
    </w:p>
    <w:p w14:paraId="1C406318" w14:textId="77777777" w:rsidR="008F5536" w:rsidRPr="002B3E1D" w:rsidRDefault="008F5536" w:rsidP="008F5536">
      <w:pPr>
        <w:spacing w:after="0" w:line="240" w:lineRule="auto"/>
        <w:ind w:left="284" w:hanging="284"/>
        <w:jc w:val="both"/>
        <w:rPr>
          <w:rFonts w:ascii="Times New Roman" w:eastAsia="Times New Roman" w:hAnsi="Times New Roman" w:cs="Times New Roman"/>
          <w:sz w:val="24"/>
          <w:szCs w:val="24"/>
          <w:shd w:val="clear" w:color="auto" w:fill="FFFFFF"/>
          <w:lang w:val="en-US"/>
        </w:rPr>
      </w:pPr>
      <w:r w:rsidRPr="002B3E1D">
        <w:rPr>
          <w:rFonts w:ascii="Times New Roman" w:eastAsia="Times New Roman" w:hAnsi="Times New Roman" w:cs="Times New Roman"/>
          <w:color w:val="222222"/>
          <w:sz w:val="24"/>
          <w:szCs w:val="24"/>
          <w:shd w:val="clear" w:color="auto" w:fill="FFFFFF"/>
          <w:lang w:val="en-US"/>
        </w:rPr>
        <w:t xml:space="preserve">Sarala, R.M., Junni, P., Cooper, C.L., and Tarba, S.Y., (2016). A sociocultural perspective on knowledge transfer in mergers and </w:t>
      </w:r>
      <w:r w:rsidRPr="002B3E1D">
        <w:rPr>
          <w:rFonts w:ascii="Times New Roman" w:eastAsia="Times New Roman" w:hAnsi="Times New Roman" w:cs="Times New Roman"/>
          <w:sz w:val="24"/>
          <w:szCs w:val="24"/>
          <w:shd w:val="clear" w:color="auto" w:fill="FFFFFF"/>
          <w:lang w:val="en-US"/>
        </w:rPr>
        <w:t>acquisitions. </w:t>
      </w:r>
      <w:r w:rsidRPr="002B3E1D">
        <w:rPr>
          <w:rFonts w:ascii="Times New Roman" w:eastAsia="Times New Roman" w:hAnsi="Times New Roman" w:cs="Times New Roman"/>
          <w:i/>
          <w:iCs/>
          <w:sz w:val="24"/>
          <w:szCs w:val="24"/>
          <w:lang w:val="en-US"/>
        </w:rPr>
        <w:t>Journal of Management</w:t>
      </w:r>
      <w:r w:rsidRPr="002B3E1D">
        <w:rPr>
          <w:rFonts w:ascii="Times New Roman" w:eastAsia="Times New Roman" w:hAnsi="Times New Roman" w:cs="Times New Roman"/>
          <w:sz w:val="24"/>
          <w:szCs w:val="24"/>
          <w:shd w:val="clear" w:color="auto" w:fill="FFFFFF"/>
          <w:lang w:val="en-US"/>
        </w:rPr>
        <w:t>, </w:t>
      </w:r>
      <w:r w:rsidRPr="002B3E1D">
        <w:rPr>
          <w:rFonts w:ascii="Times New Roman" w:eastAsia="Times New Roman" w:hAnsi="Times New Roman" w:cs="Times New Roman"/>
          <w:iCs/>
          <w:sz w:val="24"/>
          <w:szCs w:val="24"/>
          <w:lang w:val="en-US"/>
        </w:rPr>
        <w:t>42</w:t>
      </w:r>
      <w:r w:rsidRPr="002B3E1D">
        <w:rPr>
          <w:rFonts w:ascii="Times New Roman" w:eastAsia="Times New Roman" w:hAnsi="Times New Roman" w:cs="Times New Roman"/>
          <w:sz w:val="24"/>
          <w:szCs w:val="24"/>
          <w:shd w:val="clear" w:color="auto" w:fill="FFFFFF"/>
          <w:lang w:val="en-US"/>
        </w:rPr>
        <w:t>(5</w:t>
      </w:r>
      <w:r w:rsidR="00562D43" w:rsidRPr="002B3E1D">
        <w:rPr>
          <w:rFonts w:ascii="Times New Roman" w:eastAsia="Times New Roman" w:hAnsi="Times New Roman" w:cs="Times New Roman"/>
          <w:sz w:val="24"/>
          <w:szCs w:val="24"/>
          <w:shd w:val="clear" w:color="auto" w:fill="FFFFFF"/>
          <w:lang w:val="en-US"/>
        </w:rPr>
        <w:t>):</w:t>
      </w:r>
      <w:r w:rsidRPr="002B3E1D">
        <w:rPr>
          <w:rFonts w:ascii="Times New Roman" w:eastAsia="Times New Roman" w:hAnsi="Times New Roman" w:cs="Times New Roman"/>
          <w:sz w:val="24"/>
          <w:szCs w:val="24"/>
          <w:shd w:val="clear" w:color="auto" w:fill="FFFFFF"/>
          <w:lang w:val="en-US"/>
        </w:rPr>
        <w:t xml:space="preserve"> 1230-1249.</w:t>
      </w:r>
    </w:p>
    <w:p w14:paraId="74A6D063" w14:textId="702655D9" w:rsidR="00877161" w:rsidRPr="00BB517D" w:rsidRDefault="00877161" w:rsidP="00FC5B58">
      <w:pPr>
        <w:spacing w:after="0" w:line="240" w:lineRule="auto"/>
        <w:ind w:left="284" w:hanging="284"/>
        <w:jc w:val="both"/>
        <w:rPr>
          <w:rFonts w:ascii="Times New Roman" w:eastAsia="Times New Roman" w:hAnsi="Times New Roman" w:cs="Times New Roman"/>
          <w:color w:val="000000" w:themeColor="text1"/>
          <w:sz w:val="24"/>
          <w:szCs w:val="24"/>
          <w:lang w:val="en-US"/>
        </w:rPr>
      </w:pPr>
      <w:proofErr w:type="spellStart"/>
      <w:r w:rsidRPr="00BB517D">
        <w:rPr>
          <w:rFonts w:ascii="Times New Roman" w:eastAsia="Times New Roman" w:hAnsi="Times New Roman" w:cs="Times New Roman"/>
          <w:color w:val="000000" w:themeColor="text1"/>
          <w:sz w:val="24"/>
          <w:szCs w:val="24"/>
          <w:shd w:val="clear" w:color="auto" w:fill="FFFFFF"/>
          <w:lang w:val="en-US"/>
        </w:rPr>
        <w:t>Schneckenberg</w:t>
      </w:r>
      <w:proofErr w:type="spellEnd"/>
      <w:r w:rsidRPr="00BB517D">
        <w:rPr>
          <w:rFonts w:ascii="Times New Roman" w:eastAsia="Times New Roman" w:hAnsi="Times New Roman" w:cs="Times New Roman"/>
          <w:color w:val="000000" w:themeColor="text1"/>
          <w:sz w:val="24"/>
          <w:szCs w:val="24"/>
          <w:shd w:val="clear" w:color="auto" w:fill="FFFFFF"/>
          <w:lang w:val="en-US"/>
        </w:rPr>
        <w:t>, D., Truong, Y., &amp; Mazloomi, H. (2015). Microfoundations of innovative capabilities: The leverage of collaborative technologies on organizational learning and knowledge management in a multinational corporation. </w:t>
      </w:r>
      <w:r w:rsidRPr="00BB517D">
        <w:rPr>
          <w:rFonts w:ascii="Times New Roman" w:eastAsia="Times New Roman" w:hAnsi="Times New Roman" w:cs="Times New Roman"/>
          <w:bCs/>
          <w:i/>
          <w:iCs/>
          <w:color w:val="000000" w:themeColor="text1"/>
          <w:sz w:val="24"/>
          <w:szCs w:val="24"/>
          <w:lang w:val="en-US"/>
        </w:rPr>
        <w:t>Technological Forecasting and Social Change</w:t>
      </w:r>
      <w:r w:rsidRPr="00BB517D">
        <w:rPr>
          <w:rFonts w:ascii="Times New Roman" w:eastAsia="Times New Roman" w:hAnsi="Times New Roman" w:cs="Times New Roman"/>
          <w:color w:val="000000" w:themeColor="text1"/>
          <w:sz w:val="24"/>
          <w:szCs w:val="24"/>
          <w:shd w:val="clear" w:color="auto" w:fill="FFFFFF"/>
          <w:lang w:val="en-US"/>
        </w:rPr>
        <w:t>, 100, 356-368.</w:t>
      </w:r>
    </w:p>
    <w:p w14:paraId="3E955D2D" w14:textId="77777777" w:rsidR="00877161" w:rsidRPr="00BB517D" w:rsidRDefault="00877161" w:rsidP="00FC5B58">
      <w:pPr>
        <w:spacing w:after="0" w:line="240" w:lineRule="auto"/>
        <w:ind w:left="284" w:hanging="284"/>
        <w:jc w:val="both"/>
        <w:rPr>
          <w:rFonts w:ascii="Times New Roman" w:eastAsia="Times New Roman" w:hAnsi="Times New Roman" w:cs="Times New Roman"/>
          <w:color w:val="000000" w:themeColor="text1"/>
          <w:sz w:val="24"/>
          <w:szCs w:val="24"/>
          <w:lang w:val="en-US"/>
        </w:rPr>
      </w:pPr>
      <w:r w:rsidRPr="00BB517D">
        <w:rPr>
          <w:rFonts w:ascii="Times New Roman" w:eastAsia="Times New Roman" w:hAnsi="Times New Roman" w:cs="Times New Roman"/>
          <w:color w:val="000000" w:themeColor="text1"/>
          <w:sz w:val="24"/>
          <w:szCs w:val="24"/>
          <w:shd w:val="clear" w:color="auto" w:fill="FFFFFF"/>
          <w:lang w:val="en-US"/>
        </w:rPr>
        <w:t>Scuotto, V., Del Giudice, M., Bresciani, S., &amp; Meissner, D. (2017). Knowledge-driven preferences in informal inbound open innovation modes. An explorative view on small to medium enterprises. </w:t>
      </w:r>
      <w:r w:rsidRPr="00BB517D">
        <w:rPr>
          <w:rFonts w:ascii="Times New Roman" w:eastAsia="Times New Roman" w:hAnsi="Times New Roman" w:cs="Times New Roman"/>
          <w:i/>
          <w:iCs/>
          <w:color w:val="000000" w:themeColor="text1"/>
          <w:sz w:val="24"/>
          <w:szCs w:val="24"/>
          <w:lang w:val="en-US"/>
        </w:rPr>
        <w:t>Journal of Knowledge Management</w:t>
      </w:r>
      <w:r w:rsidRPr="00BB517D">
        <w:rPr>
          <w:rFonts w:ascii="Times New Roman" w:eastAsia="Times New Roman" w:hAnsi="Times New Roman" w:cs="Times New Roman"/>
          <w:color w:val="000000" w:themeColor="text1"/>
          <w:sz w:val="24"/>
          <w:szCs w:val="24"/>
          <w:shd w:val="clear" w:color="auto" w:fill="FFFFFF"/>
          <w:lang w:val="en-US"/>
        </w:rPr>
        <w:t>, </w:t>
      </w:r>
      <w:r w:rsidRPr="00BB517D">
        <w:rPr>
          <w:rFonts w:ascii="Times New Roman" w:eastAsia="Times New Roman" w:hAnsi="Times New Roman" w:cs="Times New Roman"/>
          <w:i/>
          <w:iCs/>
          <w:color w:val="000000" w:themeColor="text1"/>
          <w:sz w:val="24"/>
          <w:szCs w:val="24"/>
          <w:lang w:val="en-US"/>
        </w:rPr>
        <w:t>21</w:t>
      </w:r>
      <w:r w:rsidRPr="00BB517D">
        <w:rPr>
          <w:rFonts w:ascii="Times New Roman" w:eastAsia="Times New Roman" w:hAnsi="Times New Roman" w:cs="Times New Roman"/>
          <w:color w:val="000000" w:themeColor="text1"/>
          <w:sz w:val="24"/>
          <w:szCs w:val="24"/>
          <w:shd w:val="clear" w:color="auto" w:fill="FFFFFF"/>
          <w:lang w:val="en-US"/>
        </w:rPr>
        <w:t>(3), 640-655.</w:t>
      </w:r>
    </w:p>
    <w:p w14:paraId="032460E4" w14:textId="00B6A9E3" w:rsidR="008F5536" w:rsidRPr="002B3E1D" w:rsidRDefault="004809B9" w:rsidP="008F5536">
      <w:pPr>
        <w:spacing w:after="0" w:line="240" w:lineRule="auto"/>
        <w:ind w:left="284" w:hanging="284"/>
        <w:jc w:val="both"/>
        <w:rPr>
          <w:rFonts w:ascii="Times New Roman" w:eastAsia="Times New Roman" w:hAnsi="Times New Roman" w:cs="Times New Roman"/>
          <w:sz w:val="24"/>
          <w:szCs w:val="24"/>
          <w:lang w:val="en-US"/>
        </w:rPr>
      </w:pPr>
      <w:r w:rsidRPr="002B3E1D">
        <w:rPr>
          <w:rFonts w:ascii="Times New Roman" w:eastAsia="Times New Roman" w:hAnsi="Times New Roman" w:cs="Times New Roman"/>
          <w:sz w:val="24"/>
          <w:szCs w:val="24"/>
          <w:lang w:val="en-US"/>
        </w:rPr>
        <w:t>Seth, A., Song, K.</w:t>
      </w:r>
      <w:r w:rsidR="008F5536" w:rsidRPr="002B3E1D">
        <w:rPr>
          <w:rFonts w:ascii="Times New Roman" w:eastAsia="Times New Roman" w:hAnsi="Times New Roman" w:cs="Times New Roman"/>
          <w:sz w:val="24"/>
          <w:szCs w:val="24"/>
          <w:lang w:val="en-US"/>
        </w:rPr>
        <w:t>P., and</w:t>
      </w:r>
      <w:r w:rsidRPr="002B3E1D">
        <w:rPr>
          <w:rFonts w:ascii="Times New Roman" w:eastAsia="Times New Roman" w:hAnsi="Times New Roman" w:cs="Times New Roman"/>
          <w:sz w:val="24"/>
          <w:szCs w:val="24"/>
          <w:lang w:val="en-US"/>
        </w:rPr>
        <w:t xml:space="preserve"> Pettit, R.</w:t>
      </w:r>
      <w:r w:rsidR="008F5536" w:rsidRPr="002B3E1D">
        <w:rPr>
          <w:rFonts w:ascii="Times New Roman" w:eastAsia="Times New Roman" w:hAnsi="Times New Roman" w:cs="Times New Roman"/>
          <w:sz w:val="24"/>
          <w:szCs w:val="24"/>
          <w:lang w:val="en-US"/>
        </w:rPr>
        <w:t xml:space="preserve">R. </w:t>
      </w:r>
      <w:r w:rsidR="00127DFB">
        <w:rPr>
          <w:rFonts w:ascii="Times New Roman" w:eastAsia="Times New Roman" w:hAnsi="Times New Roman" w:cs="Times New Roman"/>
          <w:sz w:val="24"/>
          <w:szCs w:val="24"/>
          <w:lang w:val="en-US"/>
        </w:rPr>
        <w:t>(</w:t>
      </w:r>
      <w:r w:rsidR="008F5536" w:rsidRPr="002B3E1D">
        <w:rPr>
          <w:rFonts w:ascii="Times New Roman" w:eastAsia="Times New Roman" w:hAnsi="Times New Roman" w:cs="Times New Roman"/>
          <w:sz w:val="24"/>
          <w:szCs w:val="24"/>
          <w:lang w:val="en-US"/>
        </w:rPr>
        <w:t>2002</w:t>
      </w:r>
      <w:r w:rsidR="00127DFB">
        <w:rPr>
          <w:rFonts w:ascii="Times New Roman" w:eastAsia="Times New Roman" w:hAnsi="Times New Roman" w:cs="Times New Roman"/>
          <w:sz w:val="24"/>
          <w:szCs w:val="24"/>
          <w:lang w:val="en-US"/>
        </w:rPr>
        <w:t>)</w:t>
      </w:r>
      <w:r w:rsidR="008F5536" w:rsidRPr="002B3E1D">
        <w:rPr>
          <w:rFonts w:ascii="Times New Roman" w:eastAsia="Times New Roman" w:hAnsi="Times New Roman" w:cs="Times New Roman"/>
          <w:sz w:val="24"/>
          <w:szCs w:val="24"/>
          <w:lang w:val="en-US"/>
        </w:rPr>
        <w:t xml:space="preserve">. Value Creation and Destruction in Cross-Border Acquisitions: An Empirical Analysis of Foreign Acquisitions of U.S. Firms. </w:t>
      </w:r>
      <w:r w:rsidR="008F5536" w:rsidRPr="002B3E1D">
        <w:rPr>
          <w:rFonts w:ascii="Times New Roman" w:eastAsia="Times New Roman" w:hAnsi="Times New Roman" w:cs="Times New Roman"/>
          <w:i/>
          <w:iCs/>
          <w:sz w:val="24"/>
          <w:szCs w:val="24"/>
          <w:lang w:val="en-US"/>
        </w:rPr>
        <w:t>Strategic Management Journal</w:t>
      </w:r>
      <w:r w:rsidR="008F5536" w:rsidRPr="002B3E1D">
        <w:rPr>
          <w:rFonts w:ascii="Times New Roman" w:eastAsia="Times New Roman" w:hAnsi="Times New Roman" w:cs="Times New Roman"/>
          <w:iCs/>
          <w:sz w:val="24"/>
          <w:szCs w:val="24"/>
          <w:lang w:val="en-US"/>
        </w:rPr>
        <w:t>, 23(10)</w:t>
      </w:r>
      <w:r w:rsidR="008F5536" w:rsidRPr="002B3E1D">
        <w:rPr>
          <w:rFonts w:ascii="Times New Roman" w:eastAsia="Times New Roman" w:hAnsi="Times New Roman" w:cs="Times New Roman"/>
          <w:sz w:val="24"/>
          <w:szCs w:val="24"/>
          <w:lang w:val="en-US"/>
        </w:rPr>
        <w:t>: 921-940.</w:t>
      </w:r>
    </w:p>
    <w:p w14:paraId="1F2F77BB" w14:textId="77777777" w:rsidR="008F5536" w:rsidRPr="002B3E1D" w:rsidRDefault="008F5536" w:rsidP="008F5536">
      <w:pPr>
        <w:spacing w:after="0" w:line="240" w:lineRule="auto"/>
        <w:ind w:left="284" w:hanging="284"/>
        <w:jc w:val="both"/>
        <w:rPr>
          <w:rFonts w:ascii="Times New Roman" w:hAnsi="Times New Roman" w:cs="Times New Roman"/>
          <w:color w:val="222222"/>
          <w:sz w:val="24"/>
          <w:szCs w:val="24"/>
          <w:shd w:val="clear" w:color="auto" w:fill="FFFFFF"/>
          <w:lang w:val="en-US"/>
        </w:rPr>
      </w:pPr>
      <w:proofErr w:type="spellStart"/>
      <w:r w:rsidRPr="002B3E1D">
        <w:rPr>
          <w:rFonts w:ascii="Times New Roman" w:hAnsi="Times New Roman" w:cs="Times New Roman"/>
          <w:color w:val="222222"/>
          <w:sz w:val="24"/>
          <w:szCs w:val="24"/>
          <w:shd w:val="clear" w:color="auto" w:fill="FFFFFF"/>
          <w:lang w:val="en-US"/>
        </w:rPr>
        <w:t>Simsek</w:t>
      </w:r>
      <w:proofErr w:type="spellEnd"/>
      <w:r w:rsidRPr="002B3E1D">
        <w:rPr>
          <w:rFonts w:ascii="Times New Roman" w:hAnsi="Times New Roman" w:cs="Times New Roman"/>
          <w:color w:val="222222"/>
          <w:sz w:val="24"/>
          <w:szCs w:val="24"/>
          <w:shd w:val="clear" w:color="auto" w:fill="FFFFFF"/>
          <w:lang w:val="en-US"/>
        </w:rPr>
        <w:t xml:space="preserve">, Z. (2009). Organizational ambidexterity: Towards a multilevel understanding. </w:t>
      </w:r>
      <w:r w:rsidRPr="002B3E1D">
        <w:rPr>
          <w:rFonts w:ascii="Times New Roman" w:hAnsi="Times New Roman" w:cs="Times New Roman"/>
          <w:i/>
          <w:color w:val="222222"/>
          <w:sz w:val="24"/>
          <w:szCs w:val="24"/>
          <w:shd w:val="clear" w:color="auto" w:fill="FFFFFF"/>
          <w:lang w:val="en-US"/>
        </w:rPr>
        <w:t>Journal of Management Studies</w:t>
      </w:r>
      <w:r w:rsidRPr="002B3E1D">
        <w:rPr>
          <w:rFonts w:ascii="Times New Roman" w:hAnsi="Times New Roman" w:cs="Times New Roman"/>
          <w:color w:val="222222"/>
          <w:sz w:val="24"/>
          <w:szCs w:val="24"/>
          <w:shd w:val="clear" w:color="auto" w:fill="FFFFFF"/>
          <w:lang w:val="en-US"/>
        </w:rPr>
        <w:t>, 46(4</w:t>
      </w:r>
      <w:r w:rsidR="00562D43" w:rsidRPr="002B3E1D">
        <w:rPr>
          <w:rFonts w:ascii="Times New Roman" w:hAnsi="Times New Roman" w:cs="Times New Roman"/>
          <w:color w:val="222222"/>
          <w:sz w:val="24"/>
          <w:szCs w:val="24"/>
          <w:shd w:val="clear" w:color="auto" w:fill="FFFFFF"/>
          <w:lang w:val="en-US"/>
        </w:rPr>
        <w:t>):</w:t>
      </w:r>
      <w:r w:rsidRPr="002B3E1D">
        <w:rPr>
          <w:rFonts w:ascii="Times New Roman" w:hAnsi="Times New Roman" w:cs="Times New Roman"/>
          <w:color w:val="222222"/>
          <w:sz w:val="24"/>
          <w:szCs w:val="24"/>
          <w:shd w:val="clear" w:color="auto" w:fill="FFFFFF"/>
          <w:lang w:val="en-US"/>
        </w:rPr>
        <w:t xml:space="preserve"> 597–624.</w:t>
      </w:r>
    </w:p>
    <w:p w14:paraId="7B1111B4" w14:textId="77777777" w:rsidR="008F5536" w:rsidRPr="002B3E1D" w:rsidRDefault="008F5536" w:rsidP="008F5536">
      <w:pPr>
        <w:spacing w:after="0" w:line="240" w:lineRule="auto"/>
        <w:ind w:left="284" w:hanging="284"/>
        <w:jc w:val="both"/>
        <w:rPr>
          <w:rFonts w:ascii="Times New Roman" w:hAnsi="Times New Roman" w:cs="Times New Roman"/>
          <w:sz w:val="24"/>
          <w:szCs w:val="24"/>
          <w:shd w:val="clear" w:color="auto" w:fill="FFFFFF"/>
          <w:lang w:val="en-US"/>
        </w:rPr>
      </w:pPr>
      <w:r w:rsidRPr="002B3E1D">
        <w:rPr>
          <w:rFonts w:ascii="Times New Roman" w:hAnsi="Times New Roman" w:cs="Times New Roman"/>
          <w:color w:val="222222"/>
          <w:sz w:val="24"/>
          <w:szCs w:val="24"/>
          <w:shd w:val="clear" w:color="auto" w:fill="FFFFFF"/>
          <w:lang w:val="en-US"/>
        </w:rPr>
        <w:t>Si</w:t>
      </w:r>
      <w:r w:rsidR="004809B9" w:rsidRPr="002B3E1D">
        <w:rPr>
          <w:rFonts w:ascii="Times New Roman" w:hAnsi="Times New Roman" w:cs="Times New Roman"/>
          <w:color w:val="222222"/>
          <w:sz w:val="24"/>
          <w:szCs w:val="24"/>
          <w:shd w:val="clear" w:color="auto" w:fill="FFFFFF"/>
          <w:lang w:val="en-US"/>
        </w:rPr>
        <w:t>msek, Z., Heavey, C., Veiga, J.</w:t>
      </w:r>
      <w:r w:rsidRPr="002B3E1D">
        <w:rPr>
          <w:rFonts w:ascii="Times New Roman" w:hAnsi="Times New Roman" w:cs="Times New Roman"/>
          <w:color w:val="222222"/>
          <w:sz w:val="24"/>
          <w:szCs w:val="24"/>
          <w:shd w:val="clear" w:color="auto" w:fill="FFFFFF"/>
          <w:lang w:val="en-US"/>
        </w:rPr>
        <w:t xml:space="preserve">F., and Souder, D. (2009). A typology for aligning organizational ambidexterity’s conceptualizations, antecedents, and outcomes. </w:t>
      </w:r>
      <w:r w:rsidRPr="002B3E1D">
        <w:rPr>
          <w:rFonts w:ascii="Times New Roman" w:hAnsi="Times New Roman" w:cs="Times New Roman"/>
          <w:i/>
          <w:color w:val="222222"/>
          <w:sz w:val="24"/>
          <w:szCs w:val="24"/>
          <w:shd w:val="clear" w:color="auto" w:fill="FFFFFF"/>
          <w:lang w:val="en-US"/>
        </w:rPr>
        <w:t>Journal of Management Studies</w:t>
      </w:r>
      <w:r w:rsidRPr="002B3E1D">
        <w:rPr>
          <w:rFonts w:ascii="Times New Roman" w:hAnsi="Times New Roman" w:cs="Times New Roman"/>
          <w:color w:val="222222"/>
          <w:sz w:val="24"/>
          <w:szCs w:val="24"/>
          <w:shd w:val="clear" w:color="auto" w:fill="FFFFFF"/>
          <w:lang w:val="en-US"/>
        </w:rPr>
        <w:t>, 46(5</w:t>
      </w:r>
      <w:r w:rsidR="00562D43" w:rsidRPr="002B3E1D">
        <w:rPr>
          <w:rFonts w:ascii="Times New Roman" w:hAnsi="Times New Roman" w:cs="Times New Roman"/>
          <w:color w:val="222222"/>
          <w:sz w:val="24"/>
          <w:szCs w:val="24"/>
          <w:shd w:val="clear" w:color="auto" w:fill="FFFFFF"/>
          <w:lang w:val="en-US"/>
        </w:rPr>
        <w:t>):</w:t>
      </w:r>
      <w:r w:rsidRPr="002B3E1D">
        <w:rPr>
          <w:rFonts w:ascii="Times New Roman" w:hAnsi="Times New Roman" w:cs="Times New Roman"/>
          <w:color w:val="222222"/>
          <w:sz w:val="24"/>
          <w:szCs w:val="24"/>
          <w:shd w:val="clear" w:color="auto" w:fill="FFFFFF"/>
          <w:lang w:val="en-US"/>
        </w:rPr>
        <w:t xml:space="preserve"> 864–894.</w:t>
      </w:r>
    </w:p>
    <w:p w14:paraId="4F78B3A4" w14:textId="77777777" w:rsidR="008F5536" w:rsidRPr="002B3E1D" w:rsidRDefault="008F5536" w:rsidP="008F5536">
      <w:pPr>
        <w:shd w:val="clear" w:color="auto" w:fill="FFFFFF"/>
        <w:spacing w:after="0" w:line="240" w:lineRule="auto"/>
        <w:ind w:left="284" w:hanging="284"/>
        <w:jc w:val="both"/>
        <w:textAlignment w:val="baseline"/>
        <w:rPr>
          <w:rFonts w:ascii="Times New Roman" w:hAnsi="Times New Roman" w:cs="Times New Roman"/>
          <w:sz w:val="24"/>
          <w:szCs w:val="24"/>
          <w:shd w:val="clear" w:color="auto" w:fill="FFFFFF"/>
          <w:lang w:val="en-US"/>
        </w:rPr>
      </w:pPr>
      <w:r w:rsidRPr="002B3E1D">
        <w:rPr>
          <w:rFonts w:ascii="Times New Roman" w:hAnsi="Times New Roman" w:cs="Times New Roman"/>
          <w:sz w:val="24"/>
          <w:szCs w:val="24"/>
          <w:shd w:val="clear" w:color="auto" w:fill="FFFFFF"/>
          <w:lang w:val="en-US"/>
        </w:rPr>
        <w:t xml:space="preserve">Stettner, U., and Lavie, D. (2014). Ambidexterity under scrutiny: Exploration and exploitation via internal organization, alliances, and acquisitions. </w:t>
      </w:r>
      <w:r w:rsidRPr="002B3E1D">
        <w:rPr>
          <w:rFonts w:ascii="Times New Roman" w:hAnsi="Times New Roman" w:cs="Times New Roman"/>
          <w:i/>
          <w:sz w:val="24"/>
          <w:szCs w:val="24"/>
          <w:shd w:val="clear" w:color="auto" w:fill="FFFFFF"/>
          <w:lang w:val="en-US"/>
        </w:rPr>
        <w:t>Strategic Management Journal</w:t>
      </w:r>
      <w:r w:rsidRPr="002B3E1D">
        <w:rPr>
          <w:rFonts w:ascii="Times New Roman" w:hAnsi="Times New Roman" w:cs="Times New Roman"/>
          <w:sz w:val="24"/>
          <w:szCs w:val="24"/>
          <w:shd w:val="clear" w:color="auto" w:fill="FFFFFF"/>
          <w:lang w:val="en-US"/>
        </w:rPr>
        <w:t>, 35(13</w:t>
      </w:r>
      <w:r w:rsidR="00562D43" w:rsidRPr="002B3E1D">
        <w:rPr>
          <w:rFonts w:ascii="Times New Roman" w:hAnsi="Times New Roman" w:cs="Times New Roman"/>
          <w:sz w:val="24"/>
          <w:szCs w:val="24"/>
          <w:shd w:val="clear" w:color="auto" w:fill="FFFFFF"/>
          <w:lang w:val="en-US"/>
        </w:rPr>
        <w:t>):</w:t>
      </w:r>
      <w:r w:rsidRPr="002B3E1D">
        <w:rPr>
          <w:rFonts w:ascii="Times New Roman" w:hAnsi="Times New Roman" w:cs="Times New Roman"/>
          <w:sz w:val="24"/>
          <w:szCs w:val="24"/>
          <w:shd w:val="clear" w:color="auto" w:fill="FFFFFF"/>
          <w:lang w:val="en-US"/>
        </w:rPr>
        <w:t xml:space="preserve"> 1903-1929.</w:t>
      </w:r>
    </w:p>
    <w:p w14:paraId="649068CD" w14:textId="6BDC3736" w:rsidR="008F5536" w:rsidRPr="002B3E1D" w:rsidRDefault="008F5536" w:rsidP="008F5536">
      <w:pPr>
        <w:spacing w:after="0" w:line="240" w:lineRule="auto"/>
        <w:ind w:left="284" w:hanging="284"/>
        <w:jc w:val="both"/>
        <w:rPr>
          <w:rFonts w:ascii="Times New Roman" w:hAnsi="Times New Roman" w:cs="Times New Roman"/>
          <w:sz w:val="24"/>
          <w:szCs w:val="24"/>
          <w:lang w:val="en-US"/>
        </w:rPr>
      </w:pPr>
      <w:proofErr w:type="gramStart"/>
      <w:r w:rsidRPr="002B3E1D">
        <w:rPr>
          <w:rFonts w:ascii="Times New Roman" w:hAnsi="Times New Roman" w:cs="Times New Roman"/>
          <w:sz w:val="24"/>
          <w:szCs w:val="24"/>
          <w:lang w:val="en-US"/>
        </w:rPr>
        <w:t>Sudarsanam, S., and</w:t>
      </w:r>
      <w:r w:rsidR="004809B9" w:rsidRPr="002B3E1D">
        <w:rPr>
          <w:rFonts w:ascii="Times New Roman" w:hAnsi="Times New Roman" w:cs="Times New Roman"/>
          <w:sz w:val="24"/>
          <w:szCs w:val="24"/>
          <w:lang w:val="en-US"/>
        </w:rPr>
        <w:t xml:space="preserve"> Mahate, A.</w:t>
      </w:r>
      <w:r w:rsidRPr="002B3E1D">
        <w:rPr>
          <w:rFonts w:ascii="Times New Roman" w:hAnsi="Times New Roman" w:cs="Times New Roman"/>
          <w:sz w:val="24"/>
          <w:szCs w:val="24"/>
          <w:lang w:val="en-US"/>
        </w:rPr>
        <w:t xml:space="preserve">A. </w:t>
      </w:r>
      <w:r w:rsidR="00127DFB">
        <w:rPr>
          <w:rFonts w:ascii="Times New Roman" w:hAnsi="Times New Roman" w:cs="Times New Roman"/>
          <w:sz w:val="24"/>
          <w:szCs w:val="24"/>
          <w:lang w:val="en-US"/>
        </w:rPr>
        <w:t>(</w:t>
      </w:r>
      <w:r w:rsidRPr="002B3E1D">
        <w:rPr>
          <w:rFonts w:ascii="Times New Roman" w:hAnsi="Times New Roman" w:cs="Times New Roman"/>
          <w:sz w:val="24"/>
          <w:szCs w:val="24"/>
          <w:lang w:val="en-US"/>
        </w:rPr>
        <w:t>2006</w:t>
      </w:r>
      <w:r w:rsidR="00127DFB">
        <w:rPr>
          <w:rFonts w:ascii="Times New Roman" w:hAnsi="Times New Roman" w:cs="Times New Roman"/>
          <w:sz w:val="24"/>
          <w:szCs w:val="24"/>
          <w:lang w:val="en-US"/>
        </w:rPr>
        <w:t>)</w:t>
      </w:r>
      <w:r w:rsidRPr="002B3E1D">
        <w:rPr>
          <w:rFonts w:ascii="Times New Roman" w:hAnsi="Times New Roman" w:cs="Times New Roman"/>
          <w:sz w:val="24"/>
          <w:szCs w:val="24"/>
          <w:lang w:val="en-US"/>
        </w:rPr>
        <w:t>.</w:t>
      </w:r>
      <w:proofErr w:type="gramEnd"/>
      <w:r w:rsidRPr="002B3E1D">
        <w:rPr>
          <w:rFonts w:ascii="Times New Roman" w:hAnsi="Times New Roman" w:cs="Times New Roman"/>
          <w:sz w:val="24"/>
          <w:szCs w:val="24"/>
          <w:lang w:val="en-US"/>
        </w:rPr>
        <w:t xml:space="preserve"> Are Friendly Acquisitions Too Bad for Shareholders and Managers? Long-Term Value Creation and Top Management Turnover in Hostile and Friendly</w:t>
      </w:r>
      <w:r w:rsidRPr="002B3E1D">
        <w:rPr>
          <w:rFonts w:ascii="Times New Roman" w:eastAsiaTheme="minorEastAsia" w:hAnsi="Times New Roman" w:cs="Times New Roman"/>
          <w:sz w:val="24"/>
          <w:szCs w:val="24"/>
          <w:lang w:val="en-US"/>
        </w:rPr>
        <w:t xml:space="preserve"> </w:t>
      </w:r>
      <w:r w:rsidRPr="002B3E1D">
        <w:rPr>
          <w:rFonts w:ascii="Times New Roman" w:hAnsi="Times New Roman" w:cs="Times New Roman"/>
          <w:sz w:val="24"/>
          <w:szCs w:val="24"/>
          <w:lang w:val="en-US"/>
        </w:rPr>
        <w:t xml:space="preserve">Acquirers. </w:t>
      </w:r>
      <w:r w:rsidRPr="002B3E1D">
        <w:rPr>
          <w:rFonts w:ascii="Times New Roman" w:hAnsi="Times New Roman" w:cs="Times New Roman"/>
          <w:i/>
          <w:iCs/>
          <w:sz w:val="24"/>
          <w:szCs w:val="24"/>
          <w:lang w:val="en-US"/>
        </w:rPr>
        <w:t>British Journal of Management</w:t>
      </w:r>
      <w:r w:rsidRPr="002B3E1D">
        <w:rPr>
          <w:rFonts w:ascii="Times New Roman" w:hAnsi="Times New Roman" w:cs="Times New Roman"/>
          <w:iCs/>
          <w:sz w:val="24"/>
          <w:szCs w:val="24"/>
          <w:lang w:val="en-US"/>
        </w:rPr>
        <w:t>, 17(S1)</w:t>
      </w:r>
      <w:r w:rsidRPr="002B3E1D">
        <w:rPr>
          <w:rFonts w:ascii="Times New Roman" w:hAnsi="Times New Roman" w:cs="Times New Roman"/>
          <w:sz w:val="24"/>
          <w:szCs w:val="24"/>
          <w:lang w:val="en-US"/>
        </w:rPr>
        <w:t>: S7–S30.</w:t>
      </w:r>
    </w:p>
    <w:p w14:paraId="13117297" w14:textId="2029F3FB" w:rsidR="008F5536" w:rsidRPr="002B3E1D" w:rsidRDefault="008F5536" w:rsidP="008F5536">
      <w:pPr>
        <w:shd w:val="clear" w:color="auto" w:fill="FFFFFF"/>
        <w:spacing w:after="0" w:line="240" w:lineRule="auto"/>
        <w:ind w:left="284" w:hanging="284"/>
        <w:jc w:val="both"/>
        <w:textAlignment w:val="baseline"/>
        <w:rPr>
          <w:rFonts w:ascii="Times New Roman" w:hAnsi="Times New Roman" w:cs="Times New Roman"/>
          <w:sz w:val="24"/>
          <w:szCs w:val="24"/>
          <w:shd w:val="clear" w:color="auto" w:fill="FFFFFF"/>
          <w:lang w:val="en-US"/>
        </w:rPr>
      </w:pPr>
      <w:r w:rsidRPr="002B3E1D">
        <w:rPr>
          <w:rFonts w:ascii="Times New Roman" w:hAnsi="Times New Roman" w:cs="Times New Roman"/>
          <w:sz w:val="24"/>
          <w:szCs w:val="24"/>
          <w:shd w:val="clear" w:color="auto" w:fill="FFFFFF"/>
          <w:lang w:val="en-US"/>
        </w:rPr>
        <w:t>Tran, Y., Zahra, S., and Hughes, M. (</w:t>
      </w:r>
      <w:r w:rsidR="00922FC4">
        <w:rPr>
          <w:rFonts w:ascii="Times New Roman" w:hAnsi="Times New Roman" w:cs="Times New Roman"/>
          <w:sz w:val="24"/>
          <w:szCs w:val="24"/>
          <w:shd w:val="clear" w:color="auto" w:fill="FFFFFF"/>
          <w:lang w:val="en-US"/>
        </w:rPr>
        <w:t>2019</w:t>
      </w:r>
      <w:r w:rsidRPr="002B3E1D">
        <w:rPr>
          <w:rFonts w:ascii="Times New Roman" w:hAnsi="Times New Roman" w:cs="Times New Roman"/>
          <w:sz w:val="24"/>
          <w:szCs w:val="24"/>
          <w:shd w:val="clear" w:color="auto" w:fill="FFFFFF"/>
          <w:lang w:val="en-US"/>
        </w:rPr>
        <w:t xml:space="preserve">). A process model of the maturation of a new dynamic capability. </w:t>
      </w:r>
      <w:r w:rsidRPr="002B3E1D">
        <w:rPr>
          <w:rFonts w:ascii="Times New Roman" w:hAnsi="Times New Roman" w:cs="Times New Roman"/>
          <w:i/>
          <w:sz w:val="24"/>
          <w:szCs w:val="24"/>
          <w:shd w:val="clear" w:color="auto" w:fill="FFFFFF"/>
          <w:lang w:val="en-US"/>
        </w:rPr>
        <w:t>Industrial Marketing Management</w:t>
      </w:r>
      <w:r w:rsidR="00922FC4" w:rsidRPr="00BB517D">
        <w:rPr>
          <w:rFonts w:ascii="Times New Roman" w:hAnsi="Times New Roman" w:cs="Times New Roman"/>
          <w:sz w:val="24"/>
          <w:szCs w:val="24"/>
          <w:shd w:val="clear" w:color="auto" w:fill="FFFFFF"/>
          <w:lang w:val="en-US"/>
        </w:rPr>
        <w:t>, 83, 115-127</w:t>
      </w:r>
      <w:r w:rsidR="00922FC4">
        <w:rPr>
          <w:rFonts w:ascii="Times New Roman" w:hAnsi="Times New Roman" w:cs="Times New Roman"/>
          <w:sz w:val="24"/>
          <w:szCs w:val="24"/>
          <w:shd w:val="clear" w:color="auto" w:fill="FFFFFF"/>
          <w:lang w:val="en-US"/>
        </w:rPr>
        <w:t>.</w:t>
      </w:r>
      <w:r w:rsidRPr="00922FC4">
        <w:rPr>
          <w:rFonts w:ascii="Times New Roman" w:hAnsi="Times New Roman" w:cs="Times New Roman"/>
          <w:sz w:val="24"/>
          <w:szCs w:val="24"/>
          <w:shd w:val="clear" w:color="auto" w:fill="FFFFFF"/>
          <w:lang w:val="en-US"/>
        </w:rPr>
        <w:t xml:space="preserve"> </w:t>
      </w:r>
    </w:p>
    <w:p w14:paraId="20EF8A43" w14:textId="77777777" w:rsidR="008F5536" w:rsidRPr="002B3E1D" w:rsidRDefault="008F5536" w:rsidP="008F5536">
      <w:pPr>
        <w:shd w:val="clear" w:color="auto" w:fill="FFFFFF"/>
        <w:spacing w:after="0" w:line="240" w:lineRule="auto"/>
        <w:ind w:left="284" w:hanging="284"/>
        <w:jc w:val="both"/>
        <w:textAlignment w:val="baseline"/>
        <w:rPr>
          <w:rFonts w:ascii="Times New Roman" w:hAnsi="Times New Roman" w:cs="Times New Roman"/>
          <w:sz w:val="24"/>
          <w:szCs w:val="24"/>
          <w:shd w:val="clear" w:color="auto" w:fill="FFFFFF"/>
          <w:lang w:val="en-US"/>
        </w:rPr>
      </w:pPr>
      <w:proofErr w:type="gramStart"/>
      <w:r w:rsidRPr="002B3E1D">
        <w:rPr>
          <w:rFonts w:ascii="Times New Roman" w:hAnsi="Times New Roman" w:cs="Times New Roman"/>
          <w:sz w:val="24"/>
          <w:szCs w:val="24"/>
          <w:shd w:val="clear" w:color="auto" w:fill="FFFFFF"/>
          <w:lang w:val="en-US"/>
        </w:rPr>
        <w:t>T</w:t>
      </w:r>
      <w:r w:rsidR="004809B9" w:rsidRPr="002B3E1D">
        <w:rPr>
          <w:rFonts w:ascii="Times New Roman" w:hAnsi="Times New Roman" w:cs="Times New Roman"/>
          <w:sz w:val="24"/>
          <w:szCs w:val="24"/>
          <w:shd w:val="clear" w:color="auto" w:fill="FFFFFF"/>
          <w:lang w:val="en-US"/>
        </w:rPr>
        <w:t>ushman, M.L., and O’Reilly, C.</w:t>
      </w:r>
      <w:r w:rsidRPr="002B3E1D">
        <w:rPr>
          <w:rFonts w:ascii="Times New Roman" w:hAnsi="Times New Roman" w:cs="Times New Roman"/>
          <w:sz w:val="24"/>
          <w:szCs w:val="24"/>
          <w:shd w:val="clear" w:color="auto" w:fill="FFFFFF"/>
          <w:lang w:val="en-US"/>
        </w:rPr>
        <w:t>A. (1996).</w:t>
      </w:r>
      <w:proofErr w:type="gramEnd"/>
      <w:r w:rsidRPr="002B3E1D">
        <w:rPr>
          <w:rFonts w:ascii="Times New Roman" w:hAnsi="Times New Roman" w:cs="Times New Roman"/>
          <w:sz w:val="24"/>
          <w:szCs w:val="24"/>
          <w:shd w:val="clear" w:color="auto" w:fill="FFFFFF"/>
          <w:lang w:val="en-US"/>
        </w:rPr>
        <w:t xml:space="preserve"> Ambidextrous organizations: Managing evolutionary and revolutionary change. </w:t>
      </w:r>
      <w:r w:rsidRPr="002B3E1D">
        <w:rPr>
          <w:rFonts w:ascii="Times New Roman" w:hAnsi="Times New Roman" w:cs="Times New Roman"/>
          <w:i/>
          <w:sz w:val="24"/>
          <w:szCs w:val="24"/>
          <w:shd w:val="clear" w:color="auto" w:fill="FFFFFF"/>
          <w:lang w:val="en-US"/>
        </w:rPr>
        <w:t>California Management Review</w:t>
      </w:r>
      <w:r w:rsidRPr="002B3E1D">
        <w:rPr>
          <w:rFonts w:ascii="Times New Roman" w:hAnsi="Times New Roman" w:cs="Times New Roman"/>
          <w:sz w:val="24"/>
          <w:szCs w:val="24"/>
          <w:shd w:val="clear" w:color="auto" w:fill="FFFFFF"/>
          <w:lang w:val="en-US"/>
        </w:rPr>
        <w:t>, 38(4</w:t>
      </w:r>
      <w:r w:rsidR="00562D43" w:rsidRPr="002B3E1D">
        <w:rPr>
          <w:rFonts w:ascii="Times New Roman" w:hAnsi="Times New Roman" w:cs="Times New Roman"/>
          <w:sz w:val="24"/>
          <w:szCs w:val="24"/>
          <w:shd w:val="clear" w:color="auto" w:fill="FFFFFF"/>
          <w:lang w:val="en-US"/>
        </w:rPr>
        <w:t>):</w:t>
      </w:r>
      <w:r w:rsidRPr="002B3E1D">
        <w:rPr>
          <w:rFonts w:ascii="Times New Roman" w:hAnsi="Times New Roman" w:cs="Times New Roman"/>
          <w:sz w:val="24"/>
          <w:szCs w:val="24"/>
          <w:shd w:val="clear" w:color="auto" w:fill="FFFFFF"/>
          <w:lang w:val="en-US"/>
        </w:rPr>
        <w:t xml:space="preserve"> 8–30.</w:t>
      </w:r>
    </w:p>
    <w:p w14:paraId="209800DC" w14:textId="77777777" w:rsidR="008F5536" w:rsidRPr="002B3E1D" w:rsidRDefault="008F5536" w:rsidP="008F5536">
      <w:pPr>
        <w:shd w:val="clear" w:color="auto" w:fill="FFFFFF"/>
        <w:spacing w:after="0" w:line="240" w:lineRule="auto"/>
        <w:ind w:left="284" w:hanging="284"/>
        <w:jc w:val="both"/>
        <w:textAlignment w:val="baseline"/>
        <w:rPr>
          <w:rFonts w:ascii="Times New Roman" w:hAnsi="Times New Roman" w:cs="Times New Roman"/>
          <w:sz w:val="24"/>
          <w:szCs w:val="24"/>
          <w:shd w:val="clear" w:color="auto" w:fill="FFFFFF"/>
          <w:lang w:val="en-US"/>
        </w:rPr>
      </w:pPr>
      <w:r w:rsidRPr="002B3E1D">
        <w:rPr>
          <w:rFonts w:ascii="Times New Roman" w:hAnsi="Times New Roman" w:cs="Times New Roman"/>
          <w:sz w:val="24"/>
          <w:szCs w:val="24"/>
          <w:lang w:val="en-US"/>
        </w:rPr>
        <w:t>V</w:t>
      </w:r>
      <w:r w:rsidR="004809B9" w:rsidRPr="002B3E1D">
        <w:rPr>
          <w:rFonts w:ascii="Times New Roman" w:hAnsi="Times New Roman" w:cs="Times New Roman"/>
          <w:sz w:val="24"/>
          <w:szCs w:val="24"/>
          <w:lang w:val="en-US"/>
        </w:rPr>
        <w:t>aara, E., Sarala, R., Stahl, G.</w:t>
      </w:r>
      <w:r w:rsidRPr="002B3E1D">
        <w:rPr>
          <w:rFonts w:ascii="Times New Roman" w:hAnsi="Times New Roman" w:cs="Times New Roman"/>
          <w:sz w:val="24"/>
          <w:szCs w:val="24"/>
          <w:lang w:val="en-US"/>
        </w:rPr>
        <w:t xml:space="preserve">K., and Björkman, I. (2012). The Impact of Organizational and National Cultural Differences on Social Conﬂict and Knowledge Transfer in International Acquisitions. </w:t>
      </w:r>
      <w:r w:rsidRPr="002B3E1D">
        <w:rPr>
          <w:rFonts w:ascii="Times New Roman" w:hAnsi="Times New Roman" w:cs="Times New Roman"/>
          <w:i/>
          <w:iCs/>
          <w:sz w:val="24"/>
          <w:szCs w:val="24"/>
          <w:lang w:val="en-US"/>
        </w:rPr>
        <w:t>Journal of Management Studies</w:t>
      </w:r>
      <w:r w:rsidRPr="002B3E1D">
        <w:rPr>
          <w:rFonts w:ascii="Times New Roman" w:hAnsi="Times New Roman" w:cs="Times New Roman"/>
          <w:iCs/>
          <w:sz w:val="24"/>
          <w:szCs w:val="24"/>
          <w:lang w:val="en-US"/>
        </w:rPr>
        <w:t>, 49(1)</w:t>
      </w:r>
      <w:r w:rsidRPr="002B3E1D">
        <w:rPr>
          <w:rFonts w:ascii="Times New Roman" w:hAnsi="Times New Roman" w:cs="Times New Roman"/>
          <w:sz w:val="24"/>
          <w:szCs w:val="24"/>
          <w:lang w:val="en-US"/>
        </w:rPr>
        <w:t>: 1–27.</w:t>
      </w:r>
    </w:p>
    <w:p w14:paraId="0265CD92" w14:textId="77777777" w:rsidR="008F5536" w:rsidRPr="002B3E1D" w:rsidRDefault="008F5536" w:rsidP="008F5536">
      <w:pPr>
        <w:spacing w:after="0" w:line="240" w:lineRule="auto"/>
        <w:ind w:left="284" w:hanging="284"/>
        <w:contextualSpacing/>
        <w:jc w:val="both"/>
        <w:rPr>
          <w:rFonts w:ascii="Times New Roman" w:eastAsia="Times New Roman" w:hAnsi="Times New Roman" w:cs="Times New Roman"/>
          <w:sz w:val="24"/>
          <w:szCs w:val="24"/>
          <w:lang w:val="en-US"/>
        </w:rPr>
      </w:pPr>
      <w:r w:rsidRPr="002B3E1D">
        <w:rPr>
          <w:rFonts w:ascii="Times New Roman" w:eastAsia="Times New Roman" w:hAnsi="Times New Roman" w:cs="Times New Roman"/>
          <w:color w:val="222222"/>
          <w:sz w:val="24"/>
          <w:szCs w:val="24"/>
          <w:shd w:val="clear" w:color="auto" w:fill="FFFFFF"/>
          <w:lang w:val="en-US"/>
        </w:rPr>
        <w:t>Von Krogh, G., Nonaka, I. and Aben, M. (2001). Making the most of your company's knowledge: a strategic framework.</w:t>
      </w:r>
      <w:r w:rsidRPr="002B3E1D">
        <w:rPr>
          <w:rStyle w:val="apple-converted-space"/>
          <w:rFonts w:ascii="Times New Roman" w:eastAsia="Times New Roman" w:hAnsi="Times New Roman" w:cs="Times New Roman"/>
          <w:color w:val="222222"/>
          <w:sz w:val="24"/>
          <w:szCs w:val="24"/>
          <w:shd w:val="clear" w:color="auto" w:fill="FFFFFF"/>
          <w:lang w:val="en-US"/>
        </w:rPr>
        <w:t> </w:t>
      </w:r>
      <w:r w:rsidRPr="002B3E1D">
        <w:rPr>
          <w:rFonts w:ascii="Times New Roman" w:eastAsia="Times New Roman" w:hAnsi="Times New Roman" w:cs="Times New Roman"/>
          <w:i/>
          <w:iCs/>
          <w:color w:val="222222"/>
          <w:sz w:val="24"/>
          <w:szCs w:val="24"/>
          <w:lang w:val="en-US"/>
        </w:rPr>
        <w:t>Long Range Planning</w:t>
      </w:r>
      <w:r w:rsidRPr="002B3E1D">
        <w:rPr>
          <w:rFonts w:ascii="Times New Roman" w:eastAsia="Times New Roman" w:hAnsi="Times New Roman" w:cs="Times New Roman"/>
          <w:color w:val="222222"/>
          <w:sz w:val="24"/>
          <w:szCs w:val="24"/>
          <w:shd w:val="clear" w:color="auto" w:fill="FFFFFF"/>
          <w:lang w:val="en-US"/>
        </w:rPr>
        <w:t>,</w:t>
      </w:r>
      <w:r w:rsidRPr="002B3E1D">
        <w:rPr>
          <w:rStyle w:val="apple-converted-space"/>
          <w:rFonts w:ascii="Times New Roman" w:eastAsia="Times New Roman" w:hAnsi="Times New Roman" w:cs="Times New Roman"/>
          <w:color w:val="222222"/>
          <w:sz w:val="24"/>
          <w:szCs w:val="24"/>
          <w:shd w:val="clear" w:color="auto" w:fill="FFFFFF"/>
          <w:lang w:val="en-US"/>
        </w:rPr>
        <w:t> </w:t>
      </w:r>
      <w:r w:rsidRPr="002B3E1D">
        <w:rPr>
          <w:rFonts w:ascii="Times New Roman" w:eastAsia="Times New Roman" w:hAnsi="Times New Roman" w:cs="Times New Roman"/>
          <w:iCs/>
          <w:color w:val="222222"/>
          <w:sz w:val="24"/>
          <w:szCs w:val="24"/>
          <w:lang w:val="en-US"/>
        </w:rPr>
        <w:t>34</w:t>
      </w:r>
      <w:r w:rsidRPr="002B3E1D">
        <w:rPr>
          <w:rFonts w:ascii="Times New Roman" w:eastAsia="Times New Roman" w:hAnsi="Times New Roman" w:cs="Times New Roman"/>
          <w:color w:val="222222"/>
          <w:sz w:val="24"/>
          <w:szCs w:val="24"/>
          <w:shd w:val="clear" w:color="auto" w:fill="FFFFFF"/>
          <w:lang w:val="en-US"/>
        </w:rPr>
        <w:t>(4</w:t>
      </w:r>
      <w:r w:rsidR="00562D43" w:rsidRPr="002B3E1D">
        <w:rPr>
          <w:rFonts w:ascii="Times New Roman" w:eastAsia="Times New Roman" w:hAnsi="Times New Roman" w:cs="Times New Roman"/>
          <w:color w:val="222222"/>
          <w:sz w:val="24"/>
          <w:szCs w:val="24"/>
          <w:shd w:val="clear" w:color="auto" w:fill="FFFFFF"/>
          <w:lang w:val="en-US"/>
        </w:rPr>
        <w:t>):</w:t>
      </w:r>
      <w:r w:rsidRPr="002B3E1D">
        <w:rPr>
          <w:rFonts w:ascii="Times New Roman" w:eastAsia="Times New Roman" w:hAnsi="Times New Roman" w:cs="Times New Roman"/>
          <w:color w:val="222222"/>
          <w:sz w:val="24"/>
          <w:szCs w:val="24"/>
          <w:shd w:val="clear" w:color="auto" w:fill="FFFFFF"/>
          <w:lang w:val="en-US"/>
        </w:rPr>
        <w:t xml:space="preserve"> 421-439.</w:t>
      </w:r>
    </w:p>
    <w:p w14:paraId="168BFEC2" w14:textId="77777777" w:rsidR="008F5536" w:rsidRPr="002B3E1D" w:rsidRDefault="008F5536" w:rsidP="008F5536">
      <w:pPr>
        <w:autoSpaceDE w:val="0"/>
        <w:autoSpaceDN w:val="0"/>
        <w:adjustRightInd w:val="0"/>
        <w:spacing w:after="0" w:line="240" w:lineRule="auto"/>
        <w:ind w:left="284" w:hanging="284"/>
        <w:jc w:val="both"/>
        <w:rPr>
          <w:rFonts w:ascii="Times New Roman" w:hAnsi="Times New Roman" w:cs="Times New Roman"/>
          <w:color w:val="222222"/>
          <w:sz w:val="24"/>
          <w:szCs w:val="24"/>
          <w:shd w:val="clear" w:color="auto" w:fill="FFFFFF"/>
          <w:lang w:val="en-US"/>
        </w:rPr>
      </w:pPr>
      <w:r w:rsidRPr="002B3E1D">
        <w:rPr>
          <w:rFonts w:ascii="Times New Roman" w:hAnsi="Times New Roman" w:cs="Times New Roman"/>
          <w:color w:val="222222"/>
          <w:sz w:val="24"/>
          <w:szCs w:val="24"/>
          <w:shd w:val="clear" w:color="auto" w:fill="FFFFFF"/>
          <w:lang w:val="en-US"/>
        </w:rPr>
        <w:lastRenderedPageBreak/>
        <w:t>Weber, Y., and Tarba, S.Y. (2010). Human resource practices and performance of mergers and acquisitions in Israel.</w:t>
      </w:r>
      <w:r w:rsidRPr="002B3E1D">
        <w:rPr>
          <w:rStyle w:val="apple-converted-space"/>
          <w:rFonts w:ascii="Times New Roman" w:hAnsi="Times New Roman" w:cs="Times New Roman"/>
          <w:color w:val="222222"/>
          <w:sz w:val="24"/>
          <w:szCs w:val="24"/>
          <w:shd w:val="clear" w:color="auto" w:fill="FFFFFF"/>
          <w:lang w:val="en-US"/>
        </w:rPr>
        <w:t> </w:t>
      </w:r>
      <w:r w:rsidRPr="002B3E1D">
        <w:rPr>
          <w:rFonts w:ascii="Times New Roman" w:hAnsi="Times New Roman" w:cs="Times New Roman"/>
          <w:i/>
          <w:iCs/>
          <w:color w:val="222222"/>
          <w:sz w:val="24"/>
          <w:szCs w:val="24"/>
          <w:shd w:val="clear" w:color="auto" w:fill="FFFFFF"/>
          <w:lang w:val="en-US"/>
        </w:rPr>
        <w:t>Human Resource Management Review</w:t>
      </w:r>
      <w:r w:rsidRPr="002B3E1D">
        <w:rPr>
          <w:rFonts w:ascii="Times New Roman" w:hAnsi="Times New Roman" w:cs="Times New Roman"/>
          <w:color w:val="222222"/>
          <w:sz w:val="24"/>
          <w:szCs w:val="24"/>
          <w:shd w:val="clear" w:color="auto" w:fill="FFFFFF"/>
          <w:lang w:val="en-US"/>
        </w:rPr>
        <w:t>,</w:t>
      </w:r>
      <w:r w:rsidRPr="002B3E1D">
        <w:rPr>
          <w:rStyle w:val="apple-converted-space"/>
          <w:rFonts w:ascii="Times New Roman" w:hAnsi="Times New Roman" w:cs="Times New Roman"/>
          <w:color w:val="222222"/>
          <w:sz w:val="24"/>
          <w:szCs w:val="24"/>
          <w:shd w:val="clear" w:color="auto" w:fill="FFFFFF"/>
          <w:lang w:val="en-US"/>
        </w:rPr>
        <w:t> </w:t>
      </w:r>
      <w:r w:rsidRPr="002B3E1D">
        <w:rPr>
          <w:rFonts w:ascii="Times New Roman" w:hAnsi="Times New Roman" w:cs="Times New Roman"/>
          <w:iCs/>
          <w:color w:val="222222"/>
          <w:sz w:val="24"/>
          <w:szCs w:val="24"/>
          <w:shd w:val="clear" w:color="auto" w:fill="FFFFFF"/>
          <w:lang w:val="en-US"/>
        </w:rPr>
        <w:t>20</w:t>
      </w:r>
      <w:r w:rsidRPr="002B3E1D">
        <w:rPr>
          <w:rFonts w:ascii="Times New Roman" w:hAnsi="Times New Roman" w:cs="Times New Roman"/>
          <w:color w:val="222222"/>
          <w:sz w:val="24"/>
          <w:szCs w:val="24"/>
          <w:shd w:val="clear" w:color="auto" w:fill="FFFFFF"/>
          <w:lang w:val="en-US"/>
        </w:rPr>
        <w:t>(3</w:t>
      </w:r>
      <w:r w:rsidR="00562D43" w:rsidRPr="002B3E1D">
        <w:rPr>
          <w:rFonts w:ascii="Times New Roman" w:hAnsi="Times New Roman" w:cs="Times New Roman"/>
          <w:color w:val="222222"/>
          <w:sz w:val="24"/>
          <w:szCs w:val="24"/>
          <w:shd w:val="clear" w:color="auto" w:fill="FFFFFF"/>
          <w:lang w:val="en-US"/>
        </w:rPr>
        <w:t>):</w:t>
      </w:r>
      <w:r w:rsidRPr="002B3E1D">
        <w:rPr>
          <w:rFonts w:ascii="Times New Roman" w:hAnsi="Times New Roman" w:cs="Times New Roman"/>
          <w:color w:val="222222"/>
          <w:sz w:val="24"/>
          <w:szCs w:val="24"/>
          <w:shd w:val="clear" w:color="auto" w:fill="FFFFFF"/>
          <w:lang w:val="en-US"/>
        </w:rPr>
        <w:t xml:space="preserve"> 203-211.</w:t>
      </w:r>
    </w:p>
    <w:p w14:paraId="1BFCE1DD" w14:textId="696FF7E3" w:rsidR="00A215CE" w:rsidRPr="00127DFB" w:rsidRDefault="008F5536" w:rsidP="00127DFB">
      <w:pPr>
        <w:shd w:val="clear" w:color="auto" w:fill="FFFFFF"/>
        <w:spacing w:after="0" w:line="240" w:lineRule="auto"/>
        <w:ind w:left="284" w:hanging="284"/>
        <w:jc w:val="both"/>
        <w:textAlignment w:val="baseline"/>
        <w:rPr>
          <w:rFonts w:ascii="Times New Roman" w:hAnsi="Times New Roman" w:cs="Times New Roman"/>
          <w:color w:val="222222"/>
          <w:sz w:val="24"/>
          <w:szCs w:val="24"/>
          <w:shd w:val="clear" w:color="auto" w:fill="FFFFFF"/>
          <w:lang w:val="en-US"/>
        </w:rPr>
      </w:pPr>
      <w:proofErr w:type="gramStart"/>
      <w:r w:rsidRPr="002B3E1D">
        <w:rPr>
          <w:rFonts w:ascii="Times New Roman" w:hAnsi="Times New Roman" w:cs="Times New Roman"/>
          <w:color w:val="222222"/>
          <w:sz w:val="24"/>
          <w:szCs w:val="24"/>
          <w:shd w:val="clear" w:color="auto" w:fill="FFFFFF"/>
          <w:lang w:val="en-US"/>
        </w:rPr>
        <w:t>Zimmermann, A., Raisch, S., and Cardinal, L.B. (2018).</w:t>
      </w:r>
      <w:proofErr w:type="gramEnd"/>
      <w:r w:rsidRPr="002B3E1D">
        <w:rPr>
          <w:rFonts w:ascii="Times New Roman" w:hAnsi="Times New Roman" w:cs="Times New Roman"/>
          <w:color w:val="222222"/>
          <w:sz w:val="24"/>
          <w:szCs w:val="24"/>
          <w:shd w:val="clear" w:color="auto" w:fill="FFFFFF"/>
          <w:lang w:val="en-US"/>
        </w:rPr>
        <w:t xml:space="preserve"> Managing persistent tensions on the frontline: A configurational perspective on ambidexterity. </w:t>
      </w:r>
      <w:r w:rsidRPr="002B3E1D">
        <w:rPr>
          <w:rFonts w:ascii="Times New Roman" w:hAnsi="Times New Roman" w:cs="Times New Roman"/>
          <w:i/>
          <w:color w:val="222222"/>
          <w:sz w:val="24"/>
          <w:szCs w:val="24"/>
          <w:shd w:val="clear" w:color="auto" w:fill="FFFFFF"/>
          <w:lang w:val="en-US"/>
        </w:rPr>
        <w:t>Journal of Management Studies</w:t>
      </w:r>
      <w:r w:rsidRPr="002B3E1D">
        <w:rPr>
          <w:rFonts w:ascii="Times New Roman" w:hAnsi="Times New Roman" w:cs="Times New Roman"/>
          <w:color w:val="222222"/>
          <w:sz w:val="24"/>
          <w:szCs w:val="24"/>
          <w:shd w:val="clear" w:color="auto" w:fill="FFFFFF"/>
          <w:lang w:val="en-US"/>
        </w:rPr>
        <w:t>, 55(5</w:t>
      </w:r>
      <w:r w:rsidR="00562D43" w:rsidRPr="002B3E1D">
        <w:rPr>
          <w:rFonts w:ascii="Times New Roman" w:hAnsi="Times New Roman" w:cs="Times New Roman"/>
          <w:color w:val="222222"/>
          <w:sz w:val="24"/>
          <w:szCs w:val="24"/>
          <w:shd w:val="clear" w:color="auto" w:fill="FFFFFF"/>
          <w:lang w:val="en-US"/>
        </w:rPr>
        <w:t>):</w:t>
      </w:r>
      <w:r w:rsidRPr="002B3E1D">
        <w:rPr>
          <w:rFonts w:ascii="Times New Roman" w:hAnsi="Times New Roman" w:cs="Times New Roman"/>
          <w:color w:val="222222"/>
          <w:sz w:val="24"/>
          <w:szCs w:val="24"/>
          <w:shd w:val="clear" w:color="auto" w:fill="FFFFFF"/>
          <w:lang w:val="en-US"/>
        </w:rPr>
        <w:t xml:space="preserve"> 739-769.</w:t>
      </w:r>
    </w:p>
    <w:p w14:paraId="4F71998D" w14:textId="77777777" w:rsidR="008F5536" w:rsidRPr="002B3E1D" w:rsidRDefault="008F5536" w:rsidP="008F5536">
      <w:pPr>
        <w:spacing w:after="0" w:line="240" w:lineRule="auto"/>
        <w:rPr>
          <w:rFonts w:ascii="Times New Roman" w:eastAsia="Calibri" w:hAnsi="Times New Roman" w:cs="Times New Roman"/>
          <w:sz w:val="24"/>
          <w:szCs w:val="24"/>
          <w:lang w:val="en-US"/>
        </w:rPr>
      </w:pPr>
      <w:r w:rsidRPr="002B3E1D">
        <w:rPr>
          <w:rFonts w:ascii="Times New Roman" w:eastAsia="Calibri" w:hAnsi="Times New Roman" w:cs="Times New Roman"/>
          <w:b/>
          <w:sz w:val="24"/>
          <w:szCs w:val="24"/>
          <w:lang w:val="en-US"/>
        </w:rPr>
        <w:t>Table 1:</w:t>
      </w:r>
      <w:r w:rsidRPr="002B3E1D">
        <w:rPr>
          <w:rFonts w:ascii="Times New Roman" w:eastAsia="Calibri" w:hAnsi="Times New Roman" w:cs="Times New Roman"/>
          <w:sz w:val="24"/>
          <w:szCs w:val="24"/>
          <w:lang w:val="en-US"/>
        </w:rPr>
        <w:t xml:space="preserve"> Measurement </w:t>
      </w:r>
      <w:r w:rsidR="00D252BF" w:rsidRPr="002B3E1D">
        <w:rPr>
          <w:rFonts w:ascii="Times New Roman" w:eastAsia="Calibri" w:hAnsi="Times New Roman" w:cs="Times New Roman"/>
          <w:sz w:val="24"/>
          <w:szCs w:val="24"/>
          <w:lang w:val="en-US"/>
        </w:rPr>
        <w:t>item properties</w:t>
      </w:r>
    </w:p>
    <w:tbl>
      <w:tblPr>
        <w:tblW w:w="5000" w:type="pct"/>
        <w:tblBorders>
          <w:top w:val="single" w:sz="12" w:space="0" w:color="auto"/>
          <w:bottom w:val="single" w:sz="12" w:space="0" w:color="auto"/>
        </w:tblBorders>
        <w:tblCellMar>
          <w:left w:w="28" w:type="dxa"/>
          <w:right w:w="28" w:type="dxa"/>
        </w:tblCellMar>
        <w:tblLook w:val="01E0" w:firstRow="1" w:lastRow="1" w:firstColumn="1" w:lastColumn="1" w:noHBand="0" w:noVBand="0"/>
      </w:tblPr>
      <w:tblGrid>
        <w:gridCol w:w="1716"/>
        <w:gridCol w:w="5591"/>
        <w:gridCol w:w="1428"/>
        <w:gridCol w:w="712"/>
      </w:tblGrid>
      <w:tr w:rsidR="008F5536" w:rsidRPr="002B3E1D" w14:paraId="1363F610" w14:textId="77777777" w:rsidTr="008F5536">
        <w:tc>
          <w:tcPr>
            <w:tcW w:w="908" w:type="pct"/>
            <w:tcBorders>
              <w:top w:val="single" w:sz="12" w:space="0" w:color="auto"/>
              <w:left w:val="nil"/>
              <w:bottom w:val="single" w:sz="2" w:space="0" w:color="auto"/>
              <w:right w:val="nil"/>
            </w:tcBorders>
            <w:tcMar>
              <w:top w:w="0" w:type="dxa"/>
              <w:left w:w="57" w:type="dxa"/>
              <w:bottom w:w="0" w:type="dxa"/>
              <w:right w:w="57" w:type="dxa"/>
            </w:tcMar>
            <w:vAlign w:val="bottom"/>
            <w:hideMark/>
          </w:tcPr>
          <w:p w14:paraId="541C8DE3" w14:textId="77777777" w:rsidR="008F5536" w:rsidRPr="002B3E1D" w:rsidRDefault="008F5536" w:rsidP="008F5536">
            <w:pPr>
              <w:spacing w:after="0" w:line="240" w:lineRule="auto"/>
              <w:rPr>
                <w:rFonts w:ascii="Times New Roman" w:eastAsia="Calibri" w:hAnsi="Times New Roman" w:cs="Times New Roman"/>
                <w:b/>
                <w:sz w:val="20"/>
                <w:szCs w:val="20"/>
                <w:lang w:val="en-US"/>
              </w:rPr>
            </w:pPr>
            <w:r w:rsidRPr="002B3E1D">
              <w:rPr>
                <w:rFonts w:ascii="Times New Roman" w:eastAsia="Calibri" w:hAnsi="Times New Roman" w:cs="Times New Roman"/>
                <w:b/>
                <w:sz w:val="20"/>
                <w:szCs w:val="20"/>
                <w:lang w:val="en-US"/>
              </w:rPr>
              <w:t>Construct</w:t>
            </w:r>
          </w:p>
        </w:tc>
        <w:tc>
          <w:tcPr>
            <w:tcW w:w="2959" w:type="pct"/>
            <w:tcBorders>
              <w:top w:val="single" w:sz="12" w:space="0" w:color="auto"/>
              <w:left w:val="nil"/>
              <w:bottom w:val="single" w:sz="2" w:space="0" w:color="auto"/>
              <w:right w:val="nil"/>
            </w:tcBorders>
            <w:vAlign w:val="bottom"/>
            <w:hideMark/>
          </w:tcPr>
          <w:p w14:paraId="667C2B3C" w14:textId="77777777" w:rsidR="008F5536" w:rsidRPr="002B3E1D" w:rsidRDefault="008F5536" w:rsidP="008F5536">
            <w:pPr>
              <w:spacing w:after="0" w:line="240" w:lineRule="auto"/>
              <w:rPr>
                <w:rFonts w:ascii="Times New Roman" w:eastAsia="Calibri" w:hAnsi="Times New Roman" w:cs="Times New Roman"/>
                <w:b/>
                <w:sz w:val="20"/>
                <w:szCs w:val="20"/>
                <w:lang w:val="en-US"/>
              </w:rPr>
            </w:pPr>
            <w:r w:rsidRPr="002B3E1D">
              <w:rPr>
                <w:rFonts w:ascii="Times New Roman" w:eastAsia="Calibri" w:hAnsi="Times New Roman" w:cs="Times New Roman"/>
                <w:b/>
                <w:sz w:val="20"/>
                <w:szCs w:val="20"/>
                <w:lang w:val="en-US"/>
              </w:rPr>
              <w:t>Measurement Item</w:t>
            </w:r>
          </w:p>
        </w:tc>
        <w:tc>
          <w:tcPr>
            <w:tcW w:w="756" w:type="pct"/>
            <w:tcBorders>
              <w:top w:val="single" w:sz="12" w:space="0" w:color="auto"/>
              <w:left w:val="nil"/>
              <w:bottom w:val="single" w:sz="2" w:space="0" w:color="auto"/>
              <w:right w:val="nil"/>
            </w:tcBorders>
            <w:vAlign w:val="bottom"/>
            <w:hideMark/>
          </w:tcPr>
          <w:p w14:paraId="44937A9B" w14:textId="77777777" w:rsidR="008F5536" w:rsidRPr="002B3E1D" w:rsidRDefault="008F5536" w:rsidP="008F5536">
            <w:pPr>
              <w:spacing w:after="0" w:line="240" w:lineRule="auto"/>
              <w:jc w:val="center"/>
              <w:rPr>
                <w:rFonts w:ascii="Times New Roman" w:eastAsia="Calibri" w:hAnsi="Times New Roman" w:cs="Times New Roman"/>
                <w:b/>
                <w:sz w:val="20"/>
                <w:szCs w:val="20"/>
                <w:lang w:val="en-US"/>
              </w:rPr>
            </w:pPr>
            <w:r w:rsidRPr="002B3E1D">
              <w:rPr>
                <w:rFonts w:ascii="Times New Roman" w:eastAsia="Calibri" w:hAnsi="Times New Roman" w:cs="Times New Roman"/>
                <w:b/>
                <w:sz w:val="20"/>
                <w:szCs w:val="20"/>
                <w:lang w:val="en-US"/>
              </w:rPr>
              <w:t>Standardised Factor Loading</w:t>
            </w:r>
          </w:p>
        </w:tc>
        <w:tc>
          <w:tcPr>
            <w:tcW w:w="377" w:type="pct"/>
            <w:tcBorders>
              <w:top w:val="single" w:sz="12" w:space="0" w:color="auto"/>
              <w:left w:val="nil"/>
              <w:bottom w:val="single" w:sz="2" w:space="0" w:color="auto"/>
              <w:right w:val="nil"/>
            </w:tcBorders>
            <w:vAlign w:val="bottom"/>
            <w:hideMark/>
          </w:tcPr>
          <w:p w14:paraId="68D37608" w14:textId="77777777" w:rsidR="008F5536" w:rsidRPr="002B3E1D" w:rsidRDefault="008F5536" w:rsidP="008F5536">
            <w:pPr>
              <w:spacing w:after="0" w:line="240" w:lineRule="auto"/>
              <w:jc w:val="center"/>
              <w:rPr>
                <w:rFonts w:ascii="Times New Roman" w:eastAsia="Calibri" w:hAnsi="Times New Roman" w:cs="Times New Roman"/>
                <w:b/>
                <w:sz w:val="20"/>
                <w:szCs w:val="20"/>
                <w:lang w:val="en-US"/>
              </w:rPr>
            </w:pPr>
            <w:r w:rsidRPr="002B3E1D">
              <w:rPr>
                <w:rFonts w:ascii="Times New Roman" w:eastAsia="Calibri" w:hAnsi="Times New Roman" w:cs="Times New Roman"/>
                <w:b/>
                <w:i/>
                <w:sz w:val="20"/>
                <w:szCs w:val="20"/>
                <w:lang w:val="en-US"/>
              </w:rPr>
              <w:t>t</w:t>
            </w:r>
            <w:r w:rsidRPr="002B3E1D">
              <w:rPr>
                <w:rFonts w:ascii="Times New Roman" w:eastAsia="Calibri" w:hAnsi="Times New Roman" w:cs="Times New Roman"/>
                <w:b/>
                <w:sz w:val="20"/>
                <w:szCs w:val="20"/>
                <w:lang w:val="en-US"/>
              </w:rPr>
              <w:t>-value</w:t>
            </w:r>
          </w:p>
        </w:tc>
      </w:tr>
      <w:tr w:rsidR="008F5536" w:rsidRPr="002B3E1D" w14:paraId="726402B3" w14:textId="77777777" w:rsidTr="008F5536">
        <w:tc>
          <w:tcPr>
            <w:tcW w:w="908" w:type="pct"/>
            <w:vMerge w:val="restart"/>
            <w:tcBorders>
              <w:top w:val="single" w:sz="2" w:space="0" w:color="auto"/>
              <w:left w:val="nil"/>
              <w:bottom w:val="nil"/>
              <w:right w:val="nil"/>
            </w:tcBorders>
            <w:tcMar>
              <w:top w:w="0" w:type="dxa"/>
              <w:left w:w="57" w:type="dxa"/>
              <w:bottom w:w="0" w:type="dxa"/>
              <w:right w:w="57" w:type="dxa"/>
            </w:tcMar>
            <w:hideMark/>
          </w:tcPr>
          <w:p w14:paraId="7CE37F87" w14:textId="77777777" w:rsidR="008F5536" w:rsidRPr="002B3E1D" w:rsidRDefault="008F5536" w:rsidP="008F5536">
            <w:pPr>
              <w:spacing w:after="0" w:line="240" w:lineRule="auto"/>
              <w:rPr>
                <w:rFonts w:ascii="Times New Roman" w:eastAsia="Calibri" w:hAnsi="Times New Roman" w:cs="Times New Roman"/>
                <w:sz w:val="20"/>
                <w:szCs w:val="20"/>
                <w:lang w:val="en-US"/>
              </w:rPr>
            </w:pPr>
            <w:r w:rsidRPr="002B3E1D">
              <w:rPr>
                <w:rFonts w:ascii="Times New Roman" w:eastAsia="Calibri" w:hAnsi="Times New Roman" w:cs="Times New Roman"/>
                <w:b/>
                <w:sz w:val="20"/>
                <w:szCs w:val="20"/>
                <w:lang w:val="en-US"/>
              </w:rPr>
              <w:t>Knowledge Sharing</w:t>
            </w:r>
            <w:r w:rsidRPr="002B3E1D">
              <w:rPr>
                <w:rFonts w:ascii="Times New Roman" w:eastAsia="Calibri" w:hAnsi="Times New Roman" w:cs="Times New Roman"/>
                <w:sz w:val="20"/>
                <w:szCs w:val="20"/>
                <w:vertAlign w:val="superscript"/>
                <w:lang w:val="en-US"/>
              </w:rPr>
              <w:t>a</w:t>
            </w:r>
          </w:p>
        </w:tc>
        <w:tc>
          <w:tcPr>
            <w:tcW w:w="2959" w:type="pct"/>
            <w:tcBorders>
              <w:top w:val="single" w:sz="2" w:space="0" w:color="auto"/>
              <w:left w:val="nil"/>
              <w:bottom w:val="nil"/>
              <w:right w:val="nil"/>
            </w:tcBorders>
            <w:vAlign w:val="bottom"/>
            <w:hideMark/>
          </w:tcPr>
          <w:p w14:paraId="3EA05554" w14:textId="77777777" w:rsidR="008F5536" w:rsidRPr="002B3E1D" w:rsidRDefault="008F5536" w:rsidP="008F5536">
            <w:pPr>
              <w:spacing w:after="0" w:line="240" w:lineRule="auto"/>
              <w:ind w:left="170" w:hanging="170"/>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Employees see benefits from exchanging and combining ideas with one another.</w:t>
            </w:r>
          </w:p>
        </w:tc>
        <w:tc>
          <w:tcPr>
            <w:tcW w:w="756" w:type="pct"/>
            <w:tcBorders>
              <w:top w:val="single" w:sz="2" w:space="0" w:color="auto"/>
              <w:left w:val="nil"/>
              <w:bottom w:val="nil"/>
              <w:right w:val="nil"/>
            </w:tcBorders>
            <w:vAlign w:val="bottom"/>
            <w:hideMark/>
          </w:tcPr>
          <w:p w14:paraId="27F657F3" w14:textId="77777777" w:rsidR="008F5536" w:rsidRPr="002B3E1D" w:rsidRDefault="008F5536" w:rsidP="008F5536">
            <w:pPr>
              <w:spacing w:after="0" w:line="240" w:lineRule="auto"/>
              <w:jc w:val="center"/>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.84</w:t>
            </w:r>
          </w:p>
        </w:tc>
        <w:tc>
          <w:tcPr>
            <w:tcW w:w="377" w:type="pct"/>
            <w:tcBorders>
              <w:top w:val="single" w:sz="2" w:space="0" w:color="auto"/>
              <w:left w:val="nil"/>
              <w:bottom w:val="nil"/>
              <w:right w:val="nil"/>
            </w:tcBorders>
            <w:vAlign w:val="bottom"/>
            <w:hideMark/>
          </w:tcPr>
          <w:p w14:paraId="3098D65A" w14:textId="77777777" w:rsidR="008F5536" w:rsidRPr="002B3E1D" w:rsidRDefault="008F5536" w:rsidP="008F5536">
            <w:pPr>
              <w:tabs>
                <w:tab w:val="decimal" w:pos="284"/>
              </w:tabs>
              <w:spacing w:after="0" w:line="240" w:lineRule="auto"/>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12.11</w:t>
            </w:r>
          </w:p>
        </w:tc>
      </w:tr>
      <w:tr w:rsidR="008F5536" w:rsidRPr="002B3E1D" w14:paraId="3595AA6A" w14:textId="77777777" w:rsidTr="008F5536">
        <w:tc>
          <w:tcPr>
            <w:tcW w:w="0" w:type="auto"/>
            <w:vMerge/>
            <w:tcBorders>
              <w:top w:val="single" w:sz="2" w:space="0" w:color="auto"/>
              <w:left w:val="nil"/>
              <w:bottom w:val="nil"/>
              <w:right w:val="nil"/>
            </w:tcBorders>
            <w:vAlign w:val="center"/>
            <w:hideMark/>
          </w:tcPr>
          <w:p w14:paraId="01C87C3A" w14:textId="77777777" w:rsidR="008F5536" w:rsidRPr="002B3E1D" w:rsidRDefault="008F5536" w:rsidP="008F5536">
            <w:pPr>
              <w:spacing w:after="0" w:line="240" w:lineRule="auto"/>
              <w:rPr>
                <w:rFonts w:ascii="Times New Roman" w:eastAsia="Calibri" w:hAnsi="Times New Roman" w:cs="Times New Roman"/>
                <w:sz w:val="20"/>
                <w:szCs w:val="20"/>
                <w:lang w:val="en-US"/>
              </w:rPr>
            </w:pPr>
          </w:p>
        </w:tc>
        <w:tc>
          <w:tcPr>
            <w:tcW w:w="2959" w:type="pct"/>
            <w:tcBorders>
              <w:top w:val="nil"/>
              <w:left w:val="nil"/>
              <w:bottom w:val="nil"/>
              <w:right w:val="nil"/>
            </w:tcBorders>
            <w:vAlign w:val="bottom"/>
            <w:hideMark/>
          </w:tcPr>
          <w:p w14:paraId="03525F77" w14:textId="77777777" w:rsidR="008F5536" w:rsidRPr="002B3E1D" w:rsidRDefault="008F5536" w:rsidP="008F5536">
            <w:pPr>
              <w:spacing w:after="0" w:line="240" w:lineRule="auto"/>
              <w:ind w:left="170" w:hanging="170"/>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Employees believe that by exchanging and combining ideas they can move new projects or initiatives forward more quickly than by working alone.</w:t>
            </w:r>
          </w:p>
        </w:tc>
        <w:tc>
          <w:tcPr>
            <w:tcW w:w="756" w:type="pct"/>
            <w:tcBorders>
              <w:top w:val="nil"/>
              <w:left w:val="nil"/>
              <w:bottom w:val="nil"/>
              <w:right w:val="nil"/>
            </w:tcBorders>
            <w:vAlign w:val="bottom"/>
            <w:hideMark/>
          </w:tcPr>
          <w:p w14:paraId="0A251A06" w14:textId="77777777" w:rsidR="008F5536" w:rsidRPr="002B3E1D" w:rsidRDefault="008F5536" w:rsidP="008F5536">
            <w:pPr>
              <w:spacing w:after="0" w:line="240" w:lineRule="auto"/>
              <w:jc w:val="center"/>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.85</w:t>
            </w:r>
          </w:p>
        </w:tc>
        <w:tc>
          <w:tcPr>
            <w:tcW w:w="377" w:type="pct"/>
            <w:tcBorders>
              <w:top w:val="nil"/>
              <w:left w:val="nil"/>
              <w:bottom w:val="nil"/>
              <w:right w:val="nil"/>
            </w:tcBorders>
            <w:vAlign w:val="bottom"/>
            <w:hideMark/>
          </w:tcPr>
          <w:p w14:paraId="4C640EB9" w14:textId="77777777" w:rsidR="008F5536" w:rsidRPr="002B3E1D" w:rsidRDefault="008F5536" w:rsidP="008F5536">
            <w:pPr>
              <w:tabs>
                <w:tab w:val="decimal" w:pos="284"/>
              </w:tabs>
              <w:spacing w:after="0" w:line="240" w:lineRule="auto"/>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12.52</w:t>
            </w:r>
          </w:p>
        </w:tc>
      </w:tr>
      <w:tr w:rsidR="008F5536" w:rsidRPr="002B3E1D" w14:paraId="7AD85450" w14:textId="77777777" w:rsidTr="008F5536">
        <w:tc>
          <w:tcPr>
            <w:tcW w:w="0" w:type="auto"/>
            <w:vMerge/>
            <w:tcBorders>
              <w:top w:val="single" w:sz="2" w:space="0" w:color="auto"/>
              <w:left w:val="nil"/>
              <w:bottom w:val="nil"/>
              <w:right w:val="nil"/>
            </w:tcBorders>
            <w:vAlign w:val="center"/>
            <w:hideMark/>
          </w:tcPr>
          <w:p w14:paraId="49B778A7" w14:textId="77777777" w:rsidR="008F5536" w:rsidRPr="002B3E1D" w:rsidRDefault="008F5536" w:rsidP="008F5536">
            <w:pPr>
              <w:spacing w:after="0" w:line="240" w:lineRule="auto"/>
              <w:rPr>
                <w:rFonts w:ascii="Times New Roman" w:eastAsia="Calibri" w:hAnsi="Times New Roman" w:cs="Times New Roman"/>
                <w:sz w:val="20"/>
                <w:szCs w:val="20"/>
                <w:lang w:val="en-US"/>
              </w:rPr>
            </w:pPr>
          </w:p>
        </w:tc>
        <w:tc>
          <w:tcPr>
            <w:tcW w:w="2959" w:type="pct"/>
            <w:tcBorders>
              <w:top w:val="nil"/>
              <w:left w:val="nil"/>
              <w:bottom w:val="nil"/>
              <w:right w:val="nil"/>
            </w:tcBorders>
            <w:vAlign w:val="bottom"/>
            <w:hideMark/>
          </w:tcPr>
          <w:p w14:paraId="1E9C77D6" w14:textId="77777777" w:rsidR="008F5536" w:rsidRPr="002B3E1D" w:rsidRDefault="008F5536" w:rsidP="008F5536">
            <w:pPr>
              <w:spacing w:after="0" w:line="240" w:lineRule="auto"/>
              <w:ind w:left="170" w:hanging="170"/>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Employees are proficient at combining and exchanging ideas to solve problems or create opportunities.</w:t>
            </w:r>
          </w:p>
        </w:tc>
        <w:tc>
          <w:tcPr>
            <w:tcW w:w="756" w:type="pct"/>
            <w:tcBorders>
              <w:top w:val="nil"/>
              <w:left w:val="nil"/>
              <w:bottom w:val="nil"/>
              <w:right w:val="nil"/>
            </w:tcBorders>
            <w:vAlign w:val="bottom"/>
            <w:hideMark/>
          </w:tcPr>
          <w:p w14:paraId="73AE060F" w14:textId="77777777" w:rsidR="008F5536" w:rsidRPr="002B3E1D" w:rsidRDefault="008F5536" w:rsidP="008F5536">
            <w:pPr>
              <w:spacing w:after="0" w:line="240" w:lineRule="auto"/>
              <w:jc w:val="center"/>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.82</w:t>
            </w:r>
          </w:p>
        </w:tc>
        <w:tc>
          <w:tcPr>
            <w:tcW w:w="377" w:type="pct"/>
            <w:tcBorders>
              <w:top w:val="nil"/>
              <w:left w:val="nil"/>
              <w:bottom w:val="nil"/>
              <w:right w:val="nil"/>
            </w:tcBorders>
            <w:vAlign w:val="bottom"/>
            <w:hideMark/>
          </w:tcPr>
          <w:p w14:paraId="762B6BED" w14:textId="77777777" w:rsidR="008F5536" w:rsidRPr="002B3E1D" w:rsidRDefault="008F5536" w:rsidP="008F5536">
            <w:pPr>
              <w:tabs>
                <w:tab w:val="decimal" w:pos="284"/>
              </w:tabs>
              <w:spacing w:after="0" w:line="240" w:lineRule="auto"/>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11.83</w:t>
            </w:r>
          </w:p>
        </w:tc>
      </w:tr>
      <w:tr w:rsidR="008F5536" w:rsidRPr="002B3E1D" w14:paraId="06011152" w14:textId="77777777" w:rsidTr="008F5536">
        <w:tc>
          <w:tcPr>
            <w:tcW w:w="908" w:type="pct"/>
            <w:tcBorders>
              <w:top w:val="nil"/>
              <w:left w:val="nil"/>
              <w:bottom w:val="nil"/>
              <w:right w:val="nil"/>
            </w:tcBorders>
            <w:tcMar>
              <w:top w:w="0" w:type="dxa"/>
              <w:left w:w="57" w:type="dxa"/>
              <w:bottom w:w="0" w:type="dxa"/>
              <w:right w:w="57" w:type="dxa"/>
            </w:tcMar>
            <w:vAlign w:val="bottom"/>
          </w:tcPr>
          <w:p w14:paraId="58276C95" w14:textId="77777777" w:rsidR="008F5536" w:rsidRPr="002B3E1D" w:rsidRDefault="008F5536" w:rsidP="008F5536">
            <w:pPr>
              <w:spacing w:after="0" w:line="240" w:lineRule="auto"/>
              <w:rPr>
                <w:rFonts w:ascii="Times New Roman" w:eastAsia="Calibri" w:hAnsi="Times New Roman" w:cs="Times New Roman"/>
                <w:sz w:val="20"/>
                <w:szCs w:val="20"/>
                <w:lang w:val="en-US"/>
              </w:rPr>
            </w:pPr>
          </w:p>
        </w:tc>
        <w:tc>
          <w:tcPr>
            <w:tcW w:w="2959" w:type="pct"/>
            <w:tcBorders>
              <w:top w:val="nil"/>
              <w:left w:val="nil"/>
              <w:bottom w:val="nil"/>
              <w:right w:val="nil"/>
            </w:tcBorders>
            <w:vAlign w:val="bottom"/>
            <w:hideMark/>
          </w:tcPr>
          <w:p w14:paraId="7B7D8324" w14:textId="77777777" w:rsidR="008F5536" w:rsidRPr="002B3E1D" w:rsidRDefault="008F5536" w:rsidP="008F5536">
            <w:pPr>
              <w:spacing w:after="0" w:line="240" w:lineRule="auto"/>
              <w:ind w:left="170" w:hanging="170"/>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Employees do a good job of sharing their individual ideas.</w:t>
            </w:r>
          </w:p>
        </w:tc>
        <w:tc>
          <w:tcPr>
            <w:tcW w:w="756" w:type="pct"/>
            <w:tcBorders>
              <w:top w:val="nil"/>
              <w:left w:val="nil"/>
              <w:bottom w:val="nil"/>
              <w:right w:val="nil"/>
            </w:tcBorders>
            <w:vAlign w:val="bottom"/>
            <w:hideMark/>
          </w:tcPr>
          <w:p w14:paraId="191CF551" w14:textId="77777777" w:rsidR="008F5536" w:rsidRPr="002B3E1D" w:rsidRDefault="008F5536" w:rsidP="008F5536">
            <w:pPr>
              <w:spacing w:after="0" w:line="240" w:lineRule="auto"/>
              <w:jc w:val="center"/>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.83</w:t>
            </w:r>
          </w:p>
        </w:tc>
        <w:tc>
          <w:tcPr>
            <w:tcW w:w="377" w:type="pct"/>
            <w:tcBorders>
              <w:top w:val="nil"/>
              <w:left w:val="nil"/>
              <w:bottom w:val="nil"/>
              <w:right w:val="nil"/>
            </w:tcBorders>
            <w:vAlign w:val="bottom"/>
            <w:hideMark/>
          </w:tcPr>
          <w:p w14:paraId="06FBD402" w14:textId="77777777" w:rsidR="008F5536" w:rsidRPr="002B3E1D" w:rsidRDefault="008F5536" w:rsidP="008F5536">
            <w:pPr>
              <w:tabs>
                <w:tab w:val="decimal" w:pos="284"/>
              </w:tabs>
              <w:spacing w:after="0" w:line="240" w:lineRule="auto"/>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12.01</w:t>
            </w:r>
          </w:p>
        </w:tc>
      </w:tr>
      <w:tr w:rsidR="008F5536" w:rsidRPr="002B3E1D" w14:paraId="38A2C5C6" w14:textId="77777777" w:rsidTr="008F5536">
        <w:tc>
          <w:tcPr>
            <w:tcW w:w="908" w:type="pct"/>
            <w:tcBorders>
              <w:top w:val="nil"/>
              <w:left w:val="nil"/>
              <w:bottom w:val="nil"/>
              <w:right w:val="nil"/>
            </w:tcBorders>
            <w:tcMar>
              <w:top w:w="0" w:type="dxa"/>
              <w:left w:w="57" w:type="dxa"/>
              <w:bottom w:w="0" w:type="dxa"/>
              <w:right w:w="57" w:type="dxa"/>
            </w:tcMar>
            <w:vAlign w:val="bottom"/>
          </w:tcPr>
          <w:p w14:paraId="720219ED" w14:textId="77777777" w:rsidR="008F5536" w:rsidRPr="002B3E1D" w:rsidRDefault="008F5536" w:rsidP="008F5536">
            <w:pPr>
              <w:spacing w:after="0" w:line="240" w:lineRule="auto"/>
              <w:rPr>
                <w:rFonts w:ascii="Times New Roman" w:eastAsia="Calibri" w:hAnsi="Times New Roman" w:cs="Times New Roman"/>
                <w:sz w:val="20"/>
                <w:szCs w:val="20"/>
                <w:lang w:val="en-US"/>
              </w:rPr>
            </w:pPr>
          </w:p>
        </w:tc>
        <w:tc>
          <w:tcPr>
            <w:tcW w:w="2959" w:type="pct"/>
            <w:tcBorders>
              <w:top w:val="nil"/>
              <w:left w:val="nil"/>
              <w:bottom w:val="nil"/>
              <w:right w:val="nil"/>
            </w:tcBorders>
            <w:vAlign w:val="bottom"/>
            <w:hideMark/>
          </w:tcPr>
          <w:p w14:paraId="55A9A091" w14:textId="77777777" w:rsidR="008F5536" w:rsidRPr="002B3E1D" w:rsidRDefault="008F5536" w:rsidP="008F5536">
            <w:pPr>
              <w:spacing w:after="0" w:line="240" w:lineRule="auto"/>
              <w:ind w:left="170" w:hanging="170"/>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Employees are capable of sharing their expertise to bring new projects or initiatives to fruition.</w:t>
            </w:r>
          </w:p>
        </w:tc>
        <w:tc>
          <w:tcPr>
            <w:tcW w:w="756" w:type="pct"/>
            <w:tcBorders>
              <w:top w:val="nil"/>
              <w:left w:val="nil"/>
              <w:bottom w:val="nil"/>
              <w:right w:val="nil"/>
            </w:tcBorders>
            <w:vAlign w:val="bottom"/>
            <w:hideMark/>
          </w:tcPr>
          <w:p w14:paraId="6781C419" w14:textId="77777777" w:rsidR="008F5536" w:rsidRPr="002B3E1D" w:rsidRDefault="008F5536" w:rsidP="008F5536">
            <w:pPr>
              <w:spacing w:after="0" w:line="240" w:lineRule="auto"/>
              <w:jc w:val="center"/>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.86</w:t>
            </w:r>
          </w:p>
        </w:tc>
        <w:tc>
          <w:tcPr>
            <w:tcW w:w="377" w:type="pct"/>
            <w:tcBorders>
              <w:top w:val="nil"/>
              <w:left w:val="nil"/>
              <w:bottom w:val="nil"/>
              <w:right w:val="nil"/>
            </w:tcBorders>
            <w:vAlign w:val="bottom"/>
            <w:hideMark/>
          </w:tcPr>
          <w:p w14:paraId="784CE2B9" w14:textId="77777777" w:rsidR="008F5536" w:rsidRPr="002B3E1D" w:rsidRDefault="008F5536" w:rsidP="008F5536">
            <w:pPr>
              <w:tabs>
                <w:tab w:val="decimal" w:pos="284"/>
              </w:tabs>
              <w:spacing w:after="0" w:line="240" w:lineRule="auto"/>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12.66</w:t>
            </w:r>
          </w:p>
        </w:tc>
      </w:tr>
      <w:tr w:rsidR="008F5536" w:rsidRPr="002B3E1D" w14:paraId="47A60F9C" w14:textId="77777777" w:rsidTr="008F5536">
        <w:tc>
          <w:tcPr>
            <w:tcW w:w="908" w:type="pct"/>
            <w:tcBorders>
              <w:top w:val="nil"/>
              <w:left w:val="nil"/>
              <w:bottom w:val="nil"/>
              <w:right w:val="nil"/>
            </w:tcBorders>
            <w:tcMar>
              <w:top w:w="0" w:type="dxa"/>
              <w:left w:w="57" w:type="dxa"/>
              <w:bottom w:w="0" w:type="dxa"/>
              <w:right w:w="57" w:type="dxa"/>
            </w:tcMar>
            <w:vAlign w:val="bottom"/>
          </w:tcPr>
          <w:p w14:paraId="578A0C6D" w14:textId="77777777" w:rsidR="008F5536" w:rsidRPr="002B3E1D" w:rsidRDefault="008F5536" w:rsidP="008F5536">
            <w:pPr>
              <w:spacing w:after="0" w:line="240" w:lineRule="auto"/>
              <w:rPr>
                <w:rFonts w:ascii="Times New Roman" w:eastAsia="Calibri" w:hAnsi="Times New Roman" w:cs="Times New Roman"/>
                <w:sz w:val="20"/>
                <w:szCs w:val="20"/>
                <w:lang w:val="en-US"/>
              </w:rPr>
            </w:pPr>
          </w:p>
        </w:tc>
        <w:tc>
          <w:tcPr>
            <w:tcW w:w="2959" w:type="pct"/>
            <w:tcBorders>
              <w:top w:val="nil"/>
              <w:left w:val="nil"/>
              <w:bottom w:val="nil"/>
              <w:right w:val="nil"/>
            </w:tcBorders>
            <w:vAlign w:val="bottom"/>
            <w:hideMark/>
          </w:tcPr>
          <w:p w14:paraId="660BA715" w14:textId="77777777" w:rsidR="008F5536" w:rsidRPr="002B3E1D" w:rsidRDefault="008F5536" w:rsidP="008F5536">
            <w:pPr>
              <w:spacing w:after="0" w:line="240" w:lineRule="auto"/>
              <w:ind w:left="170" w:hanging="170"/>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Employees are willing to exchange and combine ideas with their co-workers.</w:t>
            </w:r>
          </w:p>
        </w:tc>
        <w:tc>
          <w:tcPr>
            <w:tcW w:w="756" w:type="pct"/>
            <w:tcBorders>
              <w:top w:val="nil"/>
              <w:left w:val="nil"/>
              <w:bottom w:val="nil"/>
              <w:right w:val="nil"/>
            </w:tcBorders>
            <w:vAlign w:val="bottom"/>
            <w:hideMark/>
          </w:tcPr>
          <w:p w14:paraId="6815C9A3" w14:textId="77777777" w:rsidR="008F5536" w:rsidRPr="002B3E1D" w:rsidRDefault="008F5536" w:rsidP="008F5536">
            <w:pPr>
              <w:spacing w:after="0" w:line="240" w:lineRule="auto"/>
              <w:jc w:val="center"/>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.80</w:t>
            </w:r>
          </w:p>
        </w:tc>
        <w:tc>
          <w:tcPr>
            <w:tcW w:w="377" w:type="pct"/>
            <w:tcBorders>
              <w:top w:val="nil"/>
              <w:left w:val="nil"/>
              <w:bottom w:val="nil"/>
              <w:right w:val="nil"/>
            </w:tcBorders>
            <w:vAlign w:val="bottom"/>
            <w:hideMark/>
          </w:tcPr>
          <w:p w14:paraId="26E55978" w14:textId="77777777" w:rsidR="008F5536" w:rsidRPr="002B3E1D" w:rsidRDefault="008F5536" w:rsidP="008F5536">
            <w:pPr>
              <w:tabs>
                <w:tab w:val="decimal" w:pos="284"/>
              </w:tabs>
              <w:spacing w:after="0" w:line="240" w:lineRule="auto"/>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11.36</w:t>
            </w:r>
          </w:p>
        </w:tc>
      </w:tr>
      <w:tr w:rsidR="008F5536" w:rsidRPr="002B3E1D" w14:paraId="00CB3144" w14:textId="77777777" w:rsidTr="008F5536">
        <w:tc>
          <w:tcPr>
            <w:tcW w:w="908" w:type="pct"/>
            <w:tcBorders>
              <w:top w:val="nil"/>
              <w:left w:val="nil"/>
              <w:bottom w:val="nil"/>
              <w:right w:val="nil"/>
            </w:tcBorders>
            <w:tcMar>
              <w:top w:w="0" w:type="dxa"/>
              <w:left w:w="57" w:type="dxa"/>
              <w:bottom w:w="0" w:type="dxa"/>
              <w:right w:w="57" w:type="dxa"/>
            </w:tcMar>
            <w:vAlign w:val="bottom"/>
          </w:tcPr>
          <w:p w14:paraId="48B1A44B" w14:textId="77777777" w:rsidR="008F5536" w:rsidRPr="002B3E1D" w:rsidRDefault="008F5536" w:rsidP="008F5536">
            <w:pPr>
              <w:spacing w:after="0" w:line="240" w:lineRule="auto"/>
              <w:rPr>
                <w:rFonts w:ascii="Times New Roman" w:eastAsia="Calibri" w:hAnsi="Times New Roman" w:cs="Times New Roman"/>
                <w:sz w:val="20"/>
                <w:szCs w:val="20"/>
                <w:lang w:val="en-US"/>
              </w:rPr>
            </w:pPr>
          </w:p>
        </w:tc>
        <w:tc>
          <w:tcPr>
            <w:tcW w:w="2959" w:type="pct"/>
            <w:tcBorders>
              <w:top w:val="nil"/>
              <w:left w:val="nil"/>
              <w:bottom w:val="nil"/>
              <w:right w:val="nil"/>
            </w:tcBorders>
            <w:vAlign w:val="bottom"/>
          </w:tcPr>
          <w:p w14:paraId="61F8BC2B" w14:textId="77777777" w:rsidR="008F5536" w:rsidRPr="002B3E1D" w:rsidRDefault="008F5536" w:rsidP="008F5536">
            <w:pPr>
              <w:spacing w:after="0" w:line="240" w:lineRule="auto"/>
              <w:ind w:left="170" w:hanging="170"/>
              <w:rPr>
                <w:rFonts w:ascii="Times New Roman" w:eastAsia="Calibri" w:hAnsi="Times New Roman" w:cs="Times New Roman"/>
                <w:sz w:val="20"/>
                <w:szCs w:val="20"/>
                <w:lang w:val="en-US"/>
              </w:rPr>
            </w:pPr>
          </w:p>
        </w:tc>
        <w:tc>
          <w:tcPr>
            <w:tcW w:w="756" w:type="pct"/>
            <w:tcBorders>
              <w:top w:val="nil"/>
              <w:left w:val="nil"/>
              <w:bottom w:val="nil"/>
              <w:right w:val="nil"/>
            </w:tcBorders>
            <w:vAlign w:val="bottom"/>
          </w:tcPr>
          <w:p w14:paraId="1E579F2E" w14:textId="77777777" w:rsidR="008F5536" w:rsidRPr="002B3E1D" w:rsidRDefault="008F5536" w:rsidP="008F5536">
            <w:pPr>
              <w:spacing w:after="0" w:line="240" w:lineRule="auto"/>
              <w:jc w:val="center"/>
              <w:rPr>
                <w:rFonts w:ascii="Times New Roman" w:eastAsia="Calibri" w:hAnsi="Times New Roman" w:cs="Times New Roman"/>
                <w:sz w:val="20"/>
                <w:szCs w:val="20"/>
                <w:lang w:val="en-US"/>
              </w:rPr>
            </w:pPr>
          </w:p>
        </w:tc>
        <w:tc>
          <w:tcPr>
            <w:tcW w:w="377" w:type="pct"/>
            <w:tcBorders>
              <w:top w:val="nil"/>
              <w:left w:val="nil"/>
              <w:bottom w:val="nil"/>
              <w:right w:val="nil"/>
            </w:tcBorders>
            <w:vAlign w:val="bottom"/>
          </w:tcPr>
          <w:p w14:paraId="22826E38" w14:textId="77777777" w:rsidR="008F5536" w:rsidRPr="002B3E1D" w:rsidRDefault="008F5536" w:rsidP="008F5536">
            <w:pPr>
              <w:tabs>
                <w:tab w:val="decimal" w:pos="284"/>
              </w:tabs>
              <w:spacing w:after="0" w:line="240" w:lineRule="auto"/>
              <w:rPr>
                <w:rFonts w:ascii="Times New Roman" w:eastAsia="Calibri" w:hAnsi="Times New Roman" w:cs="Times New Roman"/>
                <w:sz w:val="20"/>
                <w:szCs w:val="20"/>
                <w:lang w:val="en-US"/>
              </w:rPr>
            </w:pPr>
          </w:p>
        </w:tc>
      </w:tr>
      <w:tr w:rsidR="008F5536" w:rsidRPr="002B3E1D" w14:paraId="52641558" w14:textId="77777777" w:rsidTr="008F5536">
        <w:tc>
          <w:tcPr>
            <w:tcW w:w="908" w:type="pct"/>
            <w:vMerge w:val="restart"/>
            <w:tcBorders>
              <w:top w:val="nil"/>
              <w:left w:val="nil"/>
              <w:bottom w:val="nil"/>
              <w:right w:val="nil"/>
            </w:tcBorders>
            <w:tcMar>
              <w:top w:w="0" w:type="dxa"/>
              <w:left w:w="57" w:type="dxa"/>
              <w:bottom w:w="0" w:type="dxa"/>
              <w:right w:w="57" w:type="dxa"/>
            </w:tcMar>
            <w:hideMark/>
          </w:tcPr>
          <w:p w14:paraId="0E2DA5CB" w14:textId="77777777" w:rsidR="008F5536" w:rsidRPr="002B3E1D" w:rsidRDefault="008F5536" w:rsidP="008F5536">
            <w:pPr>
              <w:spacing w:after="0" w:line="240" w:lineRule="auto"/>
              <w:rPr>
                <w:rFonts w:ascii="Times New Roman" w:eastAsia="Calibri" w:hAnsi="Times New Roman" w:cs="Times New Roman"/>
                <w:sz w:val="20"/>
                <w:szCs w:val="20"/>
                <w:lang w:val="en-US"/>
              </w:rPr>
            </w:pPr>
            <w:r w:rsidRPr="002B3E1D">
              <w:rPr>
                <w:rFonts w:ascii="Times New Roman" w:eastAsia="Calibri" w:hAnsi="Times New Roman" w:cs="Times New Roman"/>
                <w:b/>
                <w:sz w:val="20"/>
                <w:szCs w:val="20"/>
                <w:lang w:val="en-US"/>
              </w:rPr>
              <w:t>Use of Target's Capabilities</w:t>
            </w:r>
            <w:r w:rsidRPr="002B3E1D">
              <w:rPr>
                <w:rFonts w:ascii="Times New Roman" w:eastAsia="Calibri" w:hAnsi="Times New Roman" w:cs="Times New Roman"/>
                <w:b/>
                <w:sz w:val="20"/>
                <w:szCs w:val="20"/>
                <w:vertAlign w:val="superscript"/>
                <w:lang w:val="en-US"/>
              </w:rPr>
              <w:t>b</w:t>
            </w:r>
          </w:p>
        </w:tc>
        <w:tc>
          <w:tcPr>
            <w:tcW w:w="2959" w:type="pct"/>
            <w:tcBorders>
              <w:top w:val="nil"/>
              <w:left w:val="nil"/>
              <w:bottom w:val="nil"/>
              <w:right w:val="nil"/>
            </w:tcBorders>
            <w:vAlign w:val="bottom"/>
            <w:hideMark/>
          </w:tcPr>
          <w:p w14:paraId="083E170C" w14:textId="77777777" w:rsidR="008F5536" w:rsidRPr="002B3E1D" w:rsidRDefault="008F5536" w:rsidP="008F5536">
            <w:pPr>
              <w:spacing w:after="0" w:line="240" w:lineRule="auto"/>
              <w:ind w:left="170" w:hanging="170"/>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Use of the target firm’s innovation capabilities</w:t>
            </w:r>
          </w:p>
        </w:tc>
        <w:tc>
          <w:tcPr>
            <w:tcW w:w="756" w:type="pct"/>
            <w:tcBorders>
              <w:top w:val="nil"/>
              <w:left w:val="nil"/>
              <w:bottom w:val="nil"/>
              <w:right w:val="nil"/>
            </w:tcBorders>
            <w:vAlign w:val="bottom"/>
            <w:hideMark/>
          </w:tcPr>
          <w:p w14:paraId="5106CC1C" w14:textId="77777777" w:rsidR="008F5536" w:rsidRPr="002B3E1D" w:rsidRDefault="008F5536" w:rsidP="008F5536">
            <w:pPr>
              <w:spacing w:after="0" w:line="240" w:lineRule="auto"/>
              <w:jc w:val="center"/>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.79</w:t>
            </w:r>
          </w:p>
        </w:tc>
        <w:tc>
          <w:tcPr>
            <w:tcW w:w="377" w:type="pct"/>
            <w:tcBorders>
              <w:top w:val="nil"/>
              <w:left w:val="nil"/>
              <w:bottom w:val="nil"/>
              <w:right w:val="nil"/>
            </w:tcBorders>
            <w:vAlign w:val="bottom"/>
            <w:hideMark/>
          </w:tcPr>
          <w:p w14:paraId="0CD13ED4" w14:textId="77777777" w:rsidR="008F5536" w:rsidRPr="002B3E1D" w:rsidRDefault="008F5536" w:rsidP="008F5536">
            <w:pPr>
              <w:tabs>
                <w:tab w:val="decimal" w:pos="284"/>
              </w:tabs>
              <w:spacing w:after="0" w:line="240" w:lineRule="auto"/>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10.23</w:t>
            </w:r>
          </w:p>
        </w:tc>
      </w:tr>
      <w:tr w:rsidR="008F5536" w:rsidRPr="002B3E1D" w14:paraId="4C4CCE1E" w14:textId="77777777" w:rsidTr="008F5536">
        <w:tc>
          <w:tcPr>
            <w:tcW w:w="0" w:type="auto"/>
            <w:vMerge/>
            <w:tcBorders>
              <w:top w:val="nil"/>
              <w:left w:val="nil"/>
              <w:bottom w:val="nil"/>
              <w:right w:val="nil"/>
            </w:tcBorders>
            <w:vAlign w:val="center"/>
            <w:hideMark/>
          </w:tcPr>
          <w:p w14:paraId="6493B200" w14:textId="77777777" w:rsidR="008F5536" w:rsidRPr="002B3E1D" w:rsidRDefault="008F5536" w:rsidP="008F5536">
            <w:pPr>
              <w:spacing w:after="0" w:line="240" w:lineRule="auto"/>
              <w:rPr>
                <w:rFonts w:ascii="Times New Roman" w:eastAsia="Calibri" w:hAnsi="Times New Roman" w:cs="Times New Roman"/>
                <w:sz w:val="20"/>
                <w:szCs w:val="20"/>
                <w:lang w:val="en-US"/>
              </w:rPr>
            </w:pPr>
          </w:p>
        </w:tc>
        <w:tc>
          <w:tcPr>
            <w:tcW w:w="2959" w:type="pct"/>
            <w:tcBorders>
              <w:top w:val="nil"/>
              <w:left w:val="nil"/>
              <w:bottom w:val="nil"/>
              <w:right w:val="nil"/>
            </w:tcBorders>
            <w:vAlign w:val="bottom"/>
            <w:hideMark/>
          </w:tcPr>
          <w:p w14:paraId="11208C75" w14:textId="77777777" w:rsidR="008F5536" w:rsidRPr="002B3E1D" w:rsidRDefault="008F5536" w:rsidP="008F5536">
            <w:pPr>
              <w:spacing w:after="0" w:line="240" w:lineRule="auto"/>
              <w:ind w:left="170" w:hanging="170"/>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Use of the target firm’s know-how in processes</w:t>
            </w:r>
          </w:p>
        </w:tc>
        <w:tc>
          <w:tcPr>
            <w:tcW w:w="756" w:type="pct"/>
            <w:tcBorders>
              <w:top w:val="nil"/>
              <w:left w:val="nil"/>
              <w:bottom w:val="nil"/>
              <w:right w:val="nil"/>
            </w:tcBorders>
            <w:vAlign w:val="bottom"/>
            <w:hideMark/>
          </w:tcPr>
          <w:p w14:paraId="28B931E8" w14:textId="77777777" w:rsidR="008F5536" w:rsidRPr="002B3E1D" w:rsidRDefault="008F5536" w:rsidP="008F5536">
            <w:pPr>
              <w:spacing w:after="0" w:line="240" w:lineRule="auto"/>
              <w:jc w:val="center"/>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.90</w:t>
            </w:r>
          </w:p>
        </w:tc>
        <w:tc>
          <w:tcPr>
            <w:tcW w:w="377" w:type="pct"/>
            <w:tcBorders>
              <w:top w:val="nil"/>
              <w:left w:val="nil"/>
              <w:bottom w:val="nil"/>
              <w:right w:val="nil"/>
            </w:tcBorders>
            <w:vAlign w:val="bottom"/>
            <w:hideMark/>
          </w:tcPr>
          <w:p w14:paraId="63BC5D1B" w14:textId="77777777" w:rsidR="008F5536" w:rsidRPr="002B3E1D" w:rsidRDefault="008F5536" w:rsidP="008F5536">
            <w:pPr>
              <w:tabs>
                <w:tab w:val="decimal" w:pos="284"/>
              </w:tabs>
              <w:spacing w:after="0" w:line="240" w:lineRule="auto"/>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12.00</w:t>
            </w:r>
          </w:p>
        </w:tc>
      </w:tr>
      <w:tr w:rsidR="008F5536" w:rsidRPr="002B3E1D" w14:paraId="73355163" w14:textId="77777777" w:rsidTr="008F5536">
        <w:tc>
          <w:tcPr>
            <w:tcW w:w="0" w:type="auto"/>
            <w:vMerge/>
            <w:tcBorders>
              <w:top w:val="nil"/>
              <w:left w:val="nil"/>
              <w:bottom w:val="nil"/>
              <w:right w:val="nil"/>
            </w:tcBorders>
            <w:vAlign w:val="center"/>
            <w:hideMark/>
          </w:tcPr>
          <w:p w14:paraId="398C31A9" w14:textId="77777777" w:rsidR="008F5536" w:rsidRPr="002B3E1D" w:rsidRDefault="008F5536" w:rsidP="008F5536">
            <w:pPr>
              <w:spacing w:after="0" w:line="240" w:lineRule="auto"/>
              <w:rPr>
                <w:rFonts w:ascii="Times New Roman" w:eastAsia="Calibri" w:hAnsi="Times New Roman" w:cs="Times New Roman"/>
                <w:sz w:val="20"/>
                <w:szCs w:val="20"/>
                <w:lang w:val="en-US"/>
              </w:rPr>
            </w:pPr>
          </w:p>
        </w:tc>
        <w:tc>
          <w:tcPr>
            <w:tcW w:w="2959" w:type="pct"/>
            <w:tcBorders>
              <w:top w:val="nil"/>
              <w:left w:val="nil"/>
              <w:bottom w:val="nil"/>
              <w:right w:val="nil"/>
            </w:tcBorders>
            <w:vAlign w:val="bottom"/>
            <w:hideMark/>
          </w:tcPr>
          <w:p w14:paraId="5259F54A" w14:textId="77777777" w:rsidR="008F5536" w:rsidRPr="002B3E1D" w:rsidRDefault="008F5536" w:rsidP="008F5536">
            <w:pPr>
              <w:spacing w:after="0" w:line="240" w:lineRule="auto"/>
              <w:ind w:left="170" w:hanging="170"/>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Use of the target firm’s managerial capabilities (reporting, planning, tools, financial expertise)</w:t>
            </w:r>
          </w:p>
        </w:tc>
        <w:tc>
          <w:tcPr>
            <w:tcW w:w="756" w:type="pct"/>
            <w:tcBorders>
              <w:top w:val="nil"/>
              <w:left w:val="nil"/>
              <w:bottom w:val="nil"/>
              <w:right w:val="nil"/>
            </w:tcBorders>
            <w:vAlign w:val="bottom"/>
            <w:hideMark/>
          </w:tcPr>
          <w:p w14:paraId="6023EA01" w14:textId="77777777" w:rsidR="008F5536" w:rsidRPr="002B3E1D" w:rsidRDefault="008F5536" w:rsidP="008F5536">
            <w:pPr>
              <w:spacing w:after="0" w:line="240" w:lineRule="auto"/>
              <w:jc w:val="center"/>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.59</w:t>
            </w:r>
          </w:p>
        </w:tc>
        <w:tc>
          <w:tcPr>
            <w:tcW w:w="377" w:type="pct"/>
            <w:tcBorders>
              <w:top w:val="nil"/>
              <w:left w:val="nil"/>
              <w:bottom w:val="nil"/>
              <w:right w:val="nil"/>
            </w:tcBorders>
            <w:vAlign w:val="bottom"/>
            <w:hideMark/>
          </w:tcPr>
          <w:p w14:paraId="5CD50533" w14:textId="77777777" w:rsidR="008F5536" w:rsidRPr="002B3E1D" w:rsidRDefault="008F5536" w:rsidP="008F5536">
            <w:pPr>
              <w:tabs>
                <w:tab w:val="decimal" w:pos="284"/>
              </w:tabs>
              <w:spacing w:after="0" w:line="240" w:lineRule="auto"/>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7.24</w:t>
            </w:r>
          </w:p>
        </w:tc>
      </w:tr>
      <w:tr w:rsidR="008F5536" w:rsidRPr="002B3E1D" w14:paraId="21F8D5B5" w14:textId="77777777" w:rsidTr="008F5536">
        <w:tc>
          <w:tcPr>
            <w:tcW w:w="908" w:type="pct"/>
            <w:tcBorders>
              <w:top w:val="nil"/>
              <w:left w:val="nil"/>
              <w:bottom w:val="nil"/>
              <w:right w:val="nil"/>
            </w:tcBorders>
            <w:tcMar>
              <w:top w:w="0" w:type="dxa"/>
              <w:left w:w="57" w:type="dxa"/>
              <w:bottom w:w="0" w:type="dxa"/>
              <w:right w:w="57" w:type="dxa"/>
            </w:tcMar>
            <w:vAlign w:val="bottom"/>
          </w:tcPr>
          <w:p w14:paraId="5F803754" w14:textId="77777777" w:rsidR="008F5536" w:rsidRPr="002B3E1D" w:rsidRDefault="008F5536" w:rsidP="008F5536">
            <w:pPr>
              <w:spacing w:after="0" w:line="240" w:lineRule="auto"/>
              <w:rPr>
                <w:rFonts w:ascii="Times New Roman" w:eastAsia="Calibri" w:hAnsi="Times New Roman" w:cs="Times New Roman"/>
                <w:sz w:val="20"/>
                <w:szCs w:val="20"/>
                <w:lang w:val="en-US"/>
              </w:rPr>
            </w:pPr>
          </w:p>
        </w:tc>
        <w:tc>
          <w:tcPr>
            <w:tcW w:w="2959" w:type="pct"/>
            <w:tcBorders>
              <w:top w:val="nil"/>
              <w:left w:val="nil"/>
              <w:bottom w:val="nil"/>
              <w:right w:val="nil"/>
            </w:tcBorders>
            <w:vAlign w:val="bottom"/>
          </w:tcPr>
          <w:p w14:paraId="54D76ECD" w14:textId="77777777" w:rsidR="008F5536" w:rsidRPr="002B3E1D" w:rsidRDefault="008F5536" w:rsidP="008F5536">
            <w:pPr>
              <w:spacing w:after="0" w:line="240" w:lineRule="auto"/>
              <w:ind w:left="170" w:hanging="170"/>
              <w:rPr>
                <w:rFonts w:ascii="Times New Roman" w:eastAsia="Calibri" w:hAnsi="Times New Roman" w:cs="Times New Roman"/>
                <w:sz w:val="20"/>
                <w:szCs w:val="20"/>
                <w:lang w:val="en-US"/>
              </w:rPr>
            </w:pPr>
          </w:p>
        </w:tc>
        <w:tc>
          <w:tcPr>
            <w:tcW w:w="756" w:type="pct"/>
            <w:tcBorders>
              <w:top w:val="nil"/>
              <w:left w:val="nil"/>
              <w:bottom w:val="nil"/>
              <w:right w:val="nil"/>
            </w:tcBorders>
            <w:vAlign w:val="bottom"/>
          </w:tcPr>
          <w:p w14:paraId="67C28DC8" w14:textId="77777777" w:rsidR="008F5536" w:rsidRPr="002B3E1D" w:rsidRDefault="008F5536" w:rsidP="008F5536">
            <w:pPr>
              <w:spacing w:after="0" w:line="240" w:lineRule="auto"/>
              <w:jc w:val="center"/>
              <w:rPr>
                <w:rFonts w:ascii="Times New Roman" w:eastAsia="Calibri" w:hAnsi="Times New Roman" w:cs="Times New Roman"/>
                <w:sz w:val="20"/>
                <w:szCs w:val="20"/>
                <w:lang w:val="en-US"/>
              </w:rPr>
            </w:pPr>
          </w:p>
        </w:tc>
        <w:tc>
          <w:tcPr>
            <w:tcW w:w="377" w:type="pct"/>
            <w:tcBorders>
              <w:top w:val="nil"/>
              <w:left w:val="nil"/>
              <w:bottom w:val="nil"/>
              <w:right w:val="nil"/>
            </w:tcBorders>
            <w:vAlign w:val="bottom"/>
          </w:tcPr>
          <w:p w14:paraId="2DC60D4C" w14:textId="77777777" w:rsidR="008F5536" w:rsidRPr="002B3E1D" w:rsidRDefault="008F5536" w:rsidP="008F5536">
            <w:pPr>
              <w:tabs>
                <w:tab w:val="decimal" w:pos="284"/>
              </w:tabs>
              <w:spacing w:after="0" w:line="240" w:lineRule="auto"/>
              <w:rPr>
                <w:rFonts w:ascii="Times New Roman" w:eastAsia="Calibri" w:hAnsi="Times New Roman" w:cs="Times New Roman"/>
                <w:sz w:val="20"/>
                <w:szCs w:val="20"/>
                <w:lang w:val="en-US"/>
              </w:rPr>
            </w:pPr>
          </w:p>
        </w:tc>
      </w:tr>
      <w:tr w:rsidR="008F5536" w:rsidRPr="002B3E1D" w14:paraId="446E5B5B" w14:textId="77777777" w:rsidTr="008F5536">
        <w:tc>
          <w:tcPr>
            <w:tcW w:w="908" w:type="pct"/>
            <w:vMerge w:val="restart"/>
            <w:tcBorders>
              <w:top w:val="nil"/>
              <w:left w:val="nil"/>
              <w:bottom w:val="nil"/>
              <w:right w:val="nil"/>
            </w:tcBorders>
            <w:hideMark/>
          </w:tcPr>
          <w:p w14:paraId="622B43F6" w14:textId="77777777" w:rsidR="008F5536" w:rsidRPr="002B3E1D" w:rsidRDefault="008F5536" w:rsidP="008F5536">
            <w:pPr>
              <w:spacing w:after="0" w:line="240" w:lineRule="auto"/>
              <w:rPr>
                <w:rFonts w:ascii="Times New Roman" w:eastAsia="Calibri" w:hAnsi="Times New Roman" w:cs="Times New Roman"/>
                <w:sz w:val="20"/>
                <w:szCs w:val="20"/>
                <w:lang w:val="en-US"/>
              </w:rPr>
            </w:pPr>
            <w:r w:rsidRPr="002B3E1D">
              <w:rPr>
                <w:rFonts w:ascii="Times New Roman" w:eastAsia="Calibri" w:hAnsi="Times New Roman" w:cs="Times New Roman"/>
                <w:b/>
                <w:sz w:val="20"/>
                <w:szCs w:val="20"/>
                <w:lang w:val="en-US"/>
              </w:rPr>
              <w:t>Share Capabilities with Target</w:t>
            </w:r>
            <w:r w:rsidRPr="002B3E1D">
              <w:rPr>
                <w:rFonts w:ascii="Times New Roman" w:eastAsia="Calibri" w:hAnsi="Times New Roman" w:cs="Times New Roman"/>
                <w:b/>
                <w:sz w:val="20"/>
                <w:szCs w:val="20"/>
                <w:vertAlign w:val="superscript"/>
                <w:lang w:val="en-US"/>
              </w:rPr>
              <w:t>c</w:t>
            </w:r>
          </w:p>
        </w:tc>
        <w:tc>
          <w:tcPr>
            <w:tcW w:w="2959" w:type="pct"/>
            <w:tcBorders>
              <w:top w:val="nil"/>
              <w:left w:val="nil"/>
              <w:bottom w:val="nil"/>
              <w:right w:val="nil"/>
            </w:tcBorders>
            <w:vAlign w:val="bottom"/>
            <w:hideMark/>
          </w:tcPr>
          <w:p w14:paraId="30DB31F3" w14:textId="77777777" w:rsidR="008F5536" w:rsidRPr="002B3E1D" w:rsidRDefault="008F5536" w:rsidP="008F5536">
            <w:pPr>
              <w:spacing w:after="0" w:line="240" w:lineRule="auto"/>
              <w:ind w:left="170" w:hanging="170"/>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Transfer of innovation capabilities to the target firm</w:t>
            </w:r>
          </w:p>
        </w:tc>
        <w:tc>
          <w:tcPr>
            <w:tcW w:w="756" w:type="pct"/>
            <w:tcBorders>
              <w:top w:val="nil"/>
              <w:left w:val="nil"/>
              <w:bottom w:val="nil"/>
              <w:right w:val="nil"/>
            </w:tcBorders>
            <w:vAlign w:val="bottom"/>
            <w:hideMark/>
          </w:tcPr>
          <w:p w14:paraId="6417FB3C" w14:textId="77777777" w:rsidR="008F5536" w:rsidRPr="002B3E1D" w:rsidRDefault="008F5536" w:rsidP="008F5536">
            <w:pPr>
              <w:spacing w:after="0" w:line="240" w:lineRule="auto"/>
              <w:jc w:val="center"/>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.94</w:t>
            </w:r>
          </w:p>
        </w:tc>
        <w:tc>
          <w:tcPr>
            <w:tcW w:w="377" w:type="pct"/>
            <w:tcBorders>
              <w:top w:val="nil"/>
              <w:left w:val="nil"/>
              <w:bottom w:val="nil"/>
              <w:right w:val="nil"/>
            </w:tcBorders>
            <w:vAlign w:val="bottom"/>
            <w:hideMark/>
          </w:tcPr>
          <w:p w14:paraId="070E2356" w14:textId="77777777" w:rsidR="008F5536" w:rsidRPr="002B3E1D" w:rsidRDefault="008F5536" w:rsidP="008F5536">
            <w:pPr>
              <w:tabs>
                <w:tab w:val="decimal" w:pos="284"/>
              </w:tabs>
              <w:spacing w:after="0" w:line="240" w:lineRule="auto"/>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13.28</w:t>
            </w:r>
          </w:p>
        </w:tc>
      </w:tr>
      <w:tr w:rsidR="008F5536" w:rsidRPr="002B3E1D" w14:paraId="3C565910" w14:textId="77777777" w:rsidTr="008F5536">
        <w:tc>
          <w:tcPr>
            <w:tcW w:w="0" w:type="auto"/>
            <w:vMerge/>
            <w:tcBorders>
              <w:top w:val="nil"/>
              <w:left w:val="nil"/>
              <w:bottom w:val="nil"/>
              <w:right w:val="nil"/>
            </w:tcBorders>
            <w:vAlign w:val="center"/>
            <w:hideMark/>
          </w:tcPr>
          <w:p w14:paraId="58B385FA" w14:textId="77777777" w:rsidR="008F5536" w:rsidRPr="002B3E1D" w:rsidRDefault="008F5536" w:rsidP="008F5536">
            <w:pPr>
              <w:spacing w:after="0" w:line="240" w:lineRule="auto"/>
              <w:rPr>
                <w:rFonts w:ascii="Times New Roman" w:eastAsia="Calibri" w:hAnsi="Times New Roman" w:cs="Times New Roman"/>
                <w:sz w:val="20"/>
                <w:szCs w:val="20"/>
                <w:lang w:val="en-US"/>
              </w:rPr>
            </w:pPr>
          </w:p>
        </w:tc>
        <w:tc>
          <w:tcPr>
            <w:tcW w:w="2959" w:type="pct"/>
            <w:tcBorders>
              <w:top w:val="nil"/>
              <w:left w:val="nil"/>
              <w:bottom w:val="nil"/>
              <w:right w:val="nil"/>
            </w:tcBorders>
            <w:vAlign w:val="bottom"/>
            <w:hideMark/>
          </w:tcPr>
          <w:p w14:paraId="7A27B271" w14:textId="77777777" w:rsidR="008F5536" w:rsidRPr="002B3E1D" w:rsidRDefault="008F5536" w:rsidP="008F5536">
            <w:pPr>
              <w:spacing w:after="0" w:line="240" w:lineRule="auto"/>
              <w:ind w:left="170" w:hanging="170"/>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Transfer of know-how to the target firm</w:t>
            </w:r>
          </w:p>
        </w:tc>
        <w:tc>
          <w:tcPr>
            <w:tcW w:w="756" w:type="pct"/>
            <w:tcBorders>
              <w:top w:val="nil"/>
              <w:left w:val="nil"/>
              <w:bottom w:val="nil"/>
              <w:right w:val="nil"/>
            </w:tcBorders>
            <w:vAlign w:val="bottom"/>
            <w:hideMark/>
          </w:tcPr>
          <w:p w14:paraId="5FF58519" w14:textId="77777777" w:rsidR="008F5536" w:rsidRPr="002B3E1D" w:rsidRDefault="008F5536" w:rsidP="008F5536">
            <w:pPr>
              <w:spacing w:after="0" w:line="240" w:lineRule="auto"/>
              <w:jc w:val="center"/>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.84</w:t>
            </w:r>
          </w:p>
        </w:tc>
        <w:tc>
          <w:tcPr>
            <w:tcW w:w="377" w:type="pct"/>
            <w:tcBorders>
              <w:top w:val="nil"/>
              <w:left w:val="nil"/>
              <w:bottom w:val="nil"/>
              <w:right w:val="nil"/>
            </w:tcBorders>
            <w:vAlign w:val="bottom"/>
            <w:hideMark/>
          </w:tcPr>
          <w:p w14:paraId="68FFE739" w14:textId="77777777" w:rsidR="008F5536" w:rsidRPr="002B3E1D" w:rsidRDefault="008F5536" w:rsidP="008F5536">
            <w:pPr>
              <w:tabs>
                <w:tab w:val="decimal" w:pos="284"/>
              </w:tabs>
              <w:spacing w:after="0" w:line="240" w:lineRule="auto"/>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11.30</w:t>
            </w:r>
          </w:p>
        </w:tc>
      </w:tr>
      <w:tr w:rsidR="008F5536" w:rsidRPr="002B3E1D" w14:paraId="23919ABC" w14:textId="77777777" w:rsidTr="008F5536">
        <w:tc>
          <w:tcPr>
            <w:tcW w:w="0" w:type="auto"/>
            <w:vMerge/>
            <w:tcBorders>
              <w:top w:val="nil"/>
              <w:left w:val="nil"/>
              <w:bottom w:val="nil"/>
              <w:right w:val="nil"/>
            </w:tcBorders>
            <w:vAlign w:val="center"/>
            <w:hideMark/>
          </w:tcPr>
          <w:p w14:paraId="57A38F1B" w14:textId="77777777" w:rsidR="008F5536" w:rsidRPr="002B3E1D" w:rsidRDefault="008F5536" w:rsidP="008F5536">
            <w:pPr>
              <w:spacing w:after="0" w:line="240" w:lineRule="auto"/>
              <w:rPr>
                <w:rFonts w:ascii="Times New Roman" w:eastAsia="Calibri" w:hAnsi="Times New Roman" w:cs="Times New Roman"/>
                <w:sz w:val="20"/>
                <w:szCs w:val="20"/>
                <w:lang w:val="en-US"/>
              </w:rPr>
            </w:pPr>
          </w:p>
        </w:tc>
        <w:tc>
          <w:tcPr>
            <w:tcW w:w="2959" w:type="pct"/>
            <w:tcBorders>
              <w:top w:val="nil"/>
              <w:left w:val="nil"/>
              <w:bottom w:val="nil"/>
              <w:right w:val="nil"/>
            </w:tcBorders>
            <w:vAlign w:val="bottom"/>
            <w:hideMark/>
          </w:tcPr>
          <w:p w14:paraId="38B5E5E9" w14:textId="77777777" w:rsidR="008F5536" w:rsidRPr="002B3E1D" w:rsidRDefault="008F5536" w:rsidP="008F5536">
            <w:pPr>
              <w:spacing w:after="0" w:line="240" w:lineRule="auto"/>
              <w:ind w:left="170" w:hanging="170"/>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Transfer of managerial capabilities to the target firm (reporting, planning tools, financial expertise)</w:t>
            </w:r>
          </w:p>
        </w:tc>
        <w:tc>
          <w:tcPr>
            <w:tcW w:w="756" w:type="pct"/>
            <w:tcBorders>
              <w:top w:val="nil"/>
              <w:left w:val="nil"/>
              <w:bottom w:val="nil"/>
              <w:right w:val="nil"/>
            </w:tcBorders>
            <w:vAlign w:val="bottom"/>
            <w:hideMark/>
          </w:tcPr>
          <w:p w14:paraId="3541F316" w14:textId="77777777" w:rsidR="008F5536" w:rsidRPr="002B3E1D" w:rsidRDefault="008F5536" w:rsidP="008F5536">
            <w:pPr>
              <w:spacing w:after="0" w:line="240" w:lineRule="auto"/>
              <w:jc w:val="center"/>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.48</w:t>
            </w:r>
          </w:p>
        </w:tc>
        <w:tc>
          <w:tcPr>
            <w:tcW w:w="377" w:type="pct"/>
            <w:tcBorders>
              <w:top w:val="nil"/>
              <w:left w:val="nil"/>
              <w:bottom w:val="nil"/>
              <w:right w:val="nil"/>
            </w:tcBorders>
            <w:vAlign w:val="bottom"/>
            <w:hideMark/>
          </w:tcPr>
          <w:p w14:paraId="3E176BDC" w14:textId="77777777" w:rsidR="008F5536" w:rsidRPr="002B3E1D" w:rsidRDefault="008F5536" w:rsidP="008F5536">
            <w:pPr>
              <w:tabs>
                <w:tab w:val="decimal" w:pos="284"/>
              </w:tabs>
              <w:spacing w:after="0" w:line="240" w:lineRule="auto"/>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5.81</w:t>
            </w:r>
          </w:p>
        </w:tc>
      </w:tr>
      <w:tr w:rsidR="008F5536" w:rsidRPr="002B3E1D" w14:paraId="4B24F70A" w14:textId="77777777" w:rsidTr="008F5536">
        <w:tc>
          <w:tcPr>
            <w:tcW w:w="0" w:type="auto"/>
            <w:vMerge/>
            <w:tcBorders>
              <w:top w:val="nil"/>
              <w:left w:val="nil"/>
              <w:bottom w:val="nil"/>
              <w:right w:val="nil"/>
            </w:tcBorders>
            <w:vAlign w:val="center"/>
            <w:hideMark/>
          </w:tcPr>
          <w:p w14:paraId="23E9E089" w14:textId="77777777" w:rsidR="008F5536" w:rsidRPr="002B3E1D" w:rsidRDefault="008F5536" w:rsidP="008F5536">
            <w:pPr>
              <w:spacing w:after="0" w:line="240" w:lineRule="auto"/>
              <w:rPr>
                <w:rFonts w:ascii="Times New Roman" w:eastAsia="Calibri" w:hAnsi="Times New Roman" w:cs="Times New Roman"/>
                <w:sz w:val="20"/>
                <w:szCs w:val="20"/>
                <w:lang w:val="en-US"/>
              </w:rPr>
            </w:pPr>
          </w:p>
        </w:tc>
        <w:tc>
          <w:tcPr>
            <w:tcW w:w="2959" w:type="pct"/>
            <w:tcBorders>
              <w:top w:val="nil"/>
              <w:left w:val="nil"/>
              <w:bottom w:val="nil"/>
              <w:right w:val="nil"/>
            </w:tcBorders>
            <w:vAlign w:val="bottom"/>
          </w:tcPr>
          <w:p w14:paraId="5E57B11F" w14:textId="77777777" w:rsidR="008F5536" w:rsidRPr="002B3E1D" w:rsidRDefault="008F5536" w:rsidP="008F5536">
            <w:pPr>
              <w:spacing w:after="0" w:line="240" w:lineRule="auto"/>
              <w:ind w:left="170" w:hanging="170"/>
              <w:rPr>
                <w:rFonts w:ascii="Times New Roman" w:eastAsia="Calibri" w:hAnsi="Times New Roman" w:cs="Times New Roman"/>
                <w:sz w:val="20"/>
                <w:szCs w:val="20"/>
                <w:lang w:val="en-US"/>
              </w:rPr>
            </w:pPr>
          </w:p>
        </w:tc>
        <w:tc>
          <w:tcPr>
            <w:tcW w:w="756" w:type="pct"/>
            <w:tcBorders>
              <w:top w:val="nil"/>
              <w:left w:val="nil"/>
              <w:bottom w:val="nil"/>
              <w:right w:val="nil"/>
            </w:tcBorders>
            <w:vAlign w:val="bottom"/>
          </w:tcPr>
          <w:p w14:paraId="6532EBCB" w14:textId="77777777" w:rsidR="008F5536" w:rsidRPr="002B3E1D" w:rsidRDefault="008F5536" w:rsidP="008F5536">
            <w:pPr>
              <w:spacing w:after="0" w:line="240" w:lineRule="auto"/>
              <w:jc w:val="center"/>
              <w:rPr>
                <w:rFonts w:ascii="Times New Roman" w:eastAsia="Calibri" w:hAnsi="Times New Roman" w:cs="Times New Roman"/>
                <w:sz w:val="20"/>
                <w:szCs w:val="20"/>
                <w:lang w:val="en-US"/>
              </w:rPr>
            </w:pPr>
          </w:p>
        </w:tc>
        <w:tc>
          <w:tcPr>
            <w:tcW w:w="377" w:type="pct"/>
            <w:tcBorders>
              <w:top w:val="nil"/>
              <w:left w:val="nil"/>
              <w:bottom w:val="nil"/>
              <w:right w:val="nil"/>
            </w:tcBorders>
            <w:vAlign w:val="bottom"/>
          </w:tcPr>
          <w:p w14:paraId="6D8CBC69" w14:textId="77777777" w:rsidR="008F5536" w:rsidRPr="002B3E1D" w:rsidRDefault="008F5536" w:rsidP="008F5536">
            <w:pPr>
              <w:tabs>
                <w:tab w:val="decimal" w:pos="284"/>
              </w:tabs>
              <w:spacing w:after="0" w:line="240" w:lineRule="auto"/>
              <w:rPr>
                <w:rFonts w:ascii="Times New Roman" w:eastAsia="Calibri" w:hAnsi="Times New Roman" w:cs="Times New Roman"/>
                <w:sz w:val="20"/>
                <w:szCs w:val="20"/>
                <w:lang w:val="en-US"/>
              </w:rPr>
            </w:pPr>
          </w:p>
        </w:tc>
      </w:tr>
      <w:tr w:rsidR="008F5536" w:rsidRPr="002B3E1D" w14:paraId="11FDAC04" w14:textId="77777777" w:rsidTr="008F5536">
        <w:tc>
          <w:tcPr>
            <w:tcW w:w="908" w:type="pct"/>
            <w:vMerge w:val="restart"/>
            <w:tcBorders>
              <w:top w:val="nil"/>
              <w:left w:val="nil"/>
              <w:bottom w:val="nil"/>
              <w:right w:val="nil"/>
            </w:tcBorders>
            <w:hideMark/>
          </w:tcPr>
          <w:p w14:paraId="64260DE0" w14:textId="77777777" w:rsidR="008F5536" w:rsidRPr="002B3E1D" w:rsidRDefault="008F5536" w:rsidP="008F5536">
            <w:pPr>
              <w:spacing w:after="0" w:line="240" w:lineRule="auto"/>
              <w:rPr>
                <w:rFonts w:ascii="Times New Roman" w:eastAsia="Calibri" w:hAnsi="Times New Roman" w:cs="Times New Roman"/>
                <w:sz w:val="20"/>
                <w:szCs w:val="20"/>
                <w:lang w:val="en-US"/>
              </w:rPr>
            </w:pPr>
            <w:r w:rsidRPr="002B3E1D">
              <w:rPr>
                <w:rFonts w:ascii="Times New Roman" w:eastAsia="Calibri" w:hAnsi="Times New Roman" w:cs="Times New Roman"/>
                <w:b/>
                <w:sz w:val="20"/>
                <w:szCs w:val="20"/>
                <w:lang w:val="en-US"/>
              </w:rPr>
              <w:t>Corporate Entrepreneurship</w:t>
            </w:r>
            <w:r w:rsidRPr="002B3E1D">
              <w:rPr>
                <w:rFonts w:ascii="Times New Roman" w:eastAsia="Calibri" w:hAnsi="Times New Roman" w:cs="Times New Roman"/>
                <w:b/>
                <w:sz w:val="20"/>
                <w:szCs w:val="20"/>
                <w:vertAlign w:val="superscript"/>
                <w:lang w:val="en-US"/>
              </w:rPr>
              <w:t>a</w:t>
            </w:r>
            <w:r w:rsidRPr="002B3E1D">
              <w:rPr>
                <w:rFonts w:ascii="Times New Roman" w:eastAsia="Calibri" w:hAnsi="Times New Roman" w:cs="Times New Roman"/>
                <w:b/>
                <w:sz w:val="20"/>
                <w:szCs w:val="20"/>
                <w:lang w:val="en-US"/>
              </w:rPr>
              <w:t xml:space="preserve"> </w:t>
            </w:r>
          </w:p>
        </w:tc>
        <w:tc>
          <w:tcPr>
            <w:tcW w:w="2959" w:type="pct"/>
            <w:tcBorders>
              <w:top w:val="nil"/>
              <w:left w:val="nil"/>
              <w:bottom w:val="nil"/>
              <w:right w:val="nil"/>
            </w:tcBorders>
            <w:hideMark/>
          </w:tcPr>
          <w:p w14:paraId="22EF4303" w14:textId="77777777" w:rsidR="008F5536" w:rsidRPr="002B3E1D" w:rsidRDefault="008F5536" w:rsidP="008F5536">
            <w:pPr>
              <w:spacing w:after="0" w:line="240" w:lineRule="auto"/>
              <w:ind w:left="170" w:hanging="170"/>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Our firm excels at identifying opportunities.</w:t>
            </w:r>
          </w:p>
        </w:tc>
        <w:tc>
          <w:tcPr>
            <w:tcW w:w="756" w:type="pct"/>
            <w:tcBorders>
              <w:top w:val="nil"/>
              <w:left w:val="nil"/>
              <w:bottom w:val="nil"/>
              <w:right w:val="nil"/>
            </w:tcBorders>
            <w:vAlign w:val="bottom"/>
            <w:hideMark/>
          </w:tcPr>
          <w:p w14:paraId="4FEA8E80" w14:textId="77777777" w:rsidR="008F5536" w:rsidRPr="002B3E1D" w:rsidRDefault="008F5536" w:rsidP="008F5536">
            <w:pPr>
              <w:spacing w:after="0" w:line="240" w:lineRule="auto"/>
              <w:jc w:val="center"/>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.76</w:t>
            </w:r>
          </w:p>
        </w:tc>
        <w:tc>
          <w:tcPr>
            <w:tcW w:w="377" w:type="pct"/>
            <w:tcBorders>
              <w:top w:val="nil"/>
              <w:left w:val="nil"/>
              <w:bottom w:val="nil"/>
              <w:right w:val="nil"/>
            </w:tcBorders>
            <w:vAlign w:val="bottom"/>
            <w:hideMark/>
          </w:tcPr>
          <w:p w14:paraId="7469981E" w14:textId="77777777" w:rsidR="008F5536" w:rsidRPr="002B3E1D" w:rsidRDefault="008F5536" w:rsidP="008F5536">
            <w:pPr>
              <w:tabs>
                <w:tab w:val="decimal" w:pos="284"/>
              </w:tabs>
              <w:spacing w:after="0" w:line="240" w:lineRule="auto"/>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10.14</w:t>
            </w:r>
          </w:p>
        </w:tc>
      </w:tr>
      <w:tr w:rsidR="008F5536" w:rsidRPr="002B3E1D" w14:paraId="10E3B94B" w14:textId="77777777" w:rsidTr="008F5536">
        <w:tc>
          <w:tcPr>
            <w:tcW w:w="0" w:type="auto"/>
            <w:vMerge/>
            <w:tcBorders>
              <w:top w:val="nil"/>
              <w:left w:val="nil"/>
              <w:bottom w:val="nil"/>
              <w:right w:val="nil"/>
            </w:tcBorders>
            <w:vAlign w:val="center"/>
            <w:hideMark/>
          </w:tcPr>
          <w:p w14:paraId="4BBCC555" w14:textId="77777777" w:rsidR="008F5536" w:rsidRPr="002B3E1D" w:rsidRDefault="008F5536" w:rsidP="008F5536">
            <w:pPr>
              <w:spacing w:after="0" w:line="240" w:lineRule="auto"/>
              <w:rPr>
                <w:rFonts w:ascii="Times New Roman" w:eastAsia="Calibri" w:hAnsi="Times New Roman" w:cs="Times New Roman"/>
                <w:sz w:val="20"/>
                <w:szCs w:val="20"/>
                <w:lang w:val="en-US"/>
              </w:rPr>
            </w:pPr>
          </w:p>
        </w:tc>
        <w:tc>
          <w:tcPr>
            <w:tcW w:w="2959" w:type="pct"/>
            <w:tcBorders>
              <w:top w:val="nil"/>
              <w:left w:val="nil"/>
              <w:bottom w:val="nil"/>
              <w:right w:val="nil"/>
            </w:tcBorders>
            <w:hideMark/>
          </w:tcPr>
          <w:p w14:paraId="23EB2A58" w14:textId="77777777" w:rsidR="008F5536" w:rsidRPr="002B3E1D" w:rsidRDefault="008F5536" w:rsidP="008F5536">
            <w:pPr>
              <w:spacing w:after="0" w:line="240" w:lineRule="auto"/>
              <w:ind w:left="170" w:hanging="170"/>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Our firm always tries to take the initiative in every situation (e.g. against competitors, in projects and when working with others).</w:t>
            </w:r>
          </w:p>
        </w:tc>
        <w:tc>
          <w:tcPr>
            <w:tcW w:w="756" w:type="pct"/>
            <w:tcBorders>
              <w:top w:val="nil"/>
              <w:left w:val="nil"/>
              <w:bottom w:val="nil"/>
              <w:right w:val="nil"/>
            </w:tcBorders>
            <w:vAlign w:val="bottom"/>
            <w:hideMark/>
          </w:tcPr>
          <w:p w14:paraId="0FC42AFE" w14:textId="77777777" w:rsidR="008F5536" w:rsidRPr="002B3E1D" w:rsidRDefault="008F5536" w:rsidP="008F5536">
            <w:pPr>
              <w:spacing w:after="0" w:line="240" w:lineRule="auto"/>
              <w:jc w:val="center"/>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.80</w:t>
            </w:r>
          </w:p>
        </w:tc>
        <w:tc>
          <w:tcPr>
            <w:tcW w:w="377" w:type="pct"/>
            <w:tcBorders>
              <w:top w:val="nil"/>
              <w:left w:val="nil"/>
              <w:bottom w:val="nil"/>
              <w:right w:val="nil"/>
            </w:tcBorders>
            <w:vAlign w:val="bottom"/>
            <w:hideMark/>
          </w:tcPr>
          <w:p w14:paraId="73B20E83" w14:textId="77777777" w:rsidR="008F5536" w:rsidRPr="002B3E1D" w:rsidRDefault="008F5536" w:rsidP="008F5536">
            <w:pPr>
              <w:tabs>
                <w:tab w:val="decimal" w:pos="284"/>
              </w:tabs>
              <w:spacing w:after="0" w:line="240" w:lineRule="auto"/>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10.96</w:t>
            </w:r>
          </w:p>
        </w:tc>
      </w:tr>
      <w:tr w:rsidR="008F5536" w:rsidRPr="002B3E1D" w14:paraId="60C1214E" w14:textId="77777777" w:rsidTr="008F5536">
        <w:tc>
          <w:tcPr>
            <w:tcW w:w="0" w:type="auto"/>
            <w:vMerge/>
            <w:tcBorders>
              <w:top w:val="nil"/>
              <w:left w:val="nil"/>
              <w:bottom w:val="nil"/>
              <w:right w:val="nil"/>
            </w:tcBorders>
            <w:vAlign w:val="center"/>
            <w:hideMark/>
          </w:tcPr>
          <w:p w14:paraId="0B4835E9" w14:textId="77777777" w:rsidR="008F5536" w:rsidRPr="002B3E1D" w:rsidRDefault="008F5536" w:rsidP="008F5536">
            <w:pPr>
              <w:spacing w:after="0" w:line="240" w:lineRule="auto"/>
              <w:rPr>
                <w:rFonts w:ascii="Times New Roman" w:eastAsia="Calibri" w:hAnsi="Times New Roman" w:cs="Times New Roman"/>
                <w:sz w:val="20"/>
                <w:szCs w:val="20"/>
                <w:lang w:val="en-US"/>
              </w:rPr>
            </w:pPr>
          </w:p>
        </w:tc>
        <w:tc>
          <w:tcPr>
            <w:tcW w:w="2959" w:type="pct"/>
            <w:tcBorders>
              <w:top w:val="nil"/>
              <w:left w:val="nil"/>
              <w:bottom w:val="nil"/>
              <w:right w:val="nil"/>
            </w:tcBorders>
            <w:hideMark/>
          </w:tcPr>
          <w:p w14:paraId="6C48DFF1" w14:textId="77777777" w:rsidR="008F5536" w:rsidRPr="002B3E1D" w:rsidRDefault="008F5536" w:rsidP="008F5536">
            <w:pPr>
              <w:spacing w:after="0" w:line="240" w:lineRule="auto"/>
              <w:ind w:left="170" w:hanging="170"/>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Our firm initiates actions to which other firms respond.</w:t>
            </w:r>
          </w:p>
        </w:tc>
        <w:tc>
          <w:tcPr>
            <w:tcW w:w="756" w:type="pct"/>
            <w:tcBorders>
              <w:top w:val="nil"/>
              <w:left w:val="nil"/>
              <w:bottom w:val="nil"/>
              <w:right w:val="nil"/>
            </w:tcBorders>
            <w:vAlign w:val="bottom"/>
            <w:hideMark/>
          </w:tcPr>
          <w:p w14:paraId="42C41883" w14:textId="77777777" w:rsidR="008F5536" w:rsidRPr="002B3E1D" w:rsidRDefault="008F5536" w:rsidP="008F5536">
            <w:pPr>
              <w:spacing w:after="0" w:line="240" w:lineRule="auto"/>
              <w:jc w:val="center"/>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.73</w:t>
            </w:r>
          </w:p>
        </w:tc>
        <w:tc>
          <w:tcPr>
            <w:tcW w:w="377" w:type="pct"/>
            <w:tcBorders>
              <w:top w:val="nil"/>
              <w:left w:val="nil"/>
              <w:bottom w:val="nil"/>
              <w:right w:val="nil"/>
            </w:tcBorders>
            <w:vAlign w:val="bottom"/>
            <w:hideMark/>
          </w:tcPr>
          <w:p w14:paraId="77ED2C15" w14:textId="77777777" w:rsidR="008F5536" w:rsidRPr="002B3E1D" w:rsidRDefault="008F5536" w:rsidP="008F5536">
            <w:pPr>
              <w:tabs>
                <w:tab w:val="decimal" w:pos="284"/>
              </w:tabs>
              <w:spacing w:after="0" w:line="240" w:lineRule="auto"/>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9.50</w:t>
            </w:r>
          </w:p>
        </w:tc>
      </w:tr>
      <w:tr w:rsidR="008F5536" w:rsidRPr="002B3E1D" w14:paraId="3A87B2A2" w14:textId="77777777" w:rsidTr="008F5536">
        <w:tc>
          <w:tcPr>
            <w:tcW w:w="908" w:type="pct"/>
            <w:tcBorders>
              <w:top w:val="nil"/>
              <w:left w:val="nil"/>
              <w:bottom w:val="nil"/>
              <w:right w:val="nil"/>
            </w:tcBorders>
            <w:vAlign w:val="bottom"/>
          </w:tcPr>
          <w:p w14:paraId="6C279AF4" w14:textId="77777777" w:rsidR="008F5536" w:rsidRPr="002B3E1D" w:rsidRDefault="008F5536" w:rsidP="008F5536">
            <w:pPr>
              <w:spacing w:after="0" w:line="240" w:lineRule="auto"/>
              <w:rPr>
                <w:rFonts w:ascii="Times New Roman" w:eastAsia="Calibri" w:hAnsi="Times New Roman" w:cs="Times New Roman"/>
                <w:sz w:val="20"/>
                <w:szCs w:val="20"/>
                <w:lang w:val="en-US"/>
              </w:rPr>
            </w:pPr>
          </w:p>
        </w:tc>
        <w:tc>
          <w:tcPr>
            <w:tcW w:w="2959" w:type="pct"/>
            <w:tcBorders>
              <w:top w:val="nil"/>
              <w:left w:val="nil"/>
              <w:bottom w:val="nil"/>
              <w:right w:val="nil"/>
            </w:tcBorders>
            <w:hideMark/>
          </w:tcPr>
          <w:p w14:paraId="467078E1" w14:textId="77777777" w:rsidR="008F5536" w:rsidRPr="002B3E1D" w:rsidRDefault="008F5536" w:rsidP="008F5536">
            <w:pPr>
              <w:spacing w:after="0" w:line="240" w:lineRule="auto"/>
              <w:ind w:left="170" w:hanging="170"/>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Our firm has a strong proclivity for high risk projects (with chances of very high return).</w:t>
            </w:r>
          </w:p>
        </w:tc>
        <w:tc>
          <w:tcPr>
            <w:tcW w:w="756" w:type="pct"/>
            <w:tcBorders>
              <w:top w:val="nil"/>
              <w:left w:val="nil"/>
              <w:bottom w:val="nil"/>
              <w:right w:val="nil"/>
            </w:tcBorders>
            <w:vAlign w:val="bottom"/>
            <w:hideMark/>
          </w:tcPr>
          <w:p w14:paraId="63DA1B7D" w14:textId="77777777" w:rsidR="008F5536" w:rsidRPr="002B3E1D" w:rsidRDefault="008F5536" w:rsidP="008F5536">
            <w:pPr>
              <w:spacing w:after="0" w:line="240" w:lineRule="auto"/>
              <w:jc w:val="center"/>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.50</w:t>
            </w:r>
          </w:p>
        </w:tc>
        <w:tc>
          <w:tcPr>
            <w:tcW w:w="377" w:type="pct"/>
            <w:tcBorders>
              <w:top w:val="nil"/>
              <w:left w:val="nil"/>
              <w:bottom w:val="nil"/>
              <w:right w:val="nil"/>
            </w:tcBorders>
            <w:vAlign w:val="bottom"/>
            <w:hideMark/>
          </w:tcPr>
          <w:p w14:paraId="415D7CC0" w14:textId="77777777" w:rsidR="008F5536" w:rsidRPr="002B3E1D" w:rsidRDefault="008F5536" w:rsidP="008F5536">
            <w:pPr>
              <w:tabs>
                <w:tab w:val="decimal" w:pos="284"/>
              </w:tabs>
              <w:spacing w:after="0" w:line="240" w:lineRule="auto"/>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5.99</w:t>
            </w:r>
          </w:p>
        </w:tc>
      </w:tr>
      <w:tr w:rsidR="008F5536" w:rsidRPr="002B3E1D" w14:paraId="3F99BD4D" w14:textId="77777777" w:rsidTr="008F5536">
        <w:tc>
          <w:tcPr>
            <w:tcW w:w="908" w:type="pct"/>
            <w:tcBorders>
              <w:top w:val="nil"/>
              <w:left w:val="nil"/>
              <w:bottom w:val="nil"/>
              <w:right w:val="nil"/>
            </w:tcBorders>
            <w:vAlign w:val="bottom"/>
          </w:tcPr>
          <w:p w14:paraId="02DCC560" w14:textId="77777777" w:rsidR="008F5536" w:rsidRPr="002B3E1D" w:rsidRDefault="008F5536" w:rsidP="008F5536">
            <w:pPr>
              <w:spacing w:after="0" w:line="240" w:lineRule="auto"/>
              <w:rPr>
                <w:rFonts w:ascii="Times New Roman" w:eastAsia="Calibri" w:hAnsi="Times New Roman" w:cs="Times New Roman"/>
                <w:sz w:val="20"/>
                <w:szCs w:val="20"/>
                <w:lang w:val="en-US"/>
              </w:rPr>
            </w:pPr>
          </w:p>
        </w:tc>
        <w:tc>
          <w:tcPr>
            <w:tcW w:w="2959" w:type="pct"/>
            <w:tcBorders>
              <w:top w:val="nil"/>
              <w:left w:val="nil"/>
              <w:bottom w:val="nil"/>
              <w:right w:val="nil"/>
            </w:tcBorders>
            <w:hideMark/>
          </w:tcPr>
          <w:p w14:paraId="6A8CA327" w14:textId="77777777" w:rsidR="008F5536" w:rsidRPr="002B3E1D" w:rsidRDefault="008F5536" w:rsidP="008F5536">
            <w:pPr>
              <w:spacing w:after="0" w:line="240" w:lineRule="auto"/>
              <w:ind w:left="170" w:hanging="170"/>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 xml:space="preserve">Our firm typically adopts a bold, aggressive posture in order to </w:t>
            </w:r>
            <w:r w:rsidR="00A215CE" w:rsidRPr="002B3E1D">
              <w:rPr>
                <w:rFonts w:ascii="Times New Roman" w:eastAsia="Calibri" w:hAnsi="Times New Roman" w:cs="Times New Roman"/>
                <w:sz w:val="20"/>
                <w:szCs w:val="20"/>
                <w:lang w:val="en-US"/>
              </w:rPr>
              <w:t>maximize</w:t>
            </w:r>
            <w:r w:rsidRPr="002B3E1D">
              <w:rPr>
                <w:rFonts w:ascii="Times New Roman" w:eastAsia="Calibri" w:hAnsi="Times New Roman" w:cs="Times New Roman"/>
                <w:sz w:val="20"/>
                <w:szCs w:val="20"/>
                <w:lang w:val="en-US"/>
              </w:rPr>
              <w:t xml:space="preserve"> the probability of exploiting potential opportunities.</w:t>
            </w:r>
          </w:p>
        </w:tc>
        <w:tc>
          <w:tcPr>
            <w:tcW w:w="756" w:type="pct"/>
            <w:tcBorders>
              <w:top w:val="nil"/>
              <w:left w:val="nil"/>
              <w:bottom w:val="nil"/>
              <w:right w:val="nil"/>
            </w:tcBorders>
            <w:vAlign w:val="bottom"/>
            <w:hideMark/>
          </w:tcPr>
          <w:p w14:paraId="305C009D" w14:textId="77777777" w:rsidR="008F5536" w:rsidRPr="002B3E1D" w:rsidRDefault="008F5536" w:rsidP="008F5536">
            <w:pPr>
              <w:spacing w:after="0" w:line="240" w:lineRule="auto"/>
              <w:jc w:val="center"/>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.72</w:t>
            </w:r>
          </w:p>
        </w:tc>
        <w:tc>
          <w:tcPr>
            <w:tcW w:w="377" w:type="pct"/>
            <w:tcBorders>
              <w:top w:val="nil"/>
              <w:left w:val="nil"/>
              <w:bottom w:val="nil"/>
              <w:right w:val="nil"/>
            </w:tcBorders>
            <w:vAlign w:val="bottom"/>
            <w:hideMark/>
          </w:tcPr>
          <w:p w14:paraId="549051AA" w14:textId="77777777" w:rsidR="008F5536" w:rsidRPr="002B3E1D" w:rsidRDefault="008F5536" w:rsidP="008F5536">
            <w:pPr>
              <w:tabs>
                <w:tab w:val="decimal" w:pos="284"/>
              </w:tabs>
              <w:spacing w:after="0" w:line="240" w:lineRule="auto"/>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9.36</w:t>
            </w:r>
          </w:p>
        </w:tc>
      </w:tr>
      <w:tr w:rsidR="008F5536" w:rsidRPr="002B3E1D" w14:paraId="778E1EC3" w14:textId="77777777" w:rsidTr="008F5536">
        <w:tc>
          <w:tcPr>
            <w:tcW w:w="908" w:type="pct"/>
            <w:tcBorders>
              <w:top w:val="nil"/>
              <w:left w:val="nil"/>
              <w:bottom w:val="nil"/>
              <w:right w:val="nil"/>
            </w:tcBorders>
            <w:vAlign w:val="bottom"/>
          </w:tcPr>
          <w:p w14:paraId="080004F3" w14:textId="77777777" w:rsidR="008F5536" w:rsidRPr="002B3E1D" w:rsidRDefault="008F5536" w:rsidP="008F5536">
            <w:pPr>
              <w:spacing w:after="0" w:line="240" w:lineRule="auto"/>
              <w:rPr>
                <w:rFonts w:ascii="Times New Roman" w:eastAsia="Calibri" w:hAnsi="Times New Roman" w:cs="Times New Roman"/>
                <w:sz w:val="20"/>
                <w:szCs w:val="20"/>
                <w:lang w:val="en-US"/>
              </w:rPr>
            </w:pPr>
          </w:p>
        </w:tc>
        <w:tc>
          <w:tcPr>
            <w:tcW w:w="2959" w:type="pct"/>
            <w:tcBorders>
              <w:top w:val="nil"/>
              <w:left w:val="nil"/>
              <w:bottom w:val="nil"/>
              <w:right w:val="nil"/>
            </w:tcBorders>
            <w:hideMark/>
          </w:tcPr>
          <w:p w14:paraId="03CA86D1" w14:textId="77777777" w:rsidR="008F5536" w:rsidRPr="002B3E1D" w:rsidRDefault="008F5536" w:rsidP="008F5536">
            <w:pPr>
              <w:spacing w:after="0" w:line="240" w:lineRule="auto"/>
              <w:ind w:left="170" w:hanging="170"/>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Our firm is often the first to market with new products and services.</w:t>
            </w:r>
          </w:p>
        </w:tc>
        <w:tc>
          <w:tcPr>
            <w:tcW w:w="756" w:type="pct"/>
            <w:tcBorders>
              <w:top w:val="nil"/>
              <w:left w:val="nil"/>
              <w:bottom w:val="nil"/>
              <w:right w:val="nil"/>
            </w:tcBorders>
            <w:vAlign w:val="bottom"/>
            <w:hideMark/>
          </w:tcPr>
          <w:p w14:paraId="0BA2BDAC" w14:textId="77777777" w:rsidR="008F5536" w:rsidRPr="002B3E1D" w:rsidRDefault="008F5536" w:rsidP="008F5536">
            <w:pPr>
              <w:spacing w:after="0" w:line="240" w:lineRule="auto"/>
              <w:jc w:val="center"/>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.53</w:t>
            </w:r>
          </w:p>
        </w:tc>
        <w:tc>
          <w:tcPr>
            <w:tcW w:w="377" w:type="pct"/>
            <w:tcBorders>
              <w:top w:val="nil"/>
              <w:left w:val="nil"/>
              <w:bottom w:val="nil"/>
              <w:right w:val="nil"/>
            </w:tcBorders>
            <w:vAlign w:val="bottom"/>
            <w:hideMark/>
          </w:tcPr>
          <w:p w14:paraId="7D53165E" w14:textId="77777777" w:rsidR="008F5536" w:rsidRPr="002B3E1D" w:rsidRDefault="008F5536" w:rsidP="008F5536">
            <w:pPr>
              <w:tabs>
                <w:tab w:val="decimal" w:pos="284"/>
              </w:tabs>
              <w:spacing w:after="0" w:line="240" w:lineRule="auto"/>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6.36</w:t>
            </w:r>
          </w:p>
        </w:tc>
      </w:tr>
      <w:tr w:rsidR="008F5536" w:rsidRPr="002B3E1D" w14:paraId="721CF700" w14:textId="77777777" w:rsidTr="008F5536">
        <w:tc>
          <w:tcPr>
            <w:tcW w:w="908" w:type="pct"/>
            <w:tcBorders>
              <w:top w:val="nil"/>
              <w:left w:val="nil"/>
              <w:bottom w:val="nil"/>
              <w:right w:val="nil"/>
            </w:tcBorders>
            <w:vAlign w:val="bottom"/>
          </w:tcPr>
          <w:p w14:paraId="223F208B" w14:textId="77777777" w:rsidR="008F5536" w:rsidRPr="002B3E1D" w:rsidRDefault="008F5536" w:rsidP="008F5536">
            <w:pPr>
              <w:spacing w:after="0" w:line="240" w:lineRule="auto"/>
              <w:rPr>
                <w:rFonts w:ascii="Times New Roman" w:eastAsia="Calibri" w:hAnsi="Times New Roman" w:cs="Times New Roman"/>
                <w:sz w:val="20"/>
                <w:szCs w:val="20"/>
                <w:lang w:val="en-US"/>
              </w:rPr>
            </w:pPr>
          </w:p>
        </w:tc>
        <w:tc>
          <w:tcPr>
            <w:tcW w:w="2959" w:type="pct"/>
            <w:tcBorders>
              <w:top w:val="nil"/>
              <w:left w:val="nil"/>
              <w:bottom w:val="nil"/>
              <w:right w:val="nil"/>
            </w:tcBorders>
            <w:hideMark/>
          </w:tcPr>
          <w:p w14:paraId="6AD03827" w14:textId="77777777" w:rsidR="008F5536" w:rsidRPr="002B3E1D" w:rsidRDefault="008F5536" w:rsidP="008F5536">
            <w:pPr>
              <w:spacing w:after="0" w:line="240" w:lineRule="auto"/>
              <w:ind w:left="170" w:hanging="170"/>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Our firm actively introduces innovation in the firm.</w:t>
            </w:r>
          </w:p>
        </w:tc>
        <w:tc>
          <w:tcPr>
            <w:tcW w:w="756" w:type="pct"/>
            <w:tcBorders>
              <w:top w:val="nil"/>
              <w:left w:val="nil"/>
              <w:bottom w:val="nil"/>
              <w:right w:val="nil"/>
            </w:tcBorders>
            <w:vAlign w:val="bottom"/>
            <w:hideMark/>
          </w:tcPr>
          <w:p w14:paraId="51073132" w14:textId="77777777" w:rsidR="008F5536" w:rsidRPr="002B3E1D" w:rsidRDefault="008F5536" w:rsidP="008F5536">
            <w:pPr>
              <w:spacing w:after="0" w:line="240" w:lineRule="auto"/>
              <w:jc w:val="center"/>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.52</w:t>
            </w:r>
          </w:p>
        </w:tc>
        <w:tc>
          <w:tcPr>
            <w:tcW w:w="377" w:type="pct"/>
            <w:tcBorders>
              <w:top w:val="nil"/>
              <w:left w:val="nil"/>
              <w:bottom w:val="nil"/>
              <w:right w:val="nil"/>
            </w:tcBorders>
            <w:vAlign w:val="bottom"/>
            <w:hideMark/>
          </w:tcPr>
          <w:p w14:paraId="1BF71CEA" w14:textId="77777777" w:rsidR="008F5536" w:rsidRPr="002B3E1D" w:rsidRDefault="008F5536" w:rsidP="008F5536">
            <w:pPr>
              <w:tabs>
                <w:tab w:val="decimal" w:pos="284"/>
              </w:tabs>
              <w:spacing w:after="0" w:line="240" w:lineRule="auto"/>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6.29</w:t>
            </w:r>
          </w:p>
        </w:tc>
      </w:tr>
      <w:tr w:rsidR="008F5536" w:rsidRPr="002B3E1D" w14:paraId="5116B4DD" w14:textId="77777777" w:rsidTr="008F5536">
        <w:tc>
          <w:tcPr>
            <w:tcW w:w="908" w:type="pct"/>
            <w:tcBorders>
              <w:top w:val="nil"/>
              <w:left w:val="nil"/>
              <w:bottom w:val="nil"/>
              <w:right w:val="nil"/>
            </w:tcBorders>
            <w:vAlign w:val="bottom"/>
          </w:tcPr>
          <w:p w14:paraId="5C3CAB77" w14:textId="77777777" w:rsidR="008F5536" w:rsidRPr="002B3E1D" w:rsidRDefault="008F5536" w:rsidP="008F5536">
            <w:pPr>
              <w:spacing w:after="0" w:line="240" w:lineRule="auto"/>
              <w:rPr>
                <w:rFonts w:ascii="Times New Roman" w:eastAsia="Calibri" w:hAnsi="Times New Roman" w:cs="Times New Roman"/>
                <w:sz w:val="20"/>
                <w:szCs w:val="20"/>
                <w:lang w:val="en-US"/>
              </w:rPr>
            </w:pPr>
          </w:p>
        </w:tc>
        <w:tc>
          <w:tcPr>
            <w:tcW w:w="2959" w:type="pct"/>
            <w:tcBorders>
              <w:top w:val="nil"/>
              <w:left w:val="nil"/>
              <w:bottom w:val="nil"/>
              <w:right w:val="nil"/>
            </w:tcBorders>
            <w:vAlign w:val="bottom"/>
          </w:tcPr>
          <w:p w14:paraId="1E8AE6CC" w14:textId="77777777" w:rsidR="008F5536" w:rsidRPr="002B3E1D" w:rsidRDefault="008F5536" w:rsidP="008F5536">
            <w:pPr>
              <w:spacing w:after="0" w:line="240" w:lineRule="auto"/>
              <w:ind w:left="170" w:hanging="170"/>
              <w:rPr>
                <w:rFonts w:ascii="Times New Roman" w:eastAsia="Calibri" w:hAnsi="Times New Roman" w:cs="Times New Roman"/>
                <w:sz w:val="20"/>
                <w:szCs w:val="20"/>
                <w:lang w:val="en-US"/>
              </w:rPr>
            </w:pPr>
          </w:p>
        </w:tc>
        <w:tc>
          <w:tcPr>
            <w:tcW w:w="756" w:type="pct"/>
            <w:tcBorders>
              <w:top w:val="nil"/>
              <w:left w:val="nil"/>
              <w:bottom w:val="nil"/>
              <w:right w:val="nil"/>
            </w:tcBorders>
            <w:vAlign w:val="bottom"/>
          </w:tcPr>
          <w:p w14:paraId="51C4EF88" w14:textId="77777777" w:rsidR="008F5536" w:rsidRPr="002B3E1D" w:rsidRDefault="008F5536" w:rsidP="008F5536">
            <w:pPr>
              <w:spacing w:after="0" w:line="240" w:lineRule="auto"/>
              <w:jc w:val="center"/>
              <w:rPr>
                <w:rFonts w:ascii="Times New Roman" w:eastAsia="Calibri" w:hAnsi="Times New Roman" w:cs="Times New Roman"/>
                <w:sz w:val="20"/>
                <w:szCs w:val="20"/>
                <w:lang w:val="en-US"/>
              </w:rPr>
            </w:pPr>
          </w:p>
        </w:tc>
        <w:tc>
          <w:tcPr>
            <w:tcW w:w="377" w:type="pct"/>
            <w:tcBorders>
              <w:top w:val="nil"/>
              <w:left w:val="nil"/>
              <w:bottom w:val="nil"/>
              <w:right w:val="nil"/>
            </w:tcBorders>
            <w:vAlign w:val="bottom"/>
          </w:tcPr>
          <w:p w14:paraId="0B2622EE" w14:textId="77777777" w:rsidR="008F5536" w:rsidRPr="002B3E1D" w:rsidRDefault="008F5536" w:rsidP="008F5536">
            <w:pPr>
              <w:tabs>
                <w:tab w:val="decimal" w:pos="284"/>
              </w:tabs>
              <w:spacing w:after="0" w:line="240" w:lineRule="auto"/>
              <w:rPr>
                <w:rFonts w:ascii="Times New Roman" w:eastAsia="Calibri" w:hAnsi="Times New Roman" w:cs="Times New Roman"/>
                <w:sz w:val="20"/>
                <w:szCs w:val="20"/>
                <w:lang w:val="en-US"/>
              </w:rPr>
            </w:pPr>
          </w:p>
        </w:tc>
      </w:tr>
      <w:tr w:rsidR="008F5536" w:rsidRPr="002B3E1D" w14:paraId="7B37C72D" w14:textId="77777777" w:rsidTr="008F5536">
        <w:tc>
          <w:tcPr>
            <w:tcW w:w="908" w:type="pct"/>
            <w:vMerge w:val="restart"/>
            <w:tcBorders>
              <w:top w:val="nil"/>
              <w:left w:val="nil"/>
              <w:bottom w:val="nil"/>
              <w:right w:val="nil"/>
            </w:tcBorders>
            <w:hideMark/>
          </w:tcPr>
          <w:p w14:paraId="6F256929" w14:textId="77777777" w:rsidR="008F5536" w:rsidRPr="002B3E1D" w:rsidRDefault="008F5536" w:rsidP="008F5536">
            <w:pPr>
              <w:spacing w:after="0" w:line="240" w:lineRule="auto"/>
              <w:rPr>
                <w:rFonts w:ascii="Times New Roman" w:eastAsia="Calibri" w:hAnsi="Times New Roman" w:cs="Times New Roman"/>
                <w:sz w:val="20"/>
                <w:szCs w:val="20"/>
                <w:lang w:val="en-US"/>
              </w:rPr>
            </w:pPr>
            <w:r w:rsidRPr="002B3E1D">
              <w:rPr>
                <w:rFonts w:ascii="Times New Roman" w:eastAsia="Calibri" w:hAnsi="Times New Roman" w:cs="Times New Roman"/>
                <w:b/>
                <w:sz w:val="20"/>
                <w:szCs w:val="20"/>
                <w:lang w:val="en-US"/>
              </w:rPr>
              <w:t>Exploration Innovation</w:t>
            </w:r>
            <w:r w:rsidRPr="002B3E1D">
              <w:rPr>
                <w:rFonts w:ascii="Times New Roman" w:eastAsia="Calibri" w:hAnsi="Times New Roman" w:cs="Times New Roman"/>
                <w:b/>
                <w:sz w:val="20"/>
                <w:szCs w:val="20"/>
                <w:vertAlign w:val="superscript"/>
                <w:lang w:val="en-US"/>
              </w:rPr>
              <w:t>a</w:t>
            </w:r>
          </w:p>
        </w:tc>
        <w:tc>
          <w:tcPr>
            <w:tcW w:w="2959" w:type="pct"/>
            <w:tcBorders>
              <w:top w:val="nil"/>
              <w:left w:val="nil"/>
              <w:bottom w:val="nil"/>
              <w:right w:val="nil"/>
            </w:tcBorders>
            <w:hideMark/>
          </w:tcPr>
          <w:p w14:paraId="094032CC" w14:textId="77777777" w:rsidR="008F5536" w:rsidRPr="002B3E1D" w:rsidRDefault="008F5536" w:rsidP="008F5536">
            <w:pPr>
              <w:spacing w:after="0" w:line="240" w:lineRule="auto"/>
              <w:ind w:left="170" w:hanging="170"/>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We invent new products and services.</w:t>
            </w:r>
          </w:p>
        </w:tc>
        <w:tc>
          <w:tcPr>
            <w:tcW w:w="756" w:type="pct"/>
            <w:tcBorders>
              <w:top w:val="nil"/>
              <w:left w:val="nil"/>
              <w:bottom w:val="nil"/>
              <w:right w:val="nil"/>
            </w:tcBorders>
            <w:vAlign w:val="bottom"/>
            <w:hideMark/>
          </w:tcPr>
          <w:p w14:paraId="7EE97AF8" w14:textId="77777777" w:rsidR="008F5536" w:rsidRPr="002B3E1D" w:rsidRDefault="008F5536" w:rsidP="008F5536">
            <w:pPr>
              <w:spacing w:after="0" w:line="240" w:lineRule="auto"/>
              <w:jc w:val="center"/>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.77</w:t>
            </w:r>
          </w:p>
        </w:tc>
        <w:tc>
          <w:tcPr>
            <w:tcW w:w="377" w:type="pct"/>
            <w:tcBorders>
              <w:top w:val="nil"/>
              <w:left w:val="nil"/>
              <w:bottom w:val="nil"/>
              <w:right w:val="nil"/>
            </w:tcBorders>
            <w:vAlign w:val="bottom"/>
            <w:hideMark/>
          </w:tcPr>
          <w:p w14:paraId="5E1F8B81" w14:textId="77777777" w:rsidR="008F5536" w:rsidRPr="002B3E1D" w:rsidRDefault="008F5536" w:rsidP="008F5536">
            <w:pPr>
              <w:tabs>
                <w:tab w:val="decimal" w:pos="284"/>
              </w:tabs>
              <w:spacing w:after="0" w:line="240" w:lineRule="auto"/>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10.32</w:t>
            </w:r>
          </w:p>
        </w:tc>
      </w:tr>
      <w:tr w:rsidR="008F5536" w:rsidRPr="002B3E1D" w14:paraId="4639713E" w14:textId="77777777" w:rsidTr="008F5536">
        <w:tc>
          <w:tcPr>
            <w:tcW w:w="0" w:type="auto"/>
            <w:vMerge/>
            <w:tcBorders>
              <w:top w:val="nil"/>
              <w:left w:val="nil"/>
              <w:bottom w:val="nil"/>
              <w:right w:val="nil"/>
            </w:tcBorders>
            <w:vAlign w:val="center"/>
            <w:hideMark/>
          </w:tcPr>
          <w:p w14:paraId="25E0F818" w14:textId="77777777" w:rsidR="008F5536" w:rsidRPr="002B3E1D" w:rsidRDefault="008F5536" w:rsidP="008F5536">
            <w:pPr>
              <w:spacing w:after="0" w:line="240" w:lineRule="auto"/>
              <w:rPr>
                <w:rFonts w:ascii="Times New Roman" w:eastAsia="Calibri" w:hAnsi="Times New Roman" w:cs="Times New Roman"/>
                <w:sz w:val="20"/>
                <w:szCs w:val="20"/>
                <w:lang w:val="en-US"/>
              </w:rPr>
            </w:pPr>
          </w:p>
        </w:tc>
        <w:tc>
          <w:tcPr>
            <w:tcW w:w="2959" w:type="pct"/>
            <w:tcBorders>
              <w:top w:val="nil"/>
              <w:left w:val="nil"/>
              <w:bottom w:val="nil"/>
              <w:right w:val="nil"/>
            </w:tcBorders>
            <w:hideMark/>
          </w:tcPr>
          <w:p w14:paraId="429A762D" w14:textId="77777777" w:rsidR="008F5536" w:rsidRPr="002B3E1D" w:rsidRDefault="008F5536" w:rsidP="008F5536">
            <w:pPr>
              <w:spacing w:after="0" w:line="240" w:lineRule="auto"/>
              <w:ind w:left="170" w:hanging="170"/>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We experiment with new products and services in our market.</w:t>
            </w:r>
          </w:p>
        </w:tc>
        <w:tc>
          <w:tcPr>
            <w:tcW w:w="756" w:type="pct"/>
            <w:tcBorders>
              <w:top w:val="nil"/>
              <w:left w:val="nil"/>
              <w:bottom w:val="nil"/>
              <w:right w:val="nil"/>
            </w:tcBorders>
            <w:vAlign w:val="bottom"/>
            <w:hideMark/>
          </w:tcPr>
          <w:p w14:paraId="3AB484CC" w14:textId="77777777" w:rsidR="008F5536" w:rsidRPr="002B3E1D" w:rsidRDefault="008F5536" w:rsidP="008F5536">
            <w:pPr>
              <w:spacing w:after="0" w:line="240" w:lineRule="auto"/>
              <w:jc w:val="center"/>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.93</w:t>
            </w:r>
          </w:p>
        </w:tc>
        <w:tc>
          <w:tcPr>
            <w:tcW w:w="377" w:type="pct"/>
            <w:tcBorders>
              <w:top w:val="nil"/>
              <w:left w:val="nil"/>
              <w:bottom w:val="nil"/>
              <w:right w:val="nil"/>
            </w:tcBorders>
            <w:vAlign w:val="bottom"/>
            <w:hideMark/>
          </w:tcPr>
          <w:p w14:paraId="3A5767E4" w14:textId="77777777" w:rsidR="008F5536" w:rsidRPr="002B3E1D" w:rsidRDefault="008F5536" w:rsidP="008F5536">
            <w:pPr>
              <w:tabs>
                <w:tab w:val="decimal" w:pos="284"/>
              </w:tabs>
              <w:spacing w:after="0" w:line="240" w:lineRule="auto"/>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13.40</w:t>
            </w:r>
          </w:p>
        </w:tc>
      </w:tr>
      <w:tr w:rsidR="008F5536" w:rsidRPr="002B3E1D" w14:paraId="50276759" w14:textId="77777777" w:rsidTr="008F5536">
        <w:tc>
          <w:tcPr>
            <w:tcW w:w="0" w:type="auto"/>
            <w:vMerge/>
            <w:tcBorders>
              <w:top w:val="nil"/>
              <w:left w:val="nil"/>
              <w:bottom w:val="nil"/>
              <w:right w:val="nil"/>
            </w:tcBorders>
            <w:vAlign w:val="center"/>
            <w:hideMark/>
          </w:tcPr>
          <w:p w14:paraId="24BA2214" w14:textId="77777777" w:rsidR="008F5536" w:rsidRPr="002B3E1D" w:rsidRDefault="008F5536" w:rsidP="008F5536">
            <w:pPr>
              <w:spacing w:after="0" w:line="240" w:lineRule="auto"/>
              <w:rPr>
                <w:rFonts w:ascii="Times New Roman" w:eastAsia="Calibri" w:hAnsi="Times New Roman" w:cs="Times New Roman"/>
                <w:sz w:val="20"/>
                <w:szCs w:val="20"/>
                <w:lang w:val="en-US"/>
              </w:rPr>
            </w:pPr>
          </w:p>
        </w:tc>
        <w:tc>
          <w:tcPr>
            <w:tcW w:w="2959" w:type="pct"/>
            <w:tcBorders>
              <w:top w:val="nil"/>
              <w:left w:val="nil"/>
              <w:bottom w:val="nil"/>
              <w:right w:val="nil"/>
            </w:tcBorders>
            <w:hideMark/>
          </w:tcPr>
          <w:p w14:paraId="13BA28D8" w14:textId="77777777" w:rsidR="008F5536" w:rsidRPr="002B3E1D" w:rsidRDefault="008F5536" w:rsidP="008F5536">
            <w:pPr>
              <w:spacing w:after="0" w:line="240" w:lineRule="auto"/>
              <w:ind w:left="170" w:hanging="170"/>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 xml:space="preserve">We </w:t>
            </w:r>
            <w:r w:rsidR="00A215CE" w:rsidRPr="002B3E1D">
              <w:rPr>
                <w:rFonts w:ascii="Times New Roman" w:eastAsia="Calibri" w:hAnsi="Times New Roman" w:cs="Times New Roman"/>
                <w:sz w:val="20"/>
                <w:szCs w:val="20"/>
                <w:lang w:val="en-US"/>
              </w:rPr>
              <w:t>commercialize</w:t>
            </w:r>
            <w:r w:rsidRPr="002B3E1D">
              <w:rPr>
                <w:rFonts w:ascii="Times New Roman" w:eastAsia="Calibri" w:hAnsi="Times New Roman" w:cs="Times New Roman"/>
                <w:sz w:val="20"/>
                <w:szCs w:val="20"/>
                <w:lang w:val="en-US"/>
              </w:rPr>
              <w:t xml:space="preserve"> products and services that are completely new to the firm.</w:t>
            </w:r>
          </w:p>
        </w:tc>
        <w:tc>
          <w:tcPr>
            <w:tcW w:w="756" w:type="pct"/>
            <w:tcBorders>
              <w:top w:val="nil"/>
              <w:left w:val="nil"/>
              <w:bottom w:val="nil"/>
              <w:right w:val="nil"/>
            </w:tcBorders>
            <w:vAlign w:val="bottom"/>
            <w:hideMark/>
          </w:tcPr>
          <w:p w14:paraId="67BD9632" w14:textId="77777777" w:rsidR="008F5536" w:rsidRPr="002B3E1D" w:rsidRDefault="008F5536" w:rsidP="008F5536">
            <w:pPr>
              <w:spacing w:after="0" w:line="240" w:lineRule="auto"/>
              <w:jc w:val="center"/>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.73</w:t>
            </w:r>
          </w:p>
        </w:tc>
        <w:tc>
          <w:tcPr>
            <w:tcW w:w="377" w:type="pct"/>
            <w:tcBorders>
              <w:top w:val="nil"/>
              <w:left w:val="nil"/>
              <w:bottom w:val="nil"/>
              <w:right w:val="nil"/>
            </w:tcBorders>
            <w:vAlign w:val="bottom"/>
            <w:hideMark/>
          </w:tcPr>
          <w:p w14:paraId="6F37F10D" w14:textId="77777777" w:rsidR="008F5536" w:rsidRPr="002B3E1D" w:rsidRDefault="008F5536" w:rsidP="008F5536">
            <w:pPr>
              <w:tabs>
                <w:tab w:val="decimal" w:pos="284"/>
              </w:tabs>
              <w:spacing w:after="0" w:line="240" w:lineRule="auto"/>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9.65</w:t>
            </w:r>
          </w:p>
        </w:tc>
      </w:tr>
      <w:tr w:rsidR="008F5536" w:rsidRPr="002B3E1D" w14:paraId="77908D78" w14:textId="77777777" w:rsidTr="008F5536">
        <w:tc>
          <w:tcPr>
            <w:tcW w:w="908" w:type="pct"/>
            <w:tcBorders>
              <w:top w:val="nil"/>
              <w:left w:val="nil"/>
              <w:bottom w:val="nil"/>
              <w:right w:val="nil"/>
            </w:tcBorders>
            <w:vAlign w:val="bottom"/>
          </w:tcPr>
          <w:p w14:paraId="12B4A344" w14:textId="77777777" w:rsidR="008F5536" w:rsidRPr="002B3E1D" w:rsidRDefault="008F5536" w:rsidP="008F5536">
            <w:pPr>
              <w:spacing w:after="0" w:line="240" w:lineRule="auto"/>
              <w:rPr>
                <w:rFonts w:ascii="Times New Roman" w:eastAsia="Calibri" w:hAnsi="Times New Roman" w:cs="Times New Roman"/>
                <w:sz w:val="20"/>
                <w:szCs w:val="20"/>
                <w:lang w:val="en-US"/>
              </w:rPr>
            </w:pPr>
          </w:p>
        </w:tc>
        <w:tc>
          <w:tcPr>
            <w:tcW w:w="2959" w:type="pct"/>
            <w:tcBorders>
              <w:top w:val="nil"/>
              <w:left w:val="nil"/>
              <w:bottom w:val="nil"/>
              <w:right w:val="nil"/>
            </w:tcBorders>
            <w:vAlign w:val="bottom"/>
          </w:tcPr>
          <w:p w14:paraId="36E82AB1" w14:textId="77777777" w:rsidR="008F5536" w:rsidRPr="002B3E1D" w:rsidRDefault="008F5536" w:rsidP="008F5536">
            <w:pPr>
              <w:spacing w:after="0" w:line="240" w:lineRule="auto"/>
              <w:ind w:left="170" w:hanging="170"/>
              <w:rPr>
                <w:rFonts w:ascii="Times New Roman" w:eastAsia="Calibri" w:hAnsi="Times New Roman" w:cs="Times New Roman"/>
                <w:sz w:val="20"/>
                <w:szCs w:val="20"/>
                <w:lang w:val="en-US"/>
              </w:rPr>
            </w:pPr>
          </w:p>
        </w:tc>
        <w:tc>
          <w:tcPr>
            <w:tcW w:w="756" w:type="pct"/>
            <w:tcBorders>
              <w:top w:val="nil"/>
              <w:left w:val="nil"/>
              <w:bottom w:val="nil"/>
              <w:right w:val="nil"/>
            </w:tcBorders>
            <w:vAlign w:val="bottom"/>
          </w:tcPr>
          <w:p w14:paraId="03BA8A9E" w14:textId="77777777" w:rsidR="008F5536" w:rsidRPr="002B3E1D" w:rsidRDefault="008F5536" w:rsidP="008F5536">
            <w:pPr>
              <w:spacing w:after="0" w:line="240" w:lineRule="auto"/>
              <w:jc w:val="center"/>
              <w:rPr>
                <w:rFonts w:ascii="Times New Roman" w:eastAsia="Calibri" w:hAnsi="Times New Roman" w:cs="Times New Roman"/>
                <w:sz w:val="20"/>
                <w:szCs w:val="20"/>
                <w:lang w:val="en-US"/>
              </w:rPr>
            </w:pPr>
          </w:p>
        </w:tc>
        <w:tc>
          <w:tcPr>
            <w:tcW w:w="377" w:type="pct"/>
            <w:tcBorders>
              <w:top w:val="nil"/>
              <w:left w:val="nil"/>
              <w:bottom w:val="nil"/>
              <w:right w:val="nil"/>
            </w:tcBorders>
            <w:vAlign w:val="bottom"/>
          </w:tcPr>
          <w:p w14:paraId="2664795C" w14:textId="77777777" w:rsidR="008F5536" w:rsidRPr="002B3E1D" w:rsidRDefault="008F5536" w:rsidP="008F5536">
            <w:pPr>
              <w:tabs>
                <w:tab w:val="decimal" w:pos="284"/>
              </w:tabs>
              <w:spacing w:after="0" w:line="240" w:lineRule="auto"/>
              <w:rPr>
                <w:rFonts w:ascii="Times New Roman" w:eastAsia="Calibri" w:hAnsi="Times New Roman" w:cs="Times New Roman"/>
                <w:sz w:val="20"/>
                <w:szCs w:val="20"/>
                <w:lang w:val="en-US"/>
              </w:rPr>
            </w:pPr>
          </w:p>
        </w:tc>
      </w:tr>
      <w:tr w:rsidR="008F5536" w:rsidRPr="002B3E1D" w14:paraId="79ED86F3" w14:textId="77777777" w:rsidTr="008F5536">
        <w:tc>
          <w:tcPr>
            <w:tcW w:w="908" w:type="pct"/>
            <w:vMerge w:val="restart"/>
            <w:tcBorders>
              <w:top w:val="nil"/>
              <w:left w:val="nil"/>
              <w:bottom w:val="nil"/>
              <w:right w:val="nil"/>
            </w:tcBorders>
            <w:hideMark/>
          </w:tcPr>
          <w:p w14:paraId="7F9026A2" w14:textId="77777777" w:rsidR="008F5536" w:rsidRPr="002B3E1D" w:rsidRDefault="008F5536" w:rsidP="008F5536">
            <w:pPr>
              <w:spacing w:after="0" w:line="240" w:lineRule="auto"/>
              <w:rPr>
                <w:rFonts w:ascii="Times New Roman" w:eastAsia="Calibri" w:hAnsi="Times New Roman" w:cs="Times New Roman"/>
                <w:b/>
                <w:bCs/>
                <w:sz w:val="20"/>
                <w:szCs w:val="20"/>
                <w:lang w:val="en-US"/>
              </w:rPr>
            </w:pPr>
            <w:r w:rsidRPr="002B3E1D">
              <w:rPr>
                <w:rFonts w:ascii="Times New Roman" w:eastAsia="Calibri" w:hAnsi="Times New Roman" w:cs="Times New Roman"/>
                <w:b/>
                <w:bCs/>
                <w:sz w:val="20"/>
                <w:szCs w:val="20"/>
                <w:lang w:val="en-US"/>
              </w:rPr>
              <w:t>Exploitative Innovation</w:t>
            </w:r>
            <w:r w:rsidRPr="002B3E1D">
              <w:rPr>
                <w:rFonts w:ascii="Times New Roman" w:eastAsia="Calibri" w:hAnsi="Times New Roman" w:cs="Times New Roman"/>
                <w:b/>
                <w:sz w:val="20"/>
                <w:szCs w:val="20"/>
                <w:vertAlign w:val="superscript"/>
                <w:lang w:val="en-US"/>
              </w:rPr>
              <w:t>a</w:t>
            </w:r>
          </w:p>
        </w:tc>
        <w:tc>
          <w:tcPr>
            <w:tcW w:w="2959" w:type="pct"/>
            <w:tcBorders>
              <w:top w:val="nil"/>
              <w:left w:val="nil"/>
              <w:bottom w:val="nil"/>
              <w:right w:val="nil"/>
            </w:tcBorders>
            <w:hideMark/>
          </w:tcPr>
          <w:p w14:paraId="5827005F" w14:textId="77777777" w:rsidR="008F5536" w:rsidRPr="002B3E1D" w:rsidRDefault="008F5536" w:rsidP="008F5536">
            <w:pPr>
              <w:spacing w:after="0" w:line="240" w:lineRule="auto"/>
              <w:ind w:left="170" w:hanging="170"/>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We frequently refine existing products and services.</w:t>
            </w:r>
          </w:p>
        </w:tc>
        <w:tc>
          <w:tcPr>
            <w:tcW w:w="756" w:type="pct"/>
            <w:tcBorders>
              <w:top w:val="nil"/>
              <w:left w:val="nil"/>
              <w:bottom w:val="nil"/>
              <w:right w:val="nil"/>
            </w:tcBorders>
            <w:vAlign w:val="bottom"/>
            <w:hideMark/>
          </w:tcPr>
          <w:p w14:paraId="6B462F86" w14:textId="77777777" w:rsidR="008F5536" w:rsidRPr="002B3E1D" w:rsidRDefault="008F5536" w:rsidP="008F5536">
            <w:pPr>
              <w:spacing w:after="0" w:line="240" w:lineRule="auto"/>
              <w:jc w:val="center"/>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.79</w:t>
            </w:r>
          </w:p>
        </w:tc>
        <w:tc>
          <w:tcPr>
            <w:tcW w:w="377" w:type="pct"/>
            <w:tcBorders>
              <w:top w:val="nil"/>
              <w:left w:val="nil"/>
              <w:bottom w:val="nil"/>
              <w:right w:val="nil"/>
            </w:tcBorders>
            <w:vAlign w:val="bottom"/>
            <w:hideMark/>
          </w:tcPr>
          <w:p w14:paraId="7E9A20E9" w14:textId="77777777" w:rsidR="008F5536" w:rsidRPr="002B3E1D" w:rsidRDefault="008F5536" w:rsidP="008F5536">
            <w:pPr>
              <w:tabs>
                <w:tab w:val="decimal" w:pos="284"/>
              </w:tabs>
              <w:spacing w:after="0" w:line="240" w:lineRule="auto"/>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11.16</w:t>
            </w:r>
          </w:p>
        </w:tc>
      </w:tr>
      <w:tr w:rsidR="008F5536" w:rsidRPr="002B3E1D" w14:paraId="7DE26C55" w14:textId="77777777" w:rsidTr="008F5536">
        <w:tc>
          <w:tcPr>
            <w:tcW w:w="0" w:type="auto"/>
            <w:vMerge/>
            <w:tcBorders>
              <w:top w:val="nil"/>
              <w:left w:val="nil"/>
              <w:bottom w:val="nil"/>
              <w:right w:val="nil"/>
            </w:tcBorders>
            <w:vAlign w:val="center"/>
            <w:hideMark/>
          </w:tcPr>
          <w:p w14:paraId="285EFF4E" w14:textId="77777777" w:rsidR="008F5536" w:rsidRPr="002B3E1D" w:rsidRDefault="008F5536" w:rsidP="008F5536">
            <w:pPr>
              <w:spacing w:after="0" w:line="240" w:lineRule="auto"/>
              <w:rPr>
                <w:rFonts w:ascii="Times New Roman" w:eastAsia="Calibri" w:hAnsi="Times New Roman" w:cs="Times New Roman"/>
                <w:b/>
                <w:bCs/>
                <w:sz w:val="20"/>
                <w:szCs w:val="20"/>
                <w:lang w:val="en-US"/>
              </w:rPr>
            </w:pPr>
          </w:p>
        </w:tc>
        <w:tc>
          <w:tcPr>
            <w:tcW w:w="2959" w:type="pct"/>
            <w:tcBorders>
              <w:top w:val="nil"/>
              <w:left w:val="nil"/>
              <w:bottom w:val="nil"/>
              <w:right w:val="nil"/>
            </w:tcBorders>
            <w:hideMark/>
          </w:tcPr>
          <w:p w14:paraId="5F7523E2" w14:textId="77777777" w:rsidR="008F5536" w:rsidRPr="002B3E1D" w:rsidRDefault="008F5536" w:rsidP="008F5536">
            <w:pPr>
              <w:spacing w:after="0" w:line="240" w:lineRule="auto"/>
              <w:ind w:left="170" w:hanging="170"/>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We regularly implement small adaptations to existing products and services.</w:t>
            </w:r>
          </w:p>
        </w:tc>
        <w:tc>
          <w:tcPr>
            <w:tcW w:w="756" w:type="pct"/>
            <w:tcBorders>
              <w:top w:val="nil"/>
              <w:left w:val="nil"/>
              <w:bottom w:val="nil"/>
              <w:right w:val="nil"/>
            </w:tcBorders>
            <w:vAlign w:val="bottom"/>
            <w:hideMark/>
          </w:tcPr>
          <w:p w14:paraId="2BEE790F" w14:textId="77777777" w:rsidR="008F5536" w:rsidRPr="002B3E1D" w:rsidRDefault="008F5536" w:rsidP="008F5536">
            <w:pPr>
              <w:spacing w:after="0" w:line="240" w:lineRule="auto"/>
              <w:jc w:val="center"/>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.95</w:t>
            </w:r>
          </w:p>
        </w:tc>
        <w:tc>
          <w:tcPr>
            <w:tcW w:w="377" w:type="pct"/>
            <w:tcBorders>
              <w:top w:val="nil"/>
              <w:left w:val="nil"/>
              <w:bottom w:val="nil"/>
              <w:right w:val="nil"/>
            </w:tcBorders>
            <w:vAlign w:val="bottom"/>
            <w:hideMark/>
          </w:tcPr>
          <w:p w14:paraId="76A6F3C3" w14:textId="77777777" w:rsidR="008F5536" w:rsidRPr="002B3E1D" w:rsidRDefault="008F5536" w:rsidP="008F5536">
            <w:pPr>
              <w:tabs>
                <w:tab w:val="decimal" w:pos="284"/>
              </w:tabs>
              <w:spacing w:after="0" w:line="240" w:lineRule="auto"/>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14.79</w:t>
            </w:r>
          </w:p>
        </w:tc>
      </w:tr>
      <w:tr w:rsidR="008F5536" w:rsidRPr="002B3E1D" w14:paraId="211290E4" w14:textId="77777777" w:rsidTr="008F5536">
        <w:tc>
          <w:tcPr>
            <w:tcW w:w="908" w:type="pct"/>
            <w:tcBorders>
              <w:top w:val="nil"/>
              <w:left w:val="nil"/>
              <w:bottom w:val="nil"/>
              <w:right w:val="nil"/>
            </w:tcBorders>
            <w:vAlign w:val="bottom"/>
          </w:tcPr>
          <w:p w14:paraId="7262F9AE" w14:textId="77777777" w:rsidR="008F5536" w:rsidRPr="002B3E1D" w:rsidRDefault="008F5536" w:rsidP="008F5536">
            <w:pPr>
              <w:spacing w:after="0" w:line="240" w:lineRule="auto"/>
              <w:rPr>
                <w:rFonts w:ascii="Times New Roman" w:eastAsia="Calibri" w:hAnsi="Times New Roman" w:cs="Times New Roman"/>
                <w:sz w:val="20"/>
                <w:szCs w:val="20"/>
                <w:lang w:val="en-US"/>
              </w:rPr>
            </w:pPr>
          </w:p>
        </w:tc>
        <w:tc>
          <w:tcPr>
            <w:tcW w:w="2959" w:type="pct"/>
            <w:tcBorders>
              <w:top w:val="nil"/>
              <w:left w:val="nil"/>
              <w:bottom w:val="nil"/>
              <w:right w:val="nil"/>
            </w:tcBorders>
            <w:hideMark/>
          </w:tcPr>
          <w:p w14:paraId="5A116B57" w14:textId="77777777" w:rsidR="008F5536" w:rsidRPr="002B3E1D" w:rsidRDefault="008F5536" w:rsidP="008F5536">
            <w:pPr>
              <w:spacing w:after="0" w:line="240" w:lineRule="auto"/>
              <w:ind w:left="170" w:hanging="170"/>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We introduce improvements to existing products and services for our market.</w:t>
            </w:r>
          </w:p>
        </w:tc>
        <w:tc>
          <w:tcPr>
            <w:tcW w:w="756" w:type="pct"/>
            <w:tcBorders>
              <w:top w:val="nil"/>
              <w:left w:val="nil"/>
              <w:bottom w:val="nil"/>
              <w:right w:val="nil"/>
            </w:tcBorders>
            <w:vAlign w:val="bottom"/>
            <w:hideMark/>
          </w:tcPr>
          <w:p w14:paraId="694FCE6E" w14:textId="77777777" w:rsidR="008F5536" w:rsidRPr="002B3E1D" w:rsidRDefault="008F5536" w:rsidP="008F5536">
            <w:pPr>
              <w:spacing w:after="0" w:line="240" w:lineRule="auto"/>
              <w:jc w:val="center"/>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.93</w:t>
            </w:r>
          </w:p>
        </w:tc>
        <w:tc>
          <w:tcPr>
            <w:tcW w:w="377" w:type="pct"/>
            <w:tcBorders>
              <w:top w:val="nil"/>
              <w:left w:val="nil"/>
              <w:bottom w:val="nil"/>
              <w:right w:val="nil"/>
            </w:tcBorders>
            <w:vAlign w:val="bottom"/>
            <w:hideMark/>
          </w:tcPr>
          <w:p w14:paraId="35AF4C65" w14:textId="77777777" w:rsidR="008F5536" w:rsidRPr="002B3E1D" w:rsidRDefault="008F5536" w:rsidP="008F5536">
            <w:pPr>
              <w:tabs>
                <w:tab w:val="decimal" w:pos="284"/>
              </w:tabs>
              <w:spacing w:after="0" w:line="240" w:lineRule="auto"/>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14.48</w:t>
            </w:r>
          </w:p>
        </w:tc>
      </w:tr>
      <w:tr w:rsidR="008F5536" w:rsidRPr="002B3E1D" w14:paraId="7F486273" w14:textId="77777777" w:rsidTr="008F5536">
        <w:tc>
          <w:tcPr>
            <w:tcW w:w="908" w:type="pct"/>
            <w:tcBorders>
              <w:top w:val="nil"/>
              <w:left w:val="nil"/>
              <w:bottom w:val="nil"/>
              <w:right w:val="nil"/>
            </w:tcBorders>
            <w:vAlign w:val="bottom"/>
          </w:tcPr>
          <w:p w14:paraId="604D3845" w14:textId="77777777" w:rsidR="008F5536" w:rsidRPr="002B3E1D" w:rsidRDefault="008F5536" w:rsidP="008F5536">
            <w:pPr>
              <w:spacing w:after="0" w:line="240" w:lineRule="auto"/>
              <w:rPr>
                <w:rFonts w:ascii="Times New Roman" w:eastAsia="Calibri" w:hAnsi="Times New Roman" w:cs="Times New Roman"/>
                <w:sz w:val="20"/>
                <w:szCs w:val="20"/>
                <w:lang w:val="en-US"/>
              </w:rPr>
            </w:pPr>
          </w:p>
        </w:tc>
        <w:tc>
          <w:tcPr>
            <w:tcW w:w="2959" w:type="pct"/>
            <w:tcBorders>
              <w:top w:val="nil"/>
              <w:left w:val="nil"/>
              <w:bottom w:val="nil"/>
              <w:right w:val="nil"/>
            </w:tcBorders>
            <w:hideMark/>
          </w:tcPr>
          <w:p w14:paraId="0D7486D0" w14:textId="77777777" w:rsidR="008F5536" w:rsidRPr="002B3E1D" w:rsidRDefault="008F5536" w:rsidP="008F5536">
            <w:pPr>
              <w:spacing w:after="0" w:line="240" w:lineRule="auto"/>
              <w:ind w:left="170" w:hanging="170"/>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We increase economies of scale in existing markets.</w:t>
            </w:r>
          </w:p>
        </w:tc>
        <w:tc>
          <w:tcPr>
            <w:tcW w:w="756" w:type="pct"/>
            <w:tcBorders>
              <w:top w:val="nil"/>
              <w:left w:val="nil"/>
              <w:bottom w:val="nil"/>
              <w:right w:val="nil"/>
            </w:tcBorders>
            <w:vAlign w:val="bottom"/>
            <w:hideMark/>
          </w:tcPr>
          <w:p w14:paraId="4A648193" w14:textId="77777777" w:rsidR="008F5536" w:rsidRPr="002B3E1D" w:rsidRDefault="008F5536" w:rsidP="008F5536">
            <w:pPr>
              <w:spacing w:after="0" w:line="240" w:lineRule="auto"/>
              <w:jc w:val="center"/>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.54</w:t>
            </w:r>
          </w:p>
        </w:tc>
        <w:tc>
          <w:tcPr>
            <w:tcW w:w="377" w:type="pct"/>
            <w:tcBorders>
              <w:top w:val="nil"/>
              <w:left w:val="nil"/>
              <w:bottom w:val="nil"/>
              <w:right w:val="nil"/>
            </w:tcBorders>
            <w:vAlign w:val="bottom"/>
            <w:hideMark/>
          </w:tcPr>
          <w:p w14:paraId="0CCBBE18" w14:textId="77777777" w:rsidR="008F5536" w:rsidRPr="002B3E1D" w:rsidRDefault="008F5536" w:rsidP="008F5536">
            <w:pPr>
              <w:tabs>
                <w:tab w:val="decimal" w:pos="284"/>
              </w:tabs>
              <w:spacing w:after="0" w:line="240" w:lineRule="auto"/>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6.83</w:t>
            </w:r>
          </w:p>
        </w:tc>
      </w:tr>
      <w:tr w:rsidR="008F5536" w:rsidRPr="002B3E1D" w14:paraId="41A98BF0" w14:textId="77777777" w:rsidTr="008F5536">
        <w:tc>
          <w:tcPr>
            <w:tcW w:w="908" w:type="pct"/>
            <w:tcBorders>
              <w:top w:val="nil"/>
              <w:left w:val="nil"/>
              <w:bottom w:val="nil"/>
              <w:right w:val="nil"/>
            </w:tcBorders>
            <w:vAlign w:val="bottom"/>
          </w:tcPr>
          <w:p w14:paraId="16F5DDC6" w14:textId="77777777" w:rsidR="008F5536" w:rsidRPr="002B3E1D" w:rsidRDefault="008F5536" w:rsidP="008F5536">
            <w:pPr>
              <w:spacing w:after="0" w:line="240" w:lineRule="auto"/>
              <w:rPr>
                <w:rFonts w:ascii="Times New Roman" w:eastAsia="Calibri" w:hAnsi="Times New Roman" w:cs="Times New Roman"/>
                <w:sz w:val="20"/>
                <w:szCs w:val="20"/>
                <w:lang w:val="en-US"/>
              </w:rPr>
            </w:pPr>
          </w:p>
        </w:tc>
        <w:tc>
          <w:tcPr>
            <w:tcW w:w="2959" w:type="pct"/>
            <w:tcBorders>
              <w:top w:val="nil"/>
              <w:left w:val="nil"/>
              <w:bottom w:val="nil"/>
              <w:right w:val="nil"/>
            </w:tcBorders>
            <w:vAlign w:val="bottom"/>
          </w:tcPr>
          <w:p w14:paraId="7149C27A" w14:textId="77777777" w:rsidR="008F5536" w:rsidRPr="002B3E1D" w:rsidRDefault="008F5536" w:rsidP="008F5536">
            <w:pPr>
              <w:spacing w:after="0" w:line="240" w:lineRule="auto"/>
              <w:ind w:left="170" w:hanging="170"/>
              <w:rPr>
                <w:rFonts w:ascii="Times New Roman" w:eastAsia="Calibri" w:hAnsi="Times New Roman" w:cs="Times New Roman"/>
                <w:sz w:val="20"/>
                <w:szCs w:val="20"/>
                <w:lang w:val="en-US"/>
              </w:rPr>
            </w:pPr>
          </w:p>
        </w:tc>
        <w:tc>
          <w:tcPr>
            <w:tcW w:w="756" w:type="pct"/>
            <w:tcBorders>
              <w:top w:val="nil"/>
              <w:left w:val="nil"/>
              <w:bottom w:val="nil"/>
              <w:right w:val="nil"/>
            </w:tcBorders>
            <w:vAlign w:val="bottom"/>
          </w:tcPr>
          <w:p w14:paraId="35B6C273" w14:textId="77777777" w:rsidR="008F5536" w:rsidRPr="002B3E1D" w:rsidRDefault="008F5536" w:rsidP="008F5536">
            <w:pPr>
              <w:spacing w:after="0" w:line="240" w:lineRule="auto"/>
              <w:jc w:val="center"/>
              <w:rPr>
                <w:rFonts w:ascii="Times New Roman" w:eastAsia="Calibri" w:hAnsi="Times New Roman" w:cs="Times New Roman"/>
                <w:sz w:val="20"/>
                <w:szCs w:val="20"/>
                <w:lang w:val="en-US"/>
              </w:rPr>
            </w:pPr>
          </w:p>
        </w:tc>
        <w:tc>
          <w:tcPr>
            <w:tcW w:w="377" w:type="pct"/>
            <w:tcBorders>
              <w:top w:val="nil"/>
              <w:left w:val="nil"/>
              <w:bottom w:val="nil"/>
              <w:right w:val="nil"/>
            </w:tcBorders>
            <w:vAlign w:val="bottom"/>
          </w:tcPr>
          <w:p w14:paraId="3F4E80A2" w14:textId="77777777" w:rsidR="008F5536" w:rsidRPr="002B3E1D" w:rsidRDefault="008F5536" w:rsidP="008F5536">
            <w:pPr>
              <w:tabs>
                <w:tab w:val="decimal" w:pos="284"/>
              </w:tabs>
              <w:spacing w:after="0" w:line="240" w:lineRule="auto"/>
              <w:rPr>
                <w:rFonts w:ascii="Times New Roman" w:eastAsia="Calibri" w:hAnsi="Times New Roman" w:cs="Times New Roman"/>
                <w:sz w:val="20"/>
                <w:szCs w:val="20"/>
                <w:lang w:val="en-US"/>
              </w:rPr>
            </w:pPr>
          </w:p>
        </w:tc>
      </w:tr>
      <w:tr w:rsidR="008F5536" w:rsidRPr="002B3E1D" w14:paraId="0C0F4FCA" w14:textId="77777777" w:rsidTr="008F5536">
        <w:tc>
          <w:tcPr>
            <w:tcW w:w="908" w:type="pct"/>
            <w:tcBorders>
              <w:top w:val="nil"/>
              <w:left w:val="nil"/>
              <w:bottom w:val="nil"/>
              <w:right w:val="nil"/>
            </w:tcBorders>
            <w:hideMark/>
          </w:tcPr>
          <w:p w14:paraId="206A3BCC" w14:textId="77777777" w:rsidR="008F5536" w:rsidRPr="002B3E1D" w:rsidRDefault="008F5536" w:rsidP="008F5536">
            <w:pPr>
              <w:spacing w:after="0" w:line="240" w:lineRule="auto"/>
              <w:rPr>
                <w:rFonts w:ascii="Times New Roman" w:eastAsia="Calibri" w:hAnsi="Times New Roman" w:cs="Times New Roman"/>
                <w:b/>
                <w:sz w:val="20"/>
                <w:szCs w:val="20"/>
                <w:lang w:val="en-US"/>
              </w:rPr>
            </w:pPr>
            <w:r w:rsidRPr="002B3E1D">
              <w:rPr>
                <w:rFonts w:ascii="Times New Roman" w:eastAsia="Calibri" w:hAnsi="Times New Roman" w:cs="Times New Roman"/>
                <w:b/>
                <w:sz w:val="20"/>
                <w:szCs w:val="20"/>
                <w:lang w:val="en-US"/>
              </w:rPr>
              <w:lastRenderedPageBreak/>
              <w:t>Integration</w:t>
            </w:r>
            <w:r w:rsidRPr="002B3E1D">
              <w:rPr>
                <w:rFonts w:ascii="Times New Roman" w:eastAsia="Calibri" w:hAnsi="Times New Roman" w:cs="Times New Roman"/>
                <w:b/>
                <w:sz w:val="20"/>
                <w:szCs w:val="20"/>
                <w:vertAlign w:val="superscript"/>
                <w:lang w:val="en-US"/>
              </w:rPr>
              <w:t>d</w:t>
            </w:r>
          </w:p>
        </w:tc>
        <w:tc>
          <w:tcPr>
            <w:tcW w:w="2959" w:type="pct"/>
            <w:tcBorders>
              <w:top w:val="nil"/>
              <w:left w:val="nil"/>
              <w:bottom w:val="nil"/>
              <w:right w:val="nil"/>
            </w:tcBorders>
            <w:hideMark/>
          </w:tcPr>
          <w:p w14:paraId="2684D122" w14:textId="77777777" w:rsidR="008F5536" w:rsidRPr="002B3E1D" w:rsidRDefault="008F5536" w:rsidP="008F5536">
            <w:pPr>
              <w:spacing w:after="0" w:line="240" w:lineRule="auto"/>
              <w:ind w:left="170" w:hanging="170"/>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Market decisions</w:t>
            </w:r>
          </w:p>
        </w:tc>
        <w:tc>
          <w:tcPr>
            <w:tcW w:w="756" w:type="pct"/>
            <w:tcBorders>
              <w:top w:val="nil"/>
              <w:left w:val="nil"/>
              <w:bottom w:val="nil"/>
              <w:right w:val="nil"/>
            </w:tcBorders>
            <w:vAlign w:val="bottom"/>
            <w:hideMark/>
          </w:tcPr>
          <w:p w14:paraId="5057DEE4" w14:textId="77777777" w:rsidR="008F5536" w:rsidRPr="002B3E1D" w:rsidRDefault="008F5536" w:rsidP="008F5536">
            <w:pPr>
              <w:spacing w:after="0" w:line="240" w:lineRule="auto"/>
              <w:jc w:val="center"/>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.77</w:t>
            </w:r>
          </w:p>
        </w:tc>
        <w:tc>
          <w:tcPr>
            <w:tcW w:w="377" w:type="pct"/>
            <w:tcBorders>
              <w:top w:val="nil"/>
              <w:left w:val="nil"/>
              <w:bottom w:val="nil"/>
              <w:right w:val="nil"/>
            </w:tcBorders>
            <w:vAlign w:val="bottom"/>
            <w:hideMark/>
          </w:tcPr>
          <w:p w14:paraId="560EACFD" w14:textId="77777777" w:rsidR="008F5536" w:rsidRPr="002B3E1D" w:rsidRDefault="008F5536" w:rsidP="008F5536">
            <w:pPr>
              <w:tabs>
                <w:tab w:val="decimal" w:pos="284"/>
              </w:tabs>
              <w:spacing w:after="0" w:line="240" w:lineRule="auto"/>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10.48</w:t>
            </w:r>
          </w:p>
        </w:tc>
      </w:tr>
      <w:tr w:rsidR="008F5536" w:rsidRPr="002B3E1D" w14:paraId="5446E7BB" w14:textId="77777777" w:rsidTr="008F5536">
        <w:tc>
          <w:tcPr>
            <w:tcW w:w="908" w:type="pct"/>
            <w:tcBorders>
              <w:top w:val="nil"/>
              <w:left w:val="nil"/>
              <w:bottom w:val="nil"/>
              <w:right w:val="nil"/>
            </w:tcBorders>
            <w:vAlign w:val="bottom"/>
          </w:tcPr>
          <w:p w14:paraId="42749EBF" w14:textId="77777777" w:rsidR="008F5536" w:rsidRPr="002B3E1D" w:rsidRDefault="008F5536" w:rsidP="008F5536">
            <w:pPr>
              <w:spacing w:after="0" w:line="240" w:lineRule="auto"/>
              <w:rPr>
                <w:rFonts w:ascii="Times New Roman" w:eastAsia="Calibri" w:hAnsi="Times New Roman" w:cs="Times New Roman"/>
                <w:sz w:val="20"/>
                <w:szCs w:val="20"/>
                <w:lang w:val="en-US"/>
              </w:rPr>
            </w:pPr>
          </w:p>
        </w:tc>
        <w:tc>
          <w:tcPr>
            <w:tcW w:w="2959" w:type="pct"/>
            <w:tcBorders>
              <w:top w:val="nil"/>
              <w:left w:val="nil"/>
              <w:bottom w:val="nil"/>
              <w:right w:val="nil"/>
            </w:tcBorders>
            <w:hideMark/>
          </w:tcPr>
          <w:p w14:paraId="0EFADF3B" w14:textId="77777777" w:rsidR="008F5536" w:rsidRPr="002B3E1D" w:rsidRDefault="008F5536" w:rsidP="008F5536">
            <w:pPr>
              <w:spacing w:after="0" w:line="240" w:lineRule="auto"/>
              <w:ind w:left="170" w:hanging="170"/>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Operating Decisions</w:t>
            </w:r>
          </w:p>
        </w:tc>
        <w:tc>
          <w:tcPr>
            <w:tcW w:w="756" w:type="pct"/>
            <w:tcBorders>
              <w:top w:val="nil"/>
              <w:left w:val="nil"/>
              <w:bottom w:val="nil"/>
              <w:right w:val="nil"/>
            </w:tcBorders>
            <w:vAlign w:val="bottom"/>
            <w:hideMark/>
          </w:tcPr>
          <w:p w14:paraId="495285BE" w14:textId="77777777" w:rsidR="008F5536" w:rsidRPr="002B3E1D" w:rsidRDefault="008F5536" w:rsidP="008F5536">
            <w:pPr>
              <w:spacing w:after="0" w:line="240" w:lineRule="auto"/>
              <w:jc w:val="center"/>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.89</w:t>
            </w:r>
          </w:p>
        </w:tc>
        <w:tc>
          <w:tcPr>
            <w:tcW w:w="377" w:type="pct"/>
            <w:tcBorders>
              <w:top w:val="nil"/>
              <w:left w:val="nil"/>
              <w:bottom w:val="nil"/>
              <w:right w:val="nil"/>
            </w:tcBorders>
            <w:vAlign w:val="bottom"/>
            <w:hideMark/>
          </w:tcPr>
          <w:p w14:paraId="7DE1A369" w14:textId="77777777" w:rsidR="008F5536" w:rsidRPr="002B3E1D" w:rsidRDefault="008F5536" w:rsidP="008F5536">
            <w:pPr>
              <w:tabs>
                <w:tab w:val="decimal" w:pos="284"/>
              </w:tabs>
              <w:spacing w:after="0" w:line="240" w:lineRule="auto"/>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13.07</w:t>
            </w:r>
          </w:p>
        </w:tc>
      </w:tr>
      <w:tr w:rsidR="008F5536" w:rsidRPr="002B3E1D" w14:paraId="2756F7C6" w14:textId="77777777" w:rsidTr="008F5536">
        <w:tc>
          <w:tcPr>
            <w:tcW w:w="908" w:type="pct"/>
            <w:tcBorders>
              <w:top w:val="nil"/>
              <w:left w:val="nil"/>
              <w:bottom w:val="nil"/>
              <w:right w:val="nil"/>
            </w:tcBorders>
            <w:vAlign w:val="bottom"/>
          </w:tcPr>
          <w:p w14:paraId="3F34E30D" w14:textId="77777777" w:rsidR="008F5536" w:rsidRPr="002B3E1D" w:rsidRDefault="008F5536" w:rsidP="008F5536">
            <w:pPr>
              <w:spacing w:after="0" w:line="240" w:lineRule="auto"/>
              <w:rPr>
                <w:rFonts w:ascii="Times New Roman" w:eastAsia="Calibri" w:hAnsi="Times New Roman" w:cs="Times New Roman"/>
                <w:sz w:val="20"/>
                <w:szCs w:val="20"/>
                <w:lang w:val="en-US"/>
              </w:rPr>
            </w:pPr>
          </w:p>
        </w:tc>
        <w:tc>
          <w:tcPr>
            <w:tcW w:w="2959" w:type="pct"/>
            <w:tcBorders>
              <w:top w:val="nil"/>
              <w:left w:val="nil"/>
              <w:bottom w:val="nil"/>
              <w:right w:val="nil"/>
            </w:tcBorders>
            <w:hideMark/>
          </w:tcPr>
          <w:p w14:paraId="6AF735B3" w14:textId="77777777" w:rsidR="008F5536" w:rsidRPr="002B3E1D" w:rsidRDefault="008F5536" w:rsidP="008F5536">
            <w:pPr>
              <w:spacing w:after="0" w:line="240" w:lineRule="auto"/>
              <w:ind w:left="170" w:hanging="170"/>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Human Resource Management</w:t>
            </w:r>
          </w:p>
        </w:tc>
        <w:tc>
          <w:tcPr>
            <w:tcW w:w="756" w:type="pct"/>
            <w:tcBorders>
              <w:top w:val="nil"/>
              <w:left w:val="nil"/>
              <w:bottom w:val="nil"/>
              <w:right w:val="nil"/>
            </w:tcBorders>
            <w:vAlign w:val="bottom"/>
            <w:hideMark/>
          </w:tcPr>
          <w:p w14:paraId="28D3F4E9" w14:textId="77777777" w:rsidR="008F5536" w:rsidRPr="002B3E1D" w:rsidRDefault="008F5536" w:rsidP="008F5536">
            <w:pPr>
              <w:spacing w:after="0" w:line="240" w:lineRule="auto"/>
              <w:jc w:val="center"/>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.77</w:t>
            </w:r>
          </w:p>
        </w:tc>
        <w:tc>
          <w:tcPr>
            <w:tcW w:w="377" w:type="pct"/>
            <w:tcBorders>
              <w:top w:val="nil"/>
              <w:left w:val="nil"/>
              <w:bottom w:val="nil"/>
              <w:right w:val="nil"/>
            </w:tcBorders>
            <w:vAlign w:val="bottom"/>
            <w:hideMark/>
          </w:tcPr>
          <w:p w14:paraId="6667633D" w14:textId="77777777" w:rsidR="008F5536" w:rsidRPr="002B3E1D" w:rsidRDefault="008F5536" w:rsidP="008F5536">
            <w:pPr>
              <w:tabs>
                <w:tab w:val="decimal" w:pos="284"/>
              </w:tabs>
              <w:spacing w:after="0" w:line="240" w:lineRule="auto"/>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10.59</w:t>
            </w:r>
          </w:p>
        </w:tc>
      </w:tr>
      <w:tr w:rsidR="008F5536" w:rsidRPr="002B3E1D" w14:paraId="2190718C" w14:textId="77777777" w:rsidTr="008F5536">
        <w:tc>
          <w:tcPr>
            <w:tcW w:w="908" w:type="pct"/>
            <w:tcBorders>
              <w:top w:val="nil"/>
              <w:left w:val="nil"/>
              <w:bottom w:val="nil"/>
              <w:right w:val="nil"/>
            </w:tcBorders>
            <w:vAlign w:val="bottom"/>
          </w:tcPr>
          <w:p w14:paraId="4E6C2DE3" w14:textId="77777777" w:rsidR="008F5536" w:rsidRPr="002B3E1D" w:rsidRDefault="008F5536" w:rsidP="008F5536">
            <w:pPr>
              <w:spacing w:after="0" w:line="240" w:lineRule="auto"/>
              <w:rPr>
                <w:rFonts w:ascii="Times New Roman" w:eastAsia="Calibri" w:hAnsi="Times New Roman" w:cs="Times New Roman"/>
                <w:sz w:val="20"/>
                <w:szCs w:val="20"/>
                <w:lang w:val="en-US"/>
              </w:rPr>
            </w:pPr>
          </w:p>
        </w:tc>
        <w:tc>
          <w:tcPr>
            <w:tcW w:w="2959" w:type="pct"/>
            <w:tcBorders>
              <w:top w:val="nil"/>
              <w:left w:val="nil"/>
              <w:bottom w:val="nil"/>
              <w:right w:val="nil"/>
            </w:tcBorders>
            <w:hideMark/>
          </w:tcPr>
          <w:p w14:paraId="272937D5" w14:textId="77777777" w:rsidR="008F5536" w:rsidRPr="002B3E1D" w:rsidRDefault="008F5536" w:rsidP="008F5536">
            <w:pPr>
              <w:spacing w:after="0" w:line="240" w:lineRule="auto"/>
              <w:ind w:left="170" w:hanging="170"/>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R&amp;D Activities</w:t>
            </w:r>
          </w:p>
        </w:tc>
        <w:tc>
          <w:tcPr>
            <w:tcW w:w="756" w:type="pct"/>
            <w:tcBorders>
              <w:top w:val="nil"/>
              <w:left w:val="nil"/>
              <w:bottom w:val="nil"/>
              <w:right w:val="nil"/>
            </w:tcBorders>
            <w:vAlign w:val="bottom"/>
            <w:hideMark/>
          </w:tcPr>
          <w:p w14:paraId="734F9C1A" w14:textId="77777777" w:rsidR="008F5536" w:rsidRPr="002B3E1D" w:rsidRDefault="008F5536" w:rsidP="008F5536">
            <w:pPr>
              <w:spacing w:after="0" w:line="240" w:lineRule="auto"/>
              <w:jc w:val="center"/>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.83</w:t>
            </w:r>
          </w:p>
        </w:tc>
        <w:tc>
          <w:tcPr>
            <w:tcW w:w="377" w:type="pct"/>
            <w:tcBorders>
              <w:top w:val="nil"/>
              <w:left w:val="nil"/>
              <w:bottom w:val="nil"/>
              <w:right w:val="nil"/>
            </w:tcBorders>
            <w:vAlign w:val="bottom"/>
            <w:hideMark/>
          </w:tcPr>
          <w:p w14:paraId="5024745A" w14:textId="77777777" w:rsidR="008F5536" w:rsidRPr="002B3E1D" w:rsidRDefault="008F5536" w:rsidP="008F5536">
            <w:pPr>
              <w:tabs>
                <w:tab w:val="decimal" w:pos="284"/>
              </w:tabs>
              <w:spacing w:after="0" w:line="240" w:lineRule="auto"/>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11.73</w:t>
            </w:r>
          </w:p>
        </w:tc>
      </w:tr>
      <w:tr w:rsidR="008F5536" w:rsidRPr="002B3E1D" w14:paraId="2C48A511" w14:textId="77777777" w:rsidTr="008F5536">
        <w:tc>
          <w:tcPr>
            <w:tcW w:w="908" w:type="pct"/>
            <w:tcBorders>
              <w:top w:val="nil"/>
              <w:left w:val="nil"/>
              <w:bottom w:val="nil"/>
              <w:right w:val="nil"/>
            </w:tcBorders>
            <w:vAlign w:val="bottom"/>
          </w:tcPr>
          <w:p w14:paraId="3D60BAF6" w14:textId="77777777" w:rsidR="008F5536" w:rsidRPr="002B3E1D" w:rsidRDefault="008F5536" w:rsidP="008F5536">
            <w:pPr>
              <w:spacing w:after="0" w:line="240" w:lineRule="auto"/>
              <w:rPr>
                <w:rFonts w:ascii="Times New Roman" w:eastAsia="Calibri" w:hAnsi="Times New Roman" w:cs="Times New Roman"/>
                <w:sz w:val="20"/>
                <w:szCs w:val="20"/>
                <w:lang w:val="en-US"/>
              </w:rPr>
            </w:pPr>
          </w:p>
        </w:tc>
        <w:tc>
          <w:tcPr>
            <w:tcW w:w="2959" w:type="pct"/>
            <w:tcBorders>
              <w:top w:val="nil"/>
              <w:left w:val="nil"/>
              <w:bottom w:val="nil"/>
              <w:right w:val="nil"/>
            </w:tcBorders>
            <w:hideMark/>
          </w:tcPr>
          <w:p w14:paraId="42F14490" w14:textId="77777777" w:rsidR="008F5536" w:rsidRPr="002B3E1D" w:rsidRDefault="008F5536" w:rsidP="008F5536">
            <w:pPr>
              <w:spacing w:after="0" w:line="240" w:lineRule="auto"/>
              <w:ind w:left="170" w:hanging="170"/>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Strategy Formulation</w:t>
            </w:r>
          </w:p>
        </w:tc>
        <w:tc>
          <w:tcPr>
            <w:tcW w:w="756" w:type="pct"/>
            <w:tcBorders>
              <w:top w:val="nil"/>
              <w:left w:val="nil"/>
              <w:bottom w:val="nil"/>
              <w:right w:val="nil"/>
            </w:tcBorders>
            <w:vAlign w:val="bottom"/>
            <w:hideMark/>
          </w:tcPr>
          <w:p w14:paraId="3CE00FF2" w14:textId="77777777" w:rsidR="008F5536" w:rsidRPr="002B3E1D" w:rsidRDefault="008F5536" w:rsidP="008F5536">
            <w:pPr>
              <w:spacing w:after="0" w:line="240" w:lineRule="auto"/>
              <w:jc w:val="center"/>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.65</w:t>
            </w:r>
          </w:p>
        </w:tc>
        <w:tc>
          <w:tcPr>
            <w:tcW w:w="377" w:type="pct"/>
            <w:tcBorders>
              <w:top w:val="nil"/>
              <w:left w:val="nil"/>
              <w:bottom w:val="nil"/>
              <w:right w:val="nil"/>
            </w:tcBorders>
            <w:vAlign w:val="bottom"/>
            <w:hideMark/>
          </w:tcPr>
          <w:p w14:paraId="7AD08343" w14:textId="77777777" w:rsidR="008F5536" w:rsidRPr="002B3E1D" w:rsidRDefault="008F5536" w:rsidP="008F5536">
            <w:pPr>
              <w:tabs>
                <w:tab w:val="decimal" w:pos="284"/>
              </w:tabs>
              <w:spacing w:after="0" w:line="240" w:lineRule="auto"/>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lang w:val="en-US"/>
              </w:rPr>
              <w:t>8.34</w:t>
            </w:r>
          </w:p>
        </w:tc>
      </w:tr>
      <w:tr w:rsidR="008F5536" w:rsidRPr="002B3E1D" w14:paraId="7F4A61CF" w14:textId="77777777" w:rsidTr="008F5536">
        <w:tc>
          <w:tcPr>
            <w:tcW w:w="5000" w:type="pct"/>
            <w:gridSpan w:val="4"/>
            <w:tcBorders>
              <w:top w:val="single" w:sz="12" w:space="0" w:color="auto"/>
              <w:left w:val="nil"/>
              <w:bottom w:val="nil"/>
              <w:right w:val="nil"/>
            </w:tcBorders>
            <w:vAlign w:val="bottom"/>
            <w:hideMark/>
          </w:tcPr>
          <w:p w14:paraId="79F13D3C" w14:textId="77777777" w:rsidR="008F5536" w:rsidRPr="002B3E1D" w:rsidRDefault="008F5536" w:rsidP="008F5536">
            <w:pPr>
              <w:spacing w:after="0" w:line="240" w:lineRule="auto"/>
              <w:rPr>
                <w:rFonts w:ascii="Times New Roman" w:eastAsia="Calibri" w:hAnsi="Times New Roman" w:cs="Times New Roman"/>
                <w:sz w:val="20"/>
                <w:szCs w:val="20"/>
                <w:lang w:val="en-US"/>
              </w:rPr>
            </w:pPr>
            <w:r w:rsidRPr="002B3E1D">
              <w:rPr>
                <w:rFonts w:ascii="Times New Roman" w:eastAsia="Calibri" w:hAnsi="Times New Roman" w:cs="Times New Roman"/>
                <w:sz w:val="20"/>
                <w:szCs w:val="20"/>
                <w:vertAlign w:val="superscript"/>
                <w:lang w:val="en-US"/>
              </w:rPr>
              <w:t>a</w:t>
            </w:r>
            <w:r w:rsidRPr="002B3E1D">
              <w:rPr>
                <w:rFonts w:ascii="Times New Roman" w:eastAsia="Calibri" w:hAnsi="Times New Roman" w:cs="Times New Roman"/>
                <w:sz w:val="20"/>
                <w:szCs w:val="20"/>
                <w:lang w:val="en-US"/>
              </w:rPr>
              <w:t xml:space="preserve"> All items anchored by 7-point agreement scales (1 = “Strongly disagree” to 7 = “Strongly agree”).</w:t>
            </w:r>
          </w:p>
          <w:p w14:paraId="36C7329D" w14:textId="77777777" w:rsidR="008F5536" w:rsidRPr="002B3E1D" w:rsidRDefault="008F5536" w:rsidP="008F5536">
            <w:pPr>
              <w:spacing w:after="0" w:line="240" w:lineRule="auto"/>
              <w:rPr>
                <w:rFonts w:ascii="Times New Roman" w:eastAsia="Calibri" w:hAnsi="Times New Roman" w:cs="Times New Roman"/>
                <w:color w:val="000000" w:themeColor="text1"/>
                <w:sz w:val="20"/>
                <w:szCs w:val="20"/>
                <w:lang w:val="en-US"/>
              </w:rPr>
            </w:pPr>
            <w:r w:rsidRPr="002B3E1D">
              <w:rPr>
                <w:rFonts w:ascii="Times New Roman" w:eastAsia="Calibri" w:hAnsi="Times New Roman" w:cs="Times New Roman"/>
                <w:color w:val="000000" w:themeColor="text1"/>
                <w:sz w:val="20"/>
                <w:szCs w:val="20"/>
                <w:vertAlign w:val="superscript"/>
                <w:lang w:val="en-US"/>
              </w:rPr>
              <w:t>b</w:t>
            </w:r>
            <w:r w:rsidRPr="002B3E1D">
              <w:rPr>
                <w:rFonts w:ascii="Times New Roman" w:eastAsia="Calibri" w:hAnsi="Times New Roman" w:cs="Times New Roman"/>
                <w:color w:val="000000" w:themeColor="text1"/>
                <w:sz w:val="20"/>
                <w:szCs w:val="20"/>
                <w:lang w:val="en-US"/>
              </w:rPr>
              <w:t xml:space="preserve"> All items anchored by 7-point scales (1 = “Very little use” to 7 = “Significant use”).</w:t>
            </w:r>
          </w:p>
          <w:p w14:paraId="12ED88C7" w14:textId="77777777" w:rsidR="008F5536" w:rsidRPr="002B3E1D" w:rsidRDefault="008F5536" w:rsidP="008F5536">
            <w:pPr>
              <w:spacing w:after="0" w:line="240" w:lineRule="auto"/>
              <w:rPr>
                <w:rFonts w:ascii="Times New Roman" w:eastAsia="Calibri" w:hAnsi="Times New Roman" w:cs="Times New Roman"/>
                <w:color w:val="000000" w:themeColor="text1"/>
                <w:sz w:val="20"/>
                <w:szCs w:val="20"/>
                <w:lang w:val="en-US"/>
              </w:rPr>
            </w:pPr>
            <w:r w:rsidRPr="002B3E1D">
              <w:rPr>
                <w:rFonts w:ascii="Times New Roman" w:eastAsia="Calibri" w:hAnsi="Times New Roman" w:cs="Times New Roman"/>
                <w:color w:val="000000" w:themeColor="text1"/>
                <w:sz w:val="20"/>
                <w:szCs w:val="20"/>
                <w:vertAlign w:val="superscript"/>
                <w:lang w:val="en-US"/>
              </w:rPr>
              <w:t>c</w:t>
            </w:r>
            <w:r w:rsidRPr="002B3E1D">
              <w:rPr>
                <w:rFonts w:ascii="Times New Roman" w:eastAsia="Calibri" w:hAnsi="Times New Roman" w:cs="Times New Roman"/>
                <w:color w:val="000000" w:themeColor="text1"/>
                <w:sz w:val="20"/>
                <w:szCs w:val="20"/>
                <w:lang w:val="en-US"/>
              </w:rPr>
              <w:t xml:space="preserve"> All items anchored by 7-point scales (1 = “Very little transfer” to 7 = “Significant transfer”).</w:t>
            </w:r>
          </w:p>
          <w:p w14:paraId="3DA508AB" w14:textId="77777777" w:rsidR="008F5536" w:rsidRPr="002B3E1D" w:rsidRDefault="008F5536" w:rsidP="008F5536">
            <w:pPr>
              <w:spacing w:after="0" w:line="240" w:lineRule="auto"/>
              <w:rPr>
                <w:rFonts w:ascii="Times New Roman" w:eastAsia="Calibri" w:hAnsi="Times New Roman" w:cs="Times New Roman"/>
                <w:sz w:val="20"/>
                <w:szCs w:val="20"/>
                <w:lang w:val="en-US"/>
              </w:rPr>
            </w:pPr>
            <w:r w:rsidRPr="002B3E1D">
              <w:rPr>
                <w:rFonts w:ascii="Times New Roman" w:eastAsia="Calibri" w:hAnsi="Times New Roman" w:cs="Times New Roman"/>
                <w:color w:val="000000" w:themeColor="text1"/>
                <w:sz w:val="20"/>
                <w:szCs w:val="20"/>
                <w:vertAlign w:val="superscript"/>
                <w:lang w:val="en-US"/>
              </w:rPr>
              <w:t>d</w:t>
            </w:r>
            <w:r w:rsidRPr="002B3E1D">
              <w:rPr>
                <w:rFonts w:ascii="Times New Roman" w:eastAsia="Calibri" w:hAnsi="Times New Roman" w:cs="Times New Roman"/>
                <w:color w:val="000000" w:themeColor="text1"/>
                <w:sz w:val="20"/>
                <w:szCs w:val="20"/>
                <w:lang w:val="en-US"/>
              </w:rPr>
              <w:t xml:space="preserve"> All items anchored by 7-point scales (1 = “No integration” to 7 = “Full integration”).</w:t>
            </w:r>
          </w:p>
        </w:tc>
      </w:tr>
    </w:tbl>
    <w:p w14:paraId="63972C4C" w14:textId="77777777" w:rsidR="008F5536" w:rsidRPr="002B3E1D" w:rsidRDefault="008F5536" w:rsidP="008F5536">
      <w:pPr>
        <w:spacing w:after="0" w:line="240" w:lineRule="auto"/>
        <w:rPr>
          <w:rFonts w:ascii="Times New Roman" w:eastAsia="Calibri" w:hAnsi="Times New Roman" w:cs="Times New Roman"/>
          <w:sz w:val="24"/>
          <w:szCs w:val="20"/>
          <w:lang w:val="en-US"/>
        </w:rPr>
      </w:pPr>
    </w:p>
    <w:p w14:paraId="398B413E" w14:textId="77777777" w:rsidR="008F5536" w:rsidRPr="002B3E1D" w:rsidRDefault="008F5536" w:rsidP="008F5536">
      <w:pPr>
        <w:spacing w:after="0" w:line="240" w:lineRule="auto"/>
        <w:rPr>
          <w:rFonts w:ascii="Times New Roman" w:eastAsia="Calibri" w:hAnsi="Times New Roman" w:cs="Times New Roman"/>
          <w:sz w:val="32"/>
          <w:szCs w:val="24"/>
          <w:lang w:val="en-US"/>
        </w:rPr>
      </w:pPr>
    </w:p>
    <w:p w14:paraId="2E52B500" w14:textId="77777777" w:rsidR="008F5536" w:rsidRPr="002B3E1D" w:rsidRDefault="008F5536" w:rsidP="008F5536">
      <w:pPr>
        <w:spacing w:after="0" w:line="240" w:lineRule="auto"/>
        <w:rPr>
          <w:rFonts w:ascii="Times New Roman" w:eastAsia="Calibri" w:hAnsi="Times New Roman" w:cs="Times New Roman"/>
          <w:sz w:val="32"/>
          <w:szCs w:val="24"/>
          <w:lang w:val="en-US"/>
        </w:rPr>
      </w:pPr>
    </w:p>
    <w:p w14:paraId="35F693CC" w14:textId="77777777" w:rsidR="008F5536" w:rsidRPr="002B3E1D" w:rsidRDefault="008F5536" w:rsidP="008F5536">
      <w:pPr>
        <w:spacing w:after="0" w:line="240" w:lineRule="auto"/>
        <w:rPr>
          <w:rFonts w:ascii="Times New Roman" w:eastAsia="Calibri" w:hAnsi="Times New Roman" w:cs="Times New Roman"/>
          <w:sz w:val="32"/>
          <w:szCs w:val="24"/>
          <w:lang w:val="en-US"/>
        </w:rPr>
      </w:pPr>
    </w:p>
    <w:p w14:paraId="4F90C7EF" w14:textId="77777777" w:rsidR="008F5536" w:rsidRPr="002B3E1D" w:rsidRDefault="008F5536" w:rsidP="008F5536">
      <w:pPr>
        <w:spacing w:after="0" w:line="240" w:lineRule="auto"/>
        <w:rPr>
          <w:rFonts w:ascii="Times New Roman" w:eastAsia="Calibri" w:hAnsi="Times New Roman" w:cs="Times New Roman"/>
          <w:sz w:val="32"/>
          <w:szCs w:val="24"/>
          <w:lang w:val="en-US"/>
        </w:rPr>
      </w:pPr>
    </w:p>
    <w:p w14:paraId="0052F8F7" w14:textId="77777777" w:rsidR="008F5536" w:rsidRPr="002B3E1D" w:rsidRDefault="008F5536" w:rsidP="008F5536">
      <w:pPr>
        <w:spacing w:after="0" w:line="240" w:lineRule="auto"/>
        <w:rPr>
          <w:rFonts w:ascii="Times New Roman" w:eastAsia="Calibri" w:hAnsi="Times New Roman" w:cs="Times New Roman"/>
          <w:sz w:val="32"/>
          <w:szCs w:val="24"/>
          <w:lang w:val="en-US"/>
        </w:rPr>
      </w:pPr>
    </w:p>
    <w:p w14:paraId="0A25C6BE" w14:textId="77777777" w:rsidR="008F5536" w:rsidRPr="002B3E1D" w:rsidRDefault="008F5536" w:rsidP="008F5536">
      <w:pPr>
        <w:spacing w:after="0" w:line="240" w:lineRule="auto"/>
        <w:rPr>
          <w:rFonts w:ascii="Times New Roman" w:eastAsia="Calibri" w:hAnsi="Times New Roman" w:cs="Times New Roman"/>
          <w:sz w:val="32"/>
          <w:szCs w:val="24"/>
          <w:lang w:val="en-US"/>
        </w:rPr>
      </w:pPr>
    </w:p>
    <w:p w14:paraId="6646248A" w14:textId="77777777" w:rsidR="008F5536" w:rsidRPr="002B3E1D" w:rsidRDefault="008F5536" w:rsidP="008F5536">
      <w:pPr>
        <w:spacing w:after="0" w:line="240" w:lineRule="auto"/>
        <w:rPr>
          <w:rFonts w:ascii="Times New Roman" w:eastAsia="Calibri" w:hAnsi="Times New Roman" w:cs="Times New Roman"/>
          <w:sz w:val="32"/>
          <w:szCs w:val="24"/>
          <w:lang w:val="en-US"/>
        </w:rPr>
      </w:pPr>
    </w:p>
    <w:p w14:paraId="2BF4AF38" w14:textId="77777777" w:rsidR="008F5536" w:rsidRPr="002B3E1D" w:rsidRDefault="008F5536" w:rsidP="008F5536">
      <w:pPr>
        <w:spacing w:after="0" w:line="240" w:lineRule="auto"/>
        <w:rPr>
          <w:rFonts w:ascii="Times New Roman" w:eastAsia="Calibri" w:hAnsi="Times New Roman" w:cs="Times New Roman"/>
          <w:sz w:val="32"/>
          <w:szCs w:val="24"/>
          <w:lang w:val="en-US"/>
        </w:rPr>
      </w:pPr>
    </w:p>
    <w:p w14:paraId="64F2D3E1" w14:textId="77777777" w:rsidR="008F5536" w:rsidRPr="002B3E1D" w:rsidRDefault="008F5536" w:rsidP="008F5536">
      <w:pPr>
        <w:spacing w:after="0" w:line="240" w:lineRule="auto"/>
        <w:rPr>
          <w:rFonts w:ascii="Times New Roman" w:eastAsia="Calibri" w:hAnsi="Times New Roman" w:cs="Times New Roman"/>
          <w:sz w:val="32"/>
          <w:szCs w:val="24"/>
          <w:lang w:val="en-US"/>
        </w:rPr>
      </w:pPr>
    </w:p>
    <w:p w14:paraId="52B74517" w14:textId="77777777" w:rsidR="008F5536" w:rsidRPr="002B3E1D" w:rsidRDefault="008F5536" w:rsidP="008F5536">
      <w:pPr>
        <w:spacing w:after="0" w:line="240" w:lineRule="auto"/>
        <w:rPr>
          <w:rFonts w:ascii="Times New Roman" w:eastAsia="Calibri" w:hAnsi="Times New Roman" w:cs="Times New Roman"/>
          <w:sz w:val="32"/>
          <w:szCs w:val="24"/>
          <w:lang w:val="en-US"/>
        </w:rPr>
      </w:pPr>
    </w:p>
    <w:p w14:paraId="5BE261D7" w14:textId="77777777" w:rsidR="008F5536" w:rsidRPr="002B3E1D" w:rsidRDefault="008F5536" w:rsidP="008F5536">
      <w:pPr>
        <w:spacing w:after="0" w:line="240" w:lineRule="auto"/>
        <w:rPr>
          <w:rFonts w:ascii="Times New Roman" w:eastAsia="Calibri" w:hAnsi="Times New Roman" w:cs="Times New Roman"/>
          <w:sz w:val="32"/>
          <w:szCs w:val="24"/>
          <w:lang w:val="en-US"/>
        </w:rPr>
      </w:pPr>
    </w:p>
    <w:p w14:paraId="16D050D2" w14:textId="77777777" w:rsidR="008F5536" w:rsidRPr="002B3E1D" w:rsidRDefault="008F5536" w:rsidP="008F5536">
      <w:pPr>
        <w:spacing w:after="0" w:line="240" w:lineRule="auto"/>
        <w:rPr>
          <w:rFonts w:ascii="Times New Roman" w:eastAsia="Calibri" w:hAnsi="Times New Roman" w:cs="Times New Roman"/>
          <w:sz w:val="32"/>
          <w:szCs w:val="24"/>
          <w:lang w:val="en-US"/>
        </w:rPr>
      </w:pPr>
    </w:p>
    <w:p w14:paraId="50B9485A" w14:textId="77777777" w:rsidR="008F5536" w:rsidRPr="002B3E1D" w:rsidRDefault="008F5536" w:rsidP="008F5536">
      <w:pPr>
        <w:spacing w:after="0" w:line="240" w:lineRule="auto"/>
        <w:rPr>
          <w:rFonts w:ascii="Times New Roman" w:eastAsia="Calibri" w:hAnsi="Times New Roman" w:cs="Times New Roman"/>
          <w:sz w:val="32"/>
          <w:szCs w:val="24"/>
          <w:lang w:val="en-US"/>
        </w:rPr>
      </w:pPr>
    </w:p>
    <w:p w14:paraId="6F198A25" w14:textId="77777777" w:rsidR="008F5536" w:rsidRPr="002B3E1D" w:rsidRDefault="008F5536" w:rsidP="008F5536">
      <w:pPr>
        <w:spacing w:after="0" w:line="240" w:lineRule="auto"/>
        <w:rPr>
          <w:rFonts w:ascii="Times New Roman" w:eastAsia="Calibri" w:hAnsi="Times New Roman" w:cs="Times New Roman"/>
          <w:sz w:val="32"/>
          <w:szCs w:val="24"/>
          <w:lang w:val="en-US"/>
        </w:rPr>
      </w:pPr>
    </w:p>
    <w:p w14:paraId="41D5AB65" w14:textId="77777777" w:rsidR="008F5536" w:rsidRPr="002B3E1D" w:rsidRDefault="008F5536" w:rsidP="008F5536">
      <w:pPr>
        <w:spacing w:after="0" w:line="240" w:lineRule="auto"/>
        <w:rPr>
          <w:rFonts w:ascii="Times New Roman" w:eastAsia="Calibri" w:hAnsi="Times New Roman" w:cs="Times New Roman"/>
          <w:sz w:val="32"/>
          <w:szCs w:val="24"/>
          <w:lang w:val="en-US"/>
        </w:rPr>
      </w:pPr>
    </w:p>
    <w:p w14:paraId="3D1D2892" w14:textId="77777777" w:rsidR="008F5536" w:rsidRPr="002B3E1D" w:rsidRDefault="008F5536" w:rsidP="008F5536">
      <w:pPr>
        <w:spacing w:after="0" w:line="240" w:lineRule="auto"/>
        <w:rPr>
          <w:rFonts w:ascii="Times New Roman" w:eastAsia="Calibri" w:hAnsi="Times New Roman" w:cs="Times New Roman"/>
          <w:sz w:val="32"/>
          <w:szCs w:val="24"/>
          <w:lang w:val="en-US"/>
        </w:rPr>
      </w:pPr>
    </w:p>
    <w:p w14:paraId="22AA2B94" w14:textId="77777777" w:rsidR="008F5536" w:rsidRPr="002B3E1D" w:rsidRDefault="008F5536" w:rsidP="008F5536">
      <w:pPr>
        <w:spacing w:after="0" w:line="240" w:lineRule="auto"/>
        <w:rPr>
          <w:rFonts w:ascii="Times New Roman" w:eastAsia="Calibri" w:hAnsi="Times New Roman" w:cs="Times New Roman"/>
          <w:sz w:val="32"/>
          <w:szCs w:val="24"/>
          <w:lang w:val="en-US"/>
        </w:rPr>
      </w:pPr>
    </w:p>
    <w:p w14:paraId="75568BA1" w14:textId="77777777" w:rsidR="008F5536" w:rsidRPr="002B3E1D" w:rsidRDefault="008F5536" w:rsidP="008F5536">
      <w:pPr>
        <w:spacing w:after="0" w:line="240" w:lineRule="auto"/>
        <w:rPr>
          <w:rFonts w:ascii="Times New Roman" w:eastAsia="Calibri" w:hAnsi="Times New Roman" w:cs="Times New Roman"/>
          <w:sz w:val="32"/>
          <w:szCs w:val="24"/>
          <w:lang w:val="en-US"/>
        </w:rPr>
      </w:pPr>
    </w:p>
    <w:p w14:paraId="1437888A" w14:textId="77777777" w:rsidR="008F5536" w:rsidRPr="002B3E1D" w:rsidRDefault="008F5536" w:rsidP="008F5536">
      <w:pPr>
        <w:spacing w:after="0" w:line="240" w:lineRule="auto"/>
        <w:rPr>
          <w:rFonts w:ascii="Times New Roman" w:eastAsia="Calibri" w:hAnsi="Times New Roman" w:cs="Times New Roman"/>
          <w:sz w:val="32"/>
          <w:szCs w:val="24"/>
          <w:lang w:val="en-US"/>
        </w:rPr>
      </w:pPr>
    </w:p>
    <w:p w14:paraId="317DE316" w14:textId="77777777" w:rsidR="008F5536" w:rsidRPr="002B3E1D" w:rsidRDefault="008F5536" w:rsidP="008F5536">
      <w:pPr>
        <w:spacing w:after="0" w:line="240" w:lineRule="auto"/>
        <w:rPr>
          <w:rFonts w:ascii="Times New Roman" w:eastAsia="Calibri" w:hAnsi="Times New Roman" w:cs="Times New Roman"/>
          <w:sz w:val="32"/>
          <w:szCs w:val="24"/>
          <w:lang w:val="en-US"/>
        </w:rPr>
      </w:pPr>
    </w:p>
    <w:p w14:paraId="457D8B5F" w14:textId="77777777" w:rsidR="008F5536" w:rsidRPr="002B3E1D" w:rsidRDefault="008F5536" w:rsidP="008F5536">
      <w:pPr>
        <w:spacing w:after="0" w:line="240" w:lineRule="auto"/>
        <w:rPr>
          <w:rFonts w:ascii="Times New Roman" w:eastAsia="Calibri" w:hAnsi="Times New Roman" w:cs="Times New Roman"/>
          <w:sz w:val="32"/>
          <w:szCs w:val="24"/>
          <w:lang w:val="en-US"/>
        </w:rPr>
      </w:pPr>
    </w:p>
    <w:p w14:paraId="7C58A72E" w14:textId="77777777" w:rsidR="008F5536" w:rsidRPr="002B3E1D" w:rsidRDefault="008F5536" w:rsidP="008F5536">
      <w:pPr>
        <w:spacing w:after="0" w:line="240" w:lineRule="auto"/>
        <w:rPr>
          <w:rFonts w:ascii="Times New Roman" w:eastAsia="Calibri" w:hAnsi="Times New Roman" w:cs="Times New Roman"/>
          <w:sz w:val="32"/>
          <w:szCs w:val="24"/>
          <w:lang w:val="en-US"/>
        </w:rPr>
      </w:pPr>
    </w:p>
    <w:p w14:paraId="70129096" w14:textId="77777777" w:rsidR="008F5536" w:rsidRPr="002B3E1D" w:rsidRDefault="008F5536" w:rsidP="008F5536">
      <w:pPr>
        <w:spacing w:after="0" w:line="240" w:lineRule="auto"/>
        <w:rPr>
          <w:rFonts w:ascii="Times New Roman" w:eastAsia="Calibri" w:hAnsi="Times New Roman" w:cs="Times New Roman"/>
          <w:sz w:val="32"/>
          <w:szCs w:val="24"/>
          <w:lang w:val="en-US"/>
        </w:rPr>
      </w:pPr>
    </w:p>
    <w:p w14:paraId="1341B485" w14:textId="77777777" w:rsidR="008F5536" w:rsidRPr="002B3E1D" w:rsidRDefault="008F5536" w:rsidP="008F5536">
      <w:pPr>
        <w:spacing w:after="0" w:line="240" w:lineRule="auto"/>
        <w:rPr>
          <w:rFonts w:ascii="Times New Roman" w:eastAsia="Calibri" w:hAnsi="Times New Roman" w:cs="Times New Roman"/>
          <w:sz w:val="32"/>
          <w:szCs w:val="24"/>
          <w:lang w:val="en-US"/>
        </w:rPr>
      </w:pPr>
    </w:p>
    <w:p w14:paraId="5AB706B1" w14:textId="77777777" w:rsidR="008F5536" w:rsidRPr="002B3E1D" w:rsidRDefault="008F5536" w:rsidP="008F5536">
      <w:pPr>
        <w:spacing w:after="0" w:line="240" w:lineRule="auto"/>
        <w:rPr>
          <w:rFonts w:ascii="Times New Roman" w:eastAsia="Calibri" w:hAnsi="Times New Roman" w:cs="Times New Roman"/>
          <w:sz w:val="32"/>
          <w:szCs w:val="24"/>
          <w:lang w:val="en-US"/>
        </w:rPr>
      </w:pPr>
    </w:p>
    <w:p w14:paraId="3A888CDE" w14:textId="77777777" w:rsidR="008F5536" w:rsidRPr="002B3E1D" w:rsidRDefault="008F5536" w:rsidP="008F5536">
      <w:pPr>
        <w:spacing w:after="0" w:line="240" w:lineRule="auto"/>
        <w:rPr>
          <w:rFonts w:ascii="Times New Roman" w:eastAsia="Calibri" w:hAnsi="Times New Roman" w:cs="Times New Roman"/>
          <w:sz w:val="32"/>
          <w:szCs w:val="24"/>
          <w:lang w:val="en-US"/>
        </w:rPr>
      </w:pPr>
    </w:p>
    <w:p w14:paraId="2390EEF3" w14:textId="77777777" w:rsidR="008F5536" w:rsidRPr="002B3E1D" w:rsidRDefault="008F5536" w:rsidP="008F5536">
      <w:pPr>
        <w:spacing w:after="0" w:line="240" w:lineRule="auto"/>
        <w:rPr>
          <w:rFonts w:ascii="Times New Roman" w:eastAsia="Calibri" w:hAnsi="Times New Roman" w:cs="Times New Roman"/>
          <w:sz w:val="32"/>
          <w:szCs w:val="24"/>
          <w:lang w:val="en-US"/>
        </w:rPr>
      </w:pPr>
    </w:p>
    <w:p w14:paraId="0A2BB300" w14:textId="77777777" w:rsidR="008F5536" w:rsidRPr="002B3E1D" w:rsidRDefault="008F5536" w:rsidP="008F5536">
      <w:pPr>
        <w:spacing w:after="0" w:line="240" w:lineRule="auto"/>
        <w:rPr>
          <w:rFonts w:ascii="Times New Roman" w:eastAsia="Calibri" w:hAnsi="Times New Roman" w:cs="Times New Roman"/>
          <w:sz w:val="32"/>
          <w:szCs w:val="24"/>
          <w:lang w:val="en-US"/>
        </w:rPr>
      </w:pPr>
    </w:p>
    <w:p w14:paraId="497ECEDB" w14:textId="77777777" w:rsidR="008F5536" w:rsidRPr="002B3E1D" w:rsidRDefault="008F5536" w:rsidP="008F5536">
      <w:pPr>
        <w:spacing w:after="0" w:line="240" w:lineRule="auto"/>
        <w:rPr>
          <w:rFonts w:ascii="Times New Roman" w:eastAsia="Calibri" w:hAnsi="Times New Roman" w:cs="Times New Roman"/>
          <w:sz w:val="32"/>
          <w:szCs w:val="24"/>
          <w:lang w:val="en-US"/>
        </w:rPr>
      </w:pPr>
    </w:p>
    <w:p w14:paraId="20D288D1" w14:textId="77777777" w:rsidR="008F5536" w:rsidRPr="002B3E1D" w:rsidRDefault="008F5536" w:rsidP="008F5536">
      <w:pPr>
        <w:spacing w:after="0" w:line="240" w:lineRule="auto"/>
        <w:rPr>
          <w:rFonts w:ascii="Times New Roman" w:eastAsia="Calibri" w:hAnsi="Times New Roman" w:cs="Times New Roman"/>
          <w:sz w:val="32"/>
          <w:szCs w:val="24"/>
          <w:lang w:val="en-US"/>
        </w:rPr>
      </w:pPr>
    </w:p>
    <w:p w14:paraId="47D78AEC" w14:textId="77777777" w:rsidR="008F5536" w:rsidRPr="002B3E1D" w:rsidRDefault="008F5536" w:rsidP="008F5536">
      <w:pPr>
        <w:spacing w:after="0" w:line="240" w:lineRule="auto"/>
        <w:rPr>
          <w:rFonts w:ascii="Times New Roman" w:eastAsia="Calibri" w:hAnsi="Times New Roman" w:cs="Times New Roman"/>
          <w:sz w:val="32"/>
          <w:szCs w:val="24"/>
          <w:lang w:val="en-US"/>
        </w:rPr>
      </w:pPr>
    </w:p>
    <w:p w14:paraId="32F96723" w14:textId="77777777" w:rsidR="008F5536" w:rsidRPr="002B3E1D" w:rsidRDefault="008F5536" w:rsidP="008F5536">
      <w:pPr>
        <w:spacing w:after="0" w:line="240" w:lineRule="auto"/>
        <w:rPr>
          <w:rFonts w:ascii="Times New Roman" w:eastAsia="Calibri" w:hAnsi="Times New Roman" w:cs="Times New Roman"/>
          <w:sz w:val="32"/>
          <w:szCs w:val="24"/>
          <w:lang w:val="en-US"/>
        </w:rPr>
      </w:pPr>
    </w:p>
    <w:p w14:paraId="24F676AB" w14:textId="77777777" w:rsidR="008F5536" w:rsidRPr="002B3E1D" w:rsidRDefault="008F5536" w:rsidP="008F5536">
      <w:pPr>
        <w:spacing w:after="0" w:line="240" w:lineRule="auto"/>
        <w:rPr>
          <w:rFonts w:ascii="Times New Roman" w:eastAsia="Calibri" w:hAnsi="Times New Roman" w:cs="Times New Roman"/>
          <w:sz w:val="24"/>
          <w:szCs w:val="24"/>
          <w:lang w:val="en-US"/>
        </w:rPr>
      </w:pPr>
      <w:r w:rsidRPr="002B3E1D">
        <w:rPr>
          <w:rFonts w:ascii="Times New Roman" w:eastAsia="Calibri" w:hAnsi="Times New Roman" w:cs="Times New Roman"/>
          <w:b/>
          <w:sz w:val="24"/>
          <w:szCs w:val="24"/>
          <w:lang w:val="en-US"/>
        </w:rPr>
        <w:t xml:space="preserve">Table 2: </w:t>
      </w:r>
      <w:r w:rsidRPr="002B3E1D">
        <w:rPr>
          <w:rFonts w:ascii="Times New Roman" w:eastAsia="Calibri" w:hAnsi="Times New Roman" w:cs="Times New Roman"/>
          <w:bCs/>
          <w:sz w:val="24"/>
          <w:szCs w:val="24"/>
          <w:lang w:val="en-US"/>
        </w:rPr>
        <w:t>Construct robustness and descriptive statistics</w:t>
      </w:r>
    </w:p>
    <w:tbl>
      <w:tblPr>
        <w:tblStyle w:val="TableGrid1"/>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9"/>
        <w:gridCol w:w="1473"/>
        <w:gridCol w:w="863"/>
        <w:gridCol w:w="668"/>
        <w:gridCol w:w="668"/>
        <w:gridCol w:w="668"/>
        <w:gridCol w:w="669"/>
        <w:gridCol w:w="667"/>
        <w:gridCol w:w="667"/>
        <w:gridCol w:w="669"/>
        <w:gridCol w:w="667"/>
        <w:gridCol w:w="667"/>
        <w:gridCol w:w="669"/>
      </w:tblGrid>
      <w:tr w:rsidR="008F5536" w:rsidRPr="002B3E1D" w14:paraId="25B2CC97" w14:textId="77777777" w:rsidTr="008F5536">
        <w:tc>
          <w:tcPr>
            <w:tcW w:w="191" w:type="pct"/>
            <w:tcBorders>
              <w:top w:val="single" w:sz="12" w:space="0" w:color="auto"/>
              <w:left w:val="nil"/>
              <w:bottom w:val="single" w:sz="8" w:space="0" w:color="auto"/>
              <w:right w:val="nil"/>
            </w:tcBorders>
            <w:tcMar>
              <w:top w:w="6" w:type="dxa"/>
              <w:left w:w="6" w:type="dxa"/>
              <w:bottom w:w="6" w:type="dxa"/>
              <w:right w:w="6" w:type="dxa"/>
            </w:tcMar>
          </w:tcPr>
          <w:p w14:paraId="1E334681" w14:textId="77777777" w:rsidR="008F5536" w:rsidRPr="002B3E1D" w:rsidRDefault="008F5536" w:rsidP="008F5536">
            <w:pPr>
              <w:rPr>
                <w:rFonts w:ascii="Times New Roman" w:hAnsi="Times New Roman"/>
                <w:sz w:val="20"/>
                <w:szCs w:val="20"/>
                <w:lang w:val="en-US"/>
              </w:rPr>
            </w:pPr>
          </w:p>
        </w:tc>
        <w:tc>
          <w:tcPr>
            <w:tcW w:w="1245" w:type="pct"/>
            <w:gridSpan w:val="2"/>
            <w:tcBorders>
              <w:top w:val="single" w:sz="12" w:space="0" w:color="auto"/>
              <w:left w:val="nil"/>
              <w:bottom w:val="single" w:sz="8" w:space="0" w:color="auto"/>
              <w:right w:val="nil"/>
            </w:tcBorders>
            <w:tcMar>
              <w:top w:w="6" w:type="dxa"/>
              <w:left w:w="6" w:type="dxa"/>
              <w:bottom w:w="6" w:type="dxa"/>
              <w:right w:w="6" w:type="dxa"/>
            </w:tcMar>
          </w:tcPr>
          <w:p w14:paraId="3024882C" w14:textId="77777777" w:rsidR="008F5536" w:rsidRPr="002B3E1D" w:rsidRDefault="008F5536" w:rsidP="008F5536">
            <w:pPr>
              <w:rPr>
                <w:rFonts w:ascii="Times New Roman" w:hAnsi="Times New Roman"/>
                <w:b/>
                <w:bCs/>
                <w:sz w:val="20"/>
                <w:szCs w:val="20"/>
                <w:lang w:val="en-US"/>
              </w:rPr>
            </w:pPr>
          </w:p>
        </w:tc>
        <w:tc>
          <w:tcPr>
            <w:tcW w:w="356" w:type="pct"/>
            <w:tcBorders>
              <w:top w:val="single" w:sz="12" w:space="0" w:color="auto"/>
              <w:left w:val="nil"/>
              <w:bottom w:val="single" w:sz="8" w:space="0" w:color="auto"/>
              <w:right w:val="nil"/>
            </w:tcBorders>
            <w:tcMar>
              <w:top w:w="6" w:type="dxa"/>
              <w:left w:w="6" w:type="dxa"/>
              <w:bottom w:w="6" w:type="dxa"/>
              <w:right w:w="6" w:type="dxa"/>
            </w:tcMar>
          </w:tcPr>
          <w:p w14:paraId="0488DA80" w14:textId="77777777" w:rsidR="008F5536" w:rsidRPr="002B3E1D" w:rsidRDefault="008F5536" w:rsidP="008F5536">
            <w:pPr>
              <w:jc w:val="center"/>
              <w:rPr>
                <w:rFonts w:ascii="Times New Roman" w:hAnsi="Times New Roman"/>
                <w:b/>
                <w:bCs/>
                <w:sz w:val="20"/>
                <w:szCs w:val="20"/>
                <w:lang w:val="en-US"/>
              </w:rPr>
            </w:pPr>
            <w:r w:rsidRPr="002B3E1D">
              <w:rPr>
                <w:rFonts w:ascii="Times New Roman" w:hAnsi="Times New Roman"/>
                <w:b/>
                <w:bCs/>
                <w:sz w:val="20"/>
                <w:szCs w:val="20"/>
                <w:lang w:val="en-US"/>
              </w:rPr>
              <w:t>α</w:t>
            </w:r>
          </w:p>
        </w:tc>
        <w:tc>
          <w:tcPr>
            <w:tcW w:w="356" w:type="pct"/>
            <w:tcBorders>
              <w:top w:val="single" w:sz="12" w:space="0" w:color="auto"/>
              <w:left w:val="nil"/>
              <w:bottom w:val="single" w:sz="8" w:space="0" w:color="auto"/>
              <w:right w:val="nil"/>
            </w:tcBorders>
            <w:tcMar>
              <w:top w:w="6" w:type="dxa"/>
              <w:left w:w="6" w:type="dxa"/>
              <w:bottom w:w="6" w:type="dxa"/>
              <w:right w:w="6" w:type="dxa"/>
            </w:tcMar>
            <w:vAlign w:val="center"/>
            <w:hideMark/>
          </w:tcPr>
          <w:p w14:paraId="1133242A" w14:textId="77777777" w:rsidR="008F5536" w:rsidRPr="002B3E1D" w:rsidRDefault="008F5536" w:rsidP="008F5536">
            <w:pPr>
              <w:jc w:val="center"/>
              <w:rPr>
                <w:rFonts w:ascii="Times New Roman" w:hAnsi="Times New Roman"/>
                <w:b/>
                <w:bCs/>
                <w:sz w:val="20"/>
                <w:szCs w:val="20"/>
                <w:lang w:val="en-US"/>
              </w:rPr>
            </w:pPr>
            <w:r w:rsidRPr="002B3E1D">
              <w:rPr>
                <w:rFonts w:ascii="Times New Roman" w:hAnsi="Times New Roman"/>
                <w:b/>
                <w:bCs/>
                <w:sz w:val="20"/>
                <w:szCs w:val="20"/>
                <w:lang w:val="en-US"/>
              </w:rPr>
              <w:t>CR</w:t>
            </w:r>
          </w:p>
        </w:tc>
        <w:tc>
          <w:tcPr>
            <w:tcW w:w="356" w:type="pct"/>
            <w:tcBorders>
              <w:top w:val="single" w:sz="12" w:space="0" w:color="auto"/>
              <w:left w:val="nil"/>
              <w:bottom w:val="single" w:sz="8" w:space="0" w:color="auto"/>
              <w:right w:val="nil"/>
            </w:tcBorders>
            <w:tcMar>
              <w:top w:w="6" w:type="dxa"/>
              <w:left w:w="6" w:type="dxa"/>
              <w:bottom w:w="6" w:type="dxa"/>
              <w:right w:w="6" w:type="dxa"/>
            </w:tcMar>
            <w:vAlign w:val="center"/>
            <w:hideMark/>
          </w:tcPr>
          <w:p w14:paraId="71FF138E" w14:textId="77777777" w:rsidR="008F5536" w:rsidRPr="002B3E1D" w:rsidRDefault="008F5536" w:rsidP="008F5536">
            <w:pPr>
              <w:jc w:val="center"/>
              <w:rPr>
                <w:rFonts w:ascii="Times New Roman" w:hAnsi="Times New Roman"/>
                <w:b/>
                <w:bCs/>
                <w:sz w:val="20"/>
                <w:szCs w:val="20"/>
                <w:lang w:val="en-US"/>
              </w:rPr>
            </w:pPr>
            <w:r w:rsidRPr="002B3E1D">
              <w:rPr>
                <w:rFonts w:ascii="Times New Roman" w:hAnsi="Times New Roman"/>
                <w:b/>
                <w:bCs/>
                <w:sz w:val="20"/>
                <w:szCs w:val="20"/>
                <w:lang w:val="en-US"/>
              </w:rPr>
              <w:t>AVE</w:t>
            </w:r>
          </w:p>
        </w:tc>
        <w:tc>
          <w:tcPr>
            <w:tcW w:w="357" w:type="pct"/>
            <w:tcBorders>
              <w:top w:val="single" w:sz="12" w:space="0" w:color="auto"/>
              <w:left w:val="nil"/>
              <w:bottom w:val="single" w:sz="8" w:space="0" w:color="auto"/>
              <w:right w:val="nil"/>
            </w:tcBorders>
            <w:tcMar>
              <w:top w:w="6" w:type="dxa"/>
              <w:left w:w="6" w:type="dxa"/>
              <w:bottom w:w="6" w:type="dxa"/>
              <w:right w:w="6" w:type="dxa"/>
            </w:tcMar>
            <w:vAlign w:val="center"/>
            <w:hideMark/>
          </w:tcPr>
          <w:p w14:paraId="619E268B" w14:textId="77777777" w:rsidR="008F5536" w:rsidRPr="002B3E1D" w:rsidRDefault="008F5536" w:rsidP="008F5536">
            <w:pPr>
              <w:tabs>
                <w:tab w:val="decimal" w:pos="142"/>
              </w:tabs>
              <w:jc w:val="center"/>
              <w:rPr>
                <w:rFonts w:ascii="Times New Roman" w:hAnsi="Times New Roman"/>
                <w:b/>
                <w:bCs/>
                <w:sz w:val="20"/>
                <w:szCs w:val="20"/>
                <w:lang w:val="en-US"/>
              </w:rPr>
            </w:pPr>
            <w:r w:rsidRPr="002B3E1D">
              <w:rPr>
                <w:rFonts w:ascii="Times New Roman" w:hAnsi="Times New Roman"/>
                <w:b/>
                <w:bCs/>
                <w:sz w:val="20"/>
                <w:szCs w:val="20"/>
                <w:lang w:val="en-US"/>
              </w:rPr>
              <w:t>X1</w:t>
            </w:r>
          </w:p>
        </w:tc>
        <w:tc>
          <w:tcPr>
            <w:tcW w:w="356" w:type="pct"/>
            <w:tcBorders>
              <w:top w:val="single" w:sz="12" w:space="0" w:color="auto"/>
              <w:left w:val="nil"/>
              <w:bottom w:val="single" w:sz="8" w:space="0" w:color="auto"/>
              <w:right w:val="nil"/>
            </w:tcBorders>
            <w:tcMar>
              <w:top w:w="6" w:type="dxa"/>
              <w:left w:w="6" w:type="dxa"/>
              <w:bottom w:w="6" w:type="dxa"/>
              <w:right w:w="6" w:type="dxa"/>
            </w:tcMar>
            <w:vAlign w:val="center"/>
            <w:hideMark/>
          </w:tcPr>
          <w:p w14:paraId="0B399B5C" w14:textId="77777777" w:rsidR="008F5536" w:rsidRPr="002B3E1D" w:rsidRDefault="008F5536" w:rsidP="008F5536">
            <w:pPr>
              <w:tabs>
                <w:tab w:val="decimal" w:pos="142"/>
              </w:tabs>
              <w:jc w:val="center"/>
              <w:rPr>
                <w:rFonts w:ascii="Times New Roman" w:hAnsi="Times New Roman"/>
                <w:b/>
                <w:bCs/>
                <w:sz w:val="20"/>
                <w:szCs w:val="20"/>
                <w:lang w:val="en-US"/>
              </w:rPr>
            </w:pPr>
            <w:r w:rsidRPr="002B3E1D">
              <w:rPr>
                <w:rFonts w:ascii="Times New Roman" w:hAnsi="Times New Roman"/>
                <w:b/>
                <w:bCs/>
                <w:sz w:val="20"/>
                <w:szCs w:val="20"/>
                <w:lang w:val="en-US"/>
              </w:rPr>
              <w:t>X2</w:t>
            </w:r>
          </w:p>
        </w:tc>
        <w:tc>
          <w:tcPr>
            <w:tcW w:w="356" w:type="pct"/>
            <w:tcBorders>
              <w:top w:val="single" w:sz="12" w:space="0" w:color="auto"/>
              <w:left w:val="nil"/>
              <w:bottom w:val="single" w:sz="8" w:space="0" w:color="auto"/>
              <w:right w:val="nil"/>
            </w:tcBorders>
            <w:tcMar>
              <w:top w:w="6" w:type="dxa"/>
              <w:left w:w="6" w:type="dxa"/>
              <w:bottom w:w="6" w:type="dxa"/>
              <w:right w:w="6" w:type="dxa"/>
            </w:tcMar>
            <w:vAlign w:val="center"/>
            <w:hideMark/>
          </w:tcPr>
          <w:p w14:paraId="3C09CB60" w14:textId="77777777" w:rsidR="008F5536" w:rsidRPr="002B3E1D" w:rsidRDefault="008F5536" w:rsidP="008F5536">
            <w:pPr>
              <w:tabs>
                <w:tab w:val="decimal" w:pos="142"/>
              </w:tabs>
              <w:jc w:val="center"/>
              <w:rPr>
                <w:rFonts w:ascii="Times New Roman" w:hAnsi="Times New Roman"/>
                <w:b/>
                <w:bCs/>
                <w:sz w:val="20"/>
                <w:szCs w:val="20"/>
                <w:lang w:val="en-US"/>
              </w:rPr>
            </w:pPr>
            <w:r w:rsidRPr="002B3E1D">
              <w:rPr>
                <w:rFonts w:ascii="Times New Roman" w:hAnsi="Times New Roman"/>
                <w:b/>
                <w:bCs/>
                <w:sz w:val="20"/>
                <w:szCs w:val="20"/>
                <w:lang w:val="en-US"/>
              </w:rPr>
              <w:t>X3</w:t>
            </w:r>
          </w:p>
        </w:tc>
        <w:tc>
          <w:tcPr>
            <w:tcW w:w="357" w:type="pct"/>
            <w:tcBorders>
              <w:top w:val="single" w:sz="12" w:space="0" w:color="auto"/>
              <w:left w:val="nil"/>
              <w:bottom w:val="single" w:sz="8" w:space="0" w:color="auto"/>
              <w:right w:val="nil"/>
            </w:tcBorders>
            <w:tcMar>
              <w:top w:w="6" w:type="dxa"/>
              <w:left w:w="6" w:type="dxa"/>
              <w:bottom w:w="6" w:type="dxa"/>
              <w:right w:w="6" w:type="dxa"/>
            </w:tcMar>
            <w:vAlign w:val="center"/>
            <w:hideMark/>
          </w:tcPr>
          <w:p w14:paraId="5ECBE921" w14:textId="77777777" w:rsidR="008F5536" w:rsidRPr="002B3E1D" w:rsidRDefault="008F5536" w:rsidP="008F5536">
            <w:pPr>
              <w:tabs>
                <w:tab w:val="decimal" w:pos="142"/>
              </w:tabs>
              <w:jc w:val="center"/>
              <w:rPr>
                <w:rFonts w:ascii="Times New Roman" w:hAnsi="Times New Roman"/>
                <w:b/>
                <w:bCs/>
                <w:sz w:val="20"/>
                <w:szCs w:val="20"/>
                <w:lang w:val="en-US"/>
              </w:rPr>
            </w:pPr>
            <w:r w:rsidRPr="002B3E1D">
              <w:rPr>
                <w:rFonts w:ascii="Times New Roman" w:hAnsi="Times New Roman"/>
                <w:b/>
                <w:bCs/>
                <w:sz w:val="20"/>
                <w:szCs w:val="20"/>
                <w:lang w:val="en-US"/>
              </w:rPr>
              <w:t>X4</w:t>
            </w:r>
          </w:p>
        </w:tc>
        <w:tc>
          <w:tcPr>
            <w:tcW w:w="356" w:type="pct"/>
            <w:tcBorders>
              <w:top w:val="single" w:sz="12" w:space="0" w:color="auto"/>
              <w:left w:val="nil"/>
              <w:bottom w:val="single" w:sz="8" w:space="0" w:color="auto"/>
              <w:right w:val="nil"/>
            </w:tcBorders>
            <w:tcMar>
              <w:top w:w="6" w:type="dxa"/>
              <w:left w:w="6" w:type="dxa"/>
              <w:bottom w:w="6" w:type="dxa"/>
              <w:right w:w="6" w:type="dxa"/>
            </w:tcMar>
            <w:vAlign w:val="center"/>
            <w:hideMark/>
          </w:tcPr>
          <w:p w14:paraId="4FBB8D39" w14:textId="77777777" w:rsidR="008F5536" w:rsidRPr="002B3E1D" w:rsidRDefault="008F5536" w:rsidP="008F5536">
            <w:pPr>
              <w:tabs>
                <w:tab w:val="decimal" w:pos="142"/>
              </w:tabs>
              <w:jc w:val="center"/>
              <w:rPr>
                <w:rFonts w:ascii="Times New Roman" w:hAnsi="Times New Roman"/>
                <w:b/>
                <w:bCs/>
                <w:sz w:val="20"/>
                <w:szCs w:val="20"/>
                <w:lang w:val="en-US"/>
              </w:rPr>
            </w:pPr>
            <w:r w:rsidRPr="002B3E1D">
              <w:rPr>
                <w:rFonts w:ascii="Times New Roman" w:hAnsi="Times New Roman"/>
                <w:b/>
                <w:bCs/>
                <w:sz w:val="20"/>
                <w:szCs w:val="20"/>
                <w:lang w:val="en-US"/>
              </w:rPr>
              <w:t>X5</w:t>
            </w:r>
          </w:p>
        </w:tc>
        <w:tc>
          <w:tcPr>
            <w:tcW w:w="356" w:type="pct"/>
            <w:tcBorders>
              <w:top w:val="single" w:sz="12" w:space="0" w:color="auto"/>
              <w:left w:val="nil"/>
              <w:bottom w:val="single" w:sz="8" w:space="0" w:color="auto"/>
              <w:right w:val="nil"/>
            </w:tcBorders>
            <w:tcMar>
              <w:top w:w="6" w:type="dxa"/>
              <w:left w:w="6" w:type="dxa"/>
              <w:bottom w:w="6" w:type="dxa"/>
              <w:right w:w="6" w:type="dxa"/>
            </w:tcMar>
            <w:vAlign w:val="center"/>
            <w:hideMark/>
          </w:tcPr>
          <w:p w14:paraId="6925B5AC" w14:textId="77777777" w:rsidR="008F5536" w:rsidRPr="002B3E1D" w:rsidRDefault="008F5536" w:rsidP="008F5536">
            <w:pPr>
              <w:tabs>
                <w:tab w:val="decimal" w:pos="142"/>
              </w:tabs>
              <w:jc w:val="center"/>
              <w:rPr>
                <w:rFonts w:ascii="Times New Roman" w:hAnsi="Times New Roman"/>
                <w:b/>
                <w:bCs/>
                <w:sz w:val="20"/>
                <w:szCs w:val="20"/>
                <w:lang w:val="en-US"/>
              </w:rPr>
            </w:pPr>
            <w:r w:rsidRPr="002B3E1D">
              <w:rPr>
                <w:rFonts w:ascii="Times New Roman" w:hAnsi="Times New Roman"/>
                <w:b/>
                <w:bCs/>
                <w:sz w:val="20"/>
                <w:szCs w:val="20"/>
                <w:lang w:val="en-US"/>
              </w:rPr>
              <w:t>X6</w:t>
            </w:r>
          </w:p>
        </w:tc>
        <w:tc>
          <w:tcPr>
            <w:tcW w:w="357" w:type="pct"/>
            <w:tcBorders>
              <w:top w:val="single" w:sz="12" w:space="0" w:color="auto"/>
              <w:left w:val="nil"/>
              <w:bottom w:val="single" w:sz="8" w:space="0" w:color="auto"/>
              <w:right w:val="nil"/>
            </w:tcBorders>
            <w:tcMar>
              <w:top w:w="6" w:type="dxa"/>
              <w:left w:w="6" w:type="dxa"/>
              <w:bottom w:w="6" w:type="dxa"/>
              <w:right w:w="6" w:type="dxa"/>
            </w:tcMar>
            <w:vAlign w:val="center"/>
            <w:hideMark/>
          </w:tcPr>
          <w:p w14:paraId="66B76BE3" w14:textId="77777777" w:rsidR="008F5536" w:rsidRPr="002B3E1D" w:rsidRDefault="008F5536" w:rsidP="008F5536">
            <w:pPr>
              <w:tabs>
                <w:tab w:val="decimal" w:pos="142"/>
              </w:tabs>
              <w:jc w:val="center"/>
              <w:rPr>
                <w:rFonts w:ascii="Times New Roman" w:hAnsi="Times New Roman"/>
                <w:b/>
                <w:bCs/>
                <w:sz w:val="20"/>
                <w:szCs w:val="20"/>
                <w:lang w:val="en-US"/>
              </w:rPr>
            </w:pPr>
            <w:r w:rsidRPr="002B3E1D">
              <w:rPr>
                <w:rFonts w:ascii="Times New Roman" w:hAnsi="Times New Roman"/>
                <w:b/>
                <w:bCs/>
                <w:sz w:val="20"/>
                <w:szCs w:val="20"/>
                <w:lang w:val="en-US"/>
              </w:rPr>
              <w:t>X7</w:t>
            </w:r>
          </w:p>
        </w:tc>
      </w:tr>
      <w:tr w:rsidR="008F5536" w:rsidRPr="002B3E1D" w14:paraId="19397D1C" w14:textId="77777777" w:rsidTr="008F5536">
        <w:tc>
          <w:tcPr>
            <w:tcW w:w="191" w:type="pct"/>
            <w:tcBorders>
              <w:top w:val="single" w:sz="8" w:space="0" w:color="auto"/>
              <w:left w:val="nil"/>
              <w:bottom w:val="nil"/>
              <w:right w:val="nil"/>
            </w:tcBorders>
            <w:tcMar>
              <w:top w:w="6" w:type="dxa"/>
              <w:left w:w="6" w:type="dxa"/>
              <w:bottom w:w="6" w:type="dxa"/>
              <w:right w:w="6" w:type="dxa"/>
            </w:tcMar>
            <w:hideMark/>
          </w:tcPr>
          <w:p w14:paraId="575F90A0" w14:textId="77777777" w:rsidR="008F5536" w:rsidRPr="002B3E1D" w:rsidRDefault="008F5536" w:rsidP="008F5536">
            <w:pPr>
              <w:rPr>
                <w:rFonts w:ascii="Times New Roman" w:hAnsi="Times New Roman"/>
                <w:b/>
                <w:sz w:val="20"/>
                <w:szCs w:val="20"/>
                <w:lang w:val="en-US"/>
              </w:rPr>
            </w:pPr>
            <w:r w:rsidRPr="002B3E1D">
              <w:rPr>
                <w:rFonts w:ascii="Times New Roman" w:hAnsi="Times New Roman"/>
                <w:b/>
                <w:sz w:val="20"/>
                <w:szCs w:val="20"/>
                <w:lang w:val="en-US"/>
              </w:rPr>
              <w:t>X1</w:t>
            </w:r>
          </w:p>
        </w:tc>
        <w:tc>
          <w:tcPr>
            <w:tcW w:w="1245" w:type="pct"/>
            <w:gridSpan w:val="2"/>
            <w:tcBorders>
              <w:top w:val="single" w:sz="8" w:space="0" w:color="auto"/>
              <w:left w:val="nil"/>
              <w:bottom w:val="nil"/>
              <w:right w:val="nil"/>
            </w:tcBorders>
            <w:tcMar>
              <w:top w:w="6" w:type="dxa"/>
              <w:left w:w="6" w:type="dxa"/>
              <w:bottom w:w="6" w:type="dxa"/>
              <w:right w:w="6" w:type="dxa"/>
            </w:tcMar>
            <w:hideMark/>
          </w:tcPr>
          <w:p w14:paraId="083C26D1" w14:textId="77777777" w:rsidR="008F5536" w:rsidRPr="002B3E1D" w:rsidRDefault="008F5536" w:rsidP="008F5536">
            <w:pPr>
              <w:rPr>
                <w:rFonts w:ascii="Times New Roman" w:hAnsi="Times New Roman"/>
                <w:sz w:val="20"/>
                <w:szCs w:val="20"/>
                <w:lang w:val="en-US"/>
              </w:rPr>
            </w:pPr>
            <w:r w:rsidRPr="002B3E1D">
              <w:rPr>
                <w:rFonts w:ascii="Times New Roman" w:hAnsi="Times New Roman"/>
                <w:bCs/>
                <w:sz w:val="20"/>
                <w:szCs w:val="20"/>
                <w:lang w:val="en-US"/>
              </w:rPr>
              <w:t>Knowledge Sharing</w:t>
            </w:r>
          </w:p>
        </w:tc>
        <w:tc>
          <w:tcPr>
            <w:tcW w:w="356" w:type="pct"/>
            <w:tcBorders>
              <w:top w:val="single" w:sz="8" w:space="0" w:color="auto"/>
              <w:left w:val="nil"/>
              <w:bottom w:val="nil"/>
              <w:right w:val="nil"/>
            </w:tcBorders>
            <w:tcMar>
              <w:top w:w="6" w:type="dxa"/>
              <w:left w:w="6" w:type="dxa"/>
              <w:bottom w:w="6" w:type="dxa"/>
              <w:right w:w="6" w:type="dxa"/>
            </w:tcMar>
          </w:tcPr>
          <w:p w14:paraId="06A9C77E" w14:textId="77777777" w:rsidR="008F5536" w:rsidRPr="002B3E1D" w:rsidRDefault="008F5536" w:rsidP="008F5536">
            <w:pPr>
              <w:jc w:val="center"/>
              <w:rPr>
                <w:rFonts w:ascii="Times New Roman" w:hAnsi="Times New Roman"/>
                <w:sz w:val="20"/>
                <w:szCs w:val="20"/>
                <w:lang w:val="en-US"/>
              </w:rPr>
            </w:pPr>
            <w:r w:rsidRPr="002B3E1D">
              <w:rPr>
                <w:rFonts w:ascii="Times New Roman" w:hAnsi="Times New Roman"/>
                <w:sz w:val="20"/>
                <w:szCs w:val="20"/>
                <w:lang w:val="en-US"/>
              </w:rPr>
              <w:t>.93</w:t>
            </w:r>
          </w:p>
        </w:tc>
        <w:tc>
          <w:tcPr>
            <w:tcW w:w="356" w:type="pct"/>
            <w:tcBorders>
              <w:top w:val="single" w:sz="8" w:space="0" w:color="auto"/>
              <w:left w:val="nil"/>
              <w:bottom w:val="nil"/>
              <w:right w:val="nil"/>
            </w:tcBorders>
            <w:tcMar>
              <w:top w:w="6" w:type="dxa"/>
              <w:left w:w="6" w:type="dxa"/>
              <w:bottom w:w="6" w:type="dxa"/>
              <w:right w:w="6" w:type="dxa"/>
            </w:tcMar>
            <w:vAlign w:val="bottom"/>
            <w:hideMark/>
          </w:tcPr>
          <w:p w14:paraId="3A56DCA7" w14:textId="77777777" w:rsidR="008F5536" w:rsidRPr="002B3E1D" w:rsidRDefault="008F5536" w:rsidP="008F5536">
            <w:pPr>
              <w:jc w:val="center"/>
              <w:rPr>
                <w:rFonts w:ascii="Times New Roman" w:hAnsi="Times New Roman"/>
                <w:sz w:val="20"/>
                <w:szCs w:val="20"/>
                <w:lang w:val="en-US"/>
              </w:rPr>
            </w:pPr>
            <w:r w:rsidRPr="002B3E1D">
              <w:rPr>
                <w:rFonts w:ascii="Times New Roman" w:hAnsi="Times New Roman"/>
                <w:sz w:val="20"/>
                <w:szCs w:val="20"/>
                <w:lang w:val="en-US"/>
              </w:rPr>
              <w:t>.93</w:t>
            </w:r>
          </w:p>
        </w:tc>
        <w:tc>
          <w:tcPr>
            <w:tcW w:w="356" w:type="pct"/>
            <w:tcBorders>
              <w:top w:val="single" w:sz="8" w:space="0" w:color="auto"/>
              <w:left w:val="nil"/>
              <w:bottom w:val="nil"/>
              <w:right w:val="nil"/>
            </w:tcBorders>
            <w:tcMar>
              <w:top w:w="6" w:type="dxa"/>
              <w:left w:w="6" w:type="dxa"/>
              <w:bottom w:w="6" w:type="dxa"/>
              <w:right w:w="6" w:type="dxa"/>
            </w:tcMar>
            <w:vAlign w:val="bottom"/>
            <w:hideMark/>
          </w:tcPr>
          <w:p w14:paraId="315BCF21" w14:textId="77777777" w:rsidR="008F5536" w:rsidRPr="002B3E1D" w:rsidRDefault="008F5536" w:rsidP="008F5536">
            <w:pPr>
              <w:jc w:val="center"/>
              <w:rPr>
                <w:rFonts w:ascii="Times New Roman" w:hAnsi="Times New Roman"/>
                <w:sz w:val="20"/>
                <w:szCs w:val="20"/>
                <w:lang w:val="en-US"/>
              </w:rPr>
            </w:pPr>
            <w:r w:rsidRPr="002B3E1D">
              <w:rPr>
                <w:rFonts w:ascii="Times New Roman" w:hAnsi="Times New Roman"/>
                <w:sz w:val="20"/>
                <w:szCs w:val="20"/>
                <w:lang w:val="en-US"/>
              </w:rPr>
              <w:t>.70</w:t>
            </w:r>
          </w:p>
        </w:tc>
        <w:tc>
          <w:tcPr>
            <w:tcW w:w="357" w:type="pct"/>
            <w:tcBorders>
              <w:top w:val="single" w:sz="8" w:space="0" w:color="auto"/>
              <w:left w:val="nil"/>
              <w:bottom w:val="nil"/>
              <w:right w:val="nil"/>
            </w:tcBorders>
            <w:tcMar>
              <w:top w:w="6" w:type="dxa"/>
              <w:left w:w="6" w:type="dxa"/>
              <w:bottom w:w="6" w:type="dxa"/>
              <w:right w:w="6" w:type="dxa"/>
            </w:tcMar>
            <w:vAlign w:val="bottom"/>
            <w:hideMark/>
          </w:tcPr>
          <w:p w14:paraId="2A260460" w14:textId="77777777" w:rsidR="008F5536" w:rsidRPr="002B3E1D" w:rsidRDefault="008F5536" w:rsidP="008F5536">
            <w:pPr>
              <w:tabs>
                <w:tab w:val="decimal" w:pos="142"/>
              </w:tabs>
              <w:rPr>
                <w:rFonts w:ascii="Times New Roman" w:hAnsi="Times New Roman"/>
                <w:i/>
                <w:sz w:val="20"/>
                <w:szCs w:val="20"/>
                <w:lang w:val="en-US"/>
              </w:rPr>
            </w:pPr>
            <w:r w:rsidRPr="002B3E1D">
              <w:rPr>
                <w:rFonts w:ascii="Times New Roman" w:hAnsi="Times New Roman"/>
                <w:i/>
                <w:sz w:val="20"/>
                <w:szCs w:val="20"/>
                <w:lang w:val="en-US"/>
              </w:rPr>
              <w:t>.84</w:t>
            </w:r>
            <w:r w:rsidRPr="002B3E1D">
              <w:rPr>
                <w:rFonts w:ascii="Times New Roman" w:hAnsi="Times New Roman"/>
                <w:i/>
                <w:sz w:val="20"/>
                <w:szCs w:val="20"/>
                <w:vertAlign w:val="superscript"/>
                <w:lang w:val="en-US"/>
              </w:rPr>
              <w:t>a</w:t>
            </w:r>
          </w:p>
        </w:tc>
        <w:tc>
          <w:tcPr>
            <w:tcW w:w="356" w:type="pct"/>
            <w:tcBorders>
              <w:top w:val="single" w:sz="8" w:space="0" w:color="auto"/>
              <w:left w:val="nil"/>
              <w:bottom w:val="nil"/>
              <w:right w:val="nil"/>
            </w:tcBorders>
            <w:tcMar>
              <w:top w:w="6" w:type="dxa"/>
              <w:left w:w="6" w:type="dxa"/>
              <w:bottom w:w="6" w:type="dxa"/>
              <w:right w:w="6" w:type="dxa"/>
            </w:tcMar>
            <w:vAlign w:val="bottom"/>
          </w:tcPr>
          <w:p w14:paraId="0F82931F" w14:textId="77777777" w:rsidR="008F5536" w:rsidRPr="002B3E1D" w:rsidRDefault="008F5536" w:rsidP="008F5536">
            <w:pPr>
              <w:tabs>
                <w:tab w:val="decimal" w:pos="142"/>
              </w:tabs>
              <w:rPr>
                <w:rFonts w:ascii="Times New Roman" w:hAnsi="Times New Roman"/>
                <w:sz w:val="20"/>
                <w:szCs w:val="20"/>
                <w:lang w:val="en-US"/>
              </w:rPr>
            </w:pPr>
          </w:p>
        </w:tc>
        <w:tc>
          <w:tcPr>
            <w:tcW w:w="356" w:type="pct"/>
            <w:tcBorders>
              <w:top w:val="single" w:sz="8" w:space="0" w:color="auto"/>
              <w:left w:val="nil"/>
              <w:bottom w:val="nil"/>
              <w:right w:val="nil"/>
            </w:tcBorders>
            <w:tcMar>
              <w:top w:w="6" w:type="dxa"/>
              <w:left w:w="6" w:type="dxa"/>
              <w:bottom w:w="6" w:type="dxa"/>
              <w:right w:w="6" w:type="dxa"/>
            </w:tcMar>
            <w:vAlign w:val="bottom"/>
          </w:tcPr>
          <w:p w14:paraId="1F52C13D" w14:textId="77777777" w:rsidR="008F5536" w:rsidRPr="002B3E1D" w:rsidRDefault="008F5536" w:rsidP="008F5536">
            <w:pPr>
              <w:tabs>
                <w:tab w:val="decimal" w:pos="142"/>
              </w:tabs>
              <w:rPr>
                <w:rFonts w:ascii="Times New Roman" w:hAnsi="Times New Roman"/>
                <w:sz w:val="20"/>
                <w:szCs w:val="20"/>
                <w:lang w:val="en-US"/>
              </w:rPr>
            </w:pPr>
          </w:p>
        </w:tc>
        <w:tc>
          <w:tcPr>
            <w:tcW w:w="357" w:type="pct"/>
            <w:tcBorders>
              <w:top w:val="single" w:sz="8" w:space="0" w:color="auto"/>
              <w:left w:val="nil"/>
              <w:bottom w:val="nil"/>
              <w:right w:val="nil"/>
            </w:tcBorders>
            <w:tcMar>
              <w:top w:w="6" w:type="dxa"/>
              <w:left w:w="6" w:type="dxa"/>
              <w:bottom w:w="6" w:type="dxa"/>
              <w:right w:w="6" w:type="dxa"/>
            </w:tcMar>
            <w:vAlign w:val="bottom"/>
          </w:tcPr>
          <w:p w14:paraId="44CC04BF" w14:textId="77777777" w:rsidR="008F5536" w:rsidRPr="002B3E1D" w:rsidRDefault="008F5536" w:rsidP="008F5536">
            <w:pPr>
              <w:tabs>
                <w:tab w:val="decimal" w:pos="142"/>
              </w:tabs>
              <w:rPr>
                <w:rFonts w:ascii="Times New Roman" w:hAnsi="Times New Roman"/>
                <w:sz w:val="20"/>
                <w:szCs w:val="20"/>
                <w:lang w:val="en-US"/>
              </w:rPr>
            </w:pPr>
          </w:p>
        </w:tc>
        <w:tc>
          <w:tcPr>
            <w:tcW w:w="356" w:type="pct"/>
            <w:tcBorders>
              <w:top w:val="single" w:sz="8" w:space="0" w:color="auto"/>
              <w:left w:val="nil"/>
              <w:bottom w:val="nil"/>
              <w:right w:val="nil"/>
            </w:tcBorders>
            <w:tcMar>
              <w:top w:w="6" w:type="dxa"/>
              <w:left w:w="6" w:type="dxa"/>
              <w:bottom w:w="6" w:type="dxa"/>
              <w:right w:w="6" w:type="dxa"/>
            </w:tcMar>
            <w:vAlign w:val="bottom"/>
          </w:tcPr>
          <w:p w14:paraId="61DEE714" w14:textId="77777777" w:rsidR="008F5536" w:rsidRPr="002B3E1D" w:rsidRDefault="008F5536" w:rsidP="008F5536">
            <w:pPr>
              <w:tabs>
                <w:tab w:val="decimal" w:pos="142"/>
              </w:tabs>
              <w:rPr>
                <w:rFonts w:ascii="Times New Roman" w:hAnsi="Times New Roman"/>
                <w:sz w:val="20"/>
                <w:szCs w:val="20"/>
                <w:lang w:val="en-US"/>
              </w:rPr>
            </w:pPr>
          </w:p>
        </w:tc>
        <w:tc>
          <w:tcPr>
            <w:tcW w:w="356" w:type="pct"/>
            <w:tcBorders>
              <w:top w:val="single" w:sz="8" w:space="0" w:color="auto"/>
              <w:left w:val="nil"/>
              <w:bottom w:val="nil"/>
              <w:right w:val="nil"/>
            </w:tcBorders>
            <w:tcMar>
              <w:top w:w="6" w:type="dxa"/>
              <w:left w:w="6" w:type="dxa"/>
              <w:bottom w:w="6" w:type="dxa"/>
              <w:right w:w="6" w:type="dxa"/>
            </w:tcMar>
            <w:vAlign w:val="bottom"/>
          </w:tcPr>
          <w:p w14:paraId="3F53E659" w14:textId="77777777" w:rsidR="008F5536" w:rsidRPr="002B3E1D" w:rsidRDefault="008F5536" w:rsidP="008F5536">
            <w:pPr>
              <w:tabs>
                <w:tab w:val="decimal" w:pos="142"/>
              </w:tabs>
              <w:rPr>
                <w:rFonts w:ascii="Times New Roman" w:hAnsi="Times New Roman"/>
                <w:sz w:val="20"/>
                <w:szCs w:val="20"/>
                <w:lang w:val="en-US"/>
              </w:rPr>
            </w:pPr>
          </w:p>
        </w:tc>
        <w:tc>
          <w:tcPr>
            <w:tcW w:w="357" w:type="pct"/>
            <w:tcBorders>
              <w:top w:val="single" w:sz="8" w:space="0" w:color="auto"/>
              <w:left w:val="nil"/>
              <w:bottom w:val="nil"/>
              <w:right w:val="nil"/>
            </w:tcBorders>
            <w:tcMar>
              <w:top w:w="6" w:type="dxa"/>
              <w:left w:w="6" w:type="dxa"/>
              <w:bottom w:w="6" w:type="dxa"/>
              <w:right w:w="6" w:type="dxa"/>
            </w:tcMar>
            <w:vAlign w:val="bottom"/>
          </w:tcPr>
          <w:p w14:paraId="10B8B662" w14:textId="77777777" w:rsidR="008F5536" w:rsidRPr="002B3E1D" w:rsidRDefault="008F5536" w:rsidP="008F5536">
            <w:pPr>
              <w:tabs>
                <w:tab w:val="decimal" w:pos="142"/>
              </w:tabs>
              <w:rPr>
                <w:rFonts w:ascii="Times New Roman" w:hAnsi="Times New Roman"/>
                <w:sz w:val="20"/>
                <w:szCs w:val="20"/>
                <w:lang w:val="en-US"/>
              </w:rPr>
            </w:pPr>
          </w:p>
        </w:tc>
      </w:tr>
      <w:tr w:rsidR="008F5536" w:rsidRPr="002B3E1D" w14:paraId="4CDEFDCA" w14:textId="77777777" w:rsidTr="008F5536">
        <w:tc>
          <w:tcPr>
            <w:tcW w:w="191" w:type="pct"/>
            <w:tcBorders>
              <w:top w:val="nil"/>
              <w:left w:val="nil"/>
              <w:bottom w:val="nil"/>
              <w:right w:val="nil"/>
            </w:tcBorders>
            <w:tcMar>
              <w:top w:w="6" w:type="dxa"/>
              <w:left w:w="6" w:type="dxa"/>
              <w:bottom w:w="6" w:type="dxa"/>
              <w:right w:w="6" w:type="dxa"/>
            </w:tcMar>
            <w:hideMark/>
          </w:tcPr>
          <w:p w14:paraId="4D8154CB" w14:textId="77777777" w:rsidR="008F5536" w:rsidRPr="002B3E1D" w:rsidRDefault="008F5536" w:rsidP="008F5536">
            <w:pPr>
              <w:rPr>
                <w:rFonts w:ascii="Times New Roman" w:hAnsi="Times New Roman"/>
                <w:b/>
                <w:sz w:val="20"/>
                <w:szCs w:val="20"/>
                <w:lang w:val="en-US"/>
              </w:rPr>
            </w:pPr>
            <w:r w:rsidRPr="002B3E1D">
              <w:rPr>
                <w:rFonts w:ascii="Times New Roman" w:hAnsi="Times New Roman"/>
                <w:b/>
                <w:sz w:val="20"/>
                <w:szCs w:val="20"/>
                <w:lang w:val="en-US"/>
              </w:rPr>
              <w:t>X2</w:t>
            </w:r>
          </w:p>
        </w:tc>
        <w:tc>
          <w:tcPr>
            <w:tcW w:w="1245" w:type="pct"/>
            <w:gridSpan w:val="2"/>
            <w:tcBorders>
              <w:top w:val="nil"/>
              <w:left w:val="nil"/>
              <w:bottom w:val="nil"/>
              <w:right w:val="nil"/>
            </w:tcBorders>
            <w:tcMar>
              <w:top w:w="6" w:type="dxa"/>
              <w:left w:w="6" w:type="dxa"/>
              <w:bottom w:w="6" w:type="dxa"/>
              <w:right w:w="6" w:type="dxa"/>
            </w:tcMar>
            <w:hideMark/>
          </w:tcPr>
          <w:p w14:paraId="759EBD5E" w14:textId="77777777" w:rsidR="008F5536" w:rsidRPr="002B3E1D" w:rsidRDefault="008F5536" w:rsidP="008F5536">
            <w:pPr>
              <w:rPr>
                <w:rFonts w:ascii="Times New Roman" w:hAnsi="Times New Roman"/>
                <w:sz w:val="20"/>
                <w:szCs w:val="20"/>
                <w:lang w:val="en-US"/>
              </w:rPr>
            </w:pPr>
            <w:r w:rsidRPr="002B3E1D">
              <w:rPr>
                <w:rFonts w:ascii="Times New Roman" w:hAnsi="Times New Roman"/>
                <w:bCs/>
                <w:sz w:val="20"/>
                <w:szCs w:val="20"/>
                <w:lang w:val="en-US"/>
              </w:rPr>
              <w:t>Use of Target's Capabilities</w:t>
            </w:r>
          </w:p>
        </w:tc>
        <w:tc>
          <w:tcPr>
            <w:tcW w:w="356" w:type="pct"/>
            <w:tcBorders>
              <w:top w:val="nil"/>
              <w:left w:val="nil"/>
              <w:bottom w:val="nil"/>
              <w:right w:val="nil"/>
            </w:tcBorders>
            <w:tcMar>
              <w:top w:w="6" w:type="dxa"/>
              <w:left w:w="6" w:type="dxa"/>
              <w:bottom w:w="6" w:type="dxa"/>
              <w:right w:w="6" w:type="dxa"/>
            </w:tcMar>
          </w:tcPr>
          <w:p w14:paraId="65D3C63E" w14:textId="77777777" w:rsidR="008F5536" w:rsidRPr="002B3E1D" w:rsidRDefault="008F5536" w:rsidP="008F5536">
            <w:pPr>
              <w:jc w:val="center"/>
              <w:rPr>
                <w:rFonts w:ascii="Times New Roman" w:hAnsi="Times New Roman"/>
                <w:sz w:val="20"/>
                <w:szCs w:val="20"/>
                <w:lang w:val="en-US"/>
              </w:rPr>
            </w:pPr>
            <w:r w:rsidRPr="002B3E1D">
              <w:rPr>
                <w:rFonts w:ascii="Times New Roman" w:hAnsi="Times New Roman"/>
                <w:sz w:val="20"/>
                <w:szCs w:val="20"/>
                <w:lang w:val="en-US"/>
              </w:rPr>
              <w:t>.79</w:t>
            </w:r>
          </w:p>
        </w:tc>
        <w:tc>
          <w:tcPr>
            <w:tcW w:w="356" w:type="pct"/>
            <w:tcBorders>
              <w:top w:val="nil"/>
              <w:left w:val="nil"/>
              <w:bottom w:val="nil"/>
              <w:right w:val="nil"/>
            </w:tcBorders>
            <w:tcMar>
              <w:top w:w="6" w:type="dxa"/>
              <w:left w:w="6" w:type="dxa"/>
              <w:bottom w:w="6" w:type="dxa"/>
              <w:right w:w="6" w:type="dxa"/>
            </w:tcMar>
            <w:vAlign w:val="bottom"/>
            <w:hideMark/>
          </w:tcPr>
          <w:p w14:paraId="0869258C" w14:textId="77777777" w:rsidR="008F5536" w:rsidRPr="002B3E1D" w:rsidRDefault="008F5536" w:rsidP="008F5536">
            <w:pPr>
              <w:jc w:val="center"/>
              <w:rPr>
                <w:rFonts w:ascii="Times New Roman" w:hAnsi="Times New Roman"/>
                <w:sz w:val="20"/>
                <w:szCs w:val="20"/>
                <w:lang w:val="en-US"/>
              </w:rPr>
            </w:pPr>
            <w:r w:rsidRPr="002B3E1D">
              <w:rPr>
                <w:rFonts w:ascii="Times New Roman" w:hAnsi="Times New Roman"/>
                <w:sz w:val="20"/>
                <w:szCs w:val="20"/>
                <w:lang w:val="en-US"/>
              </w:rPr>
              <w:t>.81</w:t>
            </w:r>
          </w:p>
        </w:tc>
        <w:tc>
          <w:tcPr>
            <w:tcW w:w="356" w:type="pct"/>
            <w:tcBorders>
              <w:top w:val="nil"/>
              <w:left w:val="nil"/>
              <w:bottom w:val="nil"/>
              <w:right w:val="nil"/>
            </w:tcBorders>
            <w:tcMar>
              <w:top w:w="6" w:type="dxa"/>
              <w:left w:w="6" w:type="dxa"/>
              <w:bottom w:w="6" w:type="dxa"/>
              <w:right w:w="6" w:type="dxa"/>
            </w:tcMar>
            <w:vAlign w:val="bottom"/>
            <w:hideMark/>
          </w:tcPr>
          <w:p w14:paraId="44D22A59" w14:textId="77777777" w:rsidR="008F5536" w:rsidRPr="002B3E1D" w:rsidRDefault="008F5536" w:rsidP="008F5536">
            <w:pPr>
              <w:jc w:val="center"/>
              <w:rPr>
                <w:rFonts w:ascii="Times New Roman" w:hAnsi="Times New Roman"/>
                <w:sz w:val="20"/>
                <w:szCs w:val="20"/>
                <w:lang w:val="en-US"/>
              </w:rPr>
            </w:pPr>
            <w:r w:rsidRPr="002B3E1D">
              <w:rPr>
                <w:rFonts w:ascii="Times New Roman" w:hAnsi="Times New Roman"/>
                <w:sz w:val="20"/>
                <w:szCs w:val="20"/>
                <w:lang w:val="en-US"/>
              </w:rPr>
              <w:t>.60</w:t>
            </w:r>
          </w:p>
        </w:tc>
        <w:tc>
          <w:tcPr>
            <w:tcW w:w="357" w:type="pct"/>
            <w:tcBorders>
              <w:top w:val="nil"/>
              <w:left w:val="nil"/>
              <w:bottom w:val="nil"/>
              <w:right w:val="nil"/>
            </w:tcBorders>
            <w:tcMar>
              <w:top w:w="6" w:type="dxa"/>
              <w:left w:w="6" w:type="dxa"/>
              <w:bottom w:w="6" w:type="dxa"/>
              <w:right w:w="6" w:type="dxa"/>
            </w:tcMar>
            <w:vAlign w:val="bottom"/>
            <w:hideMark/>
          </w:tcPr>
          <w:p w14:paraId="4DAF84E7" w14:textId="77777777" w:rsidR="008F5536" w:rsidRPr="002B3E1D" w:rsidRDefault="008F5536" w:rsidP="008F5536">
            <w:pPr>
              <w:tabs>
                <w:tab w:val="decimal" w:pos="142"/>
              </w:tabs>
              <w:rPr>
                <w:rFonts w:ascii="Times New Roman" w:hAnsi="Times New Roman"/>
                <w:sz w:val="20"/>
                <w:szCs w:val="20"/>
                <w:lang w:val="en-US"/>
              </w:rPr>
            </w:pPr>
            <w:r w:rsidRPr="002B3E1D">
              <w:rPr>
                <w:rFonts w:ascii="Times New Roman" w:hAnsi="Times New Roman"/>
                <w:sz w:val="20"/>
                <w:szCs w:val="20"/>
                <w:lang w:val="en-US"/>
              </w:rPr>
              <w:t>.37**</w:t>
            </w:r>
          </w:p>
        </w:tc>
        <w:tc>
          <w:tcPr>
            <w:tcW w:w="356" w:type="pct"/>
            <w:tcBorders>
              <w:top w:val="nil"/>
              <w:left w:val="nil"/>
              <w:bottom w:val="nil"/>
              <w:right w:val="nil"/>
            </w:tcBorders>
            <w:tcMar>
              <w:top w:w="6" w:type="dxa"/>
              <w:left w:w="6" w:type="dxa"/>
              <w:bottom w:w="6" w:type="dxa"/>
              <w:right w:w="6" w:type="dxa"/>
            </w:tcMar>
            <w:vAlign w:val="bottom"/>
            <w:hideMark/>
          </w:tcPr>
          <w:p w14:paraId="618A7353" w14:textId="77777777" w:rsidR="008F5536" w:rsidRPr="002B3E1D" w:rsidRDefault="008F5536" w:rsidP="008F5536">
            <w:pPr>
              <w:tabs>
                <w:tab w:val="decimal" w:pos="142"/>
              </w:tabs>
              <w:rPr>
                <w:rFonts w:ascii="Times New Roman" w:hAnsi="Times New Roman"/>
                <w:i/>
                <w:sz w:val="20"/>
                <w:szCs w:val="20"/>
                <w:lang w:val="en-US"/>
              </w:rPr>
            </w:pPr>
            <w:r w:rsidRPr="002B3E1D">
              <w:rPr>
                <w:rFonts w:ascii="Times New Roman" w:hAnsi="Times New Roman"/>
                <w:i/>
                <w:sz w:val="20"/>
                <w:szCs w:val="20"/>
                <w:lang w:val="en-US"/>
              </w:rPr>
              <w:t>.77</w:t>
            </w:r>
          </w:p>
        </w:tc>
        <w:tc>
          <w:tcPr>
            <w:tcW w:w="356" w:type="pct"/>
            <w:tcBorders>
              <w:top w:val="nil"/>
              <w:left w:val="nil"/>
              <w:bottom w:val="nil"/>
              <w:right w:val="nil"/>
            </w:tcBorders>
            <w:tcMar>
              <w:top w:w="6" w:type="dxa"/>
              <w:left w:w="6" w:type="dxa"/>
              <w:bottom w:w="6" w:type="dxa"/>
              <w:right w:w="6" w:type="dxa"/>
            </w:tcMar>
            <w:vAlign w:val="bottom"/>
          </w:tcPr>
          <w:p w14:paraId="17771617" w14:textId="77777777" w:rsidR="008F5536" w:rsidRPr="002B3E1D" w:rsidRDefault="008F5536" w:rsidP="008F5536">
            <w:pPr>
              <w:tabs>
                <w:tab w:val="decimal" w:pos="142"/>
              </w:tabs>
              <w:rPr>
                <w:rFonts w:ascii="Times New Roman" w:hAnsi="Times New Roman"/>
                <w:sz w:val="20"/>
                <w:szCs w:val="20"/>
                <w:lang w:val="en-US"/>
              </w:rPr>
            </w:pPr>
          </w:p>
        </w:tc>
        <w:tc>
          <w:tcPr>
            <w:tcW w:w="357" w:type="pct"/>
            <w:tcBorders>
              <w:top w:val="nil"/>
              <w:left w:val="nil"/>
              <w:bottom w:val="nil"/>
              <w:right w:val="nil"/>
            </w:tcBorders>
            <w:tcMar>
              <w:top w:w="6" w:type="dxa"/>
              <w:left w:w="6" w:type="dxa"/>
              <w:bottom w:w="6" w:type="dxa"/>
              <w:right w:w="6" w:type="dxa"/>
            </w:tcMar>
            <w:vAlign w:val="bottom"/>
          </w:tcPr>
          <w:p w14:paraId="4E972927" w14:textId="77777777" w:rsidR="008F5536" w:rsidRPr="002B3E1D" w:rsidRDefault="008F5536" w:rsidP="008F5536">
            <w:pPr>
              <w:tabs>
                <w:tab w:val="decimal" w:pos="142"/>
              </w:tabs>
              <w:rPr>
                <w:rFonts w:ascii="Times New Roman" w:hAnsi="Times New Roman"/>
                <w:sz w:val="20"/>
                <w:szCs w:val="20"/>
                <w:lang w:val="en-US"/>
              </w:rPr>
            </w:pPr>
          </w:p>
        </w:tc>
        <w:tc>
          <w:tcPr>
            <w:tcW w:w="356" w:type="pct"/>
            <w:tcBorders>
              <w:top w:val="nil"/>
              <w:left w:val="nil"/>
              <w:bottom w:val="nil"/>
              <w:right w:val="nil"/>
            </w:tcBorders>
            <w:tcMar>
              <w:top w:w="6" w:type="dxa"/>
              <w:left w:w="6" w:type="dxa"/>
              <w:bottom w:w="6" w:type="dxa"/>
              <w:right w:w="6" w:type="dxa"/>
            </w:tcMar>
            <w:vAlign w:val="bottom"/>
          </w:tcPr>
          <w:p w14:paraId="18128ADF" w14:textId="77777777" w:rsidR="008F5536" w:rsidRPr="002B3E1D" w:rsidRDefault="008F5536" w:rsidP="008F5536">
            <w:pPr>
              <w:tabs>
                <w:tab w:val="decimal" w:pos="142"/>
              </w:tabs>
              <w:rPr>
                <w:rFonts w:ascii="Times New Roman" w:hAnsi="Times New Roman"/>
                <w:sz w:val="20"/>
                <w:szCs w:val="20"/>
                <w:lang w:val="en-US"/>
              </w:rPr>
            </w:pPr>
          </w:p>
        </w:tc>
        <w:tc>
          <w:tcPr>
            <w:tcW w:w="356" w:type="pct"/>
            <w:tcBorders>
              <w:top w:val="nil"/>
              <w:left w:val="nil"/>
              <w:bottom w:val="nil"/>
              <w:right w:val="nil"/>
            </w:tcBorders>
            <w:tcMar>
              <w:top w:w="6" w:type="dxa"/>
              <w:left w:w="6" w:type="dxa"/>
              <w:bottom w:w="6" w:type="dxa"/>
              <w:right w:w="6" w:type="dxa"/>
            </w:tcMar>
            <w:vAlign w:val="bottom"/>
          </w:tcPr>
          <w:p w14:paraId="1A664E5A" w14:textId="77777777" w:rsidR="008F5536" w:rsidRPr="002B3E1D" w:rsidRDefault="008F5536" w:rsidP="008F5536">
            <w:pPr>
              <w:tabs>
                <w:tab w:val="decimal" w:pos="142"/>
              </w:tabs>
              <w:rPr>
                <w:rFonts w:ascii="Times New Roman" w:hAnsi="Times New Roman"/>
                <w:sz w:val="20"/>
                <w:szCs w:val="20"/>
                <w:lang w:val="en-US"/>
              </w:rPr>
            </w:pPr>
          </w:p>
        </w:tc>
        <w:tc>
          <w:tcPr>
            <w:tcW w:w="357" w:type="pct"/>
            <w:tcBorders>
              <w:top w:val="nil"/>
              <w:left w:val="nil"/>
              <w:bottom w:val="nil"/>
              <w:right w:val="nil"/>
            </w:tcBorders>
            <w:tcMar>
              <w:top w:w="6" w:type="dxa"/>
              <w:left w:w="6" w:type="dxa"/>
              <w:bottom w:w="6" w:type="dxa"/>
              <w:right w:w="6" w:type="dxa"/>
            </w:tcMar>
            <w:vAlign w:val="bottom"/>
          </w:tcPr>
          <w:p w14:paraId="61D89528" w14:textId="77777777" w:rsidR="008F5536" w:rsidRPr="002B3E1D" w:rsidRDefault="008F5536" w:rsidP="008F5536">
            <w:pPr>
              <w:tabs>
                <w:tab w:val="decimal" w:pos="142"/>
              </w:tabs>
              <w:rPr>
                <w:rFonts w:ascii="Times New Roman" w:hAnsi="Times New Roman"/>
                <w:sz w:val="20"/>
                <w:szCs w:val="20"/>
                <w:lang w:val="en-US"/>
              </w:rPr>
            </w:pPr>
          </w:p>
        </w:tc>
      </w:tr>
      <w:tr w:rsidR="008F5536" w:rsidRPr="002B3E1D" w14:paraId="37BE8139" w14:textId="77777777" w:rsidTr="008F5536">
        <w:tc>
          <w:tcPr>
            <w:tcW w:w="191" w:type="pct"/>
            <w:tcBorders>
              <w:top w:val="nil"/>
              <w:left w:val="nil"/>
              <w:bottom w:val="nil"/>
              <w:right w:val="nil"/>
            </w:tcBorders>
            <w:tcMar>
              <w:top w:w="6" w:type="dxa"/>
              <w:left w:w="6" w:type="dxa"/>
              <w:bottom w:w="6" w:type="dxa"/>
              <w:right w:w="6" w:type="dxa"/>
            </w:tcMar>
            <w:hideMark/>
          </w:tcPr>
          <w:p w14:paraId="21BB1B8E" w14:textId="77777777" w:rsidR="008F5536" w:rsidRPr="002B3E1D" w:rsidRDefault="008F5536" w:rsidP="008F5536">
            <w:pPr>
              <w:rPr>
                <w:rFonts w:ascii="Times New Roman" w:hAnsi="Times New Roman"/>
                <w:b/>
                <w:sz w:val="20"/>
                <w:szCs w:val="20"/>
                <w:lang w:val="en-US"/>
              </w:rPr>
            </w:pPr>
            <w:r w:rsidRPr="002B3E1D">
              <w:rPr>
                <w:rFonts w:ascii="Times New Roman" w:hAnsi="Times New Roman"/>
                <w:b/>
                <w:sz w:val="20"/>
                <w:szCs w:val="20"/>
                <w:lang w:val="en-US"/>
              </w:rPr>
              <w:t>X3</w:t>
            </w:r>
          </w:p>
        </w:tc>
        <w:tc>
          <w:tcPr>
            <w:tcW w:w="1245" w:type="pct"/>
            <w:gridSpan w:val="2"/>
            <w:tcBorders>
              <w:top w:val="nil"/>
              <w:left w:val="nil"/>
              <w:bottom w:val="nil"/>
              <w:right w:val="nil"/>
            </w:tcBorders>
            <w:tcMar>
              <w:top w:w="6" w:type="dxa"/>
              <w:left w:w="6" w:type="dxa"/>
              <w:bottom w:w="6" w:type="dxa"/>
              <w:right w:w="6" w:type="dxa"/>
            </w:tcMar>
            <w:hideMark/>
          </w:tcPr>
          <w:p w14:paraId="221CE304" w14:textId="77777777" w:rsidR="008F5536" w:rsidRPr="002B3E1D" w:rsidRDefault="008F5536" w:rsidP="008F5536">
            <w:pPr>
              <w:rPr>
                <w:rFonts w:ascii="Times New Roman" w:hAnsi="Times New Roman"/>
                <w:sz w:val="20"/>
                <w:szCs w:val="20"/>
                <w:lang w:val="en-US"/>
              </w:rPr>
            </w:pPr>
            <w:r w:rsidRPr="002B3E1D">
              <w:rPr>
                <w:rFonts w:ascii="Times New Roman" w:hAnsi="Times New Roman"/>
                <w:bCs/>
                <w:sz w:val="20"/>
                <w:szCs w:val="20"/>
                <w:lang w:val="en-US"/>
              </w:rPr>
              <w:t>Share Capabilities with Target</w:t>
            </w:r>
          </w:p>
        </w:tc>
        <w:tc>
          <w:tcPr>
            <w:tcW w:w="356" w:type="pct"/>
            <w:tcBorders>
              <w:top w:val="nil"/>
              <w:left w:val="nil"/>
              <w:bottom w:val="nil"/>
              <w:right w:val="nil"/>
            </w:tcBorders>
            <w:tcMar>
              <w:top w:w="6" w:type="dxa"/>
              <w:left w:w="6" w:type="dxa"/>
              <w:bottom w:w="6" w:type="dxa"/>
              <w:right w:w="6" w:type="dxa"/>
            </w:tcMar>
            <w:vAlign w:val="bottom"/>
          </w:tcPr>
          <w:p w14:paraId="493DCE6B" w14:textId="77777777" w:rsidR="008F5536" w:rsidRPr="002B3E1D" w:rsidRDefault="008F5536" w:rsidP="008F5536">
            <w:pPr>
              <w:jc w:val="center"/>
              <w:rPr>
                <w:rFonts w:ascii="Times New Roman" w:hAnsi="Times New Roman"/>
                <w:sz w:val="20"/>
                <w:szCs w:val="20"/>
                <w:lang w:val="en-US"/>
              </w:rPr>
            </w:pPr>
            <w:r w:rsidRPr="002B3E1D">
              <w:rPr>
                <w:rFonts w:ascii="Times New Roman" w:hAnsi="Times New Roman"/>
                <w:sz w:val="20"/>
                <w:szCs w:val="20"/>
                <w:lang w:val="en-US"/>
              </w:rPr>
              <w:t>.77</w:t>
            </w:r>
          </w:p>
        </w:tc>
        <w:tc>
          <w:tcPr>
            <w:tcW w:w="356" w:type="pct"/>
            <w:tcBorders>
              <w:top w:val="nil"/>
              <w:left w:val="nil"/>
              <w:bottom w:val="nil"/>
              <w:right w:val="nil"/>
            </w:tcBorders>
            <w:tcMar>
              <w:top w:w="6" w:type="dxa"/>
              <w:left w:w="6" w:type="dxa"/>
              <w:bottom w:w="6" w:type="dxa"/>
              <w:right w:w="6" w:type="dxa"/>
            </w:tcMar>
            <w:vAlign w:val="bottom"/>
            <w:hideMark/>
          </w:tcPr>
          <w:p w14:paraId="6324C106" w14:textId="77777777" w:rsidR="008F5536" w:rsidRPr="002B3E1D" w:rsidRDefault="008F5536" w:rsidP="008F5536">
            <w:pPr>
              <w:jc w:val="center"/>
              <w:rPr>
                <w:rFonts w:ascii="Times New Roman" w:hAnsi="Times New Roman"/>
                <w:sz w:val="20"/>
                <w:szCs w:val="20"/>
                <w:lang w:val="en-US"/>
              </w:rPr>
            </w:pPr>
            <w:r w:rsidRPr="002B3E1D">
              <w:rPr>
                <w:rFonts w:ascii="Times New Roman" w:hAnsi="Times New Roman"/>
                <w:sz w:val="20"/>
                <w:szCs w:val="20"/>
                <w:lang w:val="en-US"/>
              </w:rPr>
              <w:t>.81</w:t>
            </w:r>
          </w:p>
        </w:tc>
        <w:tc>
          <w:tcPr>
            <w:tcW w:w="356" w:type="pct"/>
            <w:tcBorders>
              <w:top w:val="nil"/>
              <w:left w:val="nil"/>
              <w:bottom w:val="nil"/>
              <w:right w:val="nil"/>
            </w:tcBorders>
            <w:tcMar>
              <w:top w:w="6" w:type="dxa"/>
              <w:left w:w="6" w:type="dxa"/>
              <w:bottom w:w="6" w:type="dxa"/>
              <w:right w:w="6" w:type="dxa"/>
            </w:tcMar>
            <w:vAlign w:val="bottom"/>
            <w:hideMark/>
          </w:tcPr>
          <w:p w14:paraId="140E0170" w14:textId="77777777" w:rsidR="008F5536" w:rsidRPr="002B3E1D" w:rsidRDefault="008F5536" w:rsidP="008F5536">
            <w:pPr>
              <w:jc w:val="center"/>
              <w:rPr>
                <w:rFonts w:ascii="Times New Roman" w:hAnsi="Times New Roman"/>
                <w:sz w:val="20"/>
                <w:szCs w:val="20"/>
                <w:lang w:val="en-US"/>
              </w:rPr>
            </w:pPr>
            <w:r w:rsidRPr="002B3E1D">
              <w:rPr>
                <w:rFonts w:ascii="Times New Roman" w:hAnsi="Times New Roman"/>
                <w:sz w:val="20"/>
                <w:szCs w:val="20"/>
                <w:lang w:val="en-US"/>
              </w:rPr>
              <w:t>.61</w:t>
            </w:r>
          </w:p>
        </w:tc>
        <w:tc>
          <w:tcPr>
            <w:tcW w:w="357" w:type="pct"/>
            <w:tcBorders>
              <w:top w:val="nil"/>
              <w:left w:val="nil"/>
              <w:bottom w:val="nil"/>
              <w:right w:val="nil"/>
            </w:tcBorders>
            <w:tcMar>
              <w:top w:w="6" w:type="dxa"/>
              <w:left w:w="6" w:type="dxa"/>
              <w:bottom w:w="6" w:type="dxa"/>
              <w:right w:w="6" w:type="dxa"/>
            </w:tcMar>
            <w:vAlign w:val="bottom"/>
            <w:hideMark/>
          </w:tcPr>
          <w:p w14:paraId="7859DBA2" w14:textId="77777777" w:rsidR="008F5536" w:rsidRPr="002B3E1D" w:rsidRDefault="008F5536" w:rsidP="008F5536">
            <w:pPr>
              <w:tabs>
                <w:tab w:val="decimal" w:pos="142"/>
              </w:tabs>
              <w:rPr>
                <w:rFonts w:ascii="Times New Roman" w:hAnsi="Times New Roman"/>
                <w:sz w:val="20"/>
                <w:szCs w:val="20"/>
                <w:lang w:val="en-US"/>
              </w:rPr>
            </w:pPr>
            <w:r w:rsidRPr="002B3E1D">
              <w:rPr>
                <w:rFonts w:ascii="Times New Roman" w:hAnsi="Times New Roman"/>
                <w:sz w:val="20"/>
                <w:szCs w:val="20"/>
                <w:lang w:val="en-US"/>
              </w:rPr>
              <w:t>.39**</w:t>
            </w:r>
          </w:p>
        </w:tc>
        <w:tc>
          <w:tcPr>
            <w:tcW w:w="356" w:type="pct"/>
            <w:tcBorders>
              <w:top w:val="nil"/>
              <w:left w:val="nil"/>
              <w:bottom w:val="nil"/>
              <w:right w:val="nil"/>
            </w:tcBorders>
            <w:tcMar>
              <w:top w:w="6" w:type="dxa"/>
              <w:left w:w="6" w:type="dxa"/>
              <w:bottom w:w="6" w:type="dxa"/>
              <w:right w:w="6" w:type="dxa"/>
            </w:tcMar>
            <w:vAlign w:val="bottom"/>
            <w:hideMark/>
          </w:tcPr>
          <w:p w14:paraId="2A4BCDAA" w14:textId="77777777" w:rsidR="008F5536" w:rsidRPr="002B3E1D" w:rsidRDefault="008F5536" w:rsidP="008F5536">
            <w:pPr>
              <w:tabs>
                <w:tab w:val="decimal" w:pos="142"/>
              </w:tabs>
              <w:rPr>
                <w:rFonts w:ascii="Times New Roman" w:hAnsi="Times New Roman"/>
                <w:sz w:val="20"/>
                <w:szCs w:val="20"/>
                <w:lang w:val="en-US"/>
              </w:rPr>
            </w:pPr>
            <w:r w:rsidRPr="002B3E1D">
              <w:rPr>
                <w:rFonts w:ascii="Times New Roman" w:hAnsi="Times New Roman"/>
                <w:sz w:val="20"/>
                <w:szCs w:val="20"/>
                <w:lang w:val="en-US"/>
              </w:rPr>
              <w:t>.30**</w:t>
            </w:r>
          </w:p>
        </w:tc>
        <w:tc>
          <w:tcPr>
            <w:tcW w:w="356" w:type="pct"/>
            <w:tcBorders>
              <w:top w:val="nil"/>
              <w:left w:val="nil"/>
              <w:bottom w:val="nil"/>
              <w:right w:val="nil"/>
            </w:tcBorders>
            <w:tcMar>
              <w:top w:w="6" w:type="dxa"/>
              <w:left w:w="6" w:type="dxa"/>
              <w:bottom w:w="6" w:type="dxa"/>
              <w:right w:w="6" w:type="dxa"/>
            </w:tcMar>
            <w:vAlign w:val="bottom"/>
            <w:hideMark/>
          </w:tcPr>
          <w:p w14:paraId="391DB751" w14:textId="77777777" w:rsidR="008F5536" w:rsidRPr="002B3E1D" w:rsidRDefault="008F5536" w:rsidP="008F5536">
            <w:pPr>
              <w:tabs>
                <w:tab w:val="decimal" w:pos="142"/>
              </w:tabs>
              <w:rPr>
                <w:rFonts w:ascii="Times New Roman" w:hAnsi="Times New Roman"/>
                <w:i/>
                <w:sz w:val="20"/>
                <w:szCs w:val="20"/>
                <w:lang w:val="en-US"/>
              </w:rPr>
            </w:pPr>
            <w:r w:rsidRPr="002B3E1D">
              <w:rPr>
                <w:rFonts w:ascii="Times New Roman" w:hAnsi="Times New Roman"/>
                <w:i/>
                <w:sz w:val="20"/>
                <w:szCs w:val="20"/>
                <w:lang w:val="en-US"/>
              </w:rPr>
              <w:t>.78</w:t>
            </w:r>
          </w:p>
        </w:tc>
        <w:tc>
          <w:tcPr>
            <w:tcW w:w="357" w:type="pct"/>
            <w:tcBorders>
              <w:top w:val="nil"/>
              <w:left w:val="nil"/>
              <w:bottom w:val="nil"/>
              <w:right w:val="nil"/>
            </w:tcBorders>
            <w:tcMar>
              <w:top w:w="6" w:type="dxa"/>
              <w:left w:w="6" w:type="dxa"/>
              <w:bottom w:w="6" w:type="dxa"/>
              <w:right w:w="6" w:type="dxa"/>
            </w:tcMar>
            <w:vAlign w:val="bottom"/>
          </w:tcPr>
          <w:p w14:paraId="440E7FFC" w14:textId="77777777" w:rsidR="008F5536" w:rsidRPr="002B3E1D" w:rsidRDefault="008F5536" w:rsidP="008F5536">
            <w:pPr>
              <w:tabs>
                <w:tab w:val="decimal" w:pos="142"/>
              </w:tabs>
              <w:rPr>
                <w:rFonts w:ascii="Times New Roman" w:hAnsi="Times New Roman"/>
                <w:sz w:val="20"/>
                <w:szCs w:val="20"/>
                <w:lang w:val="en-US"/>
              </w:rPr>
            </w:pPr>
          </w:p>
        </w:tc>
        <w:tc>
          <w:tcPr>
            <w:tcW w:w="356" w:type="pct"/>
            <w:tcBorders>
              <w:top w:val="nil"/>
              <w:left w:val="nil"/>
              <w:bottom w:val="nil"/>
              <w:right w:val="nil"/>
            </w:tcBorders>
            <w:tcMar>
              <w:top w:w="6" w:type="dxa"/>
              <w:left w:w="6" w:type="dxa"/>
              <w:bottom w:w="6" w:type="dxa"/>
              <w:right w:w="6" w:type="dxa"/>
            </w:tcMar>
            <w:vAlign w:val="bottom"/>
          </w:tcPr>
          <w:p w14:paraId="7B50AD0D" w14:textId="77777777" w:rsidR="008F5536" w:rsidRPr="002B3E1D" w:rsidRDefault="008F5536" w:rsidP="008F5536">
            <w:pPr>
              <w:tabs>
                <w:tab w:val="decimal" w:pos="142"/>
              </w:tabs>
              <w:rPr>
                <w:rFonts w:ascii="Times New Roman" w:hAnsi="Times New Roman"/>
                <w:sz w:val="20"/>
                <w:szCs w:val="20"/>
                <w:lang w:val="en-US"/>
              </w:rPr>
            </w:pPr>
          </w:p>
        </w:tc>
        <w:tc>
          <w:tcPr>
            <w:tcW w:w="356" w:type="pct"/>
            <w:tcBorders>
              <w:top w:val="nil"/>
              <w:left w:val="nil"/>
              <w:bottom w:val="nil"/>
              <w:right w:val="nil"/>
            </w:tcBorders>
            <w:tcMar>
              <w:top w:w="6" w:type="dxa"/>
              <w:left w:w="6" w:type="dxa"/>
              <w:bottom w:w="6" w:type="dxa"/>
              <w:right w:w="6" w:type="dxa"/>
            </w:tcMar>
            <w:vAlign w:val="bottom"/>
          </w:tcPr>
          <w:p w14:paraId="610BC900" w14:textId="77777777" w:rsidR="008F5536" w:rsidRPr="002B3E1D" w:rsidRDefault="008F5536" w:rsidP="008F5536">
            <w:pPr>
              <w:tabs>
                <w:tab w:val="decimal" w:pos="142"/>
              </w:tabs>
              <w:rPr>
                <w:rFonts w:ascii="Times New Roman" w:hAnsi="Times New Roman"/>
                <w:sz w:val="20"/>
                <w:szCs w:val="20"/>
                <w:lang w:val="en-US"/>
              </w:rPr>
            </w:pPr>
          </w:p>
        </w:tc>
        <w:tc>
          <w:tcPr>
            <w:tcW w:w="357" w:type="pct"/>
            <w:tcBorders>
              <w:top w:val="nil"/>
              <w:left w:val="nil"/>
              <w:bottom w:val="nil"/>
              <w:right w:val="nil"/>
            </w:tcBorders>
            <w:tcMar>
              <w:top w:w="6" w:type="dxa"/>
              <w:left w:w="6" w:type="dxa"/>
              <w:bottom w:w="6" w:type="dxa"/>
              <w:right w:w="6" w:type="dxa"/>
            </w:tcMar>
            <w:vAlign w:val="bottom"/>
          </w:tcPr>
          <w:p w14:paraId="1C2AF9D1" w14:textId="77777777" w:rsidR="008F5536" w:rsidRPr="002B3E1D" w:rsidRDefault="008F5536" w:rsidP="008F5536">
            <w:pPr>
              <w:tabs>
                <w:tab w:val="decimal" w:pos="142"/>
              </w:tabs>
              <w:rPr>
                <w:rFonts w:ascii="Times New Roman" w:hAnsi="Times New Roman"/>
                <w:sz w:val="20"/>
                <w:szCs w:val="20"/>
                <w:lang w:val="en-US"/>
              </w:rPr>
            </w:pPr>
          </w:p>
        </w:tc>
      </w:tr>
      <w:tr w:rsidR="008F5536" w:rsidRPr="002B3E1D" w14:paraId="05FFF35B" w14:textId="77777777" w:rsidTr="008F5536">
        <w:tc>
          <w:tcPr>
            <w:tcW w:w="191" w:type="pct"/>
            <w:tcBorders>
              <w:top w:val="nil"/>
              <w:left w:val="nil"/>
              <w:bottom w:val="nil"/>
              <w:right w:val="nil"/>
            </w:tcBorders>
            <w:tcMar>
              <w:top w:w="6" w:type="dxa"/>
              <w:left w:w="6" w:type="dxa"/>
              <w:bottom w:w="6" w:type="dxa"/>
              <w:right w:w="6" w:type="dxa"/>
            </w:tcMar>
            <w:hideMark/>
          </w:tcPr>
          <w:p w14:paraId="22702753" w14:textId="77777777" w:rsidR="008F5536" w:rsidRPr="002B3E1D" w:rsidRDefault="008F5536" w:rsidP="008F5536">
            <w:pPr>
              <w:rPr>
                <w:rFonts w:ascii="Times New Roman" w:hAnsi="Times New Roman"/>
                <w:b/>
                <w:sz w:val="20"/>
                <w:szCs w:val="20"/>
                <w:lang w:val="en-US"/>
              </w:rPr>
            </w:pPr>
            <w:r w:rsidRPr="002B3E1D">
              <w:rPr>
                <w:rFonts w:ascii="Times New Roman" w:hAnsi="Times New Roman"/>
                <w:b/>
                <w:sz w:val="20"/>
                <w:szCs w:val="20"/>
                <w:lang w:val="en-US"/>
              </w:rPr>
              <w:t>X4</w:t>
            </w:r>
          </w:p>
        </w:tc>
        <w:tc>
          <w:tcPr>
            <w:tcW w:w="1245" w:type="pct"/>
            <w:gridSpan w:val="2"/>
            <w:tcBorders>
              <w:top w:val="nil"/>
              <w:left w:val="nil"/>
              <w:bottom w:val="nil"/>
              <w:right w:val="nil"/>
            </w:tcBorders>
            <w:tcMar>
              <w:top w:w="6" w:type="dxa"/>
              <w:left w:w="6" w:type="dxa"/>
              <w:bottom w:w="6" w:type="dxa"/>
              <w:right w:w="6" w:type="dxa"/>
            </w:tcMar>
            <w:hideMark/>
          </w:tcPr>
          <w:p w14:paraId="43A156CC" w14:textId="77777777" w:rsidR="008F5536" w:rsidRPr="002B3E1D" w:rsidRDefault="008F5536" w:rsidP="008F5536">
            <w:pPr>
              <w:rPr>
                <w:rFonts w:ascii="Times New Roman" w:hAnsi="Times New Roman"/>
                <w:sz w:val="20"/>
                <w:szCs w:val="20"/>
                <w:lang w:val="en-US"/>
              </w:rPr>
            </w:pPr>
            <w:r w:rsidRPr="002B3E1D">
              <w:rPr>
                <w:rFonts w:ascii="Times New Roman" w:hAnsi="Times New Roman"/>
                <w:bCs/>
                <w:sz w:val="20"/>
                <w:szCs w:val="20"/>
                <w:lang w:val="en-US"/>
              </w:rPr>
              <w:t>Corporate Entrepreneurship</w:t>
            </w:r>
          </w:p>
        </w:tc>
        <w:tc>
          <w:tcPr>
            <w:tcW w:w="356" w:type="pct"/>
            <w:tcBorders>
              <w:top w:val="nil"/>
              <w:left w:val="nil"/>
              <w:bottom w:val="nil"/>
              <w:right w:val="nil"/>
            </w:tcBorders>
            <w:tcMar>
              <w:top w:w="6" w:type="dxa"/>
              <w:left w:w="6" w:type="dxa"/>
              <w:bottom w:w="6" w:type="dxa"/>
              <w:right w:w="6" w:type="dxa"/>
            </w:tcMar>
          </w:tcPr>
          <w:p w14:paraId="1F8B9A11" w14:textId="77777777" w:rsidR="008F5536" w:rsidRPr="002B3E1D" w:rsidRDefault="008F5536" w:rsidP="008F5536">
            <w:pPr>
              <w:jc w:val="center"/>
              <w:rPr>
                <w:rFonts w:ascii="Times New Roman" w:hAnsi="Times New Roman"/>
                <w:sz w:val="20"/>
                <w:szCs w:val="20"/>
                <w:lang w:val="en-US"/>
              </w:rPr>
            </w:pPr>
            <w:r w:rsidRPr="002B3E1D">
              <w:rPr>
                <w:rFonts w:ascii="Times New Roman" w:hAnsi="Times New Roman"/>
                <w:sz w:val="20"/>
                <w:szCs w:val="20"/>
                <w:lang w:val="en-US"/>
              </w:rPr>
              <w:t>.83</w:t>
            </w:r>
          </w:p>
        </w:tc>
        <w:tc>
          <w:tcPr>
            <w:tcW w:w="356" w:type="pct"/>
            <w:tcBorders>
              <w:top w:val="nil"/>
              <w:left w:val="nil"/>
              <w:bottom w:val="nil"/>
              <w:right w:val="nil"/>
            </w:tcBorders>
            <w:tcMar>
              <w:top w:w="6" w:type="dxa"/>
              <w:left w:w="6" w:type="dxa"/>
              <w:bottom w:w="6" w:type="dxa"/>
              <w:right w:w="6" w:type="dxa"/>
            </w:tcMar>
            <w:vAlign w:val="bottom"/>
            <w:hideMark/>
          </w:tcPr>
          <w:p w14:paraId="49A23C5E" w14:textId="77777777" w:rsidR="008F5536" w:rsidRPr="002B3E1D" w:rsidRDefault="008F5536" w:rsidP="008F5536">
            <w:pPr>
              <w:jc w:val="center"/>
              <w:rPr>
                <w:rFonts w:ascii="Times New Roman" w:hAnsi="Times New Roman"/>
                <w:sz w:val="20"/>
                <w:szCs w:val="20"/>
                <w:lang w:val="en-US"/>
              </w:rPr>
            </w:pPr>
            <w:r w:rsidRPr="002B3E1D">
              <w:rPr>
                <w:rFonts w:ascii="Times New Roman" w:hAnsi="Times New Roman"/>
                <w:sz w:val="20"/>
                <w:szCs w:val="20"/>
                <w:lang w:val="en-US"/>
              </w:rPr>
              <w:t>.84</w:t>
            </w:r>
          </w:p>
        </w:tc>
        <w:tc>
          <w:tcPr>
            <w:tcW w:w="356" w:type="pct"/>
            <w:tcBorders>
              <w:top w:val="nil"/>
              <w:left w:val="nil"/>
              <w:bottom w:val="nil"/>
              <w:right w:val="nil"/>
            </w:tcBorders>
            <w:tcMar>
              <w:top w:w="6" w:type="dxa"/>
              <w:left w:w="6" w:type="dxa"/>
              <w:bottom w:w="6" w:type="dxa"/>
              <w:right w:w="6" w:type="dxa"/>
            </w:tcMar>
            <w:vAlign w:val="bottom"/>
            <w:hideMark/>
          </w:tcPr>
          <w:p w14:paraId="6FF2B2D8" w14:textId="77777777" w:rsidR="008F5536" w:rsidRPr="002B3E1D" w:rsidRDefault="008F5536" w:rsidP="008F5536">
            <w:pPr>
              <w:jc w:val="center"/>
              <w:rPr>
                <w:rFonts w:ascii="Times New Roman" w:hAnsi="Times New Roman"/>
                <w:sz w:val="20"/>
                <w:szCs w:val="20"/>
                <w:lang w:val="en-US"/>
              </w:rPr>
            </w:pPr>
            <w:r w:rsidRPr="002B3E1D">
              <w:rPr>
                <w:rFonts w:ascii="Times New Roman" w:hAnsi="Times New Roman"/>
                <w:sz w:val="20"/>
                <w:szCs w:val="20"/>
                <w:lang w:val="en-US"/>
              </w:rPr>
              <w:t>.44</w:t>
            </w:r>
          </w:p>
        </w:tc>
        <w:tc>
          <w:tcPr>
            <w:tcW w:w="357" w:type="pct"/>
            <w:tcBorders>
              <w:top w:val="nil"/>
              <w:left w:val="nil"/>
              <w:bottom w:val="nil"/>
              <w:right w:val="nil"/>
            </w:tcBorders>
            <w:tcMar>
              <w:top w:w="6" w:type="dxa"/>
              <w:left w:w="6" w:type="dxa"/>
              <w:bottom w:w="6" w:type="dxa"/>
              <w:right w:w="6" w:type="dxa"/>
            </w:tcMar>
            <w:vAlign w:val="bottom"/>
            <w:hideMark/>
          </w:tcPr>
          <w:p w14:paraId="4CC3FA5C" w14:textId="77777777" w:rsidR="008F5536" w:rsidRPr="002B3E1D" w:rsidRDefault="008F5536" w:rsidP="008F5536">
            <w:pPr>
              <w:tabs>
                <w:tab w:val="decimal" w:pos="142"/>
              </w:tabs>
              <w:rPr>
                <w:rFonts w:ascii="Times New Roman" w:hAnsi="Times New Roman"/>
                <w:sz w:val="20"/>
                <w:szCs w:val="20"/>
                <w:lang w:val="en-US"/>
              </w:rPr>
            </w:pPr>
            <w:r w:rsidRPr="002B3E1D">
              <w:rPr>
                <w:rFonts w:ascii="Times New Roman" w:hAnsi="Times New Roman"/>
                <w:sz w:val="20"/>
                <w:szCs w:val="20"/>
                <w:lang w:val="en-US"/>
              </w:rPr>
              <w:t>.36**</w:t>
            </w:r>
          </w:p>
        </w:tc>
        <w:tc>
          <w:tcPr>
            <w:tcW w:w="356" w:type="pct"/>
            <w:tcBorders>
              <w:top w:val="nil"/>
              <w:left w:val="nil"/>
              <w:bottom w:val="nil"/>
              <w:right w:val="nil"/>
            </w:tcBorders>
            <w:tcMar>
              <w:top w:w="6" w:type="dxa"/>
              <w:left w:w="6" w:type="dxa"/>
              <w:bottom w:w="6" w:type="dxa"/>
              <w:right w:w="6" w:type="dxa"/>
            </w:tcMar>
            <w:vAlign w:val="bottom"/>
            <w:hideMark/>
          </w:tcPr>
          <w:p w14:paraId="156878DC" w14:textId="77777777" w:rsidR="008F5536" w:rsidRPr="002B3E1D" w:rsidRDefault="008F5536" w:rsidP="008F5536">
            <w:pPr>
              <w:tabs>
                <w:tab w:val="decimal" w:pos="142"/>
              </w:tabs>
              <w:rPr>
                <w:rFonts w:ascii="Times New Roman" w:hAnsi="Times New Roman"/>
                <w:sz w:val="20"/>
                <w:szCs w:val="20"/>
                <w:lang w:val="en-US"/>
              </w:rPr>
            </w:pPr>
            <w:r w:rsidRPr="002B3E1D">
              <w:rPr>
                <w:rFonts w:ascii="Times New Roman" w:hAnsi="Times New Roman"/>
                <w:sz w:val="20"/>
                <w:szCs w:val="20"/>
                <w:lang w:val="en-US"/>
              </w:rPr>
              <w:t>.10</w:t>
            </w:r>
          </w:p>
        </w:tc>
        <w:tc>
          <w:tcPr>
            <w:tcW w:w="356" w:type="pct"/>
            <w:tcBorders>
              <w:top w:val="nil"/>
              <w:left w:val="nil"/>
              <w:bottom w:val="nil"/>
              <w:right w:val="nil"/>
            </w:tcBorders>
            <w:tcMar>
              <w:top w:w="6" w:type="dxa"/>
              <w:left w:w="6" w:type="dxa"/>
              <w:bottom w:w="6" w:type="dxa"/>
              <w:right w:w="6" w:type="dxa"/>
            </w:tcMar>
            <w:vAlign w:val="bottom"/>
            <w:hideMark/>
          </w:tcPr>
          <w:p w14:paraId="63F156CD" w14:textId="77777777" w:rsidR="008F5536" w:rsidRPr="002B3E1D" w:rsidRDefault="008F5536" w:rsidP="008F5536">
            <w:pPr>
              <w:tabs>
                <w:tab w:val="decimal" w:pos="142"/>
              </w:tabs>
              <w:rPr>
                <w:rFonts w:ascii="Times New Roman" w:hAnsi="Times New Roman"/>
                <w:sz w:val="20"/>
                <w:szCs w:val="20"/>
                <w:lang w:val="en-US"/>
              </w:rPr>
            </w:pPr>
            <w:r w:rsidRPr="002B3E1D">
              <w:rPr>
                <w:rFonts w:ascii="Times New Roman" w:hAnsi="Times New Roman"/>
                <w:sz w:val="20"/>
                <w:szCs w:val="20"/>
                <w:lang w:val="en-US"/>
              </w:rPr>
              <w:t>.38**</w:t>
            </w:r>
          </w:p>
        </w:tc>
        <w:tc>
          <w:tcPr>
            <w:tcW w:w="357" w:type="pct"/>
            <w:tcBorders>
              <w:top w:val="nil"/>
              <w:left w:val="nil"/>
              <w:bottom w:val="nil"/>
              <w:right w:val="nil"/>
            </w:tcBorders>
            <w:tcMar>
              <w:top w:w="6" w:type="dxa"/>
              <w:left w:w="6" w:type="dxa"/>
              <w:bottom w:w="6" w:type="dxa"/>
              <w:right w:w="6" w:type="dxa"/>
            </w:tcMar>
            <w:vAlign w:val="bottom"/>
            <w:hideMark/>
          </w:tcPr>
          <w:p w14:paraId="3C9BF03B" w14:textId="77777777" w:rsidR="008F5536" w:rsidRPr="002B3E1D" w:rsidRDefault="008F5536" w:rsidP="008F5536">
            <w:pPr>
              <w:tabs>
                <w:tab w:val="decimal" w:pos="142"/>
              </w:tabs>
              <w:rPr>
                <w:rFonts w:ascii="Times New Roman" w:hAnsi="Times New Roman"/>
                <w:i/>
                <w:sz w:val="20"/>
                <w:szCs w:val="20"/>
                <w:lang w:val="en-US"/>
              </w:rPr>
            </w:pPr>
            <w:r w:rsidRPr="002B3E1D">
              <w:rPr>
                <w:rFonts w:ascii="Times New Roman" w:hAnsi="Times New Roman"/>
                <w:i/>
                <w:sz w:val="20"/>
                <w:szCs w:val="20"/>
                <w:lang w:val="en-US"/>
              </w:rPr>
              <w:t>.66</w:t>
            </w:r>
          </w:p>
        </w:tc>
        <w:tc>
          <w:tcPr>
            <w:tcW w:w="356" w:type="pct"/>
            <w:tcBorders>
              <w:top w:val="nil"/>
              <w:left w:val="nil"/>
              <w:bottom w:val="nil"/>
              <w:right w:val="nil"/>
            </w:tcBorders>
            <w:tcMar>
              <w:top w:w="6" w:type="dxa"/>
              <w:left w:w="6" w:type="dxa"/>
              <w:bottom w:w="6" w:type="dxa"/>
              <w:right w:w="6" w:type="dxa"/>
            </w:tcMar>
            <w:vAlign w:val="bottom"/>
          </w:tcPr>
          <w:p w14:paraId="455BE7A4" w14:textId="77777777" w:rsidR="008F5536" w:rsidRPr="002B3E1D" w:rsidRDefault="008F5536" w:rsidP="008F5536">
            <w:pPr>
              <w:tabs>
                <w:tab w:val="decimal" w:pos="142"/>
              </w:tabs>
              <w:rPr>
                <w:rFonts w:ascii="Times New Roman" w:hAnsi="Times New Roman"/>
                <w:i/>
                <w:sz w:val="20"/>
                <w:szCs w:val="20"/>
                <w:lang w:val="en-US"/>
              </w:rPr>
            </w:pPr>
          </w:p>
        </w:tc>
        <w:tc>
          <w:tcPr>
            <w:tcW w:w="356" w:type="pct"/>
            <w:tcBorders>
              <w:top w:val="nil"/>
              <w:left w:val="nil"/>
              <w:bottom w:val="nil"/>
              <w:right w:val="nil"/>
            </w:tcBorders>
            <w:tcMar>
              <w:top w:w="6" w:type="dxa"/>
              <w:left w:w="6" w:type="dxa"/>
              <w:bottom w:w="6" w:type="dxa"/>
              <w:right w:w="6" w:type="dxa"/>
            </w:tcMar>
            <w:vAlign w:val="bottom"/>
          </w:tcPr>
          <w:p w14:paraId="71D2611B" w14:textId="77777777" w:rsidR="008F5536" w:rsidRPr="002B3E1D" w:rsidRDefault="008F5536" w:rsidP="008F5536">
            <w:pPr>
              <w:tabs>
                <w:tab w:val="decimal" w:pos="142"/>
              </w:tabs>
              <w:rPr>
                <w:rFonts w:ascii="Times New Roman" w:hAnsi="Times New Roman"/>
                <w:sz w:val="20"/>
                <w:szCs w:val="20"/>
                <w:lang w:val="en-US"/>
              </w:rPr>
            </w:pPr>
          </w:p>
        </w:tc>
        <w:tc>
          <w:tcPr>
            <w:tcW w:w="357" w:type="pct"/>
            <w:tcBorders>
              <w:top w:val="nil"/>
              <w:left w:val="nil"/>
              <w:bottom w:val="nil"/>
              <w:right w:val="nil"/>
            </w:tcBorders>
            <w:tcMar>
              <w:top w:w="6" w:type="dxa"/>
              <w:left w:w="6" w:type="dxa"/>
              <w:bottom w:w="6" w:type="dxa"/>
              <w:right w:w="6" w:type="dxa"/>
            </w:tcMar>
            <w:vAlign w:val="bottom"/>
          </w:tcPr>
          <w:p w14:paraId="2EE4438B" w14:textId="77777777" w:rsidR="008F5536" w:rsidRPr="002B3E1D" w:rsidRDefault="008F5536" w:rsidP="008F5536">
            <w:pPr>
              <w:tabs>
                <w:tab w:val="decimal" w:pos="142"/>
              </w:tabs>
              <w:rPr>
                <w:rFonts w:ascii="Times New Roman" w:hAnsi="Times New Roman"/>
                <w:sz w:val="20"/>
                <w:szCs w:val="20"/>
                <w:lang w:val="en-US"/>
              </w:rPr>
            </w:pPr>
          </w:p>
        </w:tc>
      </w:tr>
      <w:tr w:rsidR="008F5536" w:rsidRPr="002B3E1D" w14:paraId="0C2BE810" w14:textId="77777777" w:rsidTr="008F5536">
        <w:tc>
          <w:tcPr>
            <w:tcW w:w="191" w:type="pct"/>
            <w:tcBorders>
              <w:top w:val="nil"/>
              <w:left w:val="nil"/>
              <w:bottom w:val="nil"/>
              <w:right w:val="nil"/>
            </w:tcBorders>
            <w:tcMar>
              <w:top w:w="6" w:type="dxa"/>
              <w:left w:w="6" w:type="dxa"/>
              <w:bottom w:w="6" w:type="dxa"/>
              <w:right w:w="6" w:type="dxa"/>
            </w:tcMar>
            <w:hideMark/>
          </w:tcPr>
          <w:p w14:paraId="4727A4F4" w14:textId="77777777" w:rsidR="008F5536" w:rsidRPr="002B3E1D" w:rsidRDefault="008F5536" w:rsidP="008F5536">
            <w:pPr>
              <w:rPr>
                <w:rFonts w:ascii="Times New Roman" w:hAnsi="Times New Roman"/>
                <w:b/>
                <w:sz w:val="20"/>
                <w:szCs w:val="20"/>
                <w:lang w:val="en-US"/>
              </w:rPr>
            </w:pPr>
            <w:r w:rsidRPr="002B3E1D">
              <w:rPr>
                <w:rFonts w:ascii="Times New Roman" w:hAnsi="Times New Roman"/>
                <w:b/>
                <w:sz w:val="20"/>
                <w:szCs w:val="20"/>
                <w:lang w:val="en-US"/>
              </w:rPr>
              <w:t>X5</w:t>
            </w:r>
          </w:p>
        </w:tc>
        <w:tc>
          <w:tcPr>
            <w:tcW w:w="1245" w:type="pct"/>
            <w:gridSpan w:val="2"/>
            <w:tcBorders>
              <w:top w:val="nil"/>
              <w:left w:val="nil"/>
              <w:bottom w:val="nil"/>
              <w:right w:val="nil"/>
            </w:tcBorders>
            <w:tcMar>
              <w:top w:w="6" w:type="dxa"/>
              <w:left w:w="6" w:type="dxa"/>
              <w:bottom w:w="6" w:type="dxa"/>
              <w:right w:w="6" w:type="dxa"/>
            </w:tcMar>
            <w:hideMark/>
          </w:tcPr>
          <w:p w14:paraId="56EFF5A3" w14:textId="77777777" w:rsidR="008F5536" w:rsidRPr="002B3E1D" w:rsidRDefault="008F5536" w:rsidP="008F5536">
            <w:pPr>
              <w:rPr>
                <w:rFonts w:ascii="Times New Roman" w:hAnsi="Times New Roman"/>
                <w:sz w:val="20"/>
                <w:szCs w:val="20"/>
                <w:lang w:val="en-US"/>
              </w:rPr>
            </w:pPr>
            <w:r w:rsidRPr="002B3E1D">
              <w:rPr>
                <w:rFonts w:ascii="Times New Roman" w:hAnsi="Times New Roman"/>
                <w:bCs/>
                <w:sz w:val="20"/>
                <w:szCs w:val="20"/>
                <w:lang w:val="en-US"/>
              </w:rPr>
              <w:t>Exploration Innovation</w:t>
            </w:r>
          </w:p>
        </w:tc>
        <w:tc>
          <w:tcPr>
            <w:tcW w:w="356" w:type="pct"/>
            <w:tcBorders>
              <w:top w:val="nil"/>
              <w:left w:val="nil"/>
              <w:bottom w:val="nil"/>
              <w:right w:val="nil"/>
            </w:tcBorders>
            <w:tcMar>
              <w:top w:w="6" w:type="dxa"/>
              <w:left w:w="6" w:type="dxa"/>
              <w:bottom w:w="6" w:type="dxa"/>
              <w:right w:w="6" w:type="dxa"/>
            </w:tcMar>
          </w:tcPr>
          <w:p w14:paraId="4EAF559E" w14:textId="77777777" w:rsidR="008F5536" w:rsidRPr="002B3E1D" w:rsidRDefault="008F5536" w:rsidP="008F5536">
            <w:pPr>
              <w:jc w:val="center"/>
              <w:rPr>
                <w:rFonts w:ascii="Times New Roman" w:hAnsi="Times New Roman"/>
                <w:sz w:val="20"/>
                <w:szCs w:val="20"/>
                <w:lang w:val="en-US"/>
              </w:rPr>
            </w:pPr>
            <w:r w:rsidRPr="002B3E1D">
              <w:rPr>
                <w:rFonts w:ascii="Times New Roman" w:hAnsi="Times New Roman"/>
                <w:sz w:val="20"/>
                <w:szCs w:val="20"/>
                <w:lang w:val="en-US"/>
              </w:rPr>
              <w:t>.85</w:t>
            </w:r>
          </w:p>
        </w:tc>
        <w:tc>
          <w:tcPr>
            <w:tcW w:w="356" w:type="pct"/>
            <w:tcBorders>
              <w:top w:val="nil"/>
              <w:left w:val="nil"/>
              <w:bottom w:val="nil"/>
              <w:right w:val="nil"/>
            </w:tcBorders>
            <w:tcMar>
              <w:top w:w="6" w:type="dxa"/>
              <w:left w:w="6" w:type="dxa"/>
              <w:bottom w:w="6" w:type="dxa"/>
              <w:right w:w="6" w:type="dxa"/>
            </w:tcMar>
            <w:vAlign w:val="bottom"/>
            <w:hideMark/>
          </w:tcPr>
          <w:p w14:paraId="37745B5A" w14:textId="77777777" w:rsidR="008F5536" w:rsidRPr="002B3E1D" w:rsidRDefault="008F5536" w:rsidP="008F5536">
            <w:pPr>
              <w:jc w:val="center"/>
              <w:rPr>
                <w:rFonts w:ascii="Times New Roman" w:hAnsi="Times New Roman"/>
                <w:sz w:val="20"/>
                <w:szCs w:val="20"/>
                <w:lang w:val="en-US"/>
              </w:rPr>
            </w:pPr>
            <w:r w:rsidRPr="002B3E1D">
              <w:rPr>
                <w:rFonts w:ascii="Times New Roman" w:hAnsi="Times New Roman"/>
                <w:sz w:val="20"/>
                <w:szCs w:val="20"/>
                <w:lang w:val="en-US"/>
              </w:rPr>
              <w:t>.86</w:t>
            </w:r>
          </w:p>
        </w:tc>
        <w:tc>
          <w:tcPr>
            <w:tcW w:w="356" w:type="pct"/>
            <w:tcBorders>
              <w:top w:val="nil"/>
              <w:left w:val="nil"/>
              <w:bottom w:val="nil"/>
              <w:right w:val="nil"/>
            </w:tcBorders>
            <w:tcMar>
              <w:top w:w="6" w:type="dxa"/>
              <w:left w:w="6" w:type="dxa"/>
              <w:bottom w:w="6" w:type="dxa"/>
              <w:right w:w="6" w:type="dxa"/>
            </w:tcMar>
            <w:vAlign w:val="bottom"/>
            <w:hideMark/>
          </w:tcPr>
          <w:p w14:paraId="05E15414" w14:textId="77777777" w:rsidR="008F5536" w:rsidRPr="002B3E1D" w:rsidRDefault="008F5536" w:rsidP="008F5536">
            <w:pPr>
              <w:jc w:val="center"/>
              <w:rPr>
                <w:rFonts w:ascii="Times New Roman" w:hAnsi="Times New Roman"/>
                <w:sz w:val="20"/>
                <w:szCs w:val="20"/>
                <w:lang w:val="en-US"/>
              </w:rPr>
            </w:pPr>
            <w:r w:rsidRPr="002B3E1D">
              <w:rPr>
                <w:rFonts w:ascii="Times New Roman" w:hAnsi="Times New Roman"/>
                <w:sz w:val="20"/>
                <w:szCs w:val="20"/>
                <w:lang w:val="en-US"/>
              </w:rPr>
              <w:t>.67</w:t>
            </w:r>
          </w:p>
        </w:tc>
        <w:tc>
          <w:tcPr>
            <w:tcW w:w="357" w:type="pct"/>
            <w:tcBorders>
              <w:top w:val="nil"/>
              <w:left w:val="nil"/>
              <w:bottom w:val="nil"/>
              <w:right w:val="nil"/>
            </w:tcBorders>
            <w:tcMar>
              <w:top w:w="6" w:type="dxa"/>
              <w:left w:w="6" w:type="dxa"/>
              <w:bottom w:w="6" w:type="dxa"/>
              <w:right w:w="6" w:type="dxa"/>
            </w:tcMar>
            <w:vAlign w:val="bottom"/>
            <w:hideMark/>
          </w:tcPr>
          <w:p w14:paraId="30634893" w14:textId="77777777" w:rsidR="008F5536" w:rsidRPr="002B3E1D" w:rsidRDefault="008F5536" w:rsidP="008F5536">
            <w:pPr>
              <w:tabs>
                <w:tab w:val="decimal" w:pos="142"/>
              </w:tabs>
              <w:rPr>
                <w:rFonts w:ascii="Times New Roman" w:hAnsi="Times New Roman"/>
                <w:sz w:val="20"/>
                <w:szCs w:val="20"/>
                <w:lang w:val="en-US"/>
              </w:rPr>
            </w:pPr>
            <w:r w:rsidRPr="002B3E1D">
              <w:rPr>
                <w:rFonts w:ascii="Times New Roman" w:hAnsi="Times New Roman"/>
                <w:sz w:val="20"/>
                <w:szCs w:val="20"/>
                <w:lang w:val="en-US"/>
              </w:rPr>
              <w:t>.17*</w:t>
            </w:r>
          </w:p>
        </w:tc>
        <w:tc>
          <w:tcPr>
            <w:tcW w:w="356" w:type="pct"/>
            <w:tcBorders>
              <w:top w:val="nil"/>
              <w:left w:val="nil"/>
              <w:bottom w:val="nil"/>
              <w:right w:val="nil"/>
            </w:tcBorders>
            <w:tcMar>
              <w:top w:w="6" w:type="dxa"/>
              <w:left w:w="6" w:type="dxa"/>
              <w:bottom w:w="6" w:type="dxa"/>
              <w:right w:w="6" w:type="dxa"/>
            </w:tcMar>
            <w:vAlign w:val="bottom"/>
            <w:hideMark/>
          </w:tcPr>
          <w:p w14:paraId="6BE409EA" w14:textId="77777777" w:rsidR="008F5536" w:rsidRPr="002B3E1D" w:rsidRDefault="008F5536" w:rsidP="008F5536">
            <w:pPr>
              <w:tabs>
                <w:tab w:val="decimal" w:pos="142"/>
              </w:tabs>
              <w:rPr>
                <w:rFonts w:ascii="Times New Roman" w:hAnsi="Times New Roman"/>
                <w:sz w:val="20"/>
                <w:szCs w:val="20"/>
                <w:lang w:val="en-US"/>
              </w:rPr>
            </w:pPr>
            <w:r w:rsidRPr="002B3E1D">
              <w:rPr>
                <w:rFonts w:ascii="Times New Roman" w:hAnsi="Times New Roman"/>
                <w:sz w:val="20"/>
                <w:szCs w:val="20"/>
                <w:lang w:val="en-US"/>
              </w:rPr>
              <w:t>.06</w:t>
            </w:r>
          </w:p>
        </w:tc>
        <w:tc>
          <w:tcPr>
            <w:tcW w:w="356" w:type="pct"/>
            <w:tcBorders>
              <w:top w:val="nil"/>
              <w:left w:val="nil"/>
              <w:bottom w:val="nil"/>
              <w:right w:val="nil"/>
            </w:tcBorders>
            <w:tcMar>
              <w:top w:w="6" w:type="dxa"/>
              <w:left w:w="6" w:type="dxa"/>
              <w:bottom w:w="6" w:type="dxa"/>
              <w:right w:w="6" w:type="dxa"/>
            </w:tcMar>
            <w:vAlign w:val="bottom"/>
            <w:hideMark/>
          </w:tcPr>
          <w:p w14:paraId="265D4009" w14:textId="77777777" w:rsidR="008F5536" w:rsidRPr="002B3E1D" w:rsidRDefault="008F5536" w:rsidP="008F5536">
            <w:pPr>
              <w:tabs>
                <w:tab w:val="decimal" w:pos="142"/>
              </w:tabs>
              <w:rPr>
                <w:rFonts w:ascii="Times New Roman" w:hAnsi="Times New Roman"/>
                <w:sz w:val="20"/>
                <w:szCs w:val="20"/>
                <w:lang w:val="en-US"/>
              </w:rPr>
            </w:pPr>
            <w:r w:rsidRPr="002B3E1D">
              <w:rPr>
                <w:rFonts w:ascii="Times New Roman" w:hAnsi="Times New Roman"/>
                <w:sz w:val="20"/>
                <w:szCs w:val="20"/>
                <w:lang w:val="en-US"/>
              </w:rPr>
              <w:t>.38**</w:t>
            </w:r>
          </w:p>
        </w:tc>
        <w:tc>
          <w:tcPr>
            <w:tcW w:w="357" w:type="pct"/>
            <w:tcBorders>
              <w:top w:val="nil"/>
              <w:left w:val="nil"/>
              <w:bottom w:val="nil"/>
              <w:right w:val="nil"/>
            </w:tcBorders>
            <w:tcMar>
              <w:top w:w="6" w:type="dxa"/>
              <w:left w:w="6" w:type="dxa"/>
              <w:bottom w:w="6" w:type="dxa"/>
              <w:right w:w="6" w:type="dxa"/>
            </w:tcMar>
            <w:vAlign w:val="bottom"/>
            <w:hideMark/>
          </w:tcPr>
          <w:p w14:paraId="626E4DA5" w14:textId="77777777" w:rsidR="008F5536" w:rsidRPr="002B3E1D" w:rsidRDefault="008F5536" w:rsidP="008F5536">
            <w:pPr>
              <w:tabs>
                <w:tab w:val="decimal" w:pos="142"/>
              </w:tabs>
              <w:rPr>
                <w:rFonts w:ascii="Times New Roman" w:hAnsi="Times New Roman"/>
                <w:sz w:val="20"/>
                <w:szCs w:val="20"/>
                <w:lang w:val="en-US"/>
              </w:rPr>
            </w:pPr>
            <w:r w:rsidRPr="002B3E1D">
              <w:rPr>
                <w:rFonts w:ascii="Times New Roman" w:hAnsi="Times New Roman"/>
                <w:sz w:val="20"/>
                <w:szCs w:val="20"/>
                <w:lang w:val="en-US"/>
              </w:rPr>
              <w:t>.40**</w:t>
            </w:r>
          </w:p>
        </w:tc>
        <w:tc>
          <w:tcPr>
            <w:tcW w:w="356" w:type="pct"/>
            <w:tcBorders>
              <w:top w:val="nil"/>
              <w:left w:val="nil"/>
              <w:bottom w:val="nil"/>
              <w:right w:val="nil"/>
            </w:tcBorders>
            <w:tcMar>
              <w:top w:w="6" w:type="dxa"/>
              <w:left w:w="6" w:type="dxa"/>
              <w:bottom w:w="6" w:type="dxa"/>
              <w:right w:w="6" w:type="dxa"/>
            </w:tcMar>
            <w:vAlign w:val="bottom"/>
            <w:hideMark/>
          </w:tcPr>
          <w:p w14:paraId="3CA58B82" w14:textId="77777777" w:rsidR="008F5536" w:rsidRPr="002B3E1D" w:rsidRDefault="008F5536" w:rsidP="008F5536">
            <w:pPr>
              <w:tabs>
                <w:tab w:val="decimal" w:pos="142"/>
              </w:tabs>
              <w:rPr>
                <w:rFonts w:ascii="Times New Roman" w:hAnsi="Times New Roman"/>
                <w:i/>
                <w:sz w:val="20"/>
                <w:szCs w:val="20"/>
                <w:lang w:val="en-US"/>
              </w:rPr>
            </w:pPr>
            <w:r w:rsidRPr="002B3E1D">
              <w:rPr>
                <w:rFonts w:ascii="Times New Roman" w:hAnsi="Times New Roman"/>
                <w:i/>
                <w:sz w:val="20"/>
                <w:szCs w:val="20"/>
                <w:lang w:val="en-US"/>
              </w:rPr>
              <w:t>.82</w:t>
            </w:r>
          </w:p>
        </w:tc>
        <w:tc>
          <w:tcPr>
            <w:tcW w:w="356" w:type="pct"/>
            <w:tcBorders>
              <w:top w:val="nil"/>
              <w:left w:val="nil"/>
              <w:bottom w:val="nil"/>
              <w:right w:val="nil"/>
            </w:tcBorders>
            <w:tcMar>
              <w:top w:w="6" w:type="dxa"/>
              <w:left w:w="6" w:type="dxa"/>
              <w:bottom w:w="6" w:type="dxa"/>
              <w:right w:w="6" w:type="dxa"/>
            </w:tcMar>
            <w:vAlign w:val="bottom"/>
          </w:tcPr>
          <w:p w14:paraId="35E5C887" w14:textId="77777777" w:rsidR="008F5536" w:rsidRPr="002B3E1D" w:rsidRDefault="008F5536" w:rsidP="008F5536">
            <w:pPr>
              <w:tabs>
                <w:tab w:val="decimal" w:pos="142"/>
              </w:tabs>
              <w:rPr>
                <w:rFonts w:ascii="Times New Roman" w:hAnsi="Times New Roman"/>
                <w:sz w:val="20"/>
                <w:szCs w:val="20"/>
                <w:lang w:val="en-US"/>
              </w:rPr>
            </w:pPr>
          </w:p>
        </w:tc>
        <w:tc>
          <w:tcPr>
            <w:tcW w:w="357" w:type="pct"/>
            <w:tcBorders>
              <w:top w:val="nil"/>
              <w:left w:val="nil"/>
              <w:bottom w:val="nil"/>
              <w:right w:val="nil"/>
            </w:tcBorders>
            <w:tcMar>
              <w:top w:w="6" w:type="dxa"/>
              <w:left w:w="6" w:type="dxa"/>
              <w:bottom w:w="6" w:type="dxa"/>
              <w:right w:w="6" w:type="dxa"/>
            </w:tcMar>
            <w:vAlign w:val="bottom"/>
          </w:tcPr>
          <w:p w14:paraId="4B4AB5C3" w14:textId="77777777" w:rsidR="008F5536" w:rsidRPr="002B3E1D" w:rsidRDefault="008F5536" w:rsidP="008F5536">
            <w:pPr>
              <w:tabs>
                <w:tab w:val="decimal" w:pos="142"/>
              </w:tabs>
              <w:rPr>
                <w:rFonts w:ascii="Times New Roman" w:hAnsi="Times New Roman"/>
                <w:sz w:val="20"/>
                <w:szCs w:val="20"/>
                <w:lang w:val="en-US"/>
              </w:rPr>
            </w:pPr>
          </w:p>
        </w:tc>
      </w:tr>
      <w:tr w:rsidR="008F5536" w:rsidRPr="002B3E1D" w14:paraId="0D6D60A1" w14:textId="77777777" w:rsidTr="008F5536">
        <w:tc>
          <w:tcPr>
            <w:tcW w:w="191" w:type="pct"/>
            <w:tcBorders>
              <w:top w:val="nil"/>
              <w:left w:val="nil"/>
              <w:bottom w:val="nil"/>
              <w:right w:val="nil"/>
            </w:tcBorders>
            <w:tcMar>
              <w:top w:w="6" w:type="dxa"/>
              <w:left w:w="6" w:type="dxa"/>
              <w:bottom w:w="6" w:type="dxa"/>
              <w:right w:w="6" w:type="dxa"/>
            </w:tcMar>
            <w:hideMark/>
          </w:tcPr>
          <w:p w14:paraId="0B7268B6" w14:textId="77777777" w:rsidR="008F5536" w:rsidRPr="002B3E1D" w:rsidRDefault="008F5536" w:rsidP="008F5536">
            <w:pPr>
              <w:rPr>
                <w:rFonts w:ascii="Times New Roman" w:hAnsi="Times New Roman"/>
                <w:b/>
                <w:sz w:val="20"/>
                <w:szCs w:val="20"/>
                <w:lang w:val="en-US"/>
              </w:rPr>
            </w:pPr>
            <w:r w:rsidRPr="002B3E1D">
              <w:rPr>
                <w:rFonts w:ascii="Times New Roman" w:hAnsi="Times New Roman"/>
                <w:b/>
                <w:sz w:val="20"/>
                <w:szCs w:val="20"/>
                <w:lang w:val="en-US"/>
              </w:rPr>
              <w:t>X6</w:t>
            </w:r>
          </w:p>
        </w:tc>
        <w:tc>
          <w:tcPr>
            <w:tcW w:w="1245" w:type="pct"/>
            <w:gridSpan w:val="2"/>
            <w:tcBorders>
              <w:top w:val="nil"/>
              <w:left w:val="nil"/>
              <w:bottom w:val="nil"/>
              <w:right w:val="nil"/>
            </w:tcBorders>
            <w:tcMar>
              <w:top w:w="6" w:type="dxa"/>
              <w:left w:w="6" w:type="dxa"/>
              <w:bottom w:w="6" w:type="dxa"/>
              <w:right w:w="6" w:type="dxa"/>
            </w:tcMar>
            <w:hideMark/>
          </w:tcPr>
          <w:p w14:paraId="3F27B8C0" w14:textId="77777777" w:rsidR="008F5536" w:rsidRPr="002B3E1D" w:rsidRDefault="008F5536" w:rsidP="008F5536">
            <w:pPr>
              <w:rPr>
                <w:rFonts w:ascii="Times New Roman" w:hAnsi="Times New Roman"/>
                <w:sz w:val="20"/>
                <w:szCs w:val="20"/>
                <w:lang w:val="en-US"/>
              </w:rPr>
            </w:pPr>
            <w:r w:rsidRPr="002B3E1D">
              <w:rPr>
                <w:rFonts w:ascii="Times New Roman" w:hAnsi="Times New Roman"/>
                <w:bCs/>
                <w:sz w:val="20"/>
                <w:szCs w:val="20"/>
                <w:lang w:val="en-US"/>
              </w:rPr>
              <w:t>Exploitative Innovation</w:t>
            </w:r>
          </w:p>
        </w:tc>
        <w:tc>
          <w:tcPr>
            <w:tcW w:w="356" w:type="pct"/>
            <w:tcBorders>
              <w:top w:val="nil"/>
              <w:left w:val="nil"/>
              <w:bottom w:val="nil"/>
              <w:right w:val="nil"/>
            </w:tcBorders>
            <w:tcMar>
              <w:top w:w="6" w:type="dxa"/>
              <w:left w:w="6" w:type="dxa"/>
              <w:bottom w:w="6" w:type="dxa"/>
              <w:right w:w="6" w:type="dxa"/>
            </w:tcMar>
          </w:tcPr>
          <w:p w14:paraId="71E78526" w14:textId="77777777" w:rsidR="008F5536" w:rsidRPr="002B3E1D" w:rsidRDefault="008F5536" w:rsidP="008F5536">
            <w:pPr>
              <w:jc w:val="center"/>
              <w:rPr>
                <w:rFonts w:ascii="Times New Roman" w:hAnsi="Times New Roman"/>
                <w:sz w:val="20"/>
                <w:szCs w:val="20"/>
                <w:lang w:val="en-US"/>
              </w:rPr>
            </w:pPr>
            <w:r w:rsidRPr="002B3E1D">
              <w:rPr>
                <w:rFonts w:ascii="Times New Roman" w:hAnsi="Times New Roman"/>
                <w:sz w:val="20"/>
                <w:szCs w:val="20"/>
                <w:lang w:val="en-US"/>
              </w:rPr>
              <w:t>.88</w:t>
            </w:r>
          </w:p>
        </w:tc>
        <w:tc>
          <w:tcPr>
            <w:tcW w:w="356" w:type="pct"/>
            <w:tcBorders>
              <w:top w:val="nil"/>
              <w:left w:val="nil"/>
              <w:bottom w:val="nil"/>
              <w:right w:val="nil"/>
            </w:tcBorders>
            <w:tcMar>
              <w:top w:w="6" w:type="dxa"/>
              <w:left w:w="6" w:type="dxa"/>
              <w:bottom w:w="6" w:type="dxa"/>
              <w:right w:w="6" w:type="dxa"/>
            </w:tcMar>
            <w:vAlign w:val="bottom"/>
            <w:hideMark/>
          </w:tcPr>
          <w:p w14:paraId="59EBF61E" w14:textId="77777777" w:rsidR="008F5536" w:rsidRPr="002B3E1D" w:rsidRDefault="008F5536" w:rsidP="008F5536">
            <w:pPr>
              <w:jc w:val="center"/>
              <w:rPr>
                <w:rFonts w:ascii="Times New Roman" w:hAnsi="Times New Roman"/>
                <w:sz w:val="20"/>
                <w:szCs w:val="20"/>
                <w:lang w:val="en-US"/>
              </w:rPr>
            </w:pPr>
            <w:r w:rsidRPr="002B3E1D">
              <w:rPr>
                <w:rFonts w:ascii="Times New Roman" w:hAnsi="Times New Roman"/>
                <w:sz w:val="20"/>
                <w:szCs w:val="20"/>
                <w:lang w:val="en-US"/>
              </w:rPr>
              <w:t>.89</w:t>
            </w:r>
          </w:p>
        </w:tc>
        <w:tc>
          <w:tcPr>
            <w:tcW w:w="356" w:type="pct"/>
            <w:tcBorders>
              <w:top w:val="nil"/>
              <w:left w:val="nil"/>
              <w:bottom w:val="nil"/>
              <w:right w:val="nil"/>
            </w:tcBorders>
            <w:tcMar>
              <w:top w:w="6" w:type="dxa"/>
              <w:left w:w="6" w:type="dxa"/>
              <w:bottom w:w="6" w:type="dxa"/>
              <w:right w:w="6" w:type="dxa"/>
            </w:tcMar>
            <w:vAlign w:val="bottom"/>
            <w:hideMark/>
          </w:tcPr>
          <w:p w14:paraId="4C4DCBB8" w14:textId="77777777" w:rsidR="008F5536" w:rsidRPr="002B3E1D" w:rsidRDefault="008F5536" w:rsidP="008F5536">
            <w:pPr>
              <w:jc w:val="center"/>
              <w:rPr>
                <w:rFonts w:ascii="Times New Roman" w:hAnsi="Times New Roman"/>
                <w:sz w:val="20"/>
                <w:szCs w:val="20"/>
                <w:lang w:val="en-US"/>
              </w:rPr>
            </w:pPr>
            <w:r w:rsidRPr="002B3E1D">
              <w:rPr>
                <w:rFonts w:ascii="Times New Roman" w:hAnsi="Times New Roman"/>
                <w:sz w:val="20"/>
                <w:szCs w:val="20"/>
                <w:lang w:val="en-US"/>
              </w:rPr>
              <w:t>.67</w:t>
            </w:r>
          </w:p>
        </w:tc>
        <w:tc>
          <w:tcPr>
            <w:tcW w:w="357" w:type="pct"/>
            <w:tcBorders>
              <w:top w:val="nil"/>
              <w:left w:val="nil"/>
              <w:bottom w:val="nil"/>
              <w:right w:val="nil"/>
            </w:tcBorders>
            <w:tcMar>
              <w:top w:w="6" w:type="dxa"/>
              <w:left w:w="6" w:type="dxa"/>
              <w:bottom w:w="6" w:type="dxa"/>
              <w:right w:w="6" w:type="dxa"/>
            </w:tcMar>
            <w:vAlign w:val="bottom"/>
            <w:hideMark/>
          </w:tcPr>
          <w:p w14:paraId="5F8D1E1F" w14:textId="77777777" w:rsidR="008F5536" w:rsidRPr="002B3E1D" w:rsidRDefault="008F5536" w:rsidP="008F5536">
            <w:pPr>
              <w:tabs>
                <w:tab w:val="decimal" w:pos="142"/>
              </w:tabs>
              <w:rPr>
                <w:rFonts w:ascii="Times New Roman" w:hAnsi="Times New Roman"/>
                <w:sz w:val="20"/>
                <w:szCs w:val="20"/>
                <w:lang w:val="en-US"/>
              </w:rPr>
            </w:pPr>
            <w:r w:rsidRPr="002B3E1D">
              <w:rPr>
                <w:rFonts w:ascii="Times New Roman" w:hAnsi="Times New Roman"/>
                <w:sz w:val="20"/>
                <w:szCs w:val="20"/>
                <w:lang w:val="en-US"/>
              </w:rPr>
              <w:t>.32**</w:t>
            </w:r>
          </w:p>
        </w:tc>
        <w:tc>
          <w:tcPr>
            <w:tcW w:w="356" w:type="pct"/>
            <w:tcBorders>
              <w:top w:val="nil"/>
              <w:left w:val="nil"/>
              <w:bottom w:val="nil"/>
              <w:right w:val="nil"/>
            </w:tcBorders>
            <w:tcMar>
              <w:top w:w="6" w:type="dxa"/>
              <w:left w:w="6" w:type="dxa"/>
              <w:bottom w:w="6" w:type="dxa"/>
              <w:right w:w="6" w:type="dxa"/>
            </w:tcMar>
            <w:vAlign w:val="bottom"/>
            <w:hideMark/>
          </w:tcPr>
          <w:p w14:paraId="43C961A7" w14:textId="77777777" w:rsidR="008F5536" w:rsidRPr="002B3E1D" w:rsidRDefault="008F5536" w:rsidP="008F5536">
            <w:pPr>
              <w:tabs>
                <w:tab w:val="decimal" w:pos="142"/>
              </w:tabs>
              <w:rPr>
                <w:rFonts w:ascii="Times New Roman" w:hAnsi="Times New Roman"/>
                <w:sz w:val="20"/>
                <w:szCs w:val="20"/>
                <w:lang w:val="en-US"/>
              </w:rPr>
            </w:pPr>
            <w:r w:rsidRPr="002B3E1D">
              <w:rPr>
                <w:rFonts w:ascii="Times New Roman" w:hAnsi="Times New Roman"/>
                <w:sz w:val="20"/>
                <w:szCs w:val="20"/>
                <w:lang w:val="en-US"/>
              </w:rPr>
              <w:t>-.07</w:t>
            </w:r>
          </w:p>
        </w:tc>
        <w:tc>
          <w:tcPr>
            <w:tcW w:w="356" w:type="pct"/>
            <w:tcBorders>
              <w:top w:val="nil"/>
              <w:left w:val="nil"/>
              <w:bottom w:val="nil"/>
              <w:right w:val="nil"/>
            </w:tcBorders>
            <w:tcMar>
              <w:top w:w="6" w:type="dxa"/>
              <w:left w:w="6" w:type="dxa"/>
              <w:bottom w:w="6" w:type="dxa"/>
              <w:right w:w="6" w:type="dxa"/>
            </w:tcMar>
            <w:vAlign w:val="bottom"/>
            <w:hideMark/>
          </w:tcPr>
          <w:p w14:paraId="1FB42E12" w14:textId="77777777" w:rsidR="008F5536" w:rsidRPr="002B3E1D" w:rsidRDefault="008F5536" w:rsidP="008F5536">
            <w:pPr>
              <w:tabs>
                <w:tab w:val="decimal" w:pos="142"/>
              </w:tabs>
              <w:rPr>
                <w:rFonts w:ascii="Times New Roman" w:hAnsi="Times New Roman"/>
                <w:sz w:val="20"/>
                <w:szCs w:val="20"/>
                <w:lang w:val="en-US"/>
              </w:rPr>
            </w:pPr>
            <w:r w:rsidRPr="002B3E1D">
              <w:rPr>
                <w:rFonts w:ascii="Times New Roman" w:hAnsi="Times New Roman"/>
                <w:sz w:val="20"/>
                <w:szCs w:val="20"/>
                <w:lang w:val="en-US"/>
              </w:rPr>
              <w:t>.30**</w:t>
            </w:r>
          </w:p>
        </w:tc>
        <w:tc>
          <w:tcPr>
            <w:tcW w:w="357" w:type="pct"/>
            <w:tcBorders>
              <w:top w:val="nil"/>
              <w:left w:val="nil"/>
              <w:bottom w:val="nil"/>
              <w:right w:val="nil"/>
            </w:tcBorders>
            <w:tcMar>
              <w:top w:w="6" w:type="dxa"/>
              <w:left w:w="6" w:type="dxa"/>
              <w:bottom w:w="6" w:type="dxa"/>
              <w:right w:w="6" w:type="dxa"/>
            </w:tcMar>
            <w:vAlign w:val="bottom"/>
            <w:hideMark/>
          </w:tcPr>
          <w:p w14:paraId="5E581951" w14:textId="77777777" w:rsidR="008F5536" w:rsidRPr="002B3E1D" w:rsidRDefault="008F5536" w:rsidP="008F5536">
            <w:pPr>
              <w:tabs>
                <w:tab w:val="decimal" w:pos="142"/>
              </w:tabs>
              <w:rPr>
                <w:rFonts w:ascii="Times New Roman" w:hAnsi="Times New Roman"/>
                <w:sz w:val="20"/>
                <w:szCs w:val="20"/>
                <w:lang w:val="en-US"/>
              </w:rPr>
            </w:pPr>
            <w:r w:rsidRPr="002B3E1D">
              <w:rPr>
                <w:rFonts w:ascii="Times New Roman" w:hAnsi="Times New Roman"/>
                <w:sz w:val="20"/>
                <w:szCs w:val="20"/>
                <w:lang w:val="en-US"/>
              </w:rPr>
              <w:t>.46**</w:t>
            </w:r>
          </w:p>
        </w:tc>
        <w:tc>
          <w:tcPr>
            <w:tcW w:w="356" w:type="pct"/>
            <w:tcBorders>
              <w:top w:val="nil"/>
              <w:left w:val="nil"/>
              <w:bottom w:val="nil"/>
              <w:right w:val="nil"/>
            </w:tcBorders>
            <w:tcMar>
              <w:top w:w="6" w:type="dxa"/>
              <w:left w:w="6" w:type="dxa"/>
              <w:bottom w:w="6" w:type="dxa"/>
              <w:right w:w="6" w:type="dxa"/>
            </w:tcMar>
            <w:vAlign w:val="bottom"/>
            <w:hideMark/>
          </w:tcPr>
          <w:p w14:paraId="74D01BC7" w14:textId="77777777" w:rsidR="008F5536" w:rsidRPr="002B3E1D" w:rsidRDefault="008F5536" w:rsidP="008F5536">
            <w:pPr>
              <w:tabs>
                <w:tab w:val="decimal" w:pos="142"/>
              </w:tabs>
              <w:rPr>
                <w:rFonts w:ascii="Times New Roman" w:hAnsi="Times New Roman"/>
                <w:sz w:val="20"/>
                <w:szCs w:val="20"/>
                <w:lang w:val="en-US"/>
              </w:rPr>
            </w:pPr>
            <w:r w:rsidRPr="002B3E1D">
              <w:rPr>
                <w:rFonts w:ascii="Times New Roman" w:hAnsi="Times New Roman"/>
                <w:sz w:val="20"/>
                <w:szCs w:val="20"/>
                <w:lang w:val="en-US"/>
              </w:rPr>
              <w:t>.36**</w:t>
            </w:r>
          </w:p>
        </w:tc>
        <w:tc>
          <w:tcPr>
            <w:tcW w:w="356" w:type="pct"/>
            <w:tcBorders>
              <w:top w:val="nil"/>
              <w:left w:val="nil"/>
              <w:bottom w:val="nil"/>
              <w:right w:val="nil"/>
            </w:tcBorders>
            <w:tcMar>
              <w:top w:w="6" w:type="dxa"/>
              <w:left w:w="6" w:type="dxa"/>
              <w:bottom w:w="6" w:type="dxa"/>
              <w:right w:w="6" w:type="dxa"/>
            </w:tcMar>
            <w:vAlign w:val="bottom"/>
            <w:hideMark/>
          </w:tcPr>
          <w:p w14:paraId="6EC69BF3" w14:textId="77777777" w:rsidR="008F5536" w:rsidRPr="002B3E1D" w:rsidRDefault="008F5536" w:rsidP="008F5536">
            <w:pPr>
              <w:tabs>
                <w:tab w:val="decimal" w:pos="142"/>
              </w:tabs>
              <w:rPr>
                <w:rFonts w:ascii="Times New Roman" w:hAnsi="Times New Roman"/>
                <w:i/>
                <w:sz w:val="20"/>
                <w:szCs w:val="20"/>
                <w:lang w:val="en-US"/>
              </w:rPr>
            </w:pPr>
            <w:r w:rsidRPr="002B3E1D">
              <w:rPr>
                <w:rFonts w:ascii="Times New Roman" w:hAnsi="Times New Roman"/>
                <w:i/>
                <w:sz w:val="20"/>
                <w:szCs w:val="20"/>
                <w:lang w:val="en-US"/>
              </w:rPr>
              <w:t>.82</w:t>
            </w:r>
          </w:p>
        </w:tc>
        <w:tc>
          <w:tcPr>
            <w:tcW w:w="357" w:type="pct"/>
            <w:tcBorders>
              <w:top w:val="nil"/>
              <w:left w:val="nil"/>
              <w:bottom w:val="nil"/>
              <w:right w:val="nil"/>
            </w:tcBorders>
            <w:tcMar>
              <w:top w:w="6" w:type="dxa"/>
              <w:left w:w="6" w:type="dxa"/>
              <w:bottom w:w="6" w:type="dxa"/>
              <w:right w:w="6" w:type="dxa"/>
            </w:tcMar>
            <w:vAlign w:val="bottom"/>
          </w:tcPr>
          <w:p w14:paraId="5459A074" w14:textId="77777777" w:rsidR="008F5536" w:rsidRPr="002B3E1D" w:rsidRDefault="008F5536" w:rsidP="008F5536">
            <w:pPr>
              <w:tabs>
                <w:tab w:val="decimal" w:pos="142"/>
              </w:tabs>
              <w:rPr>
                <w:rFonts w:ascii="Times New Roman" w:hAnsi="Times New Roman"/>
                <w:sz w:val="20"/>
                <w:szCs w:val="20"/>
                <w:lang w:val="en-US"/>
              </w:rPr>
            </w:pPr>
          </w:p>
        </w:tc>
      </w:tr>
      <w:tr w:rsidR="008F5536" w:rsidRPr="002B3E1D" w14:paraId="2B1C0768" w14:textId="77777777" w:rsidTr="008F5536">
        <w:tc>
          <w:tcPr>
            <w:tcW w:w="191" w:type="pct"/>
            <w:tcBorders>
              <w:top w:val="nil"/>
              <w:left w:val="nil"/>
              <w:bottom w:val="nil"/>
              <w:right w:val="nil"/>
            </w:tcBorders>
            <w:tcMar>
              <w:top w:w="6" w:type="dxa"/>
              <w:left w:w="6" w:type="dxa"/>
              <w:bottom w:w="6" w:type="dxa"/>
              <w:right w:w="6" w:type="dxa"/>
            </w:tcMar>
            <w:hideMark/>
          </w:tcPr>
          <w:p w14:paraId="3820B5D7" w14:textId="77777777" w:rsidR="008F5536" w:rsidRPr="002B3E1D" w:rsidRDefault="008F5536" w:rsidP="008F5536">
            <w:pPr>
              <w:rPr>
                <w:rFonts w:ascii="Times New Roman" w:hAnsi="Times New Roman"/>
                <w:b/>
                <w:sz w:val="20"/>
                <w:szCs w:val="20"/>
                <w:lang w:val="en-US"/>
              </w:rPr>
            </w:pPr>
            <w:r w:rsidRPr="002B3E1D">
              <w:rPr>
                <w:rFonts w:ascii="Times New Roman" w:hAnsi="Times New Roman"/>
                <w:b/>
                <w:sz w:val="20"/>
                <w:szCs w:val="20"/>
                <w:lang w:val="en-US"/>
              </w:rPr>
              <w:t>X7</w:t>
            </w:r>
          </w:p>
        </w:tc>
        <w:tc>
          <w:tcPr>
            <w:tcW w:w="1245" w:type="pct"/>
            <w:gridSpan w:val="2"/>
            <w:tcBorders>
              <w:top w:val="nil"/>
              <w:left w:val="nil"/>
              <w:bottom w:val="nil"/>
              <w:right w:val="nil"/>
            </w:tcBorders>
            <w:tcMar>
              <w:top w:w="6" w:type="dxa"/>
              <w:left w:w="6" w:type="dxa"/>
              <w:bottom w:w="6" w:type="dxa"/>
              <w:right w:w="6" w:type="dxa"/>
            </w:tcMar>
            <w:hideMark/>
          </w:tcPr>
          <w:p w14:paraId="59ECB92B" w14:textId="77777777" w:rsidR="008F5536" w:rsidRPr="002B3E1D" w:rsidRDefault="008F5536" w:rsidP="008F5536">
            <w:pPr>
              <w:rPr>
                <w:rFonts w:ascii="Times New Roman" w:hAnsi="Times New Roman"/>
                <w:sz w:val="20"/>
                <w:szCs w:val="20"/>
                <w:lang w:val="en-US"/>
              </w:rPr>
            </w:pPr>
            <w:r w:rsidRPr="002B3E1D">
              <w:rPr>
                <w:rFonts w:ascii="Times New Roman" w:hAnsi="Times New Roman"/>
                <w:bCs/>
                <w:sz w:val="20"/>
                <w:szCs w:val="20"/>
                <w:lang w:val="en-US"/>
              </w:rPr>
              <w:t>Integration</w:t>
            </w:r>
          </w:p>
        </w:tc>
        <w:tc>
          <w:tcPr>
            <w:tcW w:w="356" w:type="pct"/>
            <w:tcBorders>
              <w:top w:val="nil"/>
              <w:left w:val="nil"/>
              <w:bottom w:val="nil"/>
              <w:right w:val="nil"/>
            </w:tcBorders>
            <w:tcMar>
              <w:top w:w="6" w:type="dxa"/>
              <w:left w:w="6" w:type="dxa"/>
              <w:bottom w:w="6" w:type="dxa"/>
              <w:right w:w="6" w:type="dxa"/>
            </w:tcMar>
          </w:tcPr>
          <w:p w14:paraId="69888C12" w14:textId="77777777" w:rsidR="008F5536" w:rsidRPr="002B3E1D" w:rsidRDefault="008F5536" w:rsidP="008F5536">
            <w:pPr>
              <w:jc w:val="center"/>
              <w:rPr>
                <w:rFonts w:ascii="Times New Roman" w:hAnsi="Times New Roman"/>
                <w:sz w:val="20"/>
                <w:szCs w:val="20"/>
                <w:lang w:val="en-US"/>
              </w:rPr>
            </w:pPr>
            <w:r w:rsidRPr="002B3E1D">
              <w:rPr>
                <w:rFonts w:ascii="Times New Roman" w:hAnsi="Times New Roman"/>
                <w:sz w:val="20"/>
                <w:szCs w:val="20"/>
                <w:lang w:val="en-US"/>
              </w:rPr>
              <w:t>.89</w:t>
            </w:r>
          </w:p>
        </w:tc>
        <w:tc>
          <w:tcPr>
            <w:tcW w:w="356" w:type="pct"/>
            <w:tcBorders>
              <w:top w:val="nil"/>
              <w:left w:val="nil"/>
              <w:bottom w:val="nil"/>
              <w:right w:val="nil"/>
            </w:tcBorders>
            <w:tcMar>
              <w:top w:w="6" w:type="dxa"/>
              <w:left w:w="6" w:type="dxa"/>
              <w:bottom w:w="6" w:type="dxa"/>
              <w:right w:w="6" w:type="dxa"/>
            </w:tcMar>
            <w:vAlign w:val="bottom"/>
            <w:hideMark/>
          </w:tcPr>
          <w:p w14:paraId="36728C7F" w14:textId="77777777" w:rsidR="008F5536" w:rsidRPr="002B3E1D" w:rsidRDefault="008F5536" w:rsidP="008F5536">
            <w:pPr>
              <w:jc w:val="center"/>
              <w:rPr>
                <w:rFonts w:ascii="Times New Roman" w:hAnsi="Times New Roman"/>
                <w:sz w:val="20"/>
                <w:szCs w:val="20"/>
                <w:lang w:val="en-US"/>
              </w:rPr>
            </w:pPr>
            <w:r w:rsidRPr="002B3E1D">
              <w:rPr>
                <w:rFonts w:ascii="Times New Roman" w:hAnsi="Times New Roman"/>
                <w:sz w:val="20"/>
                <w:szCs w:val="20"/>
                <w:lang w:val="en-US"/>
              </w:rPr>
              <w:t>.89</w:t>
            </w:r>
          </w:p>
        </w:tc>
        <w:tc>
          <w:tcPr>
            <w:tcW w:w="356" w:type="pct"/>
            <w:tcBorders>
              <w:top w:val="nil"/>
              <w:left w:val="nil"/>
              <w:bottom w:val="nil"/>
              <w:right w:val="nil"/>
            </w:tcBorders>
            <w:tcMar>
              <w:top w:w="6" w:type="dxa"/>
              <w:left w:w="6" w:type="dxa"/>
              <w:bottom w:w="6" w:type="dxa"/>
              <w:right w:w="6" w:type="dxa"/>
            </w:tcMar>
            <w:vAlign w:val="bottom"/>
            <w:hideMark/>
          </w:tcPr>
          <w:p w14:paraId="6384A493" w14:textId="77777777" w:rsidR="008F5536" w:rsidRPr="002B3E1D" w:rsidRDefault="008F5536" w:rsidP="008F5536">
            <w:pPr>
              <w:jc w:val="center"/>
              <w:rPr>
                <w:rFonts w:ascii="Times New Roman" w:hAnsi="Times New Roman"/>
                <w:sz w:val="20"/>
                <w:szCs w:val="20"/>
                <w:lang w:val="en-US"/>
              </w:rPr>
            </w:pPr>
            <w:r w:rsidRPr="002B3E1D">
              <w:rPr>
                <w:rFonts w:ascii="Times New Roman" w:hAnsi="Times New Roman"/>
                <w:sz w:val="20"/>
                <w:szCs w:val="20"/>
                <w:lang w:val="en-US"/>
              </w:rPr>
              <w:t>.62</w:t>
            </w:r>
          </w:p>
        </w:tc>
        <w:tc>
          <w:tcPr>
            <w:tcW w:w="357" w:type="pct"/>
            <w:tcBorders>
              <w:top w:val="nil"/>
              <w:left w:val="nil"/>
              <w:bottom w:val="nil"/>
              <w:right w:val="nil"/>
            </w:tcBorders>
            <w:tcMar>
              <w:top w:w="6" w:type="dxa"/>
              <w:left w:w="6" w:type="dxa"/>
              <w:bottom w:w="6" w:type="dxa"/>
              <w:right w:w="6" w:type="dxa"/>
            </w:tcMar>
            <w:vAlign w:val="bottom"/>
            <w:hideMark/>
          </w:tcPr>
          <w:p w14:paraId="72AA7D55" w14:textId="77777777" w:rsidR="008F5536" w:rsidRPr="002B3E1D" w:rsidRDefault="008F5536" w:rsidP="008F5536">
            <w:pPr>
              <w:tabs>
                <w:tab w:val="decimal" w:pos="142"/>
              </w:tabs>
              <w:rPr>
                <w:rFonts w:ascii="Times New Roman" w:hAnsi="Times New Roman"/>
                <w:sz w:val="20"/>
                <w:szCs w:val="20"/>
                <w:lang w:val="en-US"/>
              </w:rPr>
            </w:pPr>
            <w:r w:rsidRPr="002B3E1D">
              <w:rPr>
                <w:rFonts w:ascii="Times New Roman" w:hAnsi="Times New Roman"/>
                <w:sz w:val="20"/>
                <w:szCs w:val="20"/>
                <w:lang w:val="en-US"/>
              </w:rPr>
              <w:t>.51**</w:t>
            </w:r>
          </w:p>
        </w:tc>
        <w:tc>
          <w:tcPr>
            <w:tcW w:w="356" w:type="pct"/>
            <w:tcBorders>
              <w:top w:val="nil"/>
              <w:left w:val="nil"/>
              <w:bottom w:val="nil"/>
              <w:right w:val="nil"/>
            </w:tcBorders>
            <w:tcMar>
              <w:top w:w="6" w:type="dxa"/>
              <w:left w:w="6" w:type="dxa"/>
              <w:bottom w:w="6" w:type="dxa"/>
              <w:right w:w="6" w:type="dxa"/>
            </w:tcMar>
            <w:vAlign w:val="bottom"/>
            <w:hideMark/>
          </w:tcPr>
          <w:p w14:paraId="11970F3B" w14:textId="77777777" w:rsidR="008F5536" w:rsidRPr="002B3E1D" w:rsidRDefault="008F5536" w:rsidP="008F5536">
            <w:pPr>
              <w:tabs>
                <w:tab w:val="decimal" w:pos="142"/>
              </w:tabs>
              <w:rPr>
                <w:rFonts w:ascii="Times New Roman" w:hAnsi="Times New Roman"/>
                <w:sz w:val="20"/>
                <w:szCs w:val="20"/>
                <w:lang w:val="en-US"/>
              </w:rPr>
            </w:pPr>
            <w:r w:rsidRPr="002B3E1D">
              <w:rPr>
                <w:rFonts w:ascii="Times New Roman" w:hAnsi="Times New Roman"/>
                <w:sz w:val="20"/>
                <w:szCs w:val="20"/>
                <w:lang w:val="en-US"/>
              </w:rPr>
              <w:t>.33**</w:t>
            </w:r>
          </w:p>
        </w:tc>
        <w:tc>
          <w:tcPr>
            <w:tcW w:w="356" w:type="pct"/>
            <w:tcBorders>
              <w:top w:val="nil"/>
              <w:left w:val="nil"/>
              <w:bottom w:val="nil"/>
              <w:right w:val="nil"/>
            </w:tcBorders>
            <w:tcMar>
              <w:top w:w="6" w:type="dxa"/>
              <w:left w:w="6" w:type="dxa"/>
              <w:bottom w:w="6" w:type="dxa"/>
              <w:right w:w="6" w:type="dxa"/>
            </w:tcMar>
            <w:vAlign w:val="bottom"/>
            <w:hideMark/>
          </w:tcPr>
          <w:p w14:paraId="6B300CE5" w14:textId="77777777" w:rsidR="008F5536" w:rsidRPr="002B3E1D" w:rsidRDefault="008F5536" w:rsidP="008F5536">
            <w:pPr>
              <w:tabs>
                <w:tab w:val="decimal" w:pos="142"/>
              </w:tabs>
              <w:rPr>
                <w:rFonts w:ascii="Times New Roman" w:hAnsi="Times New Roman"/>
                <w:i/>
                <w:sz w:val="20"/>
                <w:szCs w:val="20"/>
                <w:lang w:val="en-US"/>
              </w:rPr>
            </w:pPr>
            <w:r w:rsidRPr="002B3E1D">
              <w:rPr>
                <w:rFonts w:ascii="Times New Roman" w:hAnsi="Times New Roman"/>
                <w:sz w:val="20"/>
                <w:szCs w:val="20"/>
                <w:lang w:val="en-US"/>
              </w:rPr>
              <w:t>.43</w:t>
            </w:r>
            <w:r w:rsidRPr="002B3E1D">
              <w:rPr>
                <w:rFonts w:ascii="Times New Roman" w:hAnsi="Times New Roman"/>
                <w:i/>
                <w:sz w:val="20"/>
                <w:szCs w:val="20"/>
                <w:lang w:val="en-US"/>
              </w:rPr>
              <w:t>**</w:t>
            </w:r>
          </w:p>
        </w:tc>
        <w:tc>
          <w:tcPr>
            <w:tcW w:w="357" w:type="pct"/>
            <w:tcBorders>
              <w:top w:val="nil"/>
              <w:left w:val="nil"/>
              <w:bottom w:val="nil"/>
              <w:right w:val="nil"/>
            </w:tcBorders>
            <w:tcMar>
              <w:top w:w="6" w:type="dxa"/>
              <w:left w:w="6" w:type="dxa"/>
              <w:bottom w:w="6" w:type="dxa"/>
              <w:right w:w="6" w:type="dxa"/>
            </w:tcMar>
            <w:vAlign w:val="bottom"/>
            <w:hideMark/>
          </w:tcPr>
          <w:p w14:paraId="2D6B8B74" w14:textId="77777777" w:rsidR="008F5536" w:rsidRPr="002B3E1D" w:rsidRDefault="008F5536" w:rsidP="008F5536">
            <w:pPr>
              <w:tabs>
                <w:tab w:val="decimal" w:pos="142"/>
              </w:tabs>
              <w:rPr>
                <w:rFonts w:ascii="Times New Roman" w:hAnsi="Times New Roman"/>
                <w:sz w:val="20"/>
                <w:szCs w:val="20"/>
                <w:lang w:val="en-US"/>
              </w:rPr>
            </w:pPr>
            <w:r w:rsidRPr="002B3E1D">
              <w:rPr>
                <w:rFonts w:ascii="Times New Roman" w:hAnsi="Times New Roman"/>
                <w:sz w:val="20"/>
                <w:szCs w:val="20"/>
                <w:lang w:val="en-US"/>
              </w:rPr>
              <w:t>.24**</w:t>
            </w:r>
          </w:p>
        </w:tc>
        <w:tc>
          <w:tcPr>
            <w:tcW w:w="356" w:type="pct"/>
            <w:tcBorders>
              <w:top w:val="nil"/>
              <w:left w:val="nil"/>
              <w:bottom w:val="nil"/>
              <w:right w:val="nil"/>
            </w:tcBorders>
            <w:tcMar>
              <w:top w:w="6" w:type="dxa"/>
              <w:left w:w="6" w:type="dxa"/>
              <w:bottom w:w="6" w:type="dxa"/>
              <w:right w:w="6" w:type="dxa"/>
            </w:tcMar>
            <w:vAlign w:val="bottom"/>
            <w:hideMark/>
          </w:tcPr>
          <w:p w14:paraId="11D1A81A" w14:textId="77777777" w:rsidR="008F5536" w:rsidRPr="002B3E1D" w:rsidRDefault="008F5536" w:rsidP="008F5536">
            <w:pPr>
              <w:tabs>
                <w:tab w:val="decimal" w:pos="142"/>
              </w:tabs>
              <w:rPr>
                <w:rFonts w:ascii="Times New Roman" w:hAnsi="Times New Roman"/>
                <w:sz w:val="20"/>
                <w:szCs w:val="20"/>
                <w:lang w:val="en-US"/>
              </w:rPr>
            </w:pPr>
            <w:r w:rsidRPr="002B3E1D">
              <w:rPr>
                <w:rFonts w:ascii="Times New Roman" w:hAnsi="Times New Roman"/>
                <w:sz w:val="20"/>
                <w:szCs w:val="20"/>
                <w:lang w:val="en-US"/>
              </w:rPr>
              <w:t>.14</w:t>
            </w:r>
          </w:p>
        </w:tc>
        <w:tc>
          <w:tcPr>
            <w:tcW w:w="356" w:type="pct"/>
            <w:tcBorders>
              <w:top w:val="nil"/>
              <w:left w:val="nil"/>
              <w:bottom w:val="nil"/>
              <w:right w:val="nil"/>
            </w:tcBorders>
            <w:tcMar>
              <w:top w:w="6" w:type="dxa"/>
              <w:left w:w="6" w:type="dxa"/>
              <w:bottom w:w="6" w:type="dxa"/>
              <w:right w:w="6" w:type="dxa"/>
            </w:tcMar>
            <w:vAlign w:val="bottom"/>
            <w:hideMark/>
          </w:tcPr>
          <w:p w14:paraId="332AA172" w14:textId="77777777" w:rsidR="008F5536" w:rsidRPr="002B3E1D" w:rsidRDefault="008F5536" w:rsidP="008F5536">
            <w:pPr>
              <w:tabs>
                <w:tab w:val="decimal" w:pos="142"/>
              </w:tabs>
              <w:rPr>
                <w:rFonts w:ascii="Times New Roman" w:hAnsi="Times New Roman"/>
                <w:sz w:val="20"/>
                <w:szCs w:val="20"/>
                <w:lang w:val="en-US"/>
              </w:rPr>
            </w:pPr>
            <w:r w:rsidRPr="002B3E1D">
              <w:rPr>
                <w:rFonts w:ascii="Times New Roman" w:hAnsi="Times New Roman"/>
                <w:sz w:val="20"/>
                <w:szCs w:val="20"/>
                <w:lang w:val="en-US"/>
              </w:rPr>
              <w:t>.24**</w:t>
            </w:r>
          </w:p>
        </w:tc>
        <w:tc>
          <w:tcPr>
            <w:tcW w:w="357" w:type="pct"/>
            <w:tcBorders>
              <w:top w:val="nil"/>
              <w:left w:val="nil"/>
              <w:bottom w:val="nil"/>
              <w:right w:val="nil"/>
            </w:tcBorders>
            <w:tcMar>
              <w:top w:w="6" w:type="dxa"/>
              <w:left w:w="6" w:type="dxa"/>
              <w:bottom w:w="6" w:type="dxa"/>
              <w:right w:w="6" w:type="dxa"/>
            </w:tcMar>
            <w:vAlign w:val="bottom"/>
            <w:hideMark/>
          </w:tcPr>
          <w:p w14:paraId="05806E81" w14:textId="77777777" w:rsidR="008F5536" w:rsidRPr="002B3E1D" w:rsidRDefault="008F5536" w:rsidP="008F5536">
            <w:pPr>
              <w:tabs>
                <w:tab w:val="decimal" w:pos="142"/>
              </w:tabs>
              <w:rPr>
                <w:rFonts w:ascii="Times New Roman" w:hAnsi="Times New Roman"/>
                <w:i/>
                <w:sz w:val="20"/>
                <w:szCs w:val="20"/>
                <w:lang w:val="en-US"/>
              </w:rPr>
            </w:pPr>
            <w:r w:rsidRPr="002B3E1D">
              <w:rPr>
                <w:rFonts w:ascii="Times New Roman" w:hAnsi="Times New Roman"/>
                <w:i/>
                <w:sz w:val="20"/>
                <w:szCs w:val="20"/>
                <w:lang w:val="en-US"/>
              </w:rPr>
              <w:t>.78</w:t>
            </w:r>
          </w:p>
        </w:tc>
      </w:tr>
      <w:tr w:rsidR="008F5536" w:rsidRPr="002B3E1D" w14:paraId="4319F7F8" w14:textId="77777777" w:rsidTr="008F5536">
        <w:tc>
          <w:tcPr>
            <w:tcW w:w="191" w:type="pct"/>
            <w:tcBorders>
              <w:top w:val="nil"/>
              <w:left w:val="nil"/>
              <w:bottom w:val="nil"/>
              <w:right w:val="nil"/>
            </w:tcBorders>
            <w:tcMar>
              <w:top w:w="6" w:type="dxa"/>
              <w:left w:w="6" w:type="dxa"/>
              <w:bottom w:w="6" w:type="dxa"/>
              <w:right w:w="6" w:type="dxa"/>
            </w:tcMar>
          </w:tcPr>
          <w:p w14:paraId="6D54F1A0" w14:textId="77777777" w:rsidR="008F5536" w:rsidRPr="002B3E1D" w:rsidRDefault="008F5536" w:rsidP="008F5536">
            <w:pPr>
              <w:rPr>
                <w:rFonts w:ascii="Times New Roman" w:hAnsi="Times New Roman"/>
                <w:b/>
                <w:sz w:val="20"/>
                <w:szCs w:val="20"/>
                <w:lang w:val="en-US"/>
              </w:rPr>
            </w:pPr>
          </w:p>
        </w:tc>
        <w:tc>
          <w:tcPr>
            <w:tcW w:w="785" w:type="pct"/>
            <w:tcBorders>
              <w:top w:val="nil"/>
              <w:left w:val="nil"/>
              <w:bottom w:val="nil"/>
              <w:right w:val="nil"/>
            </w:tcBorders>
            <w:tcMar>
              <w:top w:w="6" w:type="dxa"/>
              <w:left w:w="6" w:type="dxa"/>
              <w:bottom w:w="6" w:type="dxa"/>
              <w:right w:w="6" w:type="dxa"/>
            </w:tcMar>
          </w:tcPr>
          <w:p w14:paraId="6EC686F3" w14:textId="77777777" w:rsidR="008F5536" w:rsidRPr="002B3E1D" w:rsidRDefault="008F5536" w:rsidP="008F5536">
            <w:pPr>
              <w:rPr>
                <w:rFonts w:ascii="Times New Roman" w:hAnsi="Times New Roman"/>
                <w:bCs/>
                <w:sz w:val="20"/>
                <w:szCs w:val="20"/>
                <w:lang w:val="en-US"/>
              </w:rPr>
            </w:pPr>
          </w:p>
        </w:tc>
        <w:tc>
          <w:tcPr>
            <w:tcW w:w="459" w:type="pct"/>
            <w:tcBorders>
              <w:top w:val="nil"/>
              <w:left w:val="nil"/>
              <w:bottom w:val="nil"/>
              <w:right w:val="nil"/>
            </w:tcBorders>
            <w:tcMar>
              <w:top w:w="6" w:type="dxa"/>
              <w:left w:w="6" w:type="dxa"/>
              <w:bottom w:w="6" w:type="dxa"/>
              <w:right w:w="6" w:type="dxa"/>
            </w:tcMar>
            <w:vAlign w:val="center"/>
          </w:tcPr>
          <w:p w14:paraId="513413FC" w14:textId="77777777" w:rsidR="008F5536" w:rsidRPr="002B3E1D" w:rsidRDefault="008F5536" w:rsidP="008F5536">
            <w:pPr>
              <w:rPr>
                <w:rFonts w:ascii="Times New Roman" w:hAnsi="Times New Roman"/>
                <w:sz w:val="20"/>
                <w:szCs w:val="20"/>
                <w:lang w:val="en-US"/>
              </w:rPr>
            </w:pPr>
          </w:p>
        </w:tc>
        <w:tc>
          <w:tcPr>
            <w:tcW w:w="356" w:type="pct"/>
            <w:tcBorders>
              <w:top w:val="nil"/>
              <w:left w:val="nil"/>
              <w:bottom w:val="nil"/>
              <w:right w:val="nil"/>
            </w:tcBorders>
            <w:tcMar>
              <w:top w:w="6" w:type="dxa"/>
              <w:left w:w="6" w:type="dxa"/>
              <w:bottom w:w="6" w:type="dxa"/>
              <w:right w:w="6" w:type="dxa"/>
            </w:tcMar>
          </w:tcPr>
          <w:p w14:paraId="55EF8030" w14:textId="77777777" w:rsidR="008F5536" w:rsidRPr="002B3E1D" w:rsidRDefault="008F5536" w:rsidP="008F5536">
            <w:pPr>
              <w:tabs>
                <w:tab w:val="decimal" w:pos="142"/>
              </w:tabs>
              <w:rPr>
                <w:rFonts w:ascii="Times New Roman" w:hAnsi="Times New Roman"/>
                <w:sz w:val="20"/>
                <w:szCs w:val="20"/>
                <w:lang w:val="en-US"/>
              </w:rPr>
            </w:pPr>
          </w:p>
        </w:tc>
        <w:tc>
          <w:tcPr>
            <w:tcW w:w="356" w:type="pct"/>
            <w:tcBorders>
              <w:top w:val="nil"/>
              <w:left w:val="nil"/>
              <w:bottom w:val="nil"/>
              <w:right w:val="nil"/>
            </w:tcBorders>
            <w:tcMar>
              <w:top w:w="6" w:type="dxa"/>
              <w:left w:w="6" w:type="dxa"/>
              <w:bottom w:w="6" w:type="dxa"/>
              <w:right w:w="6" w:type="dxa"/>
            </w:tcMar>
            <w:vAlign w:val="bottom"/>
          </w:tcPr>
          <w:p w14:paraId="6015A2E1" w14:textId="77777777" w:rsidR="008F5536" w:rsidRPr="002B3E1D" w:rsidRDefault="008F5536" w:rsidP="008F5536">
            <w:pPr>
              <w:tabs>
                <w:tab w:val="decimal" w:pos="142"/>
              </w:tabs>
              <w:rPr>
                <w:rFonts w:ascii="Times New Roman" w:hAnsi="Times New Roman"/>
                <w:sz w:val="20"/>
                <w:szCs w:val="20"/>
                <w:lang w:val="en-US"/>
              </w:rPr>
            </w:pPr>
          </w:p>
        </w:tc>
        <w:tc>
          <w:tcPr>
            <w:tcW w:w="356" w:type="pct"/>
            <w:tcBorders>
              <w:top w:val="nil"/>
              <w:left w:val="nil"/>
              <w:bottom w:val="nil"/>
              <w:right w:val="nil"/>
            </w:tcBorders>
            <w:tcMar>
              <w:top w:w="6" w:type="dxa"/>
              <w:left w:w="6" w:type="dxa"/>
              <w:bottom w:w="6" w:type="dxa"/>
              <w:right w:w="6" w:type="dxa"/>
            </w:tcMar>
            <w:vAlign w:val="bottom"/>
          </w:tcPr>
          <w:p w14:paraId="39166BBA" w14:textId="77777777" w:rsidR="008F5536" w:rsidRPr="002B3E1D" w:rsidRDefault="008F5536" w:rsidP="008F5536">
            <w:pPr>
              <w:tabs>
                <w:tab w:val="decimal" w:pos="142"/>
              </w:tabs>
              <w:rPr>
                <w:rFonts w:ascii="Times New Roman" w:hAnsi="Times New Roman"/>
                <w:sz w:val="20"/>
                <w:szCs w:val="20"/>
                <w:lang w:val="en-US"/>
              </w:rPr>
            </w:pPr>
          </w:p>
        </w:tc>
        <w:tc>
          <w:tcPr>
            <w:tcW w:w="357" w:type="pct"/>
            <w:tcBorders>
              <w:top w:val="nil"/>
              <w:left w:val="nil"/>
              <w:bottom w:val="nil"/>
              <w:right w:val="nil"/>
            </w:tcBorders>
            <w:tcMar>
              <w:top w:w="6" w:type="dxa"/>
              <w:left w:w="6" w:type="dxa"/>
              <w:bottom w:w="6" w:type="dxa"/>
              <w:right w:w="6" w:type="dxa"/>
            </w:tcMar>
            <w:vAlign w:val="bottom"/>
          </w:tcPr>
          <w:p w14:paraId="2C2F9E2E" w14:textId="77777777" w:rsidR="008F5536" w:rsidRPr="002B3E1D" w:rsidRDefault="008F5536" w:rsidP="008F5536">
            <w:pPr>
              <w:tabs>
                <w:tab w:val="decimal" w:pos="142"/>
              </w:tabs>
              <w:rPr>
                <w:rFonts w:ascii="Times New Roman" w:hAnsi="Times New Roman"/>
                <w:sz w:val="20"/>
                <w:szCs w:val="20"/>
                <w:lang w:val="en-US"/>
              </w:rPr>
            </w:pPr>
          </w:p>
        </w:tc>
        <w:tc>
          <w:tcPr>
            <w:tcW w:w="356" w:type="pct"/>
            <w:tcBorders>
              <w:top w:val="nil"/>
              <w:left w:val="nil"/>
              <w:bottom w:val="nil"/>
              <w:right w:val="nil"/>
            </w:tcBorders>
            <w:tcMar>
              <w:top w:w="6" w:type="dxa"/>
              <w:left w:w="6" w:type="dxa"/>
              <w:bottom w:w="6" w:type="dxa"/>
              <w:right w:w="6" w:type="dxa"/>
            </w:tcMar>
            <w:vAlign w:val="bottom"/>
          </w:tcPr>
          <w:p w14:paraId="39D41BDC" w14:textId="77777777" w:rsidR="008F5536" w:rsidRPr="002B3E1D" w:rsidRDefault="008F5536" w:rsidP="008F5536">
            <w:pPr>
              <w:tabs>
                <w:tab w:val="decimal" w:pos="142"/>
              </w:tabs>
              <w:rPr>
                <w:rFonts w:ascii="Times New Roman" w:hAnsi="Times New Roman"/>
                <w:sz w:val="20"/>
                <w:szCs w:val="20"/>
                <w:lang w:val="en-US"/>
              </w:rPr>
            </w:pPr>
          </w:p>
        </w:tc>
        <w:tc>
          <w:tcPr>
            <w:tcW w:w="356" w:type="pct"/>
            <w:tcBorders>
              <w:top w:val="nil"/>
              <w:left w:val="nil"/>
              <w:bottom w:val="nil"/>
              <w:right w:val="nil"/>
            </w:tcBorders>
            <w:tcMar>
              <w:top w:w="6" w:type="dxa"/>
              <w:left w:w="6" w:type="dxa"/>
              <w:bottom w:w="6" w:type="dxa"/>
              <w:right w:w="6" w:type="dxa"/>
            </w:tcMar>
            <w:vAlign w:val="bottom"/>
          </w:tcPr>
          <w:p w14:paraId="193D95E6" w14:textId="77777777" w:rsidR="008F5536" w:rsidRPr="002B3E1D" w:rsidRDefault="008F5536" w:rsidP="008F5536">
            <w:pPr>
              <w:tabs>
                <w:tab w:val="decimal" w:pos="142"/>
              </w:tabs>
              <w:rPr>
                <w:rFonts w:ascii="Times New Roman" w:hAnsi="Times New Roman"/>
                <w:i/>
                <w:sz w:val="20"/>
                <w:szCs w:val="20"/>
                <w:lang w:val="en-US"/>
              </w:rPr>
            </w:pPr>
          </w:p>
        </w:tc>
        <w:tc>
          <w:tcPr>
            <w:tcW w:w="357" w:type="pct"/>
            <w:tcBorders>
              <w:top w:val="nil"/>
              <w:left w:val="nil"/>
              <w:bottom w:val="nil"/>
              <w:right w:val="nil"/>
            </w:tcBorders>
            <w:tcMar>
              <w:top w:w="6" w:type="dxa"/>
              <w:left w:w="6" w:type="dxa"/>
              <w:bottom w:w="6" w:type="dxa"/>
              <w:right w:w="6" w:type="dxa"/>
            </w:tcMar>
            <w:vAlign w:val="bottom"/>
          </w:tcPr>
          <w:p w14:paraId="6AAC5D43" w14:textId="77777777" w:rsidR="008F5536" w:rsidRPr="002B3E1D" w:rsidRDefault="008F5536" w:rsidP="008F5536">
            <w:pPr>
              <w:tabs>
                <w:tab w:val="decimal" w:pos="142"/>
              </w:tabs>
              <w:rPr>
                <w:rFonts w:ascii="Times New Roman" w:hAnsi="Times New Roman"/>
                <w:sz w:val="20"/>
                <w:szCs w:val="20"/>
                <w:lang w:val="en-US"/>
              </w:rPr>
            </w:pPr>
          </w:p>
        </w:tc>
        <w:tc>
          <w:tcPr>
            <w:tcW w:w="356" w:type="pct"/>
            <w:tcBorders>
              <w:top w:val="nil"/>
              <w:left w:val="nil"/>
              <w:bottom w:val="nil"/>
              <w:right w:val="nil"/>
            </w:tcBorders>
            <w:tcMar>
              <w:top w:w="6" w:type="dxa"/>
              <w:left w:w="6" w:type="dxa"/>
              <w:bottom w:w="6" w:type="dxa"/>
              <w:right w:w="6" w:type="dxa"/>
            </w:tcMar>
            <w:vAlign w:val="bottom"/>
          </w:tcPr>
          <w:p w14:paraId="7182C2D5" w14:textId="77777777" w:rsidR="008F5536" w:rsidRPr="002B3E1D" w:rsidRDefault="008F5536" w:rsidP="008F5536">
            <w:pPr>
              <w:tabs>
                <w:tab w:val="decimal" w:pos="142"/>
              </w:tabs>
              <w:rPr>
                <w:rFonts w:ascii="Times New Roman" w:hAnsi="Times New Roman"/>
                <w:sz w:val="20"/>
                <w:szCs w:val="20"/>
                <w:lang w:val="en-US"/>
              </w:rPr>
            </w:pPr>
          </w:p>
        </w:tc>
        <w:tc>
          <w:tcPr>
            <w:tcW w:w="356" w:type="pct"/>
            <w:tcBorders>
              <w:top w:val="nil"/>
              <w:left w:val="nil"/>
              <w:bottom w:val="nil"/>
              <w:right w:val="nil"/>
            </w:tcBorders>
            <w:tcMar>
              <w:top w:w="6" w:type="dxa"/>
              <w:left w:w="6" w:type="dxa"/>
              <w:bottom w:w="6" w:type="dxa"/>
              <w:right w:w="6" w:type="dxa"/>
            </w:tcMar>
            <w:vAlign w:val="bottom"/>
          </w:tcPr>
          <w:p w14:paraId="40794A02" w14:textId="77777777" w:rsidR="008F5536" w:rsidRPr="002B3E1D" w:rsidRDefault="008F5536" w:rsidP="008F5536">
            <w:pPr>
              <w:tabs>
                <w:tab w:val="decimal" w:pos="142"/>
              </w:tabs>
              <w:rPr>
                <w:rFonts w:ascii="Times New Roman" w:hAnsi="Times New Roman"/>
                <w:sz w:val="20"/>
                <w:szCs w:val="20"/>
                <w:lang w:val="en-US"/>
              </w:rPr>
            </w:pPr>
          </w:p>
        </w:tc>
        <w:tc>
          <w:tcPr>
            <w:tcW w:w="357" w:type="pct"/>
            <w:tcBorders>
              <w:top w:val="nil"/>
              <w:left w:val="nil"/>
              <w:bottom w:val="nil"/>
              <w:right w:val="nil"/>
            </w:tcBorders>
            <w:tcMar>
              <w:top w:w="6" w:type="dxa"/>
              <w:left w:w="6" w:type="dxa"/>
              <w:bottom w:w="6" w:type="dxa"/>
              <w:right w:w="6" w:type="dxa"/>
            </w:tcMar>
            <w:vAlign w:val="bottom"/>
          </w:tcPr>
          <w:p w14:paraId="08190679" w14:textId="77777777" w:rsidR="008F5536" w:rsidRPr="002B3E1D" w:rsidRDefault="008F5536" w:rsidP="008F5536">
            <w:pPr>
              <w:tabs>
                <w:tab w:val="decimal" w:pos="142"/>
              </w:tabs>
              <w:rPr>
                <w:rFonts w:ascii="Times New Roman" w:hAnsi="Times New Roman"/>
                <w:sz w:val="20"/>
                <w:szCs w:val="20"/>
                <w:lang w:val="en-US"/>
              </w:rPr>
            </w:pPr>
          </w:p>
        </w:tc>
      </w:tr>
      <w:tr w:rsidR="008F5536" w:rsidRPr="002B3E1D" w14:paraId="058A757B" w14:textId="77777777" w:rsidTr="008F5536">
        <w:tc>
          <w:tcPr>
            <w:tcW w:w="976" w:type="pct"/>
            <w:gridSpan w:val="2"/>
            <w:tcBorders>
              <w:top w:val="nil"/>
              <w:left w:val="nil"/>
              <w:bottom w:val="nil"/>
              <w:right w:val="nil"/>
            </w:tcBorders>
            <w:tcMar>
              <w:top w:w="6" w:type="dxa"/>
              <w:left w:w="6" w:type="dxa"/>
              <w:bottom w:w="6" w:type="dxa"/>
              <w:right w:w="6" w:type="dxa"/>
            </w:tcMar>
            <w:hideMark/>
          </w:tcPr>
          <w:p w14:paraId="564ABEC8" w14:textId="77777777" w:rsidR="008F5536" w:rsidRPr="002B3E1D" w:rsidRDefault="008F5536" w:rsidP="008F5536">
            <w:pPr>
              <w:rPr>
                <w:rFonts w:ascii="Times New Roman" w:hAnsi="Times New Roman"/>
                <w:sz w:val="20"/>
                <w:szCs w:val="20"/>
                <w:lang w:val="en-US"/>
              </w:rPr>
            </w:pPr>
            <w:r w:rsidRPr="002B3E1D">
              <w:rPr>
                <w:rFonts w:ascii="Times New Roman" w:hAnsi="Times New Roman"/>
                <w:bCs/>
                <w:iCs/>
                <w:sz w:val="20"/>
                <w:szCs w:val="20"/>
                <w:lang w:val="en-US"/>
              </w:rPr>
              <w:t>Mean</w:t>
            </w:r>
          </w:p>
        </w:tc>
        <w:tc>
          <w:tcPr>
            <w:tcW w:w="459" w:type="pct"/>
            <w:tcBorders>
              <w:top w:val="nil"/>
              <w:left w:val="nil"/>
              <w:bottom w:val="nil"/>
              <w:right w:val="nil"/>
            </w:tcBorders>
            <w:tcMar>
              <w:top w:w="6" w:type="dxa"/>
              <w:left w:w="6" w:type="dxa"/>
              <w:bottom w:w="6" w:type="dxa"/>
              <w:right w:w="6" w:type="dxa"/>
            </w:tcMar>
            <w:vAlign w:val="center"/>
          </w:tcPr>
          <w:p w14:paraId="0C85E8C2" w14:textId="77777777" w:rsidR="008F5536" w:rsidRPr="002B3E1D" w:rsidRDefault="008F5536" w:rsidP="008F5536">
            <w:pPr>
              <w:rPr>
                <w:rFonts w:ascii="Times New Roman" w:hAnsi="Times New Roman"/>
                <w:sz w:val="20"/>
                <w:szCs w:val="20"/>
                <w:lang w:val="en-US"/>
              </w:rPr>
            </w:pPr>
          </w:p>
        </w:tc>
        <w:tc>
          <w:tcPr>
            <w:tcW w:w="356" w:type="pct"/>
            <w:tcBorders>
              <w:top w:val="nil"/>
              <w:left w:val="nil"/>
              <w:bottom w:val="nil"/>
              <w:right w:val="nil"/>
            </w:tcBorders>
            <w:tcMar>
              <w:top w:w="6" w:type="dxa"/>
              <w:left w:w="6" w:type="dxa"/>
              <w:bottom w:w="6" w:type="dxa"/>
              <w:right w:w="6" w:type="dxa"/>
            </w:tcMar>
          </w:tcPr>
          <w:p w14:paraId="083F15C0" w14:textId="77777777" w:rsidR="008F5536" w:rsidRPr="002B3E1D" w:rsidRDefault="008F5536" w:rsidP="008F5536">
            <w:pPr>
              <w:tabs>
                <w:tab w:val="decimal" w:pos="142"/>
              </w:tabs>
              <w:rPr>
                <w:rFonts w:ascii="Times New Roman" w:hAnsi="Times New Roman"/>
                <w:sz w:val="20"/>
                <w:szCs w:val="20"/>
                <w:lang w:val="en-US"/>
              </w:rPr>
            </w:pPr>
          </w:p>
        </w:tc>
        <w:tc>
          <w:tcPr>
            <w:tcW w:w="356" w:type="pct"/>
            <w:tcBorders>
              <w:top w:val="nil"/>
              <w:left w:val="nil"/>
              <w:bottom w:val="nil"/>
              <w:right w:val="nil"/>
            </w:tcBorders>
            <w:tcMar>
              <w:top w:w="6" w:type="dxa"/>
              <w:left w:w="6" w:type="dxa"/>
              <w:bottom w:w="6" w:type="dxa"/>
              <w:right w:w="6" w:type="dxa"/>
            </w:tcMar>
            <w:vAlign w:val="bottom"/>
          </w:tcPr>
          <w:p w14:paraId="77320DDC" w14:textId="77777777" w:rsidR="008F5536" w:rsidRPr="002B3E1D" w:rsidRDefault="008F5536" w:rsidP="008F5536">
            <w:pPr>
              <w:tabs>
                <w:tab w:val="decimal" w:pos="142"/>
              </w:tabs>
              <w:rPr>
                <w:rFonts w:ascii="Times New Roman" w:hAnsi="Times New Roman"/>
                <w:sz w:val="20"/>
                <w:szCs w:val="20"/>
                <w:lang w:val="en-US"/>
              </w:rPr>
            </w:pPr>
          </w:p>
        </w:tc>
        <w:tc>
          <w:tcPr>
            <w:tcW w:w="356" w:type="pct"/>
            <w:tcBorders>
              <w:top w:val="nil"/>
              <w:left w:val="nil"/>
              <w:bottom w:val="nil"/>
              <w:right w:val="nil"/>
            </w:tcBorders>
            <w:tcMar>
              <w:top w:w="6" w:type="dxa"/>
              <w:left w:w="6" w:type="dxa"/>
              <w:bottom w:w="6" w:type="dxa"/>
              <w:right w:w="6" w:type="dxa"/>
            </w:tcMar>
            <w:vAlign w:val="bottom"/>
          </w:tcPr>
          <w:p w14:paraId="564AAA14" w14:textId="77777777" w:rsidR="008F5536" w:rsidRPr="002B3E1D" w:rsidRDefault="008F5536" w:rsidP="008F5536">
            <w:pPr>
              <w:tabs>
                <w:tab w:val="decimal" w:pos="142"/>
              </w:tabs>
              <w:rPr>
                <w:rFonts w:ascii="Times New Roman" w:hAnsi="Times New Roman"/>
                <w:sz w:val="20"/>
                <w:szCs w:val="20"/>
                <w:lang w:val="en-US"/>
              </w:rPr>
            </w:pPr>
          </w:p>
        </w:tc>
        <w:tc>
          <w:tcPr>
            <w:tcW w:w="357" w:type="pct"/>
            <w:tcBorders>
              <w:top w:val="nil"/>
              <w:left w:val="nil"/>
              <w:bottom w:val="nil"/>
              <w:right w:val="nil"/>
            </w:tcBorders>
            <w:tcMar>
              <w:top w:w="6" w:type="dxa"/>
              <w:left w:w="6" w:type="dxa"/>
              <w:bottom w:w="6" w:type="dxa"/>
              <w:right w:w="6" w:type="dxa"/>
            </w:tcMar>
            <w:vAlign w:val="bottom"/>
            <w:hideMark/>
          </w:tcPr>
          <w:p w14:paraId="096BB688" w14:textId="77777777" w:rsidR="008F5536" w:rsidRPr="002B3E1D" w:rsidRDefault="008F5536" w:rsidP="008F5536">
            <w:pPr>
              <w:tabs>
                <w:tab w:val="decimal" w:pos="142"/>
              </w:tabs>
              <w:rPr>
                <w:rFonts w:ascii="Times New Roman" w:hAnsi="Times New Roman"/>
                <w:sz w:val="20"/>
                <w:szCs w:val="20"/>
                <w:lang w:val="en-US"/>
              </w:rPr>
            </w:pPr>
            <w:r w:rsidRPr="002B3E1D">
              <w:rPr>
                <w:rFonts w:ascii="Times New Roman" w:hAnsi="Times New Roman"/>
                <w:sz w:val="20"/>
                <w:szCs w:val="20"/>
                <w:lang w:val="en-US"/>
              </w:rPr>
              <w:t>5.05</w:t>
            </w:r>
          </w:p>
        </w:tc>
        <w:tc>
          <w:tcPr>
            <w:tcW w:w="356" w:type="pct"/>
            <w:tcBorders>
              <w:top w:val="nil"/>
              <w:left w:val="nil"/>
              <w:bottom w:val="nil"/>
              <w:right w:val="nil"/>
            </w:tcBorders>
            <w:tcMar>
              <w:top w:w="6" w:type="dxa"/>
              <w:left w:w="6" w:type="dxa"/>
              <w:bottom w:w="6" w:type="dxa"/>
              <w:right w:w="6" w:type="dxa"/>
            </w:tcMar>
            <w:vAlign w:val="bottom"/>
            <w:hideMark/>
          </w:tcPr>
          <w:p w14:paraId="04463D27" w14:textId="77777777" w:rsidR="008F5536" w:rsidRPr="002B3E1D" w:rsidRDefault="008F5536" w:rsidP="008F5536">
            <w:pPr>
              <w:tabs>
                <w:tab w:val="decimal" w:pos="142"/>
              </w:tabs>
              <w:rPr>
                <w:rFonts w:ascii="Times New Roman" w:hAnsi="Times New Roman"/>
                <w:sz w:val="20"/>
                <w:szCs w:val="20"/>
                <w:lang w:val="en-US"/>
              </w:rPr>
            </w:pPr>
            <w:r w:rsidRPr="002B3E1D">
              <w:rPr>
                <w:rFonts w:ascii="Times New Roman" w:hAnsi="Times New Roman"/>
                <w:sz w:val="20"/>
                <w:szCs w:val="20"/>
                <w:lang w:val="en-US"/>
              </w:rPr>
              <w:t>4.27</w:t>
            </w:r>
          </w:p>
        </w:tc>
        <w:tc>
          <w:tcPr>
            <w:tcW w:w="356" w:type="pct"/>
            <w:tcBorders>
              <w:top w:val="nil"/>
              <w:left w:val="nil"/>
              <w:bottom w:val="nil"/>
              <w:right w:val="nil"/>
            </w:tcBorders>
            <w:tcMar>
              <w:top w:w="6" w:type="dxa"/>
              <w:left w:w="6" w:type="dxa"/>
              <w:bottom w:w="6" w:type="dxa"/>
              <w:right w:w="6" w:type="dxa"/>
            </w:tcMar>
            <w:vAlign w:val="bottom"/>
            <w:hideMark/>
          </w:tcPr>
          <w:p w14:paraId="15A4A80F" w14:textId="77777777" w:rsidR="008F5536" w:rsidRPr="002B3E1D" w:rsidRDefault="008F5536" w:rsidP="008F5536">
            <w:pPr>
              <w:tabs>
                <w:tab w:val="decimal" w:pos="142"/>
              </w:tabs>
              <w:rPr>
                <w:rFonts w:ascii="Times New Roman" w:hAnsi="Times New Roman"/>
                <w:sz w:val="20"/>
                <w:szCs w:val="20"/>
                <w:lang w:val="en-US"/>
              </w:rPr>
            </w:pPr>
            <w:r w:rsidRPr="002B3E1D">
              <w:rPr>
                <w:rFonts w:ascii="Times New Roman" w:hAnsi="Times New Roman"/>
                <w:sz w:val="20"/>
                <w:szCs w:val="20"/>
                <w:lang w:val="en-US"/>
              </w:rPr>
              <w:t>4.67</w:t>
            </w:r>
          </w:p>
        </w:tc>
        <w:tc>
          <w:tcPr>
            <w:tcW w:w="357" w:type="pct"/>
            <w:tcBorders>
              <w:top w:val="nil"/>
              <w:left w:val="nil"/>
              <w:bottom w:val="nil"/>
              <w:right w:val="nil"/>
            </w:tcBorders>
            <w:tcMar>
              <w:top w:w="6" w:type="dxa"/>
              <w:left w:w="6" w:type="dxa"/>
              <w:bottom w:w="6" w:type="dxa"/>
              <w:right w:w="6" w:type="dxa"/>
            </w:tcMar>
            <w:vAlign w:val="bottom"/>
            <w:hideMark/>
          </w:tcPr>
          <w:p w14:paraId="68D00556" w14:textId="77777777" w:rsidR="008F5536" w:rsidRPr="002B3E1D" w:rsidRDefault="008F5536" w:rsidP="008F5536">
            <w:pPr>
              <w:tabs>
                <w:tab w:val="decimal" w:pos="142"/>
              </w:tabs>
              <w:rPr>
                <w:rFonts w:ascii="Times New Roman" w:hAnsi="Times New Roman"/>
                <w:sz w:val="20"/>
                <w:szCs w:val="20"/>
                <w:lang w:val="en-US"/>
              </w:rPr>
            </w:pPr>
            <w:r w:rsidRPr="002B3E1D">
              <w:rPr>
                <w:rFonts w:ascii="Times New Roman" w:hAnsi="Times New Roman"/>
                <w:sz w:val="20"/>
                <w:szCs w:val="20"/>
                <w:lang w:val="en-US"/>
              </w:rPr>
              <w:t>4.62</w:t>
            </w:r>
          </w:p>
        </w:tc>
        <w:tc>
          <w:tcPr>
            <w:tcW w:w="356" w:type="pct"/>
            <w:tcBorders>
              <w:top w:val="nil"/>
              <w:left w:val="nil"/>
              <w:bottom w:val="nil"/>
              <w:right w:val="nil"/>
            </w:tcBorders>
            <w:tcMar>
              <w:top w:w="6" w:type="dxa"/>
              <w:left w:w="6" w:type="dxa"/>
              <w:bottom w:w="6" w:type="dxa"/>
              <w:right w:w="6" w:type="dxa"/>
            </w:tcMar>
            <w:vAlign w:val="bottom"/>
            <w:hideMark/>
          </w:tcPr>
          <w:p w14:paraId="0F69B5CC" w14:textId="77777777" w:rsidR="008F5536" w:rsidRPr="002B3E1D" w:rsidRDefault="008F5536" w:rsidP="008F5536">
            <w:pPr>
              <w:tabs>
                <w:tab w:val="decimal" w:pos="142"/>
              </w:tabs>
              <w:rPr>
                <w:rFonts w:ascii="Times New Roman" w:hAnsi="Times New Roman"/>
                <w:sz w:val="20"/>
                <w:szCs w:val="20"/>
                <w:lang w:val="en-US"/>
              </w:rPr>
            </w:pPr>
            <w:r w:rsidRPr="002B3E1D">
              <w:rPr>
                <w:rFonts w:ascii="Times New Roman" w:hAnsi="Times New Roman"/>
                <w:sz w:val="20"/>
                <w:szCs w:val="20"/>
                <w:lang w:val="en-US"/>
              </w:rPr>
              <w:t>4.51</w:t>
            </w:r>
          </w:p>
        </w:tc>
        <w:tc>
          <w:tcPr>
            <w:tcW w:w="356" w:type="pct"/>
            <w:tcBorders>
              <w:top w:val="nil"/>
              <w:left w:val="nil"/>
              <w:bottom w:val="nil"/>
              <w:right w:val="nil"/>
            </w:tcBorders>
            <w:tcMar>
              <w:top w:w="6" w:type="dxa"/>
              <w:left w:w="6" w:type="dxa"/>
              <w:bottom w:w="6" w:type="dxa"/>
              <w:right w:w="6" w:type="dxa"/>
            </w:tcMar>
            <w:vAlign w:val="bottom"/>
            <w:hideMark/>
          </w:tcPr>
          <w:p w14:paraId="657008C2" w14:textId="77777777" w:rsidR="008F5536" w:rsidRPr="002B3E1D" w:rsidRDefault="008F5536" w:rsidP="008F5536">
            <w:pPr>
              <w:tabs>
                <w:tab w:val="decimal" w:pos="142"/>
              </w:tabs>
              <w:rPr>
                <w:rFonts w:ascii="Times New Roman" w:hAnsi="Times New Roman"/>
                <w:sz w:val="20"/>
                <w:szCs w:val="20"/>
                <w:lang w:val="en-US"/>
              </w:rPr>
            </w:pPr>
            <w:r w:rsidRPr="002B3E1D">
              <w:rPr>
                <w:rFonts w:ascii="Times New Roman" w:hAnsi="Times New Roman"/>
                <w:sz w:val="20"/>
                <w:szCs w:val="20"/>
                <w:lang w:val="en-US"/>
              </w:rPr>
              <w:t>5.51</w:t>
            </w:r>
          </w:p>
        </w:tc>
        <w:tc>
          <w:tcPr>
            <w:tcW w:w="357" w:type="pct"/>
            <w:tcBorders>
              <w:top w:val="nil"/>
              <w:left w:val="nil"/>
              <w:bottom w:val="nil"/>
              <w:right w:val="nil"/>
            </w:tcBorders>
            <w:tcMar>
              <w:top w:w="6" w:type="dxa"/>
              <w:left w:w="6" w:type="dxa"/>
              <w:bottom w:w="6" w:type="dxa"/>
              <w:right w:w="6" w:type="dxa"/>
            </w:tcMar>
            <w:vAlign w:val="bottom"/>
            <w:hideMark/>
          </w:tcPr>
          <w:p w14:paraId="160CD66B" w14:textId="77777777" w:rsidR="008F5536" w:rsidRPr="002B3E1D" w:rsidRDefault="008F5536" w:rsidP="008F5536">
            <w:pPr>
              <w:tabs>
                <w:tab w:val="decimal" w:pos="142"/>
              </w:tabs>
              <w:rPr>
                <w:rFonts w:ascii="Times New Roman" w:hAnsi="Times New Roman"/>
                <w:sz w:val="20"/>
                <w:szCs w:val="20"/>
                <w:lang w:val="en-US"/>
              </w:rPr>
            </w:pPr>
            <w:r w:rsidRPr="002B3E1D">
              <w:rPr>
                <w:rFonts w:ascii="Times New Roman" w:hAnsi="Times New Roman"/>
                <w:sz w:val="20"/>
                <w:szCs w:val="20"/>
                <w:lang w:val="en-US"/>
              </w:rPr>
              <w:t>5.12</w:t>
            </w:r>
          </w:p>
        </w:tc>
      </w:tr>
      <w:tr w:rsidR="008F5536" w:rsidRPr="002B3E1D" w14:paraId="31BE5093" w14:textId="77777777" w:rsidTr="008F5536">
        <w:tc>
          <w:tcPr>
            <w:tcW w:w="976" w:type="pct"/>
            <w:gridSpan w:val="2"/>
            <w:tcBorders>
              <w:top w:val="nil"/>
              <w:left w:val="nil"/>
              <w:bottom w:val="single" w:sz="12" w:space="0" w:color="auto"/>
              <w:right w:val="nil"/>
            </w:tcBorders>
            <w:tcMar>
              <w:top w:w="6" w:type="dxa"/>
              <w:left w:w="6" w:type="dxa"/>
              <w:bottom w:w="6" w:type="dxa"/>
              <w:right w:w="6" w:type="dxa"/>
            </w:tcMar>
            <w:hideMark/>
          </w:tcPr>
          <w:p w14:paraId="2BC9A269" w14:textId="77777777" w:rsidR="008F5536" w:rsidRPr="002B3E1D" w:rsidRDefault="008F5536" w:rsidP="008F5536">
            <w:pPr>
              <w:rPr>
                <w:rFonts w:ascii="Times New Roman" w:hAnsi="Times New Roman"/>
                <w:sz w:val="20"/>
                <w:szCs w:val="20"/>
                <w:lang w:val="en-US"/>
              </w:rPr>
            </w:pPr>
            <w:r w:rsidRPr="002B3E1D">
              <w:rPr>
                <w:rFonts w:ascii="Times New Roman" w:hAnsi="Times New Roman"/>
                <w:bCs/>
                <w:iCs/>
                <w:sz w:val="20"/>
                <w:szCs w:val="20"/>
                <w:lang w:val="en-US"/>
              </w:rPr>
              <w:t>Standard Deviation</w:t>
            </w:r>
          </w:p>
        </w:tc>
        <w:tc>
          <w:tcPr>
            <w:tcW w:w="459" w:type="pct"/>
            <w:tcBorders>
              <w:top w:val="nil"/>
              <w:left w:val="nil"/>
              <w:bottom w:val="single" w:sz="12" w:space="0" w:color="auto"/>
              <w:right w:val="nil"/>
            </w:tcBorders>
            <w:tcMar>
              <w:top w:w="6" w:type="dxa"/>
              <w:left w:w="6" w:type="dxa"/>
              <w:bottom w:w="6" w:type="dxa"/>
              <w:right w:w="6" w:type="dxa"/>
            </w:tcMar>
            <w:vAlign w:val="center"/>
          </w:tcPr>
          <w:p w14:paraId="71686EDB" w14:textId="77777777" w:rsidR="008F5536" w:rsidRPr="002B3E1D" w:rsidRDefault="008F5536" w:rsidP="008F5536">
            <w:pPr>
              <w:rPr>
                <w:rFonts w:ascii="Times New Roman" w:hAnsi="Times New Roman"/>
                <w:sz w:val="20"/>
                <w:szCs w:val="20"/>
                <w:lang w:val="en-US"/>
              </w:rPr>
            </w:pPr>
          </w:p>
        </w:tc>
        <w:tc>
          <w:tcPr>
            <w:tcW w:w="356" w:type="pct"/>
            <w:tcBorders>
              <w:top w:val="nil"/>
              <w:left w:val="nil"/>
              <w:bottom w:val="single" w:sz="12" w:space="0" w:color="auto"/>
              <w:right w:val="nil"/>
            </w:tcBorders>
            <w:tcMar>
              <w:top w:w="6" w:type="dxa"/>
              <w:left w:w="6" w:type="dxa"/>
              <w:bottom w:w="6" w:type="dxa"/>
              <w:right w:w="6" w:type="dxa"/>
            </w:tcMar>
          </w:tcPr>
          <w:p w14:paraId="4E71CA28" w14:textId="77777777" w:rsidR="008F5536" w:rsidRPr="002B3E1D" w:rsidRDefault="008F5536" w:rsidP="008F5536">
            <w:pPr>
              <w:tabs>
                <w:tab w:val="decimal" w:pos="142"/>
              </w:tabs>
              <w:rPr>
                <w:rFonts w:ascii="Times New Roman" w:hAnsi="Times New Roman"/>
                <w:sz w:val="20"/>
                <w:szCs w:val="20"/>
                <w:lang w:val="en-US"/>
              </w:rPr>
            </w:pPr>
          </w:p>
        </w:tc>
        <w:tc>
          <w:tcPr>
            <w:tcW w:w="356" w:type="pct"/>
            <w:tcBorders>
              <w:top w:val="nil"/>
              <w:left w:val="nil"/>
              <w:bottom w:val="single" w:sz="12" w:space="0" w:color="auto"/>
              <w:right w:val="nil"/>
            </w:tcBorders>
            <w:tcMar>
              <w:top w:w="6" w:type="dxa"/>
              <w:left w:w="6" w:type="dxa"/>
              <w:bottom w:w="6" w:type="dxa"/>
              <w:right w:w="6" w:type="dxa"/>
            </w:tcMar>
            <w:vAlign w:val="bottom"/>
          </w:tcPr>
          <w:p w14:paraId="7E655172" w14:textId="77777777" w:rsidR="008F5536" w:rsidRPr="002B3E1D" w:rsidRDefault="008F5536" w:rsidP="008F5536">
            <w:pPr>
              <w:tabs>
                <w:tab w:val="decimal" w:pos="142"/>
              </w:tabs>
              <w:rPr>
                <w:rFonts w:ascii="Times New Roman" w:hAnsi="Times New Roman"/>
                <w:sz w:val="20"/>
                <w:szCs w:val="20"/>
                <w:lang w:val="en-US"/>
              </w:rPr>
            </w:pPr>
          </w:p>
        </w:tc>
        <w:tc>
          <w:tcPr>
            <w:tcW w:w="356" w:type="pct"/>
            <w:tcBorders>
              <w:top w:val="nil"/>
              <w:left w:val="nil"/>
              <w:bottom w:val="single" w:sz="12" w:space="0" w:color="auto"/>
              <w:right w:val="nil"/>
            </w:tcBorders>
            <w:tcMar>
              <w:top w:w="6" w:type="dxa"/>
              <w:left w:w="6" w:type="dxa"/>
              <w:bottom w:w="6" w:type="dxa"/>
              <w:right w:w="6" w:type="dxa"/>
            </w:tcMar>
            <w:vAlign w:val="bottom"/>
          </w:tcPr>
          <w:p w14:paraId="0FF2785B" w14:textId="77777777" w:rsidR="008F5536" w:rsidRPr="002B3E1D" w:rsidRDefault="008F5536" w:rsidP="008F5536">
            <w:pPr>
              <w:tabs>
                <w:tab w:val="decimal" w:pos="142"/>
              </w:tabs>
              <w:rPr>
                <w:rFonts w:ascii="Times New Roman" w:hAnsi="Times New Roman"/>
                <w:sz w:val="20"/>
                <w:szCs w:val="20"/>
                <w:lang w:val="en-US"/>
              </w:rPr>
            </w:pPr>
          </w:p>
        </w:tc>
        <w:tc>
          <w:tcPr>
            <w:tcW w:w="357" w:type="pct"/>
            <w:tcBorders>
              <w:top w:val="nil"/>
              <w:left w:val="nil"/>
              <w:bottom w:val="single" w:sz="12" w:space="0" w:color="auto"/>
              <w:right w:val="nil"/>
            </w:tcBorders>
            <w:tcMar>
              <w:top w:w="6" w:type="dxa"/>
              <w:left w:w="6" w:type="dxa"/>
              <w:bottom w:w="6" w:type="dxa"/>
              <w:right w:w="6" w:type="dxa"/>
            </w:tcMar>
            <w:vAlign w:val="bottom"/>
            <w:hideMark/>
          </w:tcPr>
          <w:p w14:paraId="63FFEAF0" w14:textId="77777777" w:rsidR="008F5536" w:rsidRPr="002B3E1D" w:rsidRDefault="008F5536" w:rsidP="008F5536">
            <w:pPr>
              <w:tabs>
                <w:tab w:val="decimal" w:pos="142"/>
              </w:tabs>
              <w:rPr>
                <w:rFonts w:ascii="Times New Roman" w:hAnsi="Times New Roman"/>
                <w:sz w:val="20"/>
                <w:szCs w:val="20"/>
                <w:lang w:val="en-US"/>
              </w:rPr>
            </w:pPr>
            <w:r w:rsidRPr="002B3E1D">
              <w:rPr>
                <w:rFonts w:ascii="Times New Roman" w:hAnsi="Times New Roman"/>
                <w:sz w:val="20"/>
                <w:szCs w:val="20"/>
                <w:lang w:val="en-US"/>
              </w:rPr>
              <w:t>1.08</w:t>
            </w:r>
          </w:p>
        </w:tc>
        <w:tc>
          <w:tcPr>
            <w:tcW w:w="356" w:type="pct"/>
            <w:tcBorders>
              <w:top w:val="nil"/>
              <w:left w:val="nil"/>
              <w:bottom w:val="single" w:sz="12" w:space="0" w:color="auto"/>
              <w:right w:val="nil"/>
            </w:tcBorders>
            <w:tcMar>
              <w:top w:w="6" w:type="dxa"/>
              <w:left w:w="6" w:type="dxa"/>
              <w:bottom w:w="6" w:type="dxa"/>
              <w:right w:w="6" w:type="dxa"/>
            </w:tcMar>
            <w:vAlign w:val="bottom"/>
            <w:hideMark/>
          </w:tcPr>
          <w:p w14:paraId="6BE4D5A6" w14:textId="77777777" w:rsidR="008F5536" w:rsidRPr="002B3E1D" w:rsidRDefault="008F5536" w:rsidP="008F5536">
            <w:pPr>
              <w:tabs>
                <w:tab w:val="decimal" w:pos="142"/>
              </w:tabs>
              <w:rPr>
                <w:rFonts w:ascii="Times New Roman" w:hAnsi="Times New Roman"/>
                <w:sz w:val="20"/>
                <w:szCs w:val="20"/>
                <w:lang w:val="en-US"/>
              </w:rPr>
            </w:pPr>
            <w:r w:rsidRPr="002B3E1D">
              <w:rPr>
                <w:rFonts w:ascii="Times New Roman" w:hAnsi="Times New Roman"/>
                <w:sz w:val="20"/>
                <w:szCs w:val="20"/>
                <w:lang w:val="en-US"/>
              </w:rPr>
              <w:t>1.59</w:t>
            </w:r>
          </w:p>
        </w:tc>
        <w:tc>
          <w:tcPr>
            <w:tcW w:w="356" w:type="pct"/>
            <w:tcBorders>
              <w:top w:val="nil"/>
              <w:left w:val="nil"/>
              <w:bottom w:val="single" w:sz="12" w:space="0" w:color="auto"/>
              <w:right w:val="nil"/>
            </w:tcBorders>
            <w:tcMar>
              <w:top w:w="6" w:type="dxa"/>
              <w:left w:w="6" w:type="dxa"/>
              <w:bottom w:w="6" w:type="dxa"/>
              <w:right w:w="6" w:type="dxa"/>
            </w:tcMar>
            <w:vAlign w:val="bottom"/>
            <w:hideMark/>
          </w:tcPr>
          <w:p w14:paraId="44E520B0" w14:textId="77777777" w:rsidR="008F5536" w:rsidRPr="002B3E1D" w:rsidRDefault="008F5536" w:rsidP="008F5536">
            <w:pPr>
              <w:tabs>
                <w:tab w:val="decimal" w:pos="142"/>
              </w:tabs>
              <w:rPr>
                <w:rFonts w:ascii="Times New Roman" w:hAnsi="Times New Roman"/>
                <w:sz w:val="20"/>
                <w:szCs w:val="20"/>
                <w:lang w:val="en-US"/>
              </w:rPr>
            </w:pPr>
            <w:r w:rsidRPr="002B3E1D">
              <w:rPr>
                <w:rFonts w:ascii="Times New Roman" w:hAnsi="Times New Roman"/>
                <w:sz w:val="20"/>
                <w:szCs w:val="20"/>
                <w:lang w:val="en-US"/>
              </w:rPr>
              <w:t>1.41</w:t>
            </w:r>
          </w:p>
        </w:tc>
        <w:tc>
          <w:tcPr>
            <w:tcW w:w="357" w:type="pct"/>
            <w:tcBorders>
              <w:top w:val="nil"/>
              <w:left w:val="nil"/>
              <w:bottom w:val="single" w:sz="12" w:space="0" w:color="auto"/>
              <w:right w:val="nil"/>
            </w:tcBorders>
            <w:tcMar>
              <w:top w:w="6" w:type="dxa"/>
              <w:left w:w="6" w:type="dxa"/>
              <w:bottom w:w="6" w:type="dxa"/>
              <w:right w:w="6" w:type="dxa"/>
            </w:tcMar>
            <w:vAlign w:val="bottom"/>
            <w:hideMark/>
          </w:tcPr>
          <w:p w14:paraId="2523E29F" w14:textId="77777777" w:rsidR="008F5536" w:rsidRPr="002B3E1D" w:rsidRDefault="008F5536" w:rsidP="008F5536">
            <w:pPr>
              <w:tabs>
                <w:tab w:val="decimal" w:pos="142"/>
              </w:tabs>
              <w:rPr>
                <w:rFonts w:ascii="Times New Roman" w:hAnsi="Times New Roman"/>
                <w:sz w:val="20"/>
                <w:szCs w:val="20"/>
                <w:lang w:val="en-US"/>
              </w:rPr>
            </w:pPr>
            <w:r w:rsidRPr="002B3E1D">
              <w:rPr>
                <w:rFonts w:ascii="Times New Roman" w:hAnsi="Times New Roman"/>
                <w:sz w:val="20"/>
                <w:szCs w:val="20"/>
                <w:lang w:val="en-US"/>
              </w:rPr>
              <w:t>.93</w:t>
            </w:r>
          </w:p>
        </w:tc>
        <w:tc>
          <w:tcPr>
            <w:tcW w:w="356" w:type="pct"/>
            <w:tcBorders>
              <w:top w:val="nil"/>
              <w:left w:val="nil"/>
              <w:bottom w:val="single" w:sz="12" w:space="0" w:color="auto"/>
              <w:right w:val="nil"/>
            </w:tcBorders>
            <w:tcMar>
              <w:top w:w="6" w:type="dxa"/>
              <w:left w:w="6" w:type="dxa"/>
              <w:bottom w:w="6" w:type="dxa"/>
              <w:right w:w="6" w:type="dxa"/>
            </w:tcMar>
            <w:vAlign w:val="bottom"/>
            <w:hideMark/>
          </w:tcPr>
          <w:p w14:paraId="6CB9A9B4" w14:textId="77777777" w:rsidR="008F5536" w:rsidRPr="002B3E1D" w:rsidRDefault="008F5536" w:rsidP="008F5536">
            <w:pPr>
              <w:tabs>
                <w:tab w:val="decimal" w:pos="142"/>
              </w:tabs>
              <w:rPr>
                <w:rFonts w:ascii="Times New Roman" w:hAnsi="Times New Roman"/>
                <w:sz w:val="20"/>
                <w:szCs w:val="20"/>
                <w:lang w:val="en-US"/>
              </w:rPr>
            </w:pPr>
            <w:r w:rsidRPr="002B3E1D">
              <w:rPr>
                <w:rFonts w:ascii="Times New Roman" w:hAnsi="Times New Roman"/>
                <w:sz w:val="20"/>
                <w:szCs w:val="20"/>
                <w:lang w:val="en-US"/>
              </w:rPr>
              <w:t>1.39</w:t>
            </w:r>
          </w:p>
        </w:tc>
        <w:tc>
          <w:tcPr>
            <w:tcW w:w="356" w:type="pct"/>
            <w:tcBorders>
              <w:top w:val="nil"/>
              <w:left w:val="nil"/>
              <w:bottom w:val="single" w:sz="12" w:space="0" w:color="auto"/>
              <w:right w:val="nil"/>
            </w:tcBorders>
            <w:tcMar>
              <w:top w:w="6" w:type="dxa"/>
              <w:left w:w="6" w:type="dxa"/>
              <w:bottom w:w="6" w:type="dxa"/>
              <w:right w:w="6" w:type="dxa"/>
            </w:tcMar>
            <w:vAlign w:val="bottom"/>
            <w:hideMark/>
          </w:tcPr>
          <w:p w14:paraId="29B04438" w14:textId="77777777" w:rsidR="008F5536" w:rsidRPr="002B3E1D" w:rsidRDefault="008F5536" w:rsidP="008F5536">
            <w:pPr>
              <w:tabs>
                <w:tab w:val="decimal" w:pos="142"/>
              </w:tabs>
              <w:rPr>
                <w:rFonts w:ascii="Times New Roman" w:hAnsi="Times New Roman"/>
                <w:sz w:val="20"/>
                <w:szCs w:val="20"/>
                <w:lang w:val="en-US"/>
              </w:rPr>
            </w:pPr>
            <w:r w:rsidRPr="002B3E1D">
              <w:rPr>
                <w:rFonts w:ascii="Times New Roman" w:hAnsi="Times New Roman"/>
                <w:sz w:val="20"/>
                <w:szCs w:val="20"/>
                <w:lang w:val="en-US"/>
              </w:rPr>
              <w:t>1.05</w:t>
            </w:r>
          </w:p>
        </w:tc>
        <w:tc>
          <w:tcPr>
            <w:tcW w:w="357" w:type="pct"/>
            <w:tcBorders>
              <w:top w:val="nil"/>
              <w:left w:val="nil"/>
              <w:bottom w:val="single" w:sz="12" w:space="0" w:color="auto"/>
              <w:right w:val="nil"/>
            </w:tcBorders>
            <w:tcMar>
              <w:top w:w="6" w:type="dxa"/>
              <w:left w:w="6" w:type="dxa"/>
              <w:bottom w:w="6" w:type="dxa"/>
              <w:right w:w="6" w:type="dxa"/>
            </w:tcMar>
            <w:vAlign w:val="bottom"/>
            <w:hideMark/>
          </w:tcPr>
          <w:p w14:paraId="6A35EC7C" w14:textId="77777777" w:rsidR="008F5536" w:rsidRPr="002B3E1D" w:rsidRDefault="008F5536" w:rsidP="008F5536">
            <w:pPr>
              <w:tabs>
                <w:tab w:val="decimal" w:pos="142"/>
              </w:tabs>
              <w:rPr>
                <w:rFonts w:ascii="Times New Roman" w:hAnsi="Times New Roman"/>
                <w:sz w:val="20"/>
                <w:szCs w:val="20"/>
                <w:lang w:val="en-US"/>
              </w:rPr>
            </w:pPr>
            <w:r w:rsidRPr="002B3E1D">
              <w:rPr>
                <w:rFonts w:ascii="Times New Roman" w:hAnsi="Times New Roman"/>
                <w:sz w:val="20"/>
                <w:szCs w:val="20"/>
                <w:lang w:val="en-US"/>
              </w:rPr>
              <w:t>1.53</w:t>
            </w:r>
          </w:p>
        </w:tc>
      </w:tr>
    </w:tbl>
    <w:p w14:paraId="6D25F715" w14:textId="77777777" w:rsidR="008F5536" w:rsidRPr="002B3E1D" w:rsidRDefault="008F5536" w:rsidP="008F5536">
      <w:pPr>
        <w:spacing w:after="0" w:line="240" w:lineRule="auto"/>
        <w:rPr>
          <w:rFonts w:ascii="Times New Roman" w:eastAsia="Calibri" w:hAnsi="Times New Roman" w:cs="Times New Roman"/>
          <w:sz w:val="20"/>
          <w:szCs w:val="24"/>
          <w:lang w:val="en-US"/>
        </w:rPr>
      </w:pPr>
      <w:r w:rsidRPr="002B3E1D">
        <w:rPr>
          <w:rFonts w:ascii="Times New Roman" w:eastAsia="Calibri" w:hAnsi="Times New Roman" w:cs="Times New Roman"/>
          <w:sz w:val="20"/>
          <w:szCs w:val="24"/>
          <w:lang w:val="en-US"/>
        </w:rPr>
        <w:t>CR Construct Reliability</w:t>
      </w:r>
    </w:p>
    <w:p w14:paraId="6484DF1B" w14:textId="77777777" w:rsidR="008F5536" w:rsidRPr="002B3E1D" w:rsidRDefault="008F5536" w:rsidP="008F5536">
      <w:pPr>
        <w:spacing w:after="0" w:line="240" w:lineRule="auto"/>
        <w:rPr>
          <w:rFonts w:ascii="Times New Roman" w:eastAsia="Calibri" w:hAnsi="Times New Roman" w:cs="Times New Roman"/>
          <w:sz w:val="20"/>
          <w:szCs w:val="24"/>
          <w:lang w:val="en-US"/>
        </w:rPr>
      </w:pPr>
      <w:r w:rsidRPr="002B3E1D">
        <w:rPr>
          <w:rFonts w:ascii="Times New Roman" w:eastAsia="Calibri" w:hAnsi="Times New Roman" w:cs="Times New Roman"/>
          <w:sz w:val="20"/>
          <w:szCs w:val="24"/>
          <w:lang w:val="en-US"/>
        </w:rPr>
        <w:t>AVE Average Variance Extracted</w:t>
      </w:r>
    </w:p>
    <w:p w14:paraId="58700006" w14:textId="77777777" w:rsidR="008F5536" w:rsidRPr="002B3E1D" w:rsidRDefault="008F5536" w:rsidP="008F5536">
      <w:pPr>
        <w:spacing w:after="0" w:line="240" w:lineRule="auto"/>
        <w:rPr>
          <w:rFonts w:ascii="Times New Roman" w:eastAsia="Calibri" w:hAnsi="Times New Roman" w:cs="Times New Roman"/>
          <w:sz w:val="20"/>
          <w:szCs w:val="24"/>
          <w:lang w:val="en-US"/>
        </w:rPr>
      </w:pPr>
      <w:r w:rsidRPr="002B3E1D">
        <w:rPr>
          <w:rFonts w:ascii="Times New Roman" w:eastAsia="Calibri" w:hAnsi="Times New Roman" w:cs="Times New Roman"/>
          <w:sz w:val="20"/>
          <w:szCs w:val="24"/>
          <w:vertAlign w:val="superscript"/>
          <w:lang w:val="en-US"/>
        </w:rPr>
        <w:t>a</w:t>
      </w:r>
      <w:r w:rsidRPr="002B3E1D">
        <w:rPr>
          <w:rFonts w:ascii="Times New Roman" w:eastAsia="Calibri" w:hAnsi="Times New Roman" w:cs="Times New Roman"/>
          <w:sz w:val="20"/>
          <w:szCs w:val="24"/>
          <w:lang w:val="en-US"/>
        </w:rPr>
        <w:t xml:space="preserve"> Numbers on the diagonals are square root of AVE</w:t>
      </w:r>
    </w:p>
    <w:p w14:paraId="5BBDD1A0" w14:textId="77777777" w:rsidR="008F5536" w:rsidRPr="002B3E1D" w:rsidRDefault="008F5536" w:rsidP="008F5536">
      <w:pPr>
        <w:spacing w:after="0" w:line="240" w:lineRule="auto"/>
        <w:rPr>
          <w:rFonts w:ascii="Times New Roman" w:eastAsia="Calibri" w:hAnsi="Times New Roman" w:cs="Times New Roman"/>
          <w:sz w:val="20"/>
          <w:szCs w:val="24"/>
          <w:lang w:val="en-US"/>
        </w:rPr>
      </w:pPr>
      <w:r w:rsidRPr="002B3E1D">
        <w:rPr>
          <w:rFonts w:ascii="Times New Roman" w:eastAsia="Calibri" w:hAnsi="Times New Roman" w:cs="Times New Roman"/>
          <w:sz w:val="20"/>
          <w:szCs w:val="24"/>
          <w:lang w:val="en-US"/>
        </w:rPr>
        <w:t xml:space="preserve">** </w:t>
      </w:r>
      <w:r w:rsidRPr="002B3E1D">
        <w:rPr>
          <w:rFonts w:ascii="Times New Roman" w:eastAsia="Calibri" w:hAnsi="Times New Roman" w:cs="Times New Roman"/>
          <w:i/>
          <w:sz w:val="20"/>
          <w:szCs w:val="24"/>
          <w:lang w:val="en-US"/>
        </w:rPr>
        <w:t xml:space="preserve">p </w:t>
      </w:r>
      <w:r w:rsidRPr="002B3E1D">
        <w:rPr>
          <w:rFonts w:ascii="Times New Roman" w:eastAsia="Calibri" w:hAnsi="Times New Roman" w:cs="Times New Roman"/>
          <w:sz w:val="20"/>
          <w:szCs w:val="24"/>
          <w:lang w:val="en-US"/>
        </w:rPr>
        <w:t xml:space="preserve">≤ .01, * </w:t>
      </w:r>
      <w:r w:rsidRPr="002B3E1D">
        <w:rPr>
          <w:rFonts w:ascii="Times New Roman" w:eastAsia="Calibri" w:hAnsi="Times New Roman" w:cs="Times New Roman"/>
          <w:i/>
          <w:sz w:val="20"/>
          <w:szCs w:val="24"/>
          <w:lang w:val="en-US"/>
        </w:rPr>
        <w:t>p</w:t>
      </w:r>
      <w:r w:rsidRPr="002B3E1D">
        <w:rPr>
          <w:rFonts w:ascii="Times New Roman" w:eastAsia="Calibri" w:hAnsi="Times New Roman" w:cs="Times New Roman"/>
          <w:sz w:val="20"/>
          <w:szCs w:val="24"/>
          <w:lang w:val="en-US"/>
        </w:rPr>
        <w:t xml:space="preserve"> ≤ .05.</w:t>
      </w:r>
    </w:p>
    <w:p w14:paraId="1C1FD319" w14:textId="77777777" w:rsidR="008F5536" w:rsidRPr="002B3E1D" w:rsidRDefault="008F5536" w:rsidP="008F5536">
      <w:pPr>
        <w:spacing w:after="0" w:line="240" w:lineRule="auto"/>
        <w:rPr>
          <w:rFonts w:ascii="Times New Roman" w:eastAsia="Calibri" w:hAnsi="Times New Roman" w:cs="Times New Roman"/>
          <w:sz w:val="24"/>
          <w:szCs w:val="24"/>
          <w:lang w:val="en-US"/>
        </w:rPr>
      </w:pPr>
    </w:p>
    <w:p w14:paraId="0BF2361C" w14:textId="77777777" w:rsidR="008F5536" w:rsidRPr="002B3E1D" w:rsidRDefault="008F5536" w:rsidP="008F5536">
      <w:pPr>
        <w:spacing w:after="0" w:line="240" w:lineRule="auto"/>
        <w:rPr>
          <w:rFonts w:ascii="Times New Roman" w:eastAsia="Calibri" w:hAnsi="Times New Roman" w:cs="Times New Roman"/>
          <w:sz w:val="24"/>
          <w:szCs w:val="24"/>
          <w:lang w:val="en-US"/>
        </w:rPr>
      </w:pPr>
    </w:p>
    <w:p w14:paraId="66128359" w14:textId="77777777" w:rsidR="008F5536" w:rsidRPr="002B3E1D" w:rsidRDefault="008F5536" w:rsidP="008F5536">
      <w:pPr>
        <w:spacing w:after="0" w:line="240" w:lineRule="auto"/>
        <w:rPr>
          <w:rFonts w:ascii="Times New Roman" w:eastAsia="Calibri" w:hAnsi="Times New Roman" w:cs="Times New Roman"/>
          <w:sz w:val="24"/>
          <w:szCs w:val="24"/>
          <w:lang w:val="en-US"/>
        </w:rPr>
      </w:pPr>
    </w:p>
    <w:p w14:paraId="6F45C97E" w14:textId="77777777" w:rsidR="008F5536" w:rsidRPr="002B3E1D" w:rsidRDefault="008F5536" w:rsidP="008F5536">
      <w:pPr>
        <w:spacing w:after="0" w:line="240" w:lineRule="auto"/>
        <w:rPr>
          <w:rFonts w:ascii="Times New Roman" w:eastAsia="Calibri" w:hAnsi="Times New Roman" w:cs="Times New Roman"/>
          <w:sz w:val="24"/>
          <w:szCs w:val="24"/>
          <w:lang w:val="en-US"/>
        </w:rPr>
      </w:pPr>
    </w:p>
    <w:p w14:paraId="634FD0A5" w14:textId="77777777" w:rsidR="008F5536" w:rsidRPr="002B3E1D" w:rsidRDefault="008F5536" w:rsidP="008F5536">
      <w:pPr>
        <w:spacing w:after="0" w:line="240" w:lineRule="auto"/>
        <w:rPr>
          <w:rFonts w:ascii="Times New Roman" w:eastAsia="Calibri" w:hAnsi="Times New Roman" w:cs="Times New Roman"/>
          <w:sz w:val="24"/>
          <w:szCs w:val="24"/>
          <w:lang w:val="en-US"/>
        </w:rPr>
      </w:pPr>
    </w:p>
    <w:p w14:paraId="08043D1C" w14:textId="77777777" w:rsidR="008F5536" w:rsidRPr="002B3E1D" w:rsidRDefault="008F5536" w:rsidP="008F5536">
      <w:pPr>
        <w:spacing w:after="0" w:line="240" w:lineRule="auto"/>
        <w:rPr>
          <w:rFonts w:ascii="Times New Roman" w:eastAsia="Calibri" w:hAnsi="Times New Roman" w:cs="Times New Roman"/>
          <w:sz w:val="24"/>
          <w:szCs w:val="24"/>
          <w:lang w:val="en-US"/>
        </w:rPr>
      </w:pPr>
    </w:p>
    <w:p w14:paraId="25A9159E" w14:textId="77777777" w:rsidR="008F5536" w:rsidRPr="002B3E1D" w:rsidRDefault="008F5536" w:rsidP="008F5536">
      <w:pPr>
        <w:spacing w:after="0" w:line="240" w:lineRule="auto"/>
        <w:rPr>
          <w:rFonts w:ascii="Times New Roman" w:eastAsia="Calibri" w:hAnsi="Times New Roman" w:cs="Times New Roman"/>
          <w:sz w:val="24"/>
          <w:szCs w:val="24"/>
          <w:lang w:val="en-US"/>
        </w:rPr>
      </w:pPr>
    </w:p>
    <w:p w14:paraId="62AF1BF3" w14:textId="77777777" w:rsidR="008F5536" w:rsidRPr="002B3E1D" w:rsidRDefault="008F5536" w:rsidP="008F5536">
      <w:pPr>
        <w:spacing w:after="0" w:line="240" w:lineRule="auto"/>
        <w:rPr>
          <w:rFonts w:ascii="Times New Roman" w:eastAsia="Calibri" w:hAnsi="Times New Roman" w:cs="Times New Roman"/>
          <w:sz w:val="24"/>
          <w:szCs w:val="24"/>
          <w:lang w:val="en-US"/>
        </w:rPr>
      </w:pPr>
    </w:p>
    <w:p w14:paraId="72D0130A" w14:textId="77777777" w:rsidR="008F5536" w:rsidRPr="002B3E1D" w:rsidRDefault="008F5536" w:rsidP="008F5536">
      <w:pPr>
        <w:spacing w:after="0" w:line="240" w:lineRule="auto"/>
        <w:rPr>
          <w:rFonts w:ascii="Times New Roman" w:eastAsia="Calibri" w:hAnsi="Times New Roman" w:cs="Times New Roman"/>
          <w:sz w:val="24"/>
          <w:szCs w:val="24"/>
          <w:lang w:val="en-US"/>
        </w:rPr>
      </w:pPr>
    </w:p>
    <w:p w14:paraId="337757B3" w14:textId="77777777" w:rsidR="008F5536" w:rsidRPr="002B3E1D" w:rsidRDefault="008F5536" w:rsidP="008F5536">
      <w:pPr>
        <w:spacing w:after="0" w:line="240" w:lineRule="auto"/>
        <w:rPr>
          <w:rFonts w:ascii="Times New Roman" w:eastAsia="Calibri" w:hAnsi="Times New Roman" w:cs="Times New Roman"/>
          <w:sz w:val="24"/>
          <w:szCs w:val="24"/>
          <w:lang w:val="en-US"/>
        </w:rPr>
      </w:pPr>
    </w:p>
    <w:p w14:paraId="046C4B9E" w14:textId="77777777" w:rsidR="008F5536" w:rsidRPr="002B3E1D" w:rsidRDefault="008F5536" w:rsidP="008F5536">
      <w:pPr>
        <w:spacing w:after="0" w:line="240" w:lineRule="auto"/>
        <w:rPr>
          <w:rFonts w:ascii="Times New Roman" w:eastAsia="Calibri" w:hAnsi="Times New Roman" w:cs="Times New Roman"/>
          <w:sz w:val="24"/>
          <w:szCs w:val="24"/>
          <w:lang w:val="en-US"/>
        </w:rPr>
      </w:pPr>
    </w:p>
    <w:p w14:paraId="499D9ADB" w14:textId="77777777" w:rsidR="008F5536" w:rsidRPr="002B3E1D" w:rsidRDefault="008F5536" w:rsidP="008F5536">
      <w:pPr>
        <w:spacing w:after="0" w:line="240" w:lineRule="auto"/>
        <w:rPr>
          <w:rFonts w:ascii="Times New Roman" w:eastAsia="Calibri" w:hAnsi="Times New Roman" w:cs="Times New Roman"/>
          <w:sz w:val="24"/>
          <w:szCs w:val="24"/>
          <w:lang w:val="en-US"/>
        </w:rPr>
      </w:pPr>
    </w:p>
    <w:p w14:paraId="3E4A8EB6" w14:textId="77777777" w:rsidR="008F5536" w:rsidRPr="002B3E1D" w:rsidRDefault="008F5536" w:rsidP="008F5536">
      <w:pPr>
        <w:spacing w:after="0" w:line="240" w:lineRule="auto"/>
        <w:rPr>
          <w:rFonts w:ascii="Times New Roman" w:eastAsia="Calibri" w:hAnsi="Times New Roman" w:cs="Times New Roman"/>
          <w:sz w:val="24"/>
          <w:szCs w:val="24"/>
          <w:lang w:val="en-US"/>
        </w:rPr>
      </w:pPr>
    </w:p>
    <w:p w14:paraId="4D51BD13" w14:textId="77777777" w:rsidR="008F5536" w:rsidRPr="002B3E1D" w:rsidRDefault="008F5536" w:rsidP="008F5536">
      <w:pPr>
        <w:spacing w:after="0" w:line="240" w:lineRule="auto"/>
        <w:rPr>
          <w:rFonts w:ascii="Times New Roman" w:eastAsia="Calibri" w:hAnsi="Times New Roman" w:cs="Times New Roman"/>
          <w:sz w:val="24"/>
          <w:szCs w:val="24"/>
          <w:lang w:val="en-US"/>
        </w:rPr>
      </w:pPr>
    </w:p>
    <w:p w14:paraId="53CF5D64" w14:textId="77777777" w:rsidR="008F5536" w:rsidRPr="002B3E1D" w:rsidRDefault="008F5536" w:rsidP="008F5536">
      <w:pPr>
        <w:spacing w:after="0" w:line="240" w:lineRule="auto"/>
        <w:rPr>
          <w:rFonts w:ascii="Times New Roman" w:eastAsia="Calibri" w:hAnsi="Times New Roman" w:cs="Times New Roman"/>
          <w:sz w:val="24"/>
          <w:szCs w:val="24"/>
          <w:lang w:val="en-US"/>
        </w:rPr>
      </w:pPr>
    </w:p>
    <w:p w14:paraId="553E96D9" w14:textId="77777777" w:rsidR="008F5536" w:rsidRPr="002B3E1D" w:rsidRDefault="008F5536" w:rsidP="008F5536">
      <w:pPr>
        <w:spacing w:after="0" w:line="240" w:lineRule="auto"/>
        <w:rPr>
          <w:rFonts w:ascii="Times New Roman" w:eastAsia="Calibri" w:hAnsi="Times New Roman" w:cs="Times New Roman"/>
          <w:sz w:val="24"/>
          <w:szCs w:val="24"/>
          <w:lang w:val="en-US"/>
        </w:rPr>
      </w:pPr>
    </w:p>
    <w:p w14:paraId="5D2DF4A6" w14:textId="77777777" w:rsidR="008F5536" w:rsidRPr="002B3E1D" w:rsidRDefault="008F5536" w:rsidP="008F5536">
      <w:pPr>
        <w:spacing w:after="0" w:line="240" w:lineRule="auto"/>
        <w:rPr>
          <w:rFonts w:ascii="Times New Roman" w:eastAsia="Calibri" w:hAnsi="Times New Roman" w:cs="Times New Roman"/>
          <w:sz w:val="24"/>
          <w:szCs w:val="24"/>
          <w:lang w:val="en-US"/>
        </w:rPr>
      </w:pPr>
    </w:p>
    <w:p w14:paraId="470F5AC6" w14:textId="77777777" w:rsidR="008F5536" w:rsidRPr="002B3E1D" w:rsidRDefault="008F5536" w:rsidP="008F5536">
      <w:pPr>
        <w:spacing w:after="0" w:line="240" w:lineRule="auto"/>
        <w:rPr>
          <w:rFonts w:ascii="Times New Roman" w:eastAsia="Calibri" w:hAnsi="Times New Roman" w:cs="Times New Roman"/>
          <w:sz w:val="24"/>
          <w:szCs w:val="24"/>
          <w:lang w:val="en-US"/>
        </w:rPr>
      </w:pPr>
    </w:p>
    <w:p w14:paraId="331A28EF" w14:textId="77777777" w:rsidR="008F5536" w:rsidRPr="002B3E1D" w:rsidRDefault="008F5536" w:rsidP="008F5536">
      <w:pPr>
        <w:spacing w:after="0" w:line="240" w:lineRule="auto"/>
        <w:rPr>
          <w:rFonts w:ascii="Times New Roman" w:eastAsia="Calibri" w:hAnsi="Times New Roman" w:cs="Times New Roman"/>
          <w:sz w:val="24"/>
          <w:szCs w:val="24"/>
          <w:lang w:val="en-US"/>
        </w:rPr>
      </w:pPr>
    </w:p>
    <w:p w14:paraId="0DA12BD9" w14:textId="77777777" w:rsidR="008F5536" w:rsidRPr="002B3E1D" w:rsidRDefault="008F5536" w:rsidP="008F5536">
      <w:pPr>
        <w:spacing w:after="0" w:line="240" w:lineRule="auto"/>
        <w:rPr>
          <w:rFonts w:ascii="Times New Roman" w:eastAsia="Calibri" w:hAnsi="Times New Roman" w:cs="Times New Roman"/>
          <w:sz w:val="24"/>
          <w:szCs w:val="24"/>
          <w:lang w:val="en-US"/>
        </w:rPr>
      </w:pPr>
    </w:p>
    <w:p w14:paraId="7B1BE132" w14:textId="77777777" w:rsidR="008F5536" w:rsidRPr="002B3E1D" w:rsidRDefault="008F5536" w:rsidP="008F5536">
      <w:pPr>
        <w:spacing w:after="0" w:line="240" w:lineRule="auto"/>
        <w:rPr>
          <w:rFonts w:ascii="Times New Roman" w:eastAsia="Calibri" w:hAnsi="Times New Roman" w:cs="Times New Roman"/>
          <w:sz w:val="24"/>
          <w:szCs w:val="24"/>
          <w:lang w:val="en-US"/>
        </w:rPr>
      </w:pPr>
    </w:p>
    <w:p w14:paraId="779B324C" w14:textId="77777777" w:rsidR="008F5536" w:rsidRPr="002B3E1D" w:rsidRDefault="008F5536" w:rsidP="008F5536">
      <w:pPr>
        <w:spacing w:after="0" w:line="240" w:lineRule="auto"/>
        <w:rPr>
          <w:rFonts w:ascii="Times New Roman" w:eastAsia="Calibri" w:hAnsi="Times New Roman" w:cs="Times New Roman"/>
          <w:sz w:val="24"/>
          <w:szCs w:val="24"/>
          <w:lang w:val="en-US"/>
        </w:rPr>
      </w:pPr>
    </w:p>
    <w:p w14:paraId="17E5869F" w14:textId="77777777" w:rsidR="008F5536" w:rsidRPr="002B3E1D" w:rsidRDefault="008F5536" w:rsidP="008F5536">
      <w:pPr>
        <w:spacing w:after="0" w:line="240" w:lineRule="auto"/>
        <w:rPr>
          <w:rFonts w:ascii="Times New Roman" w:eastAsia="Calibri" w:hAnsi="Times New Roman" w:cs="Times New Roman"/>
          <w:sz w:val="24"/>
          <w:szCs w:val="24"/>
          <w:lang w:val="en-US"/>
        </w:rPr>
      </w:pPr>
    </w:p>
    <w:p w14:paraId="5B6A42B9" w14:textId="77777777" w:rsidR="008F5536" w:rsidRPr="002B3E1D" w:rsidRDefault="008F5536" w:rsidP="008F5536">
      <w:pPr>
        <w:spacing w:after="0" w:line="240" w:lineRule="auto"/>
        <w:rPr>
          <w:rFonts w:ascii="Times New Roman" w:eastAsia="Calibri" w:hAnsi="Times New Roman" w:cs="Times New Roman"/>
          <w:sz w:val="24"/>
          <w:szCs w:val="24"/>
          <w:lang w:val="en-US"/>
        </w:rPr>
      </w:pPr>
    </w:p>
    <w:p w14:paraId="168E9F8E" w14:textId="77777777" w:rsidR="008F5536" w:rsidRPr="002B3E1D" w:rsidRDefault="008F5536" w:rsidP="008F5536">
      <w:pPr>
        <w:spacing w:after="0" w:line="240" w:lineRule="auto"/>
        <w:rPr>
          <w:rFonts w:ascii="Times New Roman" w:eastAsia="Calibri" w:hAnsi="Times New Roman" w:cs="Times New Roman"/>
          <w:sz w:val="24"/>
          <w:szCs w:val="24"/>
          <w:lang w:val="en-US"/>
        </w:rPr>
      </w:pPr>
    </w:p>
    <w:p w14:paraId="788BD716" w14:textId="77777777" w:rsidR="008F5536" w:rsidRPr="002B3E1D" w:rsidRDefault="008F5536" w:rsidP="008F5536">
      <w:pPr>
        <w:spacing w:after="0" w:line="240" w:lineRule="auto"/>
        <w:rPr>
          <w:rFonts w:ascii="Times New Roman" w:eastAsia="Calibri" w:hAnsi="Times New Roman" w:cs="Times New Roman"/>
          <w:sz w:val="24"/>
          <w:szCs w:val="24"/>
          <w:lang w:val="en-US"/>
        </w:rPr>
      </w:pPr>
    </w:p>
    <w:p w14:paraId="27C7524B" w14:textId="77777777" w:rsidR="008F5536" w:rsidRPr="002B3E1D" w:rsidRDefault="008F5536" w:rsidP="008F5536">
      <w:pPr>
        <w:spacing w:after="0" w:line="240" w:lineRule="auto"/>
        <w:rPr>
          <w:rFonts w:ascii="Times New Roman" w:eastAsia="Calibri" w:hAnsi="Times New Roman" w:cs="Times New Roman"/>
          <w:sz w:val="24"/>
          <w:szCs w:val="24"/>
          <w:lang w:val="en-US"/>
        </w:rPr>
      </w:pPr>
    </w:p>
    <w:p w14:paraId="24ACBEEB" w14:textId="77777777" w:rsidR="008F5536" w:rsidRPr="002B3E1D" w:rsidRDefault="008F5536" w:rsidP="008F5536">
      <w:pPr>
        <w:spacing w:after="0" w:line="240" w:lineRule="auto"/>
        <w:rPr>
          <w:rFonts w:ascii="Times New Roman" w:eastAsia="Calibri" w:hAnsi="Times New Roman" w:cs="Times New Roman"/>
          <w:sz w:val="24"/>
          <w:szCs w:val="24"/>
          <w:lang w:val="en-US"/>
        </w:rPr>
      </w:pPr>
    </w:p>
    <w:p w14:paraId="122515A4" w14:textId="77777777" w:rsidR="008F5536" w:rsidRPr="002B3E1D" w:rsidRDefault="008F5536" w:rsidP="008F5536">
      <w:pPr>
        <w:spacing w:after="0" w:line="240" w:lineRule="auto"/>
        <w:rPr>
          <w:rFonts w:ascii="Times New Roman" w:eastAsia="Calibri" w:hAnsi="Times New Roman" w:cs="Times New Roman"/>
          <w:sz w:val="24"/>
          <w:szCs w:val="24"/>
          <w:lang w:val="en-US"/>
        </w:rPr>
      </w:pPr>
    </w:p>
    <w:p w14:paraId="33BBE702" w14:textId="77777777" w:rsidR="008F5536" w:rsidRPr="002B3E1D" w:rsidRDefault="008F5536" w:rsidP="008F5536">
      <w:pPr>
        <w:spacing w:after="0" w:line="240" w:lineRule="auto"/>
        <w:rPr>
          <w:rFonts w:ascii="Times New Roman" w:eastAsia="Calibri" w:hAnsi="Times New Roman" w:cs="Times New Roman"/>
          <w:sz w:val="24"/>
          <w:szCs w:val="24"/>
          <w:lang w:val="en-US"/>
        </w:rPr>
      </w:pPr>
    </w:p>
    <w:p w14:paraId="4A99F491" w14:textId="77777777" w:rsidR="008F5536" w:rsidRPr="002B3E1D" w:rsidRDefault="008F5536" w:rsidP="008F5536">
      <w:pPr>
        <w:spacing w:after="0" w:line="240" w:lineRule="auto"/>
        <w:rPr>
          <w:rFonts w:ascii="Times New Roman" w:eastAsia="Calibri" w:hAnsi="Times New Roman" w:cs="Times New Roman"/>
          <w:sz w:val="24"/>
          <w:szCs w:val="24"/>
          <w:lang w:val="en-US"/>
        </w:rPr>
      </w:pPr>
    </w:p>
    <w:p w14:paraId="0F484B66" w14:textId="77777777" w:rsidR="008F5536" w:rsidRPr="002B3E1D" w:rsidRDefault="008F5536" w:rsidP="008F5536">
      <w:pPr>
        <w:spacing w:after="0" w:line="240" w:lineRule="auto"/>
        <w:rPr>
          <w:rFonts w:ascii="Times New Roman" w:hAnsi="Times New Roman" w:cs="Times New Roman"/>
          <w:sz w:val="24"/>
          <w:szCs w:val="24"/>
          <w:lang w:val="en-US"/>
        </w:rPr>
      </w:pPr>
      <w:r w:rsidRPr="002B3E1D">
        <w:rPr>
          <w:rFonts w:ascii="Times New Roman" w:hAnsi="Times New Roman" w:cs="Times New Roman"/>
          <w:b/>
          <w:sz w:val="24"/>
          <w:szCs w:val="24"/>
          <w:lang w:val="en-US"/>
        </w:rPr>
        <w:t>Table 3:</w:t>
      </w:r>
      <w:r w:rsidRPr="002B3E1D">
        <w:rPr>
          <w:rFonts w:ascii="Times New Roman" w:hAnsi="Times New Roman" w:cs="Times New Roman"/>
          <w:sz w:val="24"/>
          <w:szCs w:val="24"/>
          <w:lang w:val="en-US"/>
        </w:rPr>
        <w:t xml:space="preserve"> OLS </w:t>
      </w:r>
      <w:r w:rsidR="00D252BF" w:rsidRPr="002B3E1D">
        <w:rPr>
          <w:rFonts w:ascii="Times New Roman" w:hAnsi="Times New Roman" w:cs="Times New Roman"/>
          <w:sz w:val="24"/>
          <w:szCs w:val="24"/>
          <w:lang w:val="en-US"/>
        </w:rPr>
        <w:t>regression results</w:t>
      </w:r>
    </w:p>
    <w:tbl>
      <w:tblPr>
        <w:tblStyle w:val="TableGrid"/>
        <w:tblW w:w="4958" w:type="pct"/>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95"/>
        <w:gridCol w:w="862"/>
        <w:gridCol w:w="862"/>
        <w:gridCol w:w="863"/>
        <w:gridCol w:w="863"/>
        <w:gridCol w:w="863"/>
        <w:gridCol w:w="863"/>
        <w:gridCol w:w="863"/>
        <w:gridCol w:w="861"/>
      </w:tblGrid>
      <w:tr w:rsidR="008F5536" w:rsidRPr="002B3E1D" w14:paraId="61DB8F73" w14:textId="77777777" w:rsidTr="008F5536">
        <w:tc>
          <w:tcPr>
            <w:tcW w:w="1289" w:type="pct"/>
            <w:noWrap/>
            <w:tcMar>
              <w:left w:w="6" w:type="dxa"/>
              <w:right w:w="6" w:type="dxa"/>
            </w:tcMar>
            <w:vAlign w:val="bottom"/>
          </w:tcPr>
          <w:p w14:paraId="63815108" w14:textId="77777777" w:rsidR="008F5536" w:rsidRPr="002B3E1D" w:rsidRDefault="008F5536" w:rsidP="008F5536">
            <w:pPr>
              <w:rPr>
                <w:rFonts w:ascii="Times New Roman" w:hAnsi="Times New Roman" w:cs="Times New Roman"/>
                <w:szCs w:val="20"/>
              </w:rPr>
            </w:pPr>
          </w:p>
        </w:tc>
        <w:tc>
          <w:tcPr>
            <w:tcW w:w="3711" w:type="pct"/>
            <w:gridSpan w:val="8"/>
            <w:tcMar>
              <w:left w:w="6" w:type="dxa"/>
              <w:right w:w="6" w:type="dxa"/>
            </w:tcMar>
          </w:tcPr>
          <w:p w14:paraId="730E9CF5" w14:textId="77777777" w:rsidR="008F5536" w:rsidRPr="002B3E1D" w:rsidRDefault="008F5536" w:rsidP="008F5536">
            <w:pPr>
              <w:jc w:val="center"/>
              <w:rPr>
                <w:rFonts w:ascii="Times New Roman" w:hAnsi="Times New Roman" w:cs="Times New Roman"/>
                <w:b/>
                <w:szCs w:val="20"/>
              </w:rPr>
            </w:pPr>
            <w:r w:rsidRPr="002B3E1D">
              <w:rPr>
                <w:rFonts w:ascii="Times New Roman" w:hAnsi="Times New Roman" w:cs="Times New Roman"/>
                <w:b/>
                <w:szCs w:val="20"/>
              </w:rPr>
              <w:t>Dependent Variable:</w:t>
            </w:r>
          </w:p>
          <w:p w14:paraId="12A86947" w14:textId="77777777" w:rsidR="008F5536" w:rsidRPr="002B3E1D" w:rsidRDefault="008F5536" w:rsidP="008F5536">
            <w:pPr>
              <w:jc w:val="center"/>
              <w:rPr>
                <w:rFonts w:ascii="Times New Roman" w:hAnsi="Times New Roman" w:cs="Times New Roman"/>
                <w:b/>
                <w:szCs w:val="20"/>
              </w:rPr>
            </w:pPr>
            <w:r w:rsidRPr="002B3E1D">
              <w:rPr>
                <w:rFonts w:ascii="Times New Roman" w:hAnsi="Times New Roman" w:cs="Times New Roman"/>
                <w:b/>
                <w:szCs w:val="20"/>
              </w:rPr>
              <w:t>Organizational Ambidexterity</w:t>
            </w:r>
          </w:p>
        </w:tc>
      </w:tr>
      <w:tr w:rsidR="008F5536" w:rsidRPr="002B3E1D" w14:paraId="25EFC3B6" w14:textId="77777777" w:rsidTr="008F5536">
        <w:tc>
          <w:tcPr>
            <w:tcW w:w="1289" w:type="pct"/>
            <w:noWrap/>
            <w:tcMar>
              <w:left w:w="6" w:type="dxa"/>
              <w:right w:w="6" w:type="dxa"/>
            </w:tcMar>
          </w:tcPr>
          <w:p w14:paraId="3F1B13A2" w14:textId="77777777" w:rsidR="008F5536" w:rsidRPr="002B3E1D" w:rsidRDefault="008F5536" w:rsidP="008F5536">
            <w:pPr>
              <w:rPr>
                <w:rFonts w:ascii="Times New Roman" w:hAnsi="Times New Roman" w:cs="Times New Roman"/>
                <w:szCs w:val="20"/>
              </w:rPr>
            </w:pPr>
          </w:p>
        </w:tc>
        <w:tc>
          <w:tcPr>
            <w:tcW w:w="927" w:type="pct"/>
            <w:gridSpan w:val="2"/>
            <w:tcBorders>
              <w:top w:val="nil"/>
              <w:bottom w:val="single" w:sz="2" w:space="0" w:color="auto"/>
              <w:right w:val="single" w:sz="2" w:space="0" w:color="auto"/>
            </w:tcBorders>
            <w:tcMar>
              <w:left w:w="6" w:type="dxa"/>
              <w:right w:w="6" w:type="dxa"/>
            </w:tcMar>
          </w:tcPr>
          <w:p w14:paraId="0CCCF410" w14:textId="77777777" w:rsidR="008F5536" w:rsidRPr="002B3E1D" w:rsidRDefault="008F5536" w:rsidP="008F5536">
            <w:pPr>
              <w:jc w:val="center"/>
              <w:rPr>
                <w:rFonts w:ascii="Times New Roman" w:hAnsi="Times New Roman" w:cs="Times New Roman"/>
                <w:b/>
                <w:szCs w:val="20"/>
              </w:rPr>
            </w:pPr>
            <w:r w:rsidRPr="002B3E1D">
              <w:rPr>
                <w:rFonts w:ascii="Times New Roman" w:hAnsi="Times New Roman" w:cs="Times New Roman"/>
                <w:b/>
                <w:szCs w:val="20"/>
              </w:rPr>
              <w:t>Regression</w:t>
            </w:r>
          </w:p>
          <w:p w14:paraId="2DBBC4DC" w14:textId="77777777" w:rsidR="008F5536" w:rsidRPr="002B3E1D" w:rsidRDefault="008F5536" w:rsidP="008F5536">
            <w:pPr>
              <w:jc w:val="center"/>
              <w:rPr>
                <w:rFonts w:ascii="Times New Roman" w:hAnsi="Times New Roman" w:cs="Times New Roman"/>
                <w:b/>
                <w:szCs w:val="20"/>
              </w:rPr>
            </w:pPr>
            <w:r w:rsidRPr="002B3E1D">
              <w:rPr>
                <w:rFonts w:ascii="Times New Roman" w:hAnsi="Times New Roman" w:cs="Times New Roman"/>
                <w:b/>
                <w:szCs w:val="20"/>
              </w:rPr>
              <w:t>Model 1</w:t>
            </w:r>
          </w:p>
        </w:tc>
        <w:tc>
          <w:tcPr>
            <w:tcW w:w="927" w:type="pct"/>
            <w:gridSpan w:val="2"/>
            <w:tcBorders>
              <w:top w:val="nil"/>
              <w:left w:val="single" w:sz="2" w:space="0" w:color="auto"/>
              <w:bottom w:val="single" w:sz="2" w:space="0" w:color="auto"/>
              <w:right w:val="single" w:sz="2" w:space="0" w:color="auto"/>
            </w:tcBorders>
            <w:noWrap/>
            <w:tcMar>
              <w:left w:w="6" w:type="dxa"/>
              <w:right w:w="6" w:type="dxa"/>
            </w:tcMar>
          </w:tcPr>
          <w:p w14:paraId="177BE47F" w14:textId="77777777" w:rsidR="008F5536" w:rsidRPr="002B3E1D" w:rsidRDefault="008F5536" w:rsidP="008F5536">
            <w:pPr>
              <w:jc w:val="center"/>
              <w:rPr>
                <w:rFonts w:ascii="Times New Roman" w:hAnsi="Times New Roman" w:cs="Times New Roman"/>
                <w:b/>
                <w:szCs w:val="20"/>
              </w:rPr>
            </w:pPr>
            <w:r w:rsidRPr="002B3E1D">
              <w:rPr>
                <w:rFonts w:ascii="Times New Roman" w:hAnsi="Times New Roman" w:cs="Times New Roman"/>
                <w:b/>
                <w:szCs w:val="20"/>
              </w:rPr>
              <w:t>Regression</w:t>
            </w:r>
          </w:p>
          <w:p w14:paraId="06F994F0" w14:textId="77777777" w:rsidR="008F5536" w:rsidRPr="002B3E1D" w:rsidRDefault="008F5536" w:rsidP="008F5536">
            <w:pPr>
              <w:jc w:val="center"/>
              <w:rPr>
                <w:rFonts w:ascii="Times New Roman" w:hAnsi="Times New Roman" w:cs="Times New Roman"/>
                <w:b/>
                <w:szCs w:val="20"/>
              </w:rPr>
            </w:pPr>
            <w:r w:rsidRPr="002B3E1D">
              <w:rPr>
                <w:rFonts w:ascii="Times New Roman" w:hAnsi="Times New Roman" w:cs="Times New Roman"/>
                <w:b/>
                <w:szCs w:val="20"/>
              </w:rPr>
              <w:t>Model 2</w:t>
            </w:r>
          </w:p>
        </w:tc>
        <w:tc>
          <w:tcPr>
            <w:tcW w:w="928" w:type="pct"/>
            <w:gridSpan w:val="2"/>
            <w:tcBorders>
              <w:top w:val="nil"/>
              <w:left w:val="single" w:sz="2" w:space="0" w:color="auto"/>
              <w:bottom w:val="single" w:sz="2" w:space="0" w:color="auto"/>
              <w:right w:val="single" w:sz="2" w:space="0" w:color="auto"/>
            </w:tcBorders>
            <w:noWrap/>
            <w:tcMar>
              <w:left w:w="6" w:type="dxa"/>
              <w:right w:w="6" w:type="dxa"/>
            </w:tcMar>
          </w:tcPr>
          <w:p w14:paraId="2FD36287" w14:textId="77777777" w:rsidR="008F5536" w:rsidRPr="002B3E1D" w:rsidRDefault="008F5536" w:rsidP="008F5536">
            <w:pPr>
              <w:jc w:val="center"/>
              <w:rPr>
                <w:rFonts w:ascii="Times New Roman" w:hAnsi="Times New Roman" w:cs="Times New Roman"/>
                <w:b/>
                <w:szCs w:val="20"/>
              </w:rPr>
            </w:pPr>
            <w:r w:rsidRPr="002B3E1D">
              <w:rPr>
                <w:rFonts w:ascii="Times New Roman" w:hAnsi="Times New Roman" w:cs="Times New Roman"/>
                <w:b/>
                <w:szCs w:val="20"/>
              </w:rPr>
              <w:t>Regression</w:t>
            </w:r>
          </w:p>
          <w:p w14:paraId="5B779661" w14:textId="77777777" w:rsidR="008F5536" w:rsidRPr="002B3E1D" w:rsidRDefault="008F5536" w:rsidP="008F5536">
            <w:pPr>
              <w:jc w:val="center"/>
              <w:rPr>
                <w:rFonts w:ascii="Times New Roman" w:hAnsi="Times New Roman" w:cs="Times New Roman"/>
                <w:b/>
                <w:szCs w:val="20"/>
              </w:rPr>
            </w:pPr>
            <w:r w:rsidRPr="002B3E1D">
              <w:rPr>
                <w:rFonts w:ascii="Times New Roman" w:hAnsi="Times New Roman" w:cs="Times New Roman"/>
                <w:b/>
                <w:szCs w:val="20"/>
              </w:rPr>
              <w:t>Model 3</w:t>
            </w:r>
          </w:p>
        </w:tc>
        <w:tc>
          <w:tcPr>
            <w:tcW w:w="927" w:type="pct"/>
            <w:gridSpan w:val="2"/>
            <w:tcBorders>
              <w:top w:val="nil"/>
              <w:left w:val="single" w:sz="2" w:space="0" w:color="auto"/>
              <w:bottom w:val="single" w:sz="2" w:space="0" w:color="auto"/>
            </w:tcBorders>
            <w:noWrap/>
            <w:tcMar>
              <w:left w:w="6" w:type="dxa"/>
              <w:right w:w="6" w:type="dxa"/>
            </w:tcMar>
          </w:tcPr>
          <w:p w14:paraId="15D0F011" w14:textId="77777777" w:rsidR="008F5536" w:rsidRPr="002B3E1D" w:rsidRDefault="008F5536" w:rsidP="008F5536">
            <w:pPr>
              <w:jc w:val="center"/>
              <w:rPr>
                <w:rFonts w:ascii="Times New Roman" w:hAnsi="Times New Roman" w:cs="Times New Roman"/>
                <w:b/>
                <w:szCs w:val="20"/>
              </w:rPr>
            </w:pPr>
            <w:r w:rsidRPr="002B3E1D">
              <w:rPr>
                <w:rFonts w:ascii="Times New Roman" w:hAnsi="Times New Roman" w:cs="Times New Roman"/>
                <w:b/>
                <w:szCs w:val="20"/>
              </w:rPr>
              <w:t>Regression</w:t>
            </w:r>
          </w:p>
          <w:p w14:paraId="0B967413" w14:textId="77777777" w:rsidR="008F5536" w:rsidRPr="002B3E1D" w:rsidRDefault="008F5536" w:rsidP="008F5536">
            <w:pPr>
              <w:jc w:val="center"/>
              <w:rPr>
                <w:rFonts w:ascii="Times New Roman" w:hAnsi="Times New Roman" w:cs="Times New Roman"/>
                <w:b/>
                <w:szCs w:val="20"/>
              </w:rPr>
            </w:pPr>
            <w:r w:rsidRPr="002B3E1D">
              <w:rPr>
                <w:rFonts w:ascii="Times New Roman" w:hAnsi="Times New Roman" w:cs="Times New Roman"/>
                <w:b/>
                <w:szCs w:val="20"/>
              </w:rPr>
              <w:t>Model 4</w:t>
            </w:r>
          </w:p>
        </w:tc>
      </w:tr>
      <w:tr w:rsidR="008F5536" w:rsidRPr="002B3E1D" w14:paraId="4DC61634" w14:textId="77777777" w:rsidTr="008F5536">
        <w:tc>
          <w:tcPr>
            <w:tcW w:w="1289" w:type="pct"/>
            <w:tcBorders>
              <w:bottom w:val="nil"/>
            </w:tcBorders>
            <w:noWrap/>
            <w:tcMar>
              <w:left w:w="6" w:type="dxa"/>
              <w:right w:w="6" w:type="dxa"/>
            </w:tcMar>
          </w:tcPr>
          <w:p w14:paraId="7A33E98A" w14:textId="77777777" w:rsidR="008F5536" w:rsidRPr="002B3E1D" w:rsidRDefault="008F5536" w:rsidP="008F5536">
            <w:pPr>
              <w:rPr>
                <w:rFonts w:ascii="Times New Roman" w:hAnsi="Times New Roman" w:cs="Times New Roman"/>
                <w:szCs w:val="20"/>
              </w:rPr>
            </w:pPr>
          </w:p>
        </w:tc>
        <w:tc>
          <w:tcPr>
            <w:tcW w:w="464" w:type="pct"/>
            <w:tcBorders>
              <w:top w:val="single" w:sz="2" w:space="0" w:color="auto"/>
              <w:bottom w:val="single" w:sz="2" w:space="0" w:color="auto"/>
            </w:tcBorders>
            <w:tcMar>
              <w:left w:w="6" w:type="dxa"/>
              <w:right w:w="6" w:type="dxa"/>
            </w:tcMar>
          </w:tcPr>
          <w:p w14:paraId="34935DD3" w14:textId="77777777" w:rsidR="008F5536" w:rsidRPr="002B3E1D" w:rsidRDefault="008F5536" w:rsidP="008F5536">
            <w:pPr>
              <w:jc w:val="center"/>
              <w:rPr>
                <w:rFonts w:ascii="Times New Roman" w:hAnsi="Times New Roman" w:cs="Times New Roman"/>
                <w:b/>
                <w:szCs w:val="20"/>
              </w:rPr>
            </w:pPr>
            <w:r w:rsidRPr="002B3E1D">
              <w:rPr>
                <w:rFonts w:ascii="Times New Roman" w:hAnsi="Times New Roman" w:cs="Times New Roman"/>
                <w:b/>
                <w:szCs w:val="20"/>
              </w:rPr>
              <w:t>β</w:t>
            </w:r>
            <w:r w:rsidRPr="002B3E1D">
              <w:rPr>
                <w:rFonts w:ascii="Times New Roman" w:hAnsi="Times New Roman" w:cs="Times New Roman"/>
                <w:b/>
                <w:szCs w:val="20"/>
                <w:vertAlign w:val="superscript"/>
              </w:rPr>
              <w:t>1</w:t>
            </w:r>
          </w:p>
        </w:tc>
        <w:tc>
          <w:tcPr>
            <w:tcW w:w="464" w:type="pct"/>
            <w:tcBorders>
              <w:top w:val="single" w:sz="2" w:space="0" w:color="auto"/>
              <w:bottom w:val="single" w:sz="2" w:space="0" w:color="auto"/>
              <w:right w:val="single" w:sz="2" w:space="0" w:color="auto"/>
            </w:tcBorders>
            <w:tcMar>
              <w:left w:w="6" w:type="dxa"/>
              <w:right w:w="6" w:type="dxa"/>
            </w:tcMar>
          </w:tcPr>
          <w:p w14:paraId="148349E3" w14:textId="77777777" w:rsidR="008F5536" w:rsidRPr="002B3E1D" w:rsidRDefault="008F5536" w:rsidP="008F5536">
            <w:pPr>
              <w:jc w:val="center"/>
              <w:rPr>
                <w:rFonts w:ascii="Times New Roman" w:hAnsi="Times New Roman" w:cs="Times New Roman"/>
                <w:b/>
                <w:szCs w:val="20"/>
              </w:rPr>
            </w:pPr>
            <w:r w:rsidRPr="002B3E1D">
              <w:rPr>
                <w:rFonts w:ascii="Times New Roman" w:hAnsi="Times New Roman" w:cs="Times New Roman"/>
                <w:b/>
                <w:i/>
                <w:szCs w:val="20"/>
              </w:rPr>
              <w:t>t</w:t>
            </w:r>
            <w:r w:rsidRPr="002B3E1D">
              <w:rPr>
                <w:rFonts w:ascii="Times New Roman" w:hAnsi="Times New Roman" w:cs="Times New Roman"/>
                <w:b/>
                <w:szCs w:val="20"/>
              </w:rPr>
              <w:t>-value</w:t>
            </w:r>
          </w:p>
        </w:tc>
        <w:tc>
          <w:tcPr>
            <w:tcW w:w="464" w:type="pct"/>
            <w:tcBorders>
              <w:top w:val="single" w:sz="2" w:space="0" w:color="auto"/>
              <w:left w:val="single" w:sz="2" w:space="0" w:color="auto"/>
              <w:bottom w:val="single" w:sz="2" w:space="0" w:color="auto"/>
            </w:tcBorders>
            <w:noWrap/>
            <w:tcMar>
              <w:left w:w="6" w:type="dxa"/>
              <w:right w:w="6" w:type="dxa"/>
            </w:tcMar>
          </w:tcPr>
          <w:p w14:paraId="0BB641F7" w14:textId="77777777" w:rsidR="008F5536" w:rsidRPr="002B3E1D" w:rsidRDefault="008F5536" w:rsidP="008F5536">
            <w:pPr>
              <w:jc w:val="center"/>
              <w:rPr>
                <w:rFonts w:ascii="Times New Roman" w:hAnsi="Times New Roman" w:cs="Times New Roman"/>
                <w:b/>
                <w:szCs w:val="20"/>
              </w:rPr>
            </w:pPr>
            <w:r w:rsidRPr="002B3E1D">
              <w:rPr>
                <w:rFonts w:ascii="Times New Roman" w:hAnsi="Times New Roman" w:cs="Times New Roman"/>
                <w:b/>
                <w:szCs w:val="20"/>
              </w:rPr>
              <w:t>β</w:t>
            </w:r>
            <w:r w:rsidRPr="002B3E1D">
              <w:rPr>
                <w:rFonts w:ascii="Times New Roman" w:hAnsi="Times New Roman" w:cs="Times New Roman"/>
                <w:b/>
                <w:szCs w:val="20"/>
                <w:vertAlign w:val="superscript"/>
              </w:rPr>
              <w:t>1</w:t>
            </w:r>
          </w:p>
        </w:tc>
        <w:tc>
          <w:tcPr>
            <w:tcW w:w="464" w:type="pct"/>
            <w:tcBorders>
              <w:top w:val="single" w:sz="2" w:space="0" w:color="auto"/>
              <w:bottom w:val="single" w:sz="2" w:space="0" w:color="auto"/>
              <w:right w:val="single" w:sz="2" w:space="0" w:color="auto"/>
            </w:tcBorders>
            <w:noWrap/>
            <w:tcMar>
              <w:left w:w="6" w:type="dxa"/>
              <w:right w:w="6" w:type="dxa"/>
            </w:tcMar>
          </w:tcPr>
          <w:p w14:paraId="6A0D528E" w14:textId="77777777" w:rsidR="008F5536" w:rsidRPr="002B3E1D" w:rsidRDefault="008F5536" w:rsidP="008F5536">
            <w:pPr>
              <w:jc w:val="center"/>
              <w:rPr>
                <w:rFonts w:ascii="Times New Roman" w:hAnsi="Times New Roman" w:cs="Times New Roman"/>
                <w:b/>
                <w:szCs w:val="20"/>
              </w:rPr>
            </w:pPr>
            <w:r w:rsidRPr="002B3E1D">
              <w:rPr>
                <w:rFonts w:ascii="Times New Roman" w:hAnsi="Times New Roman" w:cs="Times New Roman"/>
                <w:b/>
                <w:i/>
                <w:szCs w:val="20"/>
              </w:rPr>
              <w:t>t</w:t>
            </w:r>
            <w:r w:rsidRPr="002B3E1D">
              <w:rPr>
                <w:rFonts w:ascii="Times New Roman" w:hAnsi="Times New Roman" w:cs="Times New Roman"/>
                <w:b/>
                <w:szCs w:val="20"/>
              </w:rPr>
              <w:t>-value</w:t>
            </w:r>
          </w:p>
        </w:tc>
        <w:tc>
          <w:tcPr>
            <w:tcW w:w="464" w:type="pct"/>
            <w:tcBorders>
              <w:top w:val="single" w:sz="2" w:space="0" w:color="auto"/>
              <w:left w:val="single" w:sz="2" w:space="0" w:color="auto"/>
              <w:bottom w:val="single" w:sz="2" w:space="0" w:color="auto"/>
            </w:tcBorders>
            <w:noWrap/>
            <w:tcMar>
              <w:left w:w="6" w:type="dxa"/>
              <w:right w:w="6" w:type="dxa"/>
            </w:tcMar>
          </w:tcPr>
          <w:p w14:paraId="1C2509C6" w14:textId="77777777" w:rsidR="008F5536" w:rsidRPr="002B3E1D" w:rsidRDefault="008F5536" w:rsidP="008F5536">
            <w:pPr>
              <w:jc w:val="center"/>
              <w:rPr>
                <w:rFonts w:ascii="Times New Roman" w:hAnsi="Times New Roman" w:cs="Times New Roman"/>
                <w:b/>
                <w:szCs w:val="20"/>
              </w:rPr>
            </w:pPr>
            <w:r w:rsidRPr="002B3E1D">
              <w:rPr>
                <w:rFonts w:ascii="Times New Roman" w:hAnsi="Times New Roman" w:cs="Times New Roman"/>
                <w:b/>
                <w:szCs w:val="20"/>
              </w:rPr>
              <w:t>β</w:t>
            </w:r>
            <w:r w:rsidRPr="002B3E1D">
              <w:rPr>
                <w:rFonts w:ascii="Times New Roman" w:hAnsi="Times New Roman" w:cs="Times New Roman"/>
                <w:b/>
                <w:szCs w:val="20"/>
                <w:vertAlign w:val="superscript"/>
              </w:rPr>
              <w:t>1</w:t>
            </w:r>
          </w:p>
        </w:tc>
        <w:tc>
          <w:tcPr>
            <w:tcW w:w="464" w:type="pct"/>
            <w:tcBorders>
              <w:top w:val="single" w:sz="2" w:space="0" w:color="auto"/>
              <w:bottom w:val="single" w:sz="2" w:space="0" w:color="auto"/>
              <w:right w:val="single" w:sz="2" w:space="0" w:color="auto"/>
            </w:tcBorders>
            <w:noWrap/>
            <w:tcMar>
              <w:left w:w="6" w:type="dxa"/>
              <w:right w:w="6" w:type="dxa"/>
            </w:tcMar>
          </w:tcPr>
          <w:p w14:paraId="53F4B1E4" w14:textId="77777777" w:rsidR="008F5536" w:rsidRPr="002B3E1D" w:rsidRDefault="008F5536" w:rsidP="008F5536">
            <w:pPr>
              <w:jc w:val="center"/>
              <w:rPr>
                <w:rFonts w:ascii="Times New Roman" w:hAnsi="Times New Roman" w:cs="Times New Roman"/>
                <w:b/>
                <w:szCs w:val="20"/>
              </w:rPr>
            </w:pPr>
            <w:r w:rsidRPr="002B3E1D">
              <w:rPr>
                <w:rFonts w:ascii="Times New Roman" w:hAnsi="Times New Roman" w:cs="Times New Roman"/>
                <w:b/>
                <w:i/>
                <w:szCs w:val="20"/>
              </w:rPr>
              <w:t>t</w:t>
            </w:r>
            <w:r w:rsidRPr="002B3E1D">
              <w:rPr>
                <w:rFonts w:ascii="Times New Roman" w:hAnsi="Times New Roman" w:cs="Times New Roman"/>
                <w:b/>
                <w:szCs w:val="20"/>
              </w:rPr>
              <w:t>-value</w:t>
            </w:r>
          </w:p>
        </w:tc>
        <w:tc>
          <w:tcPr>
            <w:tcW w:w="464" w:type="pct"/>
            <w:tcBorders>
              <w:top w:val="single" w:sz="2" w:space="0" w:color="auto"/>
              <w:left w:val="single" w:sz="2" w:space="0" w:color="auto"/>
              <w:bottom w:val="single" w:sz="2" w:space="0" w:color="auto"/>
            </w:tcBorders>
            <w:noWrap/>
            <w:tcMar>
              <w:left w:w="6" w:type="dxa"/>
              <w:right w:w="6" w:type="dxa"/>
            </w:tcMar>
          </w:tcPr>
          <w:p w14:paraId="6D59642C" w14:textId="77777777" w:rsidR="008F5536" w:rsidRPr="002B3E1D" w:rsidRDefault="008F5536" w:rsidP="008F5536">
            <w:pPr>
              <w:jc w:val="center"/>
              <w:rPr>
                <w:rFonts w:ascii="Times New Roman" w:hAnsi="Times New Roman" w:cs="Times New Roman"/>
                <w:b/>
                <w:szCs w:val="20"/>
              </w:rPr>
            </w:pPr>
            <w:r w:rsidRPr="002B3E1D">
              <w:rPr>
                <w:rFonts w:ascii="Times New Roman" w:hAnsi="Times New Roman" w:cs="Times New Roman"/>
                <w:b/>
                <w:szCs w:val="20"/>
              </w:rPr>
              <w:t>β</w:t>
            </w:r>
            <w:r w:rsidRPr="002B3E1D">
              <w:rPr>
                <w:rFonts w:ascii="Times New Roman" w:hAnsi="Times New Roman" w:cs="Times New Roman"/>
                <w:b/>
                <w:szCs w:val="20"/>
                <w:vertAlign w:val="superscript"/>
              </w:rPr>
              <w:t>1</w:t>
            </w:r>
          </w:p>
        </w:tc>
        <w:tc>
          <w:tcPr>
            <w:tcW w:w="463" w:type="pct"/>
            <w:tcBorders>
              <w:top w:val="single" w:sz="2" w:space="0" w:color="auto"/>
              <w:bottom w:val="single" w:sz="2" w:space="0" w:color="auto"/>
            </w:tcBorders>
            <w:noWrap/>
            <w:tcMar>
              <w:left w:w="6" w:type="dxa"/>
              <w:right w:w="6" w:type="dxa"/>
            </w:tcMar>
          </w:tcPr>
          <w:p w14:paraId="1964DEDA" w14:textId="77777777" w:rsidR="008F5536" w:rsidRPr="002B3E1D" w:rsidRDefault="008F5536" w:rsidP="008F5536">
            <w:pPr>
              <w:jc w:val="center"/>
              <w:rPr>
                <w:rFonts w:ascii="Times New Roman" w:hAnsi="Times New Roman" w:cs="Times New Roman"/>
                <w:b/>
                <w:szCs w:val="20"/>
              </w:rPr>
            </w:pPr>
            <w:r w:rsidRPr="002B3E1D">
              <w:rPr>
                <w:rFonts w:ascii="Times New Roman" w:hAnsi="Times New Roman" w:cs="Times New Roman"/>
                <w:b/>
                <w:i/>
                <w:szCs w:val="20"/>
              </w:rPr>
              <w:t>t</w:t>
            </w:r>
            <w:r w:rsidRPr="002B3E1D">
              <w:rPr>
                <w:rFonts w:ascii="Times New Roman" w:hAnsi="Times New Roman" w:cs="Times New Roman"/>
                <w:b/>
                <w:szCs w:val="20"/>
              </w:rPr>
              <w:t>-value</w:t>
            </w:r>
          </w:p>
        </w:tc>
      </w:tr>
      <w:tr w:rsidR="008F5536" w:rsidRPr="002B3E1D" w14:paraId="10C017BB" w14:textId="77777777" w:rsidTr="008F5536">
        <w:tc>
          <w:tcPr>
            <w:tcW w:w="1289" w:type="pct"/>
            <w:noWrap/>
            <w:tcMar>
              <w:left w:w="6" w:type="dxa"/>
              <w:right w:w="6" w:type="dxa"/>
            </w:tcMar>
          </w:tcPr>
          <w:p w14:paraId="434EADE5" w14:textId="77777777" w:rsidR="008F5536" w:rsidRPr="002B3E1D" w:rsidRDefault="008F5536" w:rsidP="008F5536">
            <w:pPr>
              <w:rPr>
                <w:rFonts w:ascii="Times New Roman" w:hAnsi="Times New Roman" w:cs="Times New Roman"/>
                <w:b/>
                <w:szCs w:val="20"/>
              </w:rPr>
            </w:pPr>
            <w:r w:rsidRPr="002B3E1D">
              <w:rPr>
                <w:rFonts w:ascii="Times New Roman" w:hAnsi="Times New Roman" w:cs="Times New Roman"/>
                <w:b/>
                <w:szCs w:val="20"/>
              </w:rPr>
              <w:t>Control Variables</w:t>
            </w:r>
          </w:p>
        </w:tc>
        <w:tc>
          <w:tcPr>
            <w:tcW w:w="464" w:type="pct"/>
            <w:tcBorders>
              <w:top w:val="single" w:sz="2" w:space="0" w:color="auto"/>
            </w:tcBorders>
            <w:tcMar>
              <w:left w:w="6" w:type="dxa"/>
              <w:right w:w="6" w:type="dxa"/>
            </w:tcMar>
            <w:vAlign w:val="bottom"/>
          </w:tcPr>
          <w:p w14:paraId="3C71FE56" w14:textId="77777777" w:rsidR="008F5536" w:rsidRPr="002B3E1D" w:rsidRDefault="008F5536" w:rsidP="008F5536">
            <w:pPr>
              <w:tabs>
                <w:tab w:val="decimal" w:pos="340"/>
              </w:tabs>
              <w:rPr>
                <w:rFonts w:ascii="Times New Roman" w:hAnsi="Times New Roman" w:cs="Times New Roman"/>
                <w:szCs w:val="20"/>
              </w:rPr>
            </w:pPr>
          </w:p>
        </w:tc>
        <w:tc>
          <w:tcPr>
            <w:tcW w:w="464" w:type="pct"/>
            <w:tcBorders>
              <w:top w:val="single" w:sz="2" w:space="0" w:color="auto"/>
              <w:right w:val="single" w:sz="2" w:space="0" w:color="auto"/>
            </w:tcBorders>
            <w:tcMar>
              <w:left w:w="6" w:type="dxa"/>
              <w:right w:w="6" w:type="dxa"/>
            </w:tcMar>
            <w:vAlign w:val="bottom"/>
          </w:tcPr>
          <w:p w14:paraId="7C370267" w14:textId="77777777" w:rsidR="008F5536" w:rsidRPr="002B3E1D" w:rsidRDefault="008F5536" w:rsidP="008F5536">
            <w:pPr>
              <w:tabs>
                <w:tab w:val="decimal" w:pos="340"/>
              </w:tabs>
              <w:rPr>
                <w:rFonts w:ascii="Times New Roman" w:hAnsi="Times New Roman" w:cs="Times New Roman"/>
                <w:szCs w:val="20"/>
              </w:rPr>
            </w:pPr>
          </w:p>
        </w:tc>
        <w:tc>
          <w:tcPr>
            <w:tcW w:w="464" w:type="pct"/>
            <w:tcBorders>
              <w:top w:val="single" w:sz="2" w:space="0" w:color="auto"/>
              <w:left w:val="single" w:sz="2" w:space="0" w:color="auto"/>
            </w:tcBorders>
            <w:noWrap/>
            <w:tcMar>
              <w:left w:w="6" w:type="dxa"/>
              <w:right w:w="6" w:type="dxa"/>
            </w:tcMar>
            <w:vAlign w:val="bottom"/>
          </w:tcPr>
          <w:p w14:paraId="65642F76" w14:textId="77777777" w:rsidR="008F5536" w:rsidRPr="002B3E1D" w:rsidRDefault="008F5536" w:rsidP="008F5536">
            <w:pPr>
              <w:tabs>
                <w:tab w:val="decimal" w:pos="340"/>
              </w:tabs>
              <w:rPr>
                <w:rFonts w:ascii="Times New Roman" w:hAnsi="Times New Roman" w:cs="Times New Roman"/>
                <w:szCs w:val="20"/>
              </w:rPr>
            </w:pPr>
          </w:p>
        </w:tc>
        <w:tc>
          <w:tcPr>
            <w:tcW w:w="464" w:type="pct"/>
            <w:tcBorders>
              <w:top w:val="single" w:sz="2" w:space="0" w:color="auto"/>
              <w:right w:val="single" w:sz="2" w:space="0" w:color="auto"/>
            </w:tcBorders>
            <w:noWrap/>
            <w:tcMar>
              <w:left w:w="6" w:type="dxa"/>
              <w:right w:w="6" w:type="dxa"/>
            </w:tcMar>
            <w:vAlign w:val="bottom"/>
          </w:tcPr>
          <w:p w14:paraId="4F7DC06C" w14:textId="77777777" w:rsidR="008F5536" w:rsidRPr="002B3E1D" w:rsidRDefault="008F5536" w:rsidP="008F5536">
            <w:pPr>
              <w:tabs>
                <w:tab w:val="decimal" w:pos="340"/>
              </w:tabs>
              <w:rPr>
                <w:rFonts w:ascii="Times New Roman" w:hAnsi="Times New Roman" w:cs="Times New Roman"/>
                <w:szCs w:val="20"/>
              </w:rPr>
            </w:pPr>
          </w:p>
        </w:tc>
        <w:tc>
          <w:tcPr>
            <w:tcW w:w="464" w:type="pct"/>
            <w:tcBorders>
              <w:top w:val="single" w:sz="2" w:space="0" w:color="auto"/>
              <w:left w:val="single" w:sz="2" w:space="0" w:color="auto"/>
            </w:tcBorders>
            <w:noWrap/>
            <w:tcMar>
              <w:left w:w="6" w:type="dxa"/>
              <w:right w:w="6" w:type="dxa"/>
            </w:tcMar>
            <w:vAlign w:val="bottom"/>
          </w:tcPr>
          <w:p w14:paraId="264BC10F" w14:textId="77777777" w:rsidR="008F5536" w:rsidRPr="002B3E1D" w:rsidRDefault="008F5536" w:rsidP="008F5536">
            <w:pPr>
              <w:tabs>
                <w:tab w:val="decimal" w:pos="340"/>
              </w:tabs>
              <w:rPr>
                <w:rFonts w:ascii="Times New Roman" w:hAnsi="Times New Roman" w:cs="Times New Roman"/>
                <w:szCs w:val="20"/>
              </w:rPr>
            </w:pPr>
          </w:p>
        </w:tc>
        <w:tc>
          <w:tcPr>
            <w:tcW w:w="464" w:type="pct"/>
            <w:tcBorders>
              <w:top w:val="single" w:sz="2" w:space="0" w:color="auto"/>
              <w:right w:val="single" w:sz="2" w:space="0" w:color="auto"/>
            </w:tcBorders>
            <w:noWrap/>
            <w:tcMar>
              <w:left w:w="6" w:type="dxa"/>
              <w:right w:w="6" w:type="dxa"/>
            </w:tcMar>
            <w:vAlign w:val="bottom"/>
          </w:tcPr>
          <w:p w14:paraId="433A1D6A" w14:textId="77777777" w:rsidR="008F5536" w:rsidRPr="002B3E1D" w:rsidRDefault="008F5536" w:rsidP="008F5536">
            <w:pPr>
              <w:tabs>
                <w:tab w:val="decimal" w:pos="340"/>
              </w:tabs>
              <w:rPr>
                <w:rFonts w:ascii="Times New Roman" w:hAnsi="Times New Roman" w:cs="Times New Roman"/>
                <w:szCs w:val="20"/>
              </w:rPr>
            </w:pPr>
          </w:p>
        </w:tc>
        <w:tc>
          <w:tcPr>
            <w:tcW w:w="464" w:type="pct"/>
            <w:tcBorders>
              <w:top w:val="single" w:sz="2" w:space="0" w:color="auto"/>
              <w:left w:val="single" w:sz="2" w:space="0" w:color="auto"/>
            </w:tcBorders>
            <w:noWrap/>
            <w:tcMar>
              <w:left w:w="6" w:type="dxa"/>
              <w:right w:w="6" w:type="dxa"/>
            </w:tcMar>
            <w:vAlign w:val="bottom"/>
          </w:tcPr>
          <w:p w14:paraId="2787317E" w14:textId="77777777" w:rsidR="008F5536" w:rsidRPr="002B3E1D" w:rsidRDefault="008F5536" w:rsidP="008F5536">
            <w:pPr>
              <w:tabs>
                <w:tab w:val="decimal" w:pos="340"/>
              </w:tabs>
              <w:rPr>
                <w:rFonts w:ascii="Times New Roman" w:hAnsi="Times New Roman" w:cs="Times New Roman"/>
                <w:szCs w:val="20"/>
              </w:rPr>
            </w:pPr>
          </w:p>
        </w:tc>
        <w:tc>
          <w:tcPr>
            <w:tcW w:w="463" w:type="pct"/>
            <w:tcBorders>
              <w:top w:val="single" w:sz="2" w:space="0" w:color="auto"/>
            </w:tcBorders>
            <w:noWrap/>
            <w:tcMar>
              <w:left w:w="6" w:type="dxa"/>
              <w:right w:w="6" w:type="dxa"/>
            </w:tcMar>
            <w:vAlign w:val="bottom"/>
          </w:tcPr>
          <w:p w14:paraId="08827B47" w14:textId="77777777" w:rsidR="008F5536" w:rsidRPr="002B3E1D" w:rsidRDefault="008F5536" w:rsidP="008F5536">
            <w:pPr>
              <w:tabs>
                <w:tab w:val="decimal" w:pos="340"/>
              </w:tabs>
              <w:rPr>
                <w:rFonts w:ascii="Times New Roman" w:hAnsi="Times New Roman" w:cs="Times New Roman"/>
                <w:szCs w:val="20"/>
              </w:rPr>
            </w:pPr>
          </w:p>
        </w:tc>
      </w:tr>
      <w:tr w:rsidR="008F5536" w:rsidRPr="002B3E1D" w14:paraId="41B115CF" w14:textId="77777777" w:rsidTr="008F5536">
        <w:tc>
          <w:tcPr>
            <w:tcW w:w="1289" w:type="pct"/>
            <w:noWrap/>
            <w:tcMar>
              <w:left w:w="6" w:type="dxa"/>
              <w:right w:w="6" w:type="dxa"/>
            </w:tcMar>
          </w:tcPr>
          <w:p w14:paraId="345B189B" w14:textId="77777777" w:rsidR="008F5536" w:rsidRPr="002B3E1D" w:rsidRDefault="00562D43" w:rsidP="008F5536">
            <w:pPr>
              <w:rPr>
                <w:rFonts w:ascii="Times New Roman" w:hAnsi="Times New Roman" w:cs="Times New Roman"/>
                <w:bCs/>
                <w:szCs w:val="20"/>
              </w:rPr>
            </w:pPr>
            <w:r w:rsidRPr="002B3E1D">
              <w:rPr>
                <w:rFonts w:ascii="Times New Roman" w:hAnsi="Times New Roman" w:cs="Times New Roman"/>
                <w:bCs/>
                <w:szCs w:val="20"/>
              </w:rPr>
              <w:t>M&amp;A</w:t>
            </w:r>
            <w:r w:rsidR="008F5536" w:rsidRPr="002B3E1D">
              <w:rPr>
                <w:rFonts w:ascii="Times New Roman" w:hAnsi="Times New Roman" w:cs="Times New Roman"/>
                <w:bCs/>
                <w:szCs w:val="20"/>
              </w:rPr>
              <w:t xml:space="preserve"> Type</w:t>
            </w:r>
          </w:p>
        </w:tc>
        <w:tc>
          <w:tcPr>
            <w:tcW w:w="464" w:type="pct"/>
            <w:tcBorders>
              <w:top w:val="nil"/>
            </w:tcBorders>
            <w:tcMar>
              <w:left w:w="6" w:type="dxa"/>
              <w:right w:w="6" w:type="dxa"/>
            </w:tcMar>
            <w:vAlign w:val="bottom"/>
          </w:tcPr>
          <w:p w14:paraId="25CBCA93"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-.20</w:t>
            </w:r>
          </w:p>
        </w:tc>
        <w:tc>
          <w:tcPr>
            <w:tcW w:w="464" w:type="pct"/>
            <w:tcBorders>
              <w:top w:val="nil"/>
              <w:right w:val="single" w:sz="2" w:space="0" w:color="auto"/>
            </w:tcBorders>
            <w:tcMar>
              <w:left w:w="6" w:type="dxa"/>
              <w:right w:w="6" w:type="dxa"/>
            </w:tcMar>
            <w:vAlign w:val="bottom"/>
          </w:tcPr>
          <w:p w14:paraId="16274232"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-2.12*</w:t>
            </w:r>
          </w:p>
        </w:tc>
        <w:tc>
          <w:tcPr>
            <w:tcW w:w="464" w:type="pct"/>
            <w:tcBorders>
              <w:left w:val="single" w:sz="2" w:space="0" w:color="auto"/>
            </w:tcBorders>
            <w:noWrap/>
            <w:tcMar>
              <w:left w:w="6" w:type="dxa"/>
              <w:right w:w="6" w:type="dxa"/>
            </w:tcMar>
            <w:vAlign w:val="bottom"/>
          </w:tcPr>
          <w:p w14:paraId="7B233501"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-.19</w:t>
            </w:r>
          </w:p>
        </w:tc>
        <w:tc>
          <w:tcPr>
            <w:tcW w:w="464" w:type="pct"/>
            <w:tcBorders>
              <w:right w:val="single" w:sz="2" w:space="0" w:color="auto"/>
            </w:tcBorders>
            <w:noWrap/>
            <w:tcMar>
              <w:left w:w="6" w:type="dxa"/>
              <w:right w:w="6" w:type="dxa"/>
            </w:tcMar>
            <w:vAlign w:val="bottom"/>
          </w:tcPr>
          <w:p w14:paraId="10B55416"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-2.25*</w:t>
            </w:r>
          </w:p>
        </w:tc>
        <w:tc>
          <w:tcPr>
            <w:tcW w:w="464" w:type="pct"/>
            <w:tcBorders>
              <w:left w:val="single" w:sz="2" w:space="0" w:color="auto"/>
            </w:tcBorders>
            <w:noWrap/>
            <w:tcMar>
              <w:left w:w="6" w:type="dxa"/>
              <w:right w:w="6" w:type="dxa"/>
            </w:tcMar>
            <w:vAlign w:val="bottom"/>
          </w:tcPr>
          <w:p w14:paraId="1767990D"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-.16</w:t>
            </w:r>
          </w:p>
        </w:tc>
        <w:tc>
          <w:tcPr>
            <w:tcW w:w="464" w:type="pct"/>
            <w:tcBorders>
              <w:right w:val="single" w:sz="2" w:space="0" w:color="auto"/>
            </w:tcBorders>
            <w:noWrap/>
            <w:tcMar>
              <w:left w:w="6" w:type="dxa"/>
              <w:right w:w="6" w:type="dxa"/>
            </w:tcMar>
            <w:vAlign w:val="bottom"/>
          </w:tcPr>
          <w:p w14:paraId="7C673F04"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-2.02*</w:t>
            </w:r>
          </w:p>
        </w:tc>
        <w:tc>
          <w:tcPr>
            <w:tcW w:w="464" w:type="pct"/>
            <w:tcBorders>
              <w:left w:val="single" w:sz="2" w:space="0" w:color="auto"/>
            </w:tcBorders>
            <w:noWrap/>
            <w:tcMar>
              <w:left w:w="6" w:type="dxa"/>
              <w:right w:w="6" w:type="dxa"/>
            </w:tcMar>
            <w:vAlign w:val="bottom"/>
          </w:tcPr>
          <w:p w14:paraId="1FE97E9B"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-.16</w:t>
            </w:r>
          </w:p>
        </w:tc>
        <w:tc>
          <w:tcPr>
            <w:tcW w:w="463" w:type="pct"/>
            <w:noWrap/>
            <w:tcMar>
              <w:left w:w="6" w:type="dxa"/>
              <w:right w:w="6" w:type="dxa"/>
            </w:tcMar>
            <w:vAlign w:val="bottom"/>
          </w:tcPr>
          <w:p w14:paraId="5BAAC76A"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-2.01*</w:t>
            </w:r>
          </w:p>
        </w:tc>
      </w:tr>
      <w:tr w:rsidR="008F5536" w:rsidRPr="002B3E1D" w14:paraId="5CDBA3AE" w14:textId="77777777" w:rsidTr="008F5536">
        <w:tc>
          <w:tcPr>
            <w:tcW w:w="1289" w:type="pct"/>
            <w:noWrap/>
            <w:tcMar>
              <w:left w:w="6" w:type="dxa"/>
              <w:right w:w="6" w:type="dxa"/>
            </w:tcMar>
          </w:tcPr>
          <w:p w14:paraId="419E7A0B" w14:textId="77777777" w:rsidR="008F5536" w:rsidRPr="002B3E1D" w:rsidRDefault="008F5536" w:rsidP="008F5536">
            <w:pPr>
              <w:rPr>
                <w:rFonts w:ascii="Times New Roman" w:hAnsi="Times New Roman" w:cs="Times New Roman"/>
                <w:bCs/>
                <w:szCs w:val="20"/>
              </w:rPr>
            </w:pPr>
            <w:r w:rsidRPr="002B3E1D">
              <w:rPr>
                <w:rFonts w:ascii="Times New Roman" w:hAnsi="Times New Roman" w:cs="Times New Roman"/>
                <w:bCs/>
                <w:szCs w:val="20"/>
              </w:rPr>
              <w:t>Acquiring Firm Size</w:t>
            </w:r>
          </w:p>
        </w:tc>
        <w:tc>
          <w:tcPr>
            <w:tcW w:w="464" w:type="pct"/>
            <w:tcBorders>
              <w:top w:val="nil"/>
            </w:tcBorders>
            <w:tcMar>
              <w:left w:w="6" w:type="dxa"/>
              <w:right w:w="6" w:type="dxa"/>
            </w:tcMar>
            <w:vAlign w:val="bottom"/>
          </w:tcPr>
          <w:p w14:paraId="77BCDBA6"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-.10</w:t>
            </w:r>
          </w:p>
        </w:tc>
        <w:tc>
          <w:tcPr>
            <w:tcW w:w="464" w:type="pct"/>
            <w:tcBorders>
              <w:top w:val="nil"/>
              <w:right w:val="single" w:sz="2" w:space="0" w:color="auto"/>
            </w:tcBorders>
            <w:tcMar>
              <w:left w:w="6" w:type="dxa"/>
              <w:right w:w="6" w:type="dxa"/>
            </w:tcMar>
            <w:vAlign w:val="bottom"/>
          </w:tcPr>
          <w:p w14:paraId="23435F79"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-1.10</w:t>
            </w:r>
          </w:p>
        </w:tc>
        <w:tc>
          <w:tcPr>
            <w:tcW w:w="464" w:type="pct"/>
            <w:tcBorders>
              <w:left w:val="single" w:sz="2" w:space="0" w:color="auto"/>
            </w:tcBorders>
            <w:noWrap/>
            <w:tcMar>
              <w:left w:w="6" w:type="dxa"/>
              <w:right w:w="6" w:type="dxa"/>
            </w:tcMar>
            <w:vAlign w:val="bottom"/>
          </w:tcPr>
          <w:p w14:paraId="6AB27BA6"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-.07</w:t>
            </w:r>
          </w:p>
        </w:tc>
        <w:tc>
          <w:tcPr>
            <w:tcW w:w="464" w:type="pct"/>
            <w:tcBorders>
              <w:right w:val="single" w:sz="2" w:space="0" w:color="auto"/>
            </w:tcBorders>
            <w:noWrap/>
            <w:tcMar>
              <w:left w:w="6" w:type="dxa"/>
              <w:right w:w="6" w:type="dxa"/>
            </w:tcMar>
            <w:vAlign w:val="bottom"/>
          </w:tcPr>
          <w:p w14:paraId="5C3E6F36"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-.80</w:t>
            </w:r>
          </w:p>
        </w:tc>
        <w:tc>
          <w:tcPr>
            <w:tcW w:w="464" w:type="pct"/>
            <w:tcBorders>
              <w:left w:val="single" w:sz="2" w:space="0" w:color="auto"/>
            </w:tcBorders>
            <w:noWrap/>
            <w:tcMar>
              <w:left w:w="6" w:type="dxa"/>
              <w:right w:w="6" w:type="dxa"/>
            </w:tcMar>
            <w:vAlign w:val="bottom"/>
          </w:tcPr>
          <w:p w14:paraId="623D57A3"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-.07</w:t>
            </w:r>
          </w:p>
        </w:tc>
        <w:tc>
          <w:tcPr>
            <w:tcW w:w="464" w:type="pct"/>
            <w:tcBorders>
              <w:right w:val="single" w:sz="2" w:space="0" w:color="auto"/>
            </w:tcBorders>
            <w:noWrap/>
            <w:tcMar>
              <w:left w:w="6" w:type="dxa"/>
              <w:right w:w="6" w:type="dxa"/>
            </w:tcMar>
            <w:vAlign w:val="bottom"/>
          </w:tcPr>
          <w:p w14:paraId="6657ED11"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-.87</w:t>
            </w:r>
          </w:p>
        </w:tc>
        <w:tc>
          <w:tcPr>
            <w:tcW w:w="464" w:type="pct"/>
            <w:tcBorders>
              <w:left w:val="single" w:sz="2" w:space="0" w:color="auto"/>
            </w:tcBorders>
            <w:noWrap/>
            <w:tcMar>
              <w:left w:w="6" w:type="dxa"/>
              <w:right w:w="6" w:type="dxa"/>
            </w:tcMar>
            <w:vAlign w:val="bottom"/>
          </w:tcPr>
          <w:p w14:paraId="562E91BF"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-.07</w:t>
            </w:r>
          </w:p>
        </w:tc>
        <w:tc>
          <w:tcPr>
            <w:tcW w:w="463" w:type="pct"/>
            <w:noWrap/>
            <w:tcMar>
              <w:left w:w="6" w:type="dxa"/>
              <w:right w:w="6" w:type="dxa"/>
            </w:tcMar>
            <w:vAlign w:val="bottom"/>
          </w:tcPr>
          <w:p w14:paraId="539A2DCB"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-.92</w:t>
            </w:r>
          </w:p>
        </w:tc>
      </w:tr>
      <w:tr w:rsidR="008F5536" w:rsidRPr="002B3E1D" w14:paraId="7D17C9DA" w14:textId="77777777" w:rsidTr="008F5536">
        <w:tc>
          <w:tcPr>
            <w:tcW w:w="1289" w:type="pct"/>
            <w:noWrap/>
            <w:tcMar>
              <w:left w:w="6" w:type="dxa"/>
              <w:right w:w="6" w:type="dxa"/>
            </w:tcMar>
          </w:tcPr>
          <w:p w14:paraId="7123295E" w14:textId="77777777" w:rsidR="008F5536" w:rsidRPr="002B3E1D" w:rsidRDefault="008F5536" w:rsidP="008F5536">
            <w:pPr>
              <w:rPr>
                <w:rFonts w:ascii="Times New Roman" w:hAnsi="Times New Roman" w:cs="Times New Roman"/>
                <w:bCs/>
                <w:szCs w:val="20"/>
              </w:rPr>
            </w:pPr>
            <w:r w:rsidRPr="002B3E1D">
              <w:rPr>
                <w:rFonts w:ascii="Times New Roman" w:hAnsi="Times New Roman" w:cs="Times New Roman"/>
                <w:bCs/>
                <w:szCs w:val="20"/>
              </w:rPr>
              <w:t>Acquiring Firm Age</w:t>
            </w:r>
          </w:p>
        </w:tc>
        <w:tc>
          <w:tcPr>
            <w:tcW w:w="464" w:type="pct"/>
            <w:tcBorders>
              <w:top w:val="nil"/>
            </w:tcBorders>
            <w:tcMar>
              <w:left w:w="6" w:type="dxa"/>
              <w:right w:w="6" w:type="dxa"/>
            </w:tcMar>
            <w:vAlign w:val="bottom"/>
          </w:tcPr>
          <w:p w14:paraId="6CF6EF36"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.03</w:t>
            </w:r>
          </w:p>
        </w:tc>
        <w:tc>
          <w:tcPr>
            <w:tcW w:w="464" w:type="pct"/>
            <w:tcBorders>
              <w:top w:val="nil"/>
              <w:right w:val="single" w:sz="2" w:space="0" w:color="auto"/>
            </w:tcBorders>
            <w:tcMar>
              <w:left w:w="6" w:type="dxa"/>
              <w:right w:w="6" w:type="dxa"/>
            </w:tcMar>
            <w:vAlign w:val="bottom"/>
          </w:tcPr>
          <w:p w14:paraId="5843D264"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.31</w:t>
            </w:r>
          </w:p>
        </w:tc>
        <w:tc>
          <w:tcPr>
            <w:tcW w:w="464" w:type="pct"/>
            <w:tcBorders>
              <w:left w:val="single" w:sz="2" w:space="0" w:color="auto"/>
            </w:tcBorders>
            <w:noWrap/>
            <w:tcMar>
              <w:left w:w="6" w:type="dxa"/>
              <w:right w:w="6" w:type="dxa"/>
            </w:tcMar>
            <w:vAlign w:val="bottom"/>
          </w:tcPr>
          <w:p w14:paraId="3CEB3632"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.05</w:t>
            </w:r>
          </w:p>
        </w:tc>
        <w:tc>
          <w:tcPr>
            <w:tcW w:w="464" w:type="pct"/>
            <w:tcBorders>
              <w:right w:val="single" w:sz="2" w:space="0" w:color="auto"/>
            </w:tcBorders>
            <w:noWrap/>
            <w:tcMar>
              <w:left w:w="6" w:type="dxa"/>
              <w:right w:w="6" w:type="dxa"/>
            </w:tcMar>
            <w:vAlign w:val="bottom"/>
          </w:tcPr>
          <w:p w14:paraId="268AFD46"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.54</w:t>
            </w:r>
          </w:p>
        </w:tc>
        <w:tc>
          <w:tcPr>
            <w:tcW w:w="464" w:type="pct"/>
            <w:tcBorders>
              <w:left w:val="single" w:sz="2" w:space="0" w:color="auto"/>
            </w:tcBorders>
            <w:noWrap/>
            <w:tcMar>
              <w:left w:w="6" w:type="dxa"/>
              <w:right w:w="6" w:type="dxa"/>
            </w:tcMar>
            <w:vAlign w:val="bottom"/>
          </w:tcPr>
          <w:p w14:paraId="3D23297E"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.10</w:t>
            </w:r>
          </w:p>
        </w:tc>
        <w:tc>
          <w:tcPr>
            <w:tcW w:w="464" w:type="pct"/>
            <w:tcBorders>
              <w:right w:val="single" w:sz="2" w:space="0" w:color="auto"/>
            </w:tcBorders>
            <w:noWrap/>
            <w:tcMar>
              <w:left w:w="6" w:type="dxa"/>
              <w:right w:w="6" w:type="dxa"/>
            </w:tcMar>
            <w:vAlign w:val="bottom"/>
          </w:tcPr>
          <w:p w14:paraId="08FB900F"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1.08</w:t>
            </w:r>
          </w:p>
        </w:tc>
        <w:tc>
          <w:tcPr>
            <w:tcW w:w="464" w:type="pct"/>
            <w:tcBorders>
              <w:left w:val="single" w:sz="2" w:space="0" w:color="auto"/>
            </w:tcBorders>
            <w:noWrap/>
            <w:tcMar>
              <w:left w:w="6" w:type="dxa"/>
              <w:right w:w="6" w:type="dxa"/>
            </w:tcMar>
            <w:vAlign w:val="bottom"/>
          </w:tcPr>
          <w:p w14:paraId="35D2354A"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.11</w:t>
            </w:r>
          </w:p>
        </w:tc>
        <w:tc>
          <w:tcPr>
            <w:tcW w:w="463" w:type="pct"/>
            <w:noWrap/>
            <w:tcMar>
              <w:left w:w="6" w:type="dxa"/>
              <w:right w:w="6" w:type="dxa"/>
            </w:tcMar>
            <w:vAlign w:val="bottom"/>
          </w:tcPr>
          <w:p w14:paraId="5C53274E"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1.22</w:t>
            </w:r>
          </w:p>
        </w:tc>
      </w:tr>
      <w:tr w:rsidR="008F5536" w:rsidRPr="002B3E1D" w14:paraId="544D92E4" w14:textId="77777777" w:rsidTr="008F5536">
        <w:tc>
          <w:tcPr>
            <w:tcW w:w="1289" w:type="pct"/>
            <w:noWrap/>
            <w:tcMar>
              <w:left w:w="6" w:type="dxa"/>
              <w:right w:w="6" w:type="dxa"/>
            </w:tcMar>
          </w:tcPr>
          <w:p w14:paraId="14A7AD54" w14:textId="77777777" w:rsidR="008F5536" w:rsidRPr="002B3E1D" w:rsidRDefault="008F5536" w:rsidP="008F5536">
            <w:pPr>
              <w:rPr>
                <w:rFonts w:ascii="Times New Roman" w:hAnsi="Times New Roman" w:cs="Times New Roman"/>
                <w:bCs/>
                <w:szCs w:val="20"/>
              </w:rPr>
            </w:pPr>
            <w:r w:rsidRPr="002B3E1D">
              <w:rPr>
                <w:rFonts w:ascii="Times New Roman" w:hAnsi="Times New Roman" w:cs="Times New Roman"/>
                <w:bCs/>
                <w:szCs w:val="20"/>
              </w:rPr>
              <w:t>Time Since Deal Completion</w:t>
            </w:r>
          </w:p>
        </w:tc>
        <w:tc>
          <w:tcPr>
            <w:tcW w:w="464" w:type="pct"/>
            <w:tcBorders>
              <w:top w:val="nil"/>
            </w:tcBorders>
            <w:tcMar>
              <w:left w:w="6" w:type="dxa"/>
              <w:right w:w="6" w:type="dxa"/>
            </w:tcMar>
            <w:vAlign w:val="bottom"/>
          </w:tcPr>
          <w:p w14:paraId="7FB1302D"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-.19</w:t>
            </w:r>
          </w:p>
        </w:tc>
        <w:tc>
          <w:tcPr>
            <w:tcW w:w="464" w:type="pct"/>
            <w:tcBorders>
              <w:top w:val="nil"/>
              <w:right w:val="single" w:sz="2" w:space="0" w:color="auto"/>
            </w:tcBorders>
            <w:tcMar>
              <w:left w:w="6" w:type="dxa"/>
              <w:right w:w="6" w:type="dxa"/>
            </w:tcMar>
            <w:vAlign w:val="bottom"/>
          </w:tcPr>
          <w:p w14:paraId="4B92252F"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-2.06*</w:t>
            </w:r>
          </w:p>
        </w:tc>
        <w:tc>
          <w:tcPr>
            <w:tcW w:w="464" w:type="pct"/>
            <w:tcBorders>
              <w:left w:val="single" w:sz="2" w:space="0" w:color="auto"/>
            </w:tcBorders>
            <w:noWrap/>
            <w:tcMar>
              <w:left w:w="6" w:type="dxa"/>
              <w:right w:w="6" w:type="dxa"/>
            </w:tcMar>
            <w:vAlign w:val="bottom"/>
          </w:tcPr>
          <w:p w14:paraId="40A95936"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-.19</w:t>
            </w:r>
          </w:p>
        </w:tc>
        <w:tc>
          <w:tcPr>
            <w:tcW w:w="464" w:type="pct"/>
            <w:tcBorders>
              <w:right w:val="single" w:sz="2" w:space="0" w:color="auto"/>
            </w:tcBorders>
            <w:noWrap/>
            <w:tcMar>
              <w:left w:w="6" w:type="dxa"/>
              <w:right w:w="6" w:type="dxa"/>
            </w:tcMar>
            <w:vAlign w:val="bottom"/>
          </w:tcPr>
          <w:p w14:paraId="3BD03DFD"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-2.12*</w:t>
            </w:r>
          </w:p>
        </w:tc>
        <w:tc>
          <w:tcPr>
            <w:tcW w:w="464" w:type="pct"/>
            <w:tcBorders>
              <w:left w:val="single" w:sz="2" w:space="0" w:color="auto"/>
            </w:tcBorders>
            <w:noWrap/>
            <w:tcMar>
              <w:left w:w="6" w:type="dxa"/>
              <w:right w:w="6" w:type="dxa"/>
            </w:tcMar>
            <w:vAlign w:val="bottom"/>
          </w:tcPr>
          <w:p w14:paraId="3EE6F6CA"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-.13</w:t>
            </w:r>
          </w:p>
        </w:tc>
        <w:tc>
          <w:tcPr>
            <w:tcW w:w="464" w:type="pct"/>
            <w:tcBorders>
              <w:right w:val="single" w:sz="2" w:space="0" w:color="auto"/>
            </w:tcBorders>
            <w:noWrap/>
            <w:tcMar>
              <w:left w:w="6" w:type="dxa"/>
              <w:right w:w="6" w:type="dxa"/>
            </w:tcMar>
            <w:vAlign w:val="bottom"/>
          </w:tcPr>
          <w:p w14:paraId="3D968218"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-1.51</w:t>
            </w:r>
          </w:p>
        </w:tc>
        <w:tc>
          <w:tcPr>
            <w:tcW w:w="464" w:type="pct"/>
            <w:tcBorders>
              <w:left w:val="single" w:sz="2" w:space="0" w:color="auto"/>
            </w:tcBorders>
            <w:noWrap/>
            <w:tcMar>
              <w:left w:w="6" w:type="dxa"/>
              <w:right w:w="6" w:type="dxa"/>
            </w:tcMar>
            <w:vAlign w:val="bottom"/>
          </w:tcPr>
          <w:p w14:paraId="52099CF9"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-.17</w:t>
            </w:r>
          </w:p>
        </w:tc>
        <w:tc>
          <w:tcPr>
            <w:tcW w:w="463" w:type="pct"/>
            <w:noWrap/>
            <w:tcMar>
              <w:left w:w="6" w:type="dxa"/>
              <w:right w:w="6" w:type="dxa"/>
            </w:tcMar>
            <w:vAlign w:val="bottom"/>
          </w:tcPr>
          <w:p w14:paraId="55D7D685"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-2.02*</w:t>
            </w:r>
          </w:p>
        </w:tc>
      </w:tr>
      <w:tr w:rsidR="008F5536" w:rsidRPr="002B3E1D" w14:paraId="4EA06449" w14:textId="77777777" w:rsidTr="008F5536">
        <w:tc>
          <w:tcPr>
            <w:tcW w:w="1289" w:type="pct"/>
            <w:noWrap/>
            <w:tcMar>
              <w:left w:w="6" w:type="dxa"/>
              <w:right w:w="6" w:type="dxa"/>
            </w:tcMar>
          </w:tcPr>
          <w:p w14:paraId="3F092838" w14:textId="77777777" w:rsidR="008F5536" w:rsidRPr="002B3E1D" w:rsidRDefault="008F5536" w:rsidP="008F5536">
            <w:pPr>
              <w:rPr>
                <w:rFonts w:ascii="Times New Roman" w:hAnsi="Times New Roman" w:cs="Times New Roman"/>
                <w:bCs/>
                <w:szCs w:val="20"/>
              </w:rPr>
            </w:pPr>
            <w:r w:rsidRPr="002B3E1D">
              <w:rPr>
                <w:rFonts w:ascii="Times New Roman" w:hAnsi="Times New Roman" w:cs="Times New Roman"/>
                <w:bCs/>
                <w:szCs w:val="20"/>
              </w:rPr>
              <w:t xml:space="preserve">Years of </w:t>
            </w:r>
            <w:r w:rsidR="00562D43" w:rsidRPr="002B3E1D">
              <w:rPr>
                <w:rFonts w:ascii="Times New Roman" w:hAnsi="Times New Roman" w:cs="Times New Roman"/>
                <w:bCs/>
                <w:szCs w:val="20"/>
              </w:rPr>
              <w:t>M&amp;A</w:t>
            </w:r>
            <w:r w:rsidRPr="002B3E1D">
              <w:rPr>
                <w:rFonts w:ascii="Times New Roman" w:hAnsi="Times New Roman" w:cs="Times New Roman"/>
                <w:bCs/>
                <w:szCs w:val="20"/>
              </w:rPr>
              <w:t xml:space="preserve"> Experience</w:t>
            </w:r>
          </w:p>
        </w:tc>
        <w:tc>
          <w:tcPr>
            <w:tcW w:w="464" w:type="pct"/>
            <w:tcBorders>
              <w:top w:val="nil"/>
            </w:tcBorders>
            <w:tcMar>
              <w:left w:w="6" w:type="dxa"/>
              <w:right w:w="6" w:type="dxa"/>
            </w:tcMar>
            <w:vAlign w:val="bottom"/>
          </w:tcPr>
          <w:p w14:paraId="5D58BBB1"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-.08</w:t>
            </w:r>
          </w:p>
        </w:tc>
        <w:tc>
          <w:tcPr>
            <w:tcW w:w="464" w:type="pct"/>
            <w:tcBorders>
              <w:top w:val="nil"/>
              <w:right w:val="single" w:sz="2" w:space="0" w:color="auto"/>
            </w:tcBorders>
            <w:tcMar>
              <w:left w:w="6" w:type="dxa"/>
              <w:right w:w="6" w:type="dxa"/>
            </w:tcMar>
            <w:vAlign w:val="bottom"/>
          </w:tcPr>
          <w:p w14:paraId="30255CDA"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-.66</w:t>
            </w:r>
          </w:p>
        </w:tc>
        <w:tc>
          <w:tcPr>
            <w:tcW w:w="464" w:type="pct"/>
            <w:tcBorders>
              <w:left w:val="single" w:sz="2" w:space="0" w:color="auto"/>
            </w:tcBorders>
            <w:noWrap/>
            <w:tcMar>
              <w:left w:w="6" w:type="dxa"/>
              <w:right w:w="6" w:type="dxa"/>
            </w:tcMar>
            <w:vAlign w:val="bottom"/>
          </w:tcPr>
          <w:p w14:paraId="2467F216"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-.06</w:t>
            </w:r>
          </w:p>
        </w:tc>
        <w:tc>
          <w:tcPr>
            <w:tcW w:w="464" w:type="pct"/>
            <w:tcBorders>
              <w:right w:val="single" w:sz="2" w:space="0" w:color="auto"/>
            </w:tcBorders>
            <w:noWrap/>
            <w:tcMar>
              <w:left w:w="6" w:type="dxa"/>
              <w:right w:w="6" w:type="dxa"/>
            </w:tcMar>
            <w:vAlign w:val="bottom"/>
          </w:tcPr>
          <w:p w14:paraId="42BEF622"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-.49</w:t>
            </w:r>
          </w:p>
        </w:tc>
        <w:tc>
          <w:tcPr>
            <w:tcW w:w="464" w:type="pct"/>
            <w:tcBorders>
              <w:left w:val="single" w:sz="2" w:space="0" w:color="auto"/>
            </w:tcBorders>
            <w:noWrap/>
            <w:tcMar>
              <w:left w:w="6" w:type="dxa"/>
              <w:right w:w="6" w:type="dxa"/>
            </w:tcMar>
            <w:vAlign w:val="bottom"/>
          </w:tcPr>
          <w:p w14:paraId="32F53C69"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-.02</w:t>
            </w:r>
          </w:p>
        </w:tc>
        <w:tc>
          <w:tcPr>
            <w:tcW w:w="464" w:type="pct"/>
            <w:tcBorders>
              <w:right w:val="single" w:sz="2" w:space="0" w:color="auto"/>
            </w:tcBorders>
            <w:noWrap/>
            <w:tcMar>
              <w:left w:w="6" w:type="dxa"/>
              <w:right w:w="6" w:type="dxa"/>
            </w:tcMar>
            <w:vAlign w:val="bottom"/>
          </w:tcPr>
          <w:p w14:paraId="051B5B9E"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-.18</w:t>
            </w:r>
          </w:p>
        </w:tc>
        <w:tc>
          <w:tcPr>
            <w:tcW w:w="464" w:type="pct"/>
            <w:tcBorders>
              <w:left w:val="single" w:sz="2" w:space="0" w:color="auto"/>
            </w:tcBorders>
            <w:noWrap/>
            <w:tcMar>
              <w:left w:w="6" w:type="dxa"/>
              <w:right w:w="6" w:type="dxa"/>
            </w:tcMar>
            <w:vAlign w:val="bottom"/>
          </w:tcPr>
          <w:p w14:paraId="05967D37"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.03</w:t>
            </w:r>
          </w:p>
        </w:tc>
        <w:tc>
          <w:tcPr>
            <w:tcW w:w="463" w:type="pct"/>
            <w:noWrap/>
            <w:tcMar>
              <w:left w:w="6" w:type="dxa"/>
              <w:right w:w="6" w:type="dxa"/>
            </w:tcMar>
            <w:vAlign w:val="bottom"/>
          </w:tcPr>
          <w:p w14:paraId="794E5F06"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.23</w:t>
            </w:r>
          </w:p>
        </w:tc>
      </w:tr>
      <w:tr w:rsidR="008F5536" w:rsidRPr="002B3E1D" w14:paraId="50FE0BEF" w14:textId="77777777" w:rsidTr="008F5536">
        <w:tc>
          <w:tcPr>
            <w:tcW w:w="1289" w:type="pct"/>
            <w:noWrap/>
            <w:tcMar>
              <w:left w:w="6" w:type="dxa"/>
              <w:right w:w="6" w:type="dxa"/>
            </w:tcMar>
          </w:tcPr>
          <w:p w14:paraId="7A342F24" w14:textId="77777777" w:rsidR="008F5536" w:rsidRPr="002B3E1D" w:rsidRDefault="008F5536" w:rsidP="008F5536">
            <w:pPr>
              <w:rPr>
                <w:rFonts w:ascii="Times New Roman" w:hAnsi="Times New Roman" w:cs="Times New Roman"/>
                <w:bCs/>
                <w:szCs w:val="20"/>
              </w:rPr>
            </w:pPr>
            <w:r w:rsidRPr="002B3E1D">
              <w:rPr>
                <w:rFonts w:ascii="Times New Roman" w:hAnsi="Times New Roman" w:cs="Times New Roman"/>
                <w:bCs/>
                <w:szCs w:val="20"/>
              </w:rPr>
              <w:t>Industry Relatedness</w:t>
            </w:r>
          </w:p>
        </w:tc>
        <w:tc>
          <w:tcPr>
            <w:tcW w:w="464" w:type="pct"/>
            <w:tcBorders>
              <w:top w:val="nil"/>
            </w:tcBorders>
            <w:tcMar>
              <w:left w:w="6" w:type="dxa"/>
              <w:right w:w="6" w:type="dxa"/>
            </w:tcMar>
            <w:vAlign w:val="bottom"/>
          </w:tcPr>
          <w:p w14:paraId="3F016420"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.04</w:t>
            </w:r>
          </w:p>
        </w:tc>
        <w:tc>
          <w:tcPr>
            <w:tcW w:w="464" w:type="pct"/>
            <w:tcBorders>
              <w:top w:val="nil"/>
              <w:right w:val="single" w:sz="2" w:space="0" w:color="auto"/>
            </w:tcBorders>
            <w:tcMar>
              <w:left w:w="6" w:type="dxa"/>
              <w:right w:w="6" w:type="dxa"/>
            </w:tcMar>
            <w:vAlign w:val="bottom"/>
          </w:tcPr>
          <w:p w14:paraId="336AF6C5"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.45</w:t>
            </w:r>
          </w:p>
        </w:tc>
        <w:tc>
          <w:tcPr>
            <w:tcW w:w="464" w:type="pct"/>
            <w:tcBorders>
              <w:left w:val="single" w:sz="2" w:space="0" w:color="auto"/>
            </w:tcBorders>
            <w:noWrap/>
            <w:tcMar>
              <w:left w:w="6" w:type="dxa"/>
              <w:right w:w="6" w:type="dxa"/>
            </w:tcMar>
            <w:vAlign w:val="bottom"/>
          </w:tcPr>
          <w:p w14:paraId="2989A08F"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.02</w:t>
            </w:r>
          </w:p>
        </w:tc>
        <w:tc>
          <w:tcPr>
            <w:tcW w:w="464" w:type="pct"/>
            <w:tcBorders>
              <w:right w:val="single" w:sz="2" w:space="0" w:color="auto"/>
            </w:tcBorders>
            <w:noWrap/>
            <w:tcMar>
              <w:left w:w="6" w:type="dxa"/>
              <w:right w:w="6" w:type="dxa"/>
            </w:tcMar>
            <w:vAlign w:val="bottom"/>
          </w:tcPr>
          <w:p w14:paraId="1FE1623F"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.24</w:t>
            </w:r>
          </w:p>
        </w:tc>
        <w:tc>
          <w:tcPr>
            <w:tcW w:w="464" w:type="pct"/>
            <w:tcBorders>
              <w:left w:val="single" w:sz="2" w:space="0" w:color="auto"/>
            </w:tcBorders>
            <w:noWrap/>
            <w:tcMar>
              <w:left w:w="6" w:type="dxa"/>
              <w:right w:w="6" w:type="dxa"/>
            </w:tcMar>
            <w:vAlign w:val="bottom"/>
          </w:tcPr>
          <w:p w14:paraId="2482CBA0"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.01</w:t>
            </w:r>
          </w:p>
        </w:tc>
        <w:tc>
          <w:tcPr>
            <w:tcW w:w="464" w:type="pct"/>
            <w:tcBorders>
              <w:right w:val="single" w:sz="2" w:space="0" w:color="auto"/>
            </w:tcBorders>
            <w:noWrap/>
            <w:tcMar>
              <w:left w:w="6" w:type="dxa"/>
              <w:right w:w="6" w:type="dxa"/>
            </w:tcMar>
            <w:vAlign w:val="bottom"/>
          </w:tcPr>
          <w:p w14:paraId="48CA9091"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.11</w:t>
            </w:r>
          </w:p>
        </w:tc>
        <w:tc>
          <w:tcPr>
            <w:tcW w:w="464" w:type="pct"/>
            <w:tcBorders>
              <w:left w:val="single" w:sz="2" w:space="0" w:color="auto"/>
            </w:tcBorders>
            <w:noWrap/>
            <w:tcMar>
              <w:left w:w="6" w:type="dxa"/>
              <w:right w:w="6" w:type="dxa"/>
            </w:tcMar>
            <w:vAlign w:val="bottom"/>
          </w:tcPr>
          <w:p w14:paraId="1E18E38B"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.04</w:t>
            </w:r>
          </w:p>
        </w:tc>
        <w:tc>
          <w:tcPr>
            <w:tcW w:w="463" w:type="pct"/>
            <w:noWrap/>
            <w:tcMar>
              <w:left w:w="6" w:type="dxa"/>
              <w:right w:w="6" w:type="dxa"/>
            </w:tcMar>
            <w:vAlign w:val="bottom"/>
          </w:tcPr>
          <w:p w14:paraId="3BDE0F4F"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.57</w:t>
            </w:r>
          </w:p>
        </w:tc>
      </w:tr>
      <w:tr w:rsidR="008F5536" w:rsidRPr="002B3E1D" w14:paraId="5B010EBE" w14:textId="77777777" w:rsidTr="008F5536">
        <w:tc>
          <w:tcPr>
            <w:tcW w:w="1289" w:type="pct"/>
            <w:noWrap/>
            <w:tcMar>
              <w:left w:w="6" w:type="dxa"/>
              <w:right w:w="6" w:type="dxa"/>
            </w:tcMar>
          </w:tcPr>
          <w:p w14:paraId="3D1CBF8B" w14:textId="77777777" w:rsidR="008F5536" w:rsidRPr="002B3E1D" w:rsidRDefault="008F5536" w:rsidP="008F5536">
            <w:pPr>
              <w:rPr>
                <w:rFonts w:ascii="Times New Roman" w:hAnsi="Times New Roman" w:cs="Times New Roman"/>
                <w:bCs/>
                <w:szCs w:val="20"/>
              </w:rPr>
            </w:pPr>
            <w:r w:rsidRPr="002B3E1D">
              <w:rPr>
                <w:rFonts w:ascii="Times New Roman" w:hAnsi="Times New Roman" w:cs="Times New Roman"/>
                <w:bCs/>
                <w:szCs w:val="20"/>
              </w:rPr>
              <w:t xml:space="preserve">Number of Previous </w:t>
            </w:r>
            <w:r w:rsidR="00562D43" w:rsidRPr="002B3E1D">
              <w:rPr>
                <w:rFonts w:ascii="Times New Roman" w:hAnsi="Times New Roman" w:cs="Times New Roman"/>
                <w:bCs/>
                <w:szCs w:val="20"/>
              </w:rPr>
              <w:t>M&amp;A</w:t>
            </w:r>
          </w:p>
        </w:tc>
        <w:tc>
          <w:tcPr>
            <w:tcW w:w="464" w:type="pct"/>
            <w:tcBorders>
              <w:top w:val="nil"/>
            </w:tcBorders>
            <w:tcMar>
              <w:left w:w="6" w:type="dxa"/>
              <w:right w:w="6" w:type="dxa"/>
            </w:tcMar>
            <w:vAlign w:val="bottom"/>
          </w:tcPr>
          <w:p w14:paraId="12ED0AAB"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-.06</w:t>
            </w:r>
          </w:p>
        </w:tc>
        <w:tc>
          <w:tcPr>
            <w:tcW w:w="464" w:type="pct"/>
            <w:tcBorders>
              <w:top w:val="nil"/>
              <w:right w:val="single" w:sz="2" w:space="0" w:color="auto"/>
            </w:tcBorders>
            <w:tcMar>
              <w:left w:w="6" w:type="dxa"/>
              <w:right w:w="6" w:type="dxa"/>
            </w:tcMar>
            <w:vAlign w:val="bottom"/>
          </w:tcPr>
          <w:p w14:paraId="2ABF0D6D"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-.49</w:t>
            </w:r>
          </w:p>
        </w:tc>
        <w:tc>
          <w:tcPr>
            <w:tcW w:w="464" w:type="pct"/>
            <w:tcBorders>
              <w:left w:val="single" w:sz="2" w:space="0" w:color="auto"/>
            </w:tcBorders>
            <w:noWrap/>
            <w:tcMar>
              <w:left w:w="6" w:type="dxa"/>
              <w:right w:w="6" w:type="dxa"/>
            </w:tcMar>
            <w:vAlign w:val="bottom"/>
          </w:tcPr>
          <w:p w14:paraId="7E72D720"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-.06</w:t>
            </w:r>
          </w:p>
        </w:tc>
        <w:tc>
          <w:tcPr>
            <w:tcW w:w="464" w:type="pct"/>
            <w:tcBorders>
              <w:right w:val="single" w:sz="2" w:space="0" w:color="auto"/>
            </w:tcBorders>
            <w:noWrap/>
            <w:tcMar>
              <w:left w:w="6" w:type="dxa"/>
              <w:right w:w="6" w:type="dxa"/>
            </w:tcMar>
            <w:vAlign w:val="bottom"/>
          </w:tcPr>
          <w:p w14:paraId="16B3E03D"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-.58</w:t>
            </w:r>
          </w:p>
        </w:tc>
        <w:tc>
          <w:tcPr>
            <w:tcW w:w="464" w:type="pct"/>
            <w:tcBorders>
              <w:left w:val="single" w:sz="2" w:space="0" w:color="auto"/>
            </w:tcBorders>
            <w:noWrap/>
            <w:tcMar>
              <w:left w:w="6" w:type="dxa"/>
              <w:right w:w="6" w:type="dxa"/>
            </w:tcMar>
            <w:vAlign w:val="bottom"/>
          </w:tcPr>
          <w:p w14:paraId="0DAE3025"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-.06</w:t>
            </w:r>
          </w:p>
        </w:tc>
        <w:tc>
          <w:tcPr>
            <w:tcW w:w="464" w:type="pct"/>
            <w:tcBorders>
              <w:right w:val="single" w:sz="2" w:space="0" w:color="auto"/>
            </w:tcBorders>
            <w:noWrap/>
            <w:tcMar>
              <w:left w:w="6" w:type="dxa"/>
              <w:right w:w="6" w:type="dxa"/>
            </w:tcMar>
            <w:vAlign w:val="bottom"/>
          </w:tcPr>
          <w:p w14:paraId="6E79C6D1"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-.56</w:t>
            </w:r>
          </w:p>
        </w:tc>
        <w:tc>
          <w:tcPr>
            <w:tcW w:w="464" w:type="pct"/>
            <w:tcBorders>
              <w:left w:val="single" w:sz="2" w:space="0" w:color="auto"/>
            </w:tcBorders>
            <w:noWrap/>
            <w:tcMar>
              <w:left w:w="6" w:type="dxa"/>
              <w:right w:w="6" w:type="dxa"/>
            </w:tcMar>
            <w:vAlign w:val="bottom"/>
          </w:tcPr>
          <w:p w14:paraId="50CD35CA"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-.08</w:t>
            </w:r>
          </w:p>
        </w:tc>
        <w:tc>
          <w:tcPr>
            <w:tcW w:w="463" w:type="pct"/>
            <w:noWrap/>
            <w:tcMar>
              <w:left w:w="6" w:type="dxa"/>
              <w:right w:w="6" w:type="dxa"/>
            </w:tcMar>
            <w:vAlign w:val="bottom"/>
          </w:tcPr>
          <w:p w14:paraId="6B955594"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-.80</w:t>
            </w:r>
          </w:p>
        </w:tc>
      </w:tr>
      <w:tr w:rsidR="008F5536" w:rsidRPr="002B3E1D" w14:paraId="66EDCB89" w14:textId="77777777" w:rsidTr="008F5536">
        <w:tc>
          <w:tcPr>
            <w:tcW w:w="1289" w:type="pct"/>
            <w:noWrap/>
            <w:tcMar>
              <w:left w:w="6" w:type="dxa"/>
              <w:right w:w="6" w:type="dxa"/>
            </w:tcMar>
          </w:tcPr>
          <w:p w14:paraId="529F7227" w14:textId="77777777" w:rsidR="008F5536" w:rsidRPr="002B3E1D" w:rsidRDefault="008F5536" w:rsidP="008F5536">
            <w:pPr>
              <w:rPr>
                <w:rFonts w:ascii="Times New Roman" w:hAnsi="Times New Roman" w:cs="Times New Roman"/>
                <w:bCs/>
                <w:szCs w:val="20"/>
              </w:rPr>
            </w:pPr>
            <w:r w:rsidRPr="002B3E1D">
              <w:rPr>
                <w:rFonts w:ascii="Times New Roman" w:hAnsi="Times New Roman" w:cs="Times New Roman"/>
                <w:bCs/>
                <w:szCs w:val="20"/>
              </w:rPr>
              <w:t xml:space="preserve">Years of Target Market Experience </w:t>
            </w:r>
          </w:p>
        </w:tc>
        <w:tc>
          <w:tcPr>
            <w:tcW w:w="464" w:type="pct"/>
            <w:tcBorders>
              <w:top w:val="nil"/>
            </w:tcBorders>
            <w:tcMar>
              <w:left w:w="6" w:type="dxa"/>
              <w:right w:w="6" w:type="dxa"/>
            </w:tcMar>
            <w:vAlign w:val="bottom"/>
          </w:tcPr>
          <w:p w14:paraId="49EB27EC"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-.05</w:t>
            </w:r>
          </w:p>
        </w:tc>
        <w:tc>
          <w:tcPr>
            <w:tcW w:w="464" w:type="pct"/>
            <w:tcBorders>
              <w:top w:val="nil"/>
              <w:right w:val="single" w:sz="2" w:space="0" w:color="auto"/>
            </w:tcBorders>
            <w:tcMar>
              <w:left w:w="6" w:type="dxa"/>
              <w:right w:w="6" w:type="dxa"/>
            </w:tcMar>
            <w:vAlign w:val="bottom"/>
          </w:tcPr>
          <w:p w14:paraId="5D6755D6"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-.49</w:t>
            </w:r>
          </w:p>
        </w:tc>
        <w:tc>
          <w:tcPr>
            <w:tcW w:w="464" w:type="pct"/>
            <w:tcBorders>
              <w:left w:val="single" w:sz="2" w:space="0" w:color="auto"/>
            </w:tcBorders>
            <w:noWrap/>
            <w:tcMar>
              <w:left w:w="6" w:type="dxa"/>
              <w:right w:w="6" w:type="dxa"/>
            </w:tcMar>
            <w:vAlign w:val="bottom"/>
          </w:tcPr>
          <w:p w14:paraId="6054C90F"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-.08</w:t>
            </w:r>
          </w:p>
        </w:tc>
        <w:tc>
          <w:tcPr>
            <w:tcW w:w="464" w:type="pct"/>
            <w:tcBorders>
              <w:right w:val="single" w:sz="2" w:space="0" w:color="auto"/>
            </w:tcBorders>
            <w:noWrap/>
            <w:tcMar>
              <w:left w:w="6" w:type="dxa"/>
              <w:right w:w="6" w:type="dxa"/>
            </w:tcMar>
            <w:vAlign w:val="bottom"/>
          </w:tcPr>
          <w:p w14:paraId="2FB227E1"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-.94</w:t>
            </w:r>
          </w:p>
        </w:tc>
        <w:tc>
          <w:tcPr>
            <w:tcW w:w="464" w:type="pct"/>
            <w:tcBorders>
              <w:left w:val="single" w:sz="2" w:space="0" w:color="auto"/>
            </w:tcBorders>
            <w:noWrap/>
            <w:tcMar>
              <w:left w:w="6" w:type="dxa"/>
              <w:right w:w="6" w:type="dxa"/>
            </w:tcMar>
            <w:vAlign w:val="bottom"/>
          </w:tcPr>
          <w:p w14:paraId="60B0BE00"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-.07</w:t>
            </w:r>
          </w:p>
        </w:tc>
        <w:tc>
          <w:tcPr>
            <w:tcW w:w="464" w:type="pct"/>
            <w:tcBorders>
              <w:right w:val="single" w:sz="2" w:space="0" w:color="auto"/>
            </w:tcBorders>
            <w:noWrap/>
            <w:tcMar>
              <w:left w:w="6" w:type="dxa"/>
              <w:right w:w="6" w:type="dxa"/>
            </w:tcMar>
            <w:vAlign w:val="bottom"/>
          </w:tcPr>
          <w:p w14:paraId="7775E8FA"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-.86</w:t>
            </w:r>
          </w:p>
        </w:tc>
        <w:tc>
          <w:tcPr>
            <w:tcW w:w="464" w:type="pct"/>
            <w:tcBorders>
              <w:left w:val="single" w:sz="2" w:space="0" w:color="auto"/>
            </w:tcBorders>
            <w:noWrap/>
            <w:tcMar>
              <w:left w:w="6" w:type="dxa"/>
              <w:right w:w="6" w:type="dxa"/>
            </w:tcMar>
            <w:vAlign w:val="bottom"/>
          </w:tcPr>
          <w:p w14:paraId="0177BD01"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-.05</w:t>
            </w:r>
          </w:p>
        </w:tc>
        <w:tc>
          <w:tcPr>
            <w:tcW w:w="463" w:type="pct"/>
            <w:noWrap/>
            <w:tcMar>
              <w:left w:w="6" w:type="dxa"/>
              <w:right w:w="6" w:type="dxa"/>
            </w:tcMar>
            <w:vAlign w:val="bottom"/>
          </w:tcPr>
          <w:p w14:paraId="699A7E57"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-.66</w:t>
            </w:r>
          </w:p>
        </w:tc>
      </w:tr>
      <w:tr w:rsidR="008F5536" w:rsidRPr="002B3E1D" w14:paraId="6391B754" w14:textId="77777777" w:rsidTr="008F5536">
        <w:tc>
          <w:tcPr>
            <w:tcW w:w="1289" w:type="pct"/>
            <w:noWrap/>
            <w:tcMar>
              <w:left w:w="6" w:type="dxa"/>
              <w:right w:w="6" w:type="dxa"/>
            </w:tcMar>
          </w:tcPr>
          <w:p w14:paraId="4BA63CB5" w14:textId="77777777" w:rsidR="008F5536" w:rsidRPr="002B3E1D" w:rsidRDefault="008F5536" w:rsidP="008F5536">
            <w:pPr>
              <w:rPr>
                <w:rFonts w:ascii="Times New Roman" w:hAnsi="Times New Roman" w:cs="Times New Roman"/>
                <w:bCs/>
                <w:szCs w:val="20"/>
              </w:rPr>
            </w:pPr>
            <w:r w:rsidRPr="002B3E1D">
              <w:rPr>
                <w:rFonts w:ascii="Times New Roman" w:hAnsi="Times New Roman" w:cs="Times New Roman"/>
                <w:bCs/>
                <w:szCs w:val="20"/>
              </w:rPr>
              <w:t>Relative Firm Sizes</w:t>
            </w:r>
          </w:p>
        </w:tc>
        <w:tc>
          <w:tcPr>
            <w:tcW w:w="464" w:type="pct"/>
            <w:tcBorders>
              <w:top w:val="nil"/>
            </w:tcBorders>
            <w:tcMar>
              <w:left w:w="6" w:type="dxa"/>
              <w:right w:w="6" w:type="dxa"/>
            </w:tcMar>
            <w:vAlign w:val="bottom"/>
          </w:tcPr>
          <w:p w14:paraId="4373C1D9"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-.15</w:t>
            </w:r>
          </w:p>
        </w:tc>
        <w:tc>
          <w:tcPr>
            <w:tcW w:w="464" w:type="pct"/>
            <w:tcBorders>
              <w:top w:val="nil"/>
              <w:right w:val="single" w:sz="2" w:space="0" w:color="auto"/>
            </w:tcBorders>
            <w:tcMar>
              <w:left w:w="6" w:type="dxa"/>
              <w:right w:w="6" w:type="dxa"/>
            </w:tcMar>
            <w:vAlign w:val="bottom"/>
          </w:tcPr>
          <w:p w14:paraId="4AE0705B"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-1.56</w:t>
            </w:r>
          </w:p>
        </w:tc>
        <w:tc>
          <w:tcPr>
            <w:tcW w:w="464" w:type="pct"/>
            <w:tcBorders>
              <w:left w:val="single" w:sz="2" w:space="0" w:color="auto"/>
            </w:tcBorders>
            <w:noWrap/>
            <w:tcMar>
              <w:left w:w="6" w:type="dxa"/>
              <w:right w:w="6" w:type="dxa"/>
            </w:tcMar>
            <w:vAlign w:val="bottom"/>
          </w:tcPr>
          <w:p w14:paraId="1F433AB0"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-.15</w:t>
            </w:r>
          </w:p>
        </w:tc>
        <w:tc>
          <w:tcPr>
            <w:tcW w:w="464" w:type="pct"/>
            <w:tcBorders>
              <w:right w:val="single" w:sz="2" w:space="0" w:color="auto"/>
            </w:tcBorders>
            <w:noWrap/>
            <w:tcMar>
              <w:left w:w="6" w:type="dxa"/>
              <w:right w:w="6" w:type="dxa"/>
            </w:tcMar>
            <w:vAlign w:val="bottom"/>
          </w:tcPr>
          <w:p w14:paraId="712F2D6E"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-1.73*</w:t>
            </w:r>
          </w:p>
        </w:tc>
        <w:tc>
          <w:tcPr>
            <w:tcW w:w="464" w:type="pct"/>
            <w:tcBorders>
              <w:left w:val="single" w:sz="2" w:space="0" w:color="auto"/>
            </w:tcBorders>
            <w:noWrap/>
            <w:tcMar>
              <w:left w:w="6" w:type="dxa"/>
              <w:right w:w="6" w:type="dxa"/>
            </w:tcMar>
            <w:vAlign w:val="bottom"/>
          </w:tcPr>
          <w:p w14:paraId="39EEB758"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-.09</w:t>
            </w:r>
          </w:p>
        </w:tc>
        <w:tc>
          <w:tcPr>
            <w:tcW w:w="464" w:type="pct"/>
            <w:tcBorders>
              <w:right w:val="single" w:sz="2" w:space="0" w:color="auto"/>
            </w:tcBorders>
            <w:noWrap/>
            <w:tcMar>
              <w:left w:w="6" w:type="dxa"/>
              <w:right w:w="6" w:type="dxa"/>
            </w:tcMar>
            <w:vAlign w:val="bottom"/>
          </w:tcPr>
          <w:p w14:paraId="15FC717B"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-1.07</w:t>
            </w:r>
          </w:p>
        </w:tc>
        <w:tc>
          <w:tcPr>
            <w:tcW w:w="464" w:type="pct"/>
            <w:tcBorders>
              <w:left w:val="single" w:sz="2" w:space="0" w:color="auto"/>
            </w:tcBorders>
            <w:noWrap/>
            <w:tcMar>
              <w:left w:w="6" w:type="dxa"/>
              <w:right w:w="6" w:type="dxa"/>
            </w:tcMar>
            <w:vAlign w:val="bottom"/>
          </w:tcPr>
          <w:p w14:paraId="109A2C3E"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-.04</w:t>
            </w:r>
          </w:p>
        </w:tc>
        <w:tc>
          <w:tcPr>
            <w:tcW w:w="463" w:type="pct"/>
            <w:noWrap/>
            <w:tcMar>
              <w:left w:w="6" w:type="dxa"/>
              <w:right w:w="6" w:type="dxa"/>
            </w:tcMar>
            <w:vAlign w:val="bottom"/>
          </w:tcPr>
          <w:p w14:paraId="059FEE9D"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-.43</w:t>
            </w:r>
          </w:p>
        </w:tc>
      </w:tr>
      <w:tr w:rsidR="008F5536" w:rsidRPr="002B3E1D" w14:paraId="05D472A7" w14:textId="77777777" w:rsidTr="008F5536">
        <w:tc>
          <w:tcPr>
            <w:tcW w:w="1289" w:type="pct"/>
            <w:noWrap/>
            <w:tcMar>
              <w:left w:w="6" w:type="dxa"/>
              <w:right w:w="6" w:type="dxa"/>
            </w:tcMar>
          </w:tcPr>
          <w:p w14:paraId="6832F77E" w14:textId="77777777" w:rsidR="008F5536" w:rsidRPr="002B3E1D" w:rsidRDefault="008F5536" w:rsidP="008F5536">
            <w:pPr>
              <w:rPr>
                <w:rFonts w:ascii="Times New Roman" w:hAnsi="Times New Roman" w:cs="Times New Roman"/>
                <w:bCs/>
                <w:szCs w:val="20"/>
              </w:rPr>
            </w:pPr>
          </w:p>
        </w:tc>
        <w:tc>
          <w:tcPr>
            <w:tcW w:w="464" w:type="pct"/>
            <w:tcBorders>
              <w:top w:val="nil"/>
            </w:tcBorders>
            <w:tcMar>
              <w:left w:w="6" w:type="dxa"/>
              <w:right w:w="6" w:type="dxa"/>
            </w:tcMar>
            <w:vAlign w:val="bottom"/>
          </w:tcPr>
          <w:p w14:paraId="064D7EC9" w14:textId="77777777" w:rsidR="008F5536" w:rsidRPr="002B3E1D" w:rsidRDefault="008F5536" w:rsidP="008F5536">
            <w:pPr>
              <w:tabs>
                <w:tab w:val="decimal" w:pos="340"/>
              </w:tabs>
              <w:rPr>
                <w:rFonts w:ascii="Times New Roman" w:hAnsi="Times New Roman" w:cs="Times New Roman"/>
                <w:szCs w:val="20"/>
              </w:rPr>
            </w:pPr>
          </w:p>
        </w:tc>
        <w:tc>
          <w:tcPr>
            <w:tcW w:w="464" w:type="pct"/>
            <w:tcBorders>
              <w:top w:val="nil"/>
              <w:right w:val="single" w:sz="2" w:space="0" w:color="auto"/>
            </w:tcBorders>
            <w:tcMar>
              <w:left w:w="6" w:type="dxa"/>
              <w:right w:w="6" w:type="dxa"/>
            </w:tcMar>
            <w:vAlign w:val="bottom"/>
          </w:tcPr>
          <w:p w14:paraId="6605889C"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7D56AD39" w14:textId="77777777" w:rsidR="008F5536" w:rsidRPr="002B3E1D" w:rsidRDefault="008F5536" w:rsidP="008F5536">
            <w:pPr>
              <w:tabs>
                <w:tab w:val="decimal" w:pos="340"/>
              </w:tabs>
              <w:rPr>
                <w:rFonts w:ascii="Times New Roman" w:hAnsi="Times New Roman" w:cs="Times New Roman"/>
                <w:szCs w:val="20"/>
              </w:rPr>
            </w:pPr>
          </w:p>
        </w:tc>
        <w:tc>
          <w:tcPr>
            <w:tcW w:w="464" w:type="pct"/>
            <w:tcBorders>
              <w:right w:val="single" w:sz="2" w:space="0" w:color="auto"/>
            </w:tcBorders>
            <w:noWrap/>
            <w:tcMar>
              <w:left w:w="6" w:type="dxa"/>
              <w:right w:w="6" w:type="dxa"/>
            </w:tcMar>
            <w:vAlign w:val="bottom"/>
          </w:tcPr>
          <w:p w14:paraId="01405AC6"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1CE7032C" w14:textId="77777777" w:rsidR="008F5536" w:rsidRPr="002B3E1D" w:rsidRDefault="008F5536" w:rsidP="008F5536">
            <w:pPr>
              <w:tabs>
                <w:tab w:val="decimal" w:pos="340"/>
              </w:tabs>
              <w:rPr>
                <w:rFonts w:ascii="Times New Roman" w:hAnsi="Times New Roman" w:cs="Times New Roman"/>
                <w:szCs w:val="20"/>
              </w:rPr>
            </w:pPr>
          </w:p>
        </w:tc>
        <w:tc>
          <w:tcPr>
            <w:tcW w:w="464" w:type="pct"/>
            <w:tcBorders>
              <w:right w:val="single" w:sz="2" w:space="0" w:color="auto"/>
            </w:tcBorders>
            <w:noWrap/>
            <w:tcMar>
              <w:left w:w="6" w:type="dxa"/>
              <w:right w:w="6" w:type="dxa"/>
            </w:tcMar>
            <w:vAlign w:val="bottom"/>
          </w:tcPr>
          <w:p w14:paraId="65716D06"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4B7073CE" w14:textId="77777777" w:rsidR="008F5536" w:rsidRPr="002B3E1D" w:rsidRDefault="008F5536" w:rsidP="008F5536">
            <w:pPr>
              <w:tabs>
                <w:tab w:val="decimal" w:pos="340"/>
              </w:tabs>
              <w:rPr>
                <w:rFonts w:ascii="Times New Roman" w:hAnsi="Times New Roman" w:cs="Times New Roman"/>
                <w:szCs w:val="20"/>
              </w:rPr>
            </w:pPr>
          </w:p>
        </w:tc>
        <w:tc>
          <w:tcPr>
            <w:tcW w:w="463" w:type="pct"/>
            <w:noWrap/>
            <w:tcMar>
              <w:left w:w="6" w:type="dxa"/>
              <w:right w:w="6" w:type="dxa"/>
            </w:tcMar>
            <w:vAlign w:val="bottom"/>
          </w:tcPr>
          <w:p w14:paraId="3417884B" w14:textId="77777777" w:rsidR="008F5536" w:rsidRPr="002B3E1D" w:rsidRDefault="008F5536" w:rsidP="008F5536">
            <w:pPr>
              <w:tabs>
                <w:tab w:val="decimal" w:pos="340"/>
              </w:tabs>
              <w:rPr>
                <w:rFonts w:ascii="Times New Roman" w:hAnsi="Times New Roman" w:cs="Times New Roman"/>
                <w:szCs w:val="20"/>
              </w:rPr>
            </w:pPr>
          </w:p>
        </w:tc>
      </w:tr>
      <w:tr w:rsidR="008F5536" w:rsidRPr="002B3E1D" w14:paraId="393195D7" w14:textId="77777777" w:rsidTr="008F5536">
        <w:tc>
          <w:tcPr>
            <w:tcW w:w="1289" w:type="pct"/>
            <w:noWrap/>
            <w:tcMar>
              <w:left w:w="6" w:type="dxa"/>
              <w:right w:w="6" w:type="dxa"/>
            </w:tcMar>
          </w:tcPr>
          <w:p w14:paraId="423F1622" w14:textId="77777777" w:rsidR="008F5536" w:rsidRPr="002B3E1D" w:rsidRDefault="008F5536" w:rsidP="008F5536">
            <w:pPr>
              <w:rPr>
                <w:rFonts w:ascii="Times New Roman" w:hAnsi="Times New Roman" w:cs="Times New Roman"/>
                <w:bCs/>
                <w:szCs w:val="20"/>
              </w:rPr>
            </w:pPr>
            <w:r w:rsidRPr="002B3E1D">
              <w:rPr>
                <w:rFonts w:ascii="Times New Roman" w:hAnsi="Times New Roman" w:cs="Times New Roman"/>
                <w:b/>
                <w:szCs w:val="20"/>
              </w:rPr>
              <w:t>Direct Effects</w:t>
            </w:r>
          </w:p>
        </w:tc>
        <w:tc>
          <w:tcPr>
            <w:tcW w:w="464" w:type="pct"/>
            <w:tcBorders>
              <w:top w:val="nil"/>
            </w:tcBorders>
            <w:tcMar>
              <w:left w:w="6" w:type="dxa"/>
              <w:right w:w="6" w:type="dxa"/>
            </w:tcMar>
            <w:vAlign w:val="bottom"/>
          </w:tcPr>
          <w:p w14:paraId="0940E94D" w14:textId="77777777" w:rsidR="008F5536" w:rsidRPr="002B3E1D" w:rsidRDefault="008F5536" w:rsidP="008F5536">
            <w:pPr>
              <w:tabs>
                <w:tab w:val="decimal" w:pos="340"/>
              </w:tabs>
              <w:rPr>
                <w:rFonts w:ascii="Times New Roman" w:hAnsi="Times New Roman" w:cs="Times New Roman"/>
                <w:szCs w:val="20"/>
              </w:rPr>
            </w:pPr>
          </w:p>
        </w:tc>
        <w:tc>
          <w:tcPr>
            <w:tcW w:w="464" w:type="pct"/>
            <w:tcBorders>
              <w:top w:val="nil"/>
              <w:right w:val="single" w:sz="2" w:space="0" w:color="auto"/>
            </w:tcBorders>
            <w:tcMar>
              <w:left w:w="6" w:type="dxa"/>
              <w:right w:w="6" w:type="dxa"/>
            </w:tcMar>
            <w:vAlign w:val="bottom"/>
          </w:tcPr>
          <w:p w14:paraId="1A42E560"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13664269" w14:textId="77777777" w:rsidR="008F5536" w:rsidRPr="002B3E1D" w:rsidRDefault="008F5536" w:rsidP="008F5536">
            <w:pPr>
              <w:tabs>
                <w:tab w:val="decimal" w:pos="340"/>
              </w:tabs>
              <w:rPr>
                <w:rFonts w:ascii="Times New Roman" w:hAnsi="Times New Roman" w:cs="Times New Roman"/>
                <w:szCs w:val="20"/>
              </w:rPr>
            </w:pPr>
          </w:p>
        </w:tc>
        <w:tc>
          <w:tcPr>
            <w:tcW w:w="464" w:type="pct"/>
            <w:tcBorders>
              <w:right w:val="single" w:sz="2" w:space="0" w:color="auto"/>
            </w:tcBorders>
            <w:noWrap/>
            <w:tcMar>
              <w:left w:w="6" w:type="dxa"/>
              <w:right w:w="6" w:type="dxa"/>
            </w:tcMar>
            <w:vAlign w:val="bottom"/>
          </w:tcPr>
          <w:p w14:paraId="550E61E7"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23CEB7C2" w14:textId="77777777" w:rsidR="008F5536" w:rsidRPr="002B3E1D" w:rsidRDefault="008F5536" w:rsidP="008F5536">
            <w:pPr>
              <w:tabs>
                <w:tab w:val="decimal" w:pos="340"/>
              </w:tabs>
              <w:rPr>
                <w:rFonts w:ascii="Times New Roman" w:hAnsi="Times New Roman" w:cs="Times New Roman"/>
                <w:szCs w:val="20"/>
              </w:rPr>
            </w:pPr>
          </w:p>
        </w:tc>
        <w:tc>
          <w:tcPr>
            <w:tcW w:w="464" w:type="pct"/>
            <w:tcBorders>
              <w:right w:val="single" w:sz="2" w:space="0" w:color="auto"/>
            </w:tcBorders>
            <w:noWrap/>
            <w:tcMar>
              <w:left w:w="6" w:type="dxa"/>
              <w:right w:w="6" w:type="dxa"/>
            </w:tcMar>
            <w:vAlign w:val="bottom"/>
          </w:tcPr>
          <w:p w14:paraId="4C6C42FA"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70523ED1" w14:textId="77777777" w:rsidR="008F5536" w:rsidRPr="002B3E1D" w:rsidRDefault="008F5536" w:rsidP="008F5536">
            <w:pPr>
              <w:tabs>
                <w:tab w:val="decimal" w:pos="340"/>
              </w:tabs>
              <w:rPr>
                <w:rFonts w:ascii="Times New Roman" w:hAnsi="Times New Roman" w:cs="Times New Roman"/>
                <w:szCs w:val="20"/>
              </w:rPr>
            </w:pPr>
          </w:p>
        </w:tc>
        <w:tc>
          <w:tcPr>
            <w:tcW w:w="463" w:type="pct"/>
            <w:noWrap/>
            <w:tcMar>
              <w:left w:w="6" w:type="dxa"/>
              <w:right w:w="6" w:type="dxa"/>
            </w:tcMar>
            <w:vAlign w:val="bottom"/>
          </w:tcPr>
          <w:p w14:paraId="1E40DB81" w14:textId="77777777" w:rsidR="008F5536" w:rsidRPr="002B3E1D" w:rsidRDefault="008F5536" w:rsidP="008F5536">
            <w:pPr>
              <w:tabs>
                <w:tab w:val="decimal" w:pos="340"/>
              </w:tabs>
              <w:rPr>
                <w:rFonts w:ascii="Times New Roman" w:hAnsi="Times New Roman" w:cs="Times New Roman"/>
                <w:szCs w:val="20"/>
              </w:rPr>
            </w:pPr>
          </w:p>
        </w:tc>
      </w:tr>
      <w:tr w:rsidR="008F5536" w:rsidRPr="002B3E1D" w14:paraId="6E88AD22" w14:textId="77777777" w:rsidTr="008F5536">
        <w:tc>
          <w:tcPr>
            <w:tcW w:w="1289" w:type="pct"/>
            <w:noWrap/>
            <w:tcMar>
              <w:left w:w="6" w:type="dxa"/>
              <w:right w:w="6" w:type="dxa"/>
            </w:tcMar>
          </w:tcPr>
          <w:p w14:paraId="3E4E38DD" w14:textId="77777777" w:rsidR="008F5536" w:rsidRPr="002B3E1D" w:rsidRDefault="008F5536" w:rsidP="008F5536">
            <w:pPr>
              <w:rPr>
                <w:rFonts w:ascii="Times New Roman" w:hAnsi="Times New Roman" w:cs="Times New Roman"/>
                <w:szCs w:val="20"/>
              </w:rPr>
            </w:pPr>
            <w:r w:rsidRPr="002B3E1D">
              <w:rPr>
                <w:rFonts w:ascii="Times New Roman" w:hAnsi="Times New Roman" w:cs="Times New Roman"/>
                <w:bCs/>
                <w:szCs w:val="20"/>
              </w:rPr>
              <w:t>Knowledge Sharing</w:t>
            </w:r>
          </w:p>
        </w:tc>
        <w:tc>
          <w:tcPr>
            <w:tcW w:w="464" w:type="pct"/>
            <w:tcBorders>
              <w:top w:val="nil"/>
            </w:tcBorders>
            <w:tcMar>
              <w:left w:w="6" w:type="dxa"/>
              <w:right w:w="6" w:type="dxa"/>
            </w:tcMar>
            <w:vAlign w:val="bottom"/>
          </w:tcPr>
          <w:p w14:paraId="59E8555E" w14:textId="77777777" w:rsidR="008F5536" w:rsidRPr="002B3E1D" w:rsidRDefault="008F5536" w:rsidP="008F5536">
            <w:pPr>
              <w:tabs>
                <w:tab w:val="decimal" w:pos="340"/>
              </w:tabs>
              <w:rPr>
                <w:rFonts w:ascii="Times New Roman" w:hAnsi="Times New Roman" w:cs="Times New Roman"/>
                <w:szCs w:val="20"/>
              </w:rPr>
            </w:pPr>
          </w:p>
        </w:tc>
        <w:tc>
          <w:tcPr>
            <w:tcW w:w="464" w:type="pct"/>
            <w:tcBorders>
              <w:top w:val="nil"/>
              <w:right w:val="single" w:sz="2" w:space="0" w:color="auto"/>
            </w:tcBorders>
            <w:tcMar>
              <w:left w:w="6" w:type="dxa"/>
              <w:right w:w="6" w:type="dxa"/>
            </w:tcMar>
            <w:vAlign w:val="bottom"/>
          </w:tcPr>
          <w:p w14:paraId="411FE43F"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7F840A57"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.10</w:t>
            </w:r>
          </w:p>
        </w:tc>
        <w:tc>
          <w:tcPr>
            <w:tcW w:w="464" w:type="pct"/>
            <w:tcBorders>
              <w:right w:val="single" w:sz="2" w:space="0" w:color="auto"/>
            </w:tcBorders>
            <w:noWrap/>
            <w:tcMar>
              <w:left w:w="6" w:type="dxa"/>
              <w:right w:w="6" w:type="dxa"/>
            </w:tcMar>
            <w:vAlign w:val="bottom"/>
          </w:tcPr>
          <w:p w14:paraId="078DBA6C"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1.09</w:t>
            </w:r>
          </w:p>
        </w:tc>
        <w:tc>
          <w:tcPr>
            <w:tcW w:w="464" w:type="pct"/>
            <w:tcBorders>
              <w:left w:val="single" w:sz="2" w:space="0" w:color="auto"/>
            </w:tcBorders>
            <w:noWrap/>
            <w:tcMar>
              <w:left w:w="6" w:type="dxa"/>
              <w:right w:w="6" w:type="dxa"/>
            </w:tcMar>
            <w:vAlign w:val="bottom"/>
          </w:tcPr>
          <w:p w14:paraId="63357CCD"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.04</w:t>
            </w:r>
          </w:p>
        </w:tc>
        <w:tc>
          <w:tcPr>
            <w:tcW w:w="464" w:type="pct"/>
            <w:tcBorders>
              <w:right w:val="single" w:sz="2" w:space="0" w:color="auto"/>
            </w:tcBorders>
            <w:noWrap/>
            <w:tcMar>
              <w:left w:w="6" w:type="dxa"/>
              <w:right w:w="6" w:type="dxa"/>
            </w:tcMar>
            <w:vAlign w:val="bottom"/>
          </w:tcPr>
          <w:p w14:paraId="1601ADD3"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.42</w:t>
            </w:r>
          </w:p>
        </w:tc>
        <w:tc>
          <w:tcPr>
            <w:tcW w:w="464" w:type="pct"/>
            <w:tcBorders>
              <w:left w:val="single" w:sz="2" w:space="0" w:color="auto"/>
            </w:tcBorders>
            <w:noWrap/>
            <w:tcMar>
              <w:left w:w="6" w:type="dxa"/>
              <w:right w:w="6" w:type="dxa"/>
            </w:tcMar>
            <w:vAlign w:val="bottom"/>
          </w:tcPr>
          <w:p w14:paraId="597639F6"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.18</w:t>
            </w:r>
          </w:p>
        </w:tc>
        <w:tc>
          <w:tcPr>
            <w:tcW w:w="463" w:type="pct"/>
            <w:noWrap/>
            <w:tcMar>
              <w:left w:w="6" w:type="dxa"/>
              <w:right w:w="6" w:type="dxa"/>
            </w:tcMar>
            <w:vAlign w:val="bottom"/>
          </w:tcPr>
          <w:p w14:paraId="279A890E"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1.75*</w:t>
            </w:r>
          </w:p>
        </w:tc>
      </w:tr>
      <w:tr w:rsidR="008F5536" w:rsidRPr="002B3E1D" w14:paraId="3CDC6CC1" w14:textId="77777777" w:rsidTr="008F5536">
        <w:tc>
          <w:tcPr>
            <w:tcW w:w="1289" w:type="pct"/>
            <w:noWrap/>
            <w:tcMar>
              <w:left w:w="6" w:type="dxa"/>
              <w:right w:w="6" w:type="dxa"/>
            </w:tcMar>
          </w:tcPr>
          <w:p w14:paraId="0C66E365" w14:textId="77777777" w:rsidR="008F5536" w:rsidRPr="002B3E1D" w:rsidRDefault="008F5536" w:rsidP="008F5536">
            <w:pPr>
              <w:rPr>
                <w:rFonts w:ascii="Times New Roman" w:hAnsi="Times New Roman" w:cs="Times New Roman"/>
                <w:szCs w:val="20"/>
              </w:rPr>
            </w:pPr>
            <w:r w:rsidRPr="002B3E1D">
              <w:rPr>
                <w:rFonts w:ascii="Times New Roman" w:hAnsi="Times New Roman" w:cs="Times New Roman"/>
                <w:bCs/>
                <w:szCs w:val="20"/>
              </w:rPr>
              <w:t>Use of Target's Capabilities</w:t>
            </w:r>
          </w:p>
        </w:tc>
        <w:tc>
          <w:tcPr>
            <w:tcW w:w="464" w:type="pct"/>
            <w:tcBorders>
              <w:top w:val="nil"/>
            </w:tcBorders>
            <w:tcMar>
              <w:left w:w="6" w:type="dxa"/>
              <w:right w:w="6" w:type="dxa"/>
            </w:tcMar>
            <w:vAlign w:val="bottom"/>
          </w:tcPr>
          <w:p w14:paraId="622E5ED9" w14:textId="77777777" w:rsidR="008F5536" w:rsidRPr="002B3E1D" w:rsidRDefault="008F5536" w:rsidP="008F5536">
            <w:pPr>
              <w:tabs>
                <w:tab w:val="decimal" w:pos="340"/>
              </w:tabs>
              <w:rPr>
                <w:rFonts w:ascii="Times New Roman" w:hAnsi="Times New Roman" w:cs="Times New Roman"/>
                <w:szCs w:val="20"/>
              </w:rPr>
            </w:pPr>
          </w:p>
        </w:tc>
        <w:tc>
          <w:tcPr>
            <w:tcW w:w="464" w:type="pct"/>
            <w:tcBorders>
              <w:top w:val="nil"/>
              <w:right w:val="single" w:sz="2" w:space="0" w:color="auto"/>
            </w:tcBorders>
            <w:tcMar>
              <w:left w:w="6" w:type="dxa"/>
              <w:right w:w="6" w:type="dxa"/>
            </w:tcMar>
            <w:vAlign w:val="bottom"/>
          </w:tcPr>
          <w:p w14:paraId="27F99DC6"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2E2680D5"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-.13</w:t>
            </w:r>
          </w:p>
        </w:tc>
        <w:tc>
          <w:tcPr>
            <w:tcW w:w="464" w:type="pct"/>
            <w:tcBorders>
              <w:right w:val="single" w:sz="2" w:space="0" w:color="auto"/>
            </w:tcBorders>
            <w:noWrap/>
            <w:tcMar>
              <w:left w:w="6" w:type="dxa"/>
              <w:right w:w="6" w:type="dxa"/>
            </w:tcMar>
            <w:vAlign w:val="bottom"/>
          </w:tcPr>
          <w:p w14:paraId="1629454C"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-1.41</w:t>
            </w:r>
          </w:p>
        </w:tc>
        <w:tc>
          <w:tcPr>
            <w:tcW w:w="464" w:type="pct"/>
            <w:tcBorders>
              <w:left w:val="single" w:sz="2" w:space="0" w:color="auto"/>
            </w:tcBorders>
            <w:noWrap/>
            <w:tcMar>
              <w:left w:w="6" w:type="dxa"/>
              <w:right w:w="6" w:type="dxa"/>
            </w:tcMar>
            <w:vAlign w:val="bottom"/>
          </w:tcPr>
          <w:p w14:paraId="485426E3"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-.10</w:t>
            </w:r>
          </w:p>
        </w:tc>
        <w:tc>
          <w:tcPr>
            <w:tcW w:w="464" w:type="pct"/>
            <w:tcBorders>
              <w:right w:val="single" w:sz="2" w:space="0" w:color="auto"/>
            </w:tcBorders>
            <w:noWrap/>
            <w:tcMar>
              <w:left w:w="6" w:type="dxa"/>
              <w:right w:w="6" w:type="dxa"/>
            </w:tcMar>
            <w:vAlign w:val="bottom"/>
          </w:tcPr>
          <w:p w14:paraId="5F64A7BB"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-1.13</w:t>
            </w:r>
          </w:p>
        </w:tc>
        <w:tc>
          <w:tcPr>
            <w:tcW w:w="464" w:type="pct"/>
            <w:tcBorders>
              <w:left w:val="single" w:sz="2" w:space="0" w:color="auto"/>
            </w:tcBorders>
            <w:noWrap/>
            <w:tcMar>
              <w:left w:w="6" w:type="dxa"/>
              <w:right w:w="6" w:type="dxa"/>
            </w:tcMar>
            <w:vAlign w:val="bottom"/>
          </w:tcPr>
          <w:p w14:paraId="3383A5E6"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-.16</w:t>
            </w:r>
          </w:p>
        </w:tc>
        <w:tc>
          <w:tcPr>
            <w:tcW w:w="463" w:type="pct"/>
            <w:noWrap/>
            <w:tcMar>
              <w:left w:w="6" w:type="dxa"/>
              <w:right w:w="6" w:type="dxa"/>
            </w:tcMar>
            <w:vAlign w:val="bottom"/>
          </w:tcPr>
          <w:p w14:paraId="5C8030C9"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-1.76*</w:t>
            </w:r>
          </w:p>
        </w:tc>
      </w:tr>
      <w:tr w:rsidR="008F5536" w:rsidRPr="002B3E1D" w14:paraId="4D74B882" w14:textId="77777777" w:rsidTr="008F5536">
        <w:tc>
          <w:tcPr>
            <w:tcW w:w="1289" w:type="pct"/>
            <w:noWrap/>
            <w:tcMar>
              <w:left w:w="6" w:type="dxa"/>
              <w:right w:w="6" w:type="dxa"/>
            </w:tcMar>
          </w:tcPr>
          <w:p w14:paraId="6F450ADE" w14:textId="77777777" w:rsidR="008F5536" w:rsidRPr="002B3E1D" w:rsidRDefault="008F5536" w:rsidP="008F5536">
            <w:pPr>
              <w:rPr>
                <w:rFonts w:ascii="Times New Roman" w:hAnsi="Times New Roman" w:cs="Times New Roman"/>
                <w:szCs w:val="20"/>
              </w:rPr>
            </w:pPr>
            <w:r w:rsidRPr="002B3E1D">
              <w:rPr>
                <w:rFonts w:ascii="Times New Roman" w:hAnsi="Times New Roman" w:cs="Times New Roman"/>
                <w:bCs/>
                <w:szCs w:val="20"/>
              </w:rPr>
              <w:t>Share Capabilities with Target</w:t>
            </w:r>
          </w:p>
        </w:tc>
        <w:tc>
          <w:tcPr>
            <w:tcW w:w="464" w:type="pct"/>
            <w:tcBorders>
              <w:top w:val="nil"/>
            </w:tcBorders>
            <w:tcMar>
              <w:left w:w="6" w:type="dxa"/>
              <w:right w:w="6" w:type="dxa"/>
            </w:tcMar>
            <w:vAlign w:val="bottom"/>
          </w:tcPr>
          <w:p w14:paraId="46BECFEC" w14:textId="77777777" w:rsidR="008F5536" w:rsidRPr="002B3E1D" w:rsidRDefault="008F5536" w:rsidP="008F5536">
            <w:pPr>
              <w:tabs>
                <w:tab w:val="decimal" w:pos="340"/>
              </w:tabs>
              <w:rPr>
                <w:rFonts w:ascii="Times New Roman" w:hAnsi="Times New Roman" w:cs="Times New Roman"/>
                <w:szCs w:val="20"/>
              </w:rPr>
            </w:pPr>
          </w:p>
        </w:tc>
        <w:tc>
          <w:tcPr>
            <w:tcW w:w="464" w:type="pct"/>
            <w:tcBorders>
              <w:top w:val="nil"/>
              <w:right w:val="single" w:sz="2" w:space="0" w:color="auto"/>
            </w:tcBorders>
            <w:tcMar>
              <w:left w:w="6" w:type="dxa"/>
              <w:right w:w="6" w:type="dxa"/>
            </w:tcMar>
            <w:vAlign w:val="bottom"/>
          </w:tcPr>
          <w:p w14:paraId="213B7285"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00A50D5F"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.42</w:t>
            </w:r>
          </w:p>
        </w:tc>
        <w:tc>
          <w:tcPr>
            <w:tcW w:w="464" w:type="pct"/>
            <w:tcBorders>
              <w:right w:val="single" w:sz="2" w:space="0" w:color="auto"/>
            </w:tcBorders>
            <w:noWrap/>
            <w:tcMar>
              <w:left w:w="6" w:type="dxa"/>
              <w:right w:w="6" w:type="dxa"/>
            </w:tcMar>
            <w:vAlign w:val="bottom"/>
          </w:tcPr>
          <w:p w14:paraId="56FE99B3"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4.70**</w:t>
            </w:r>
          </w:p>
        </w:tc>
        <w:tc>
          <w:tcPr>
            <w:tcW w:w="464" w:type="pct"/>
            <w:tcBorders>
              <w:left w:val="single" w:sz="2" w:space="0" w:color="auto"/>
            </w:tcBorders>
            <w:noWrap/>
            <w:tcMar>
              <w:left w:w="6" w:type="dxa"/>
              <w:right w:w="6" w:type="dxa"/>
            </w:tcMar>
            <w:vAlign w:val="bottom"/>
          </w:tcPr>
          <w:p w14:paraId="005B5DF8"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.29</w:t>
            </w:r>
          </w:p>
        </w:tc>
        <w:tc>
          <w:tcPr>
            <w:tcW w:w="464" w:type="pct"/>
            <w:tcBorders>
              <w:right w:val="single" w:sz="2" w:space="0" w:color="auto"/>
            </w:tcBorders>
            <w:noWrap/>
            <w:tcMar>
              <w:left w:w="6" w:type="dxa"/>
              <w:right w:w="6" w:type="dxa"/>
            </w:tcMar>
            <w:vAlign w:val="bottom"/>
          </w:tcPr>
          <w:p w14:paraId="4C30AE49"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3.05**</w:t>
            </w:r>
          </w:p>
        </w:tc>
        <w:tc>
          <w:tcPr>
            <w:tcW w:w="464" w:type="pct"/>
            <w:tcBorders>
              <w:left w:val="single" w:sz="2" w:space="0" w:color="auto"/>
            </w:tcBorders>
            <w:noWrap/>
            <w:tcMar>
              <w:left w:w="6" w:type="dxa"/>
              <w:right w:w="6" w:type="dxa"/>
            </w:tcMar>
            <w:vAlign w:val="bottom"/>
          </w:tcPr>
          <w:p w14:paraId="029B1365"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.35</w:t>
            </w:r>
          </w:p>
        </w:tc>
        <w:tc>
          <w:tcPr>
            <w:tcW w:w="463" w:type="pct"/>
            <w:noWrap/>
            <w:tcMar>
              <w:left w:w="6" w:type="dxa"/>
              <w:right w:w="6" w:type="dxa"/>
            </w:tcMar>
            <w:vAlign w:val="bottom"/>
          </w:tcPr>
          <w:p w14:paraId="1243C8A2"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3.75**</w:t>
            </w:r>
          </w:p>
        </w:tc>
      </w:tr>
      <w:tr w:rsidR="008F5536" w:rsidRPr="002B3E1D" w14:paraId="1964BB10" w14:textId="77777777" w:rsidTr="008F5536">
        <w:tc>
          <w:tcPr>
            <w:tcW w:w="1289" w:type="pct"/>
            <w:noWrap/>
            <w:tcMar>
              <w:left w:w="6" w:type="dxa"/>
              <w:right w:w="6" w:type="dxa"/>
            </w:tcMar>
          </w:tcPr>
          <w:p w14:paraId="11D732EA" w14:textId="77777777" w:rsidR="008F5536" w:rsidRPr="002B3E1D" w:rsidRDefault="008F5536" w:rsidP="008F5536">
            <w:pPr>
              <w:rPr>
                <w:rFonts w:ascii="Times New Roman" w:hAnsi="Times New Roman" w:cs="Times New Roman"/>
                <w:szCs w:val="20"/>
              </w:rPr>
            </w:pPr>
          </w:p>
        </w:tc>
        <w:tc>
          <w:tcPr>
            <w:tcW w:w="464" w:type="pct"/>
            <w:tcBorders>
              <w:top w:val="nil"/>
            </w:tcBorders>
            <w:tcMar>
              <w:left w:w="6" w:type="dxa"/>
              <w:right w:w="6" w:type="dxa"/>
            </w:tcMar>
            <w:vAlign w:val="bottom"/>
          </w:tcPr>
          <w:p w14:paraId="07C8ECC4" w14:textId="77777777" w:rsidR="008F5536" w:rsidRPr="002B3E1D" w:rsidRDefault="008F5536" w:rsidP="008F5536">
            <w:pPr>
              <w:tabs>
                <w:tab w:val="decimal" w:pos="340"/>
              </w:tabs>
              <w:rPr>
                <w:rFonts w:ascii="Times New Roman" w:hAnsi="Times New Roman" w:cs="Times New Roman"/>
                <w:szCs w:val="20"/>
              </w:rPr>
            </w:pPr>
          </w:p>
        </w:tc>
        <w:tc>
          <w:tcPr>
            <w:tcW w:w="464" w:type="pct"/>
            <w:tcBorders>
              <w:top w:val="nil"/>
              <w:right w:val="single" w:sz="2" w:space="0" w:color="auto"/>
            </w:tcBorders>
            <w:tcMar>
              <w:left w:w="6" w:type="dxa"/>
              <w:right w:w="6" w:type="dxa"/>
            </w:tcMar>
            <w:vAlign w:val="bottom"/>
          </w:tcPr>
          <w:p w14:paraId="422FBFB2"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3CD9D4C0" w14:textId="77777777" w:rsidR="008F5536" w:rsidRPr="002B3E1D" w:rsidRDefault="008F5536" w:rsidP="008F5536">
            <w:pPr>
              <w:tabs>
                <w:tab w:val="decimal" w:pos="340"/>
              </w:tabs>
              <w:rPr>
                <w:rFonts w:ascii="Times New Roman" w:hAnsi="Times New Roman" w:cs="Times New Roman"/>
                <w:szCs w:val="20"/>
              </w:rPr>
            </w:pPr>
          </w:p>
        </w:tc>
        <w:tc>
          <w:tcPr>
            <w:tcW w:w="464" w:type="pct"/>
            <w:tcBorders>
              <w:right w:val="single" w:sz="2" w:space="0" w:color="auto"/>
            </w:tcBorders>
            <w:noWrap/>
            <w:tcMar>
              <w:left w:w="6" w:type="dxa"/>
              <w:right w:w="6" w:type="dxa"/>
            </w:tcMar>
            <w:vAlign w:val="bottom"/>
          </w:tcPr>
          <w:p w14:paraId="0BC38F5D"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685F8C71" w14:textId="77777777" w:rsidR="008F5536" w:rsidRPr="002B3E1D" w:rsidRDefault="008F5536" w:rsidP="008F5536">
            <w:pPr>
              <w:tabs>
                <w:tab w:val="decimal" w:pos="340"/>
              </w:tabs>
              <w:rPr>
                <w:rFonts w:ascii="Times New Roman" w:hAnsi="Times New Roman" w:cs="Times New Roman"/>
                <w:szCs w:val="20"/>
              </w:rPr>
            </w:pPr>
          </w:p>
        </w:tc>
        <w:tc>
          <w:tcPr>
            <w:tcW w:w="464" w:type="pct"/>
            <w:tcBorders>
              <w:right w:val="single" w:sz="2" w:space="0" w:color="auto"/>
            </w:tcBorders>
            <w:noWrap/>
            <w:tcMar>
              <w:left w:w="6" w:type="dxa"/>
              <w:right w:w="6" w:type="dxa"/>
            </w:tcMar>
            <w:vAlign w:val="bottom"/>
          </w:tcPr>
          <w:p w14:paraId="349BCAF4"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57C5CECD" w14:textId="77777777" w:rsidR="008F5536" w:rsidRPr="002B3E1D" w:rsidRDefault="008F5536" w:rsidP="008F5536">
            <w:pPr>
              <w:tabs>
                <w:tab w:val="decimal" w:pos="340"/>
              </w:tabs>
              <w:rPr>
                <w:rFonts w:ascii="Times New Roman" w:hAnsi="Times New Roman" w:cs="Times New Roman"/>
                <w:szCs w:val="20"/>
              </w:rPr>
            </w:pPr>
          </w:p>
        </w:tc>
        <w:tc>
          <w:tcPr>
            <w:tcW w:w="463" w:type="pct"/>
            <w:noWrap/>
            <w:tcMar>
              <w:left w:w="6" w:type="dxa"/>
              <w:right w:w="6" w:type="dxa"/>
            </w:tcMar>
            <w:vAlign w:val="bottom"/>
          </w:tcPr>
          <w:p w14:paraId="5A9B7858" w14:textId="77777777" w:rsidR="008F5536" w:rsidRPr="002B3E1D" w:rsidRDefault="008F5536" w:rsidP="008F5536">
            <w:pPr>
              <w:tabs>
                <w:tab w:val="decimal" w:pos="340"/>
              </w:tabs>
              <w:rPr>
                <w:rFonts w:ascii="Times New Roman" w:hAnsi="Times New Roman" w:cs="Times New Roman"/>
                <w:szCs w:val="20"/>
              </w:rPr>
            </w:pPr>
          </w:p>
        </w:tc>
      </w:tr>
      <w:tr w:rsidR="008F5536" w:rsidRPr="002B3E1D" w14:paraId="14AC2147" w14:textId="77777777" w:rsidTr="008F5536">
        <w:tc>
          <w:tcPr>
            <w:tcW w:w="1289" w:type="pct"/>
            <w:noWrap/>
            <w:tcMar>
              <w:left w:w="6" w:type="dxa"/>
              <w:right w:w="6" w:type="dxa"/>
            </w:tcMar>
          </w:tcPr>
          <w:p w14:paraId="4869084A" w14:textId="77777777" w:rsidR="008F5536" w:rsidRPr="002B3E1D" w:rsidRDefault="008F5536" w:rsidP="008F5536">
            <w:pPr>
              <w:rPr>
                <w:rFonts w:ascii="Times New Roman" w:hAnsi="Times New Roman" w:cs="Times New Roman"/>
                <w:szCs w:val="20"/>
              </w:rPr>
            </w:pPr>
            <w:r w:rsidRPr="002B3E1D">
              <w:rPr>
                <w:rFonts w:ascii="Times New Roman" w:hAnsi="Times New Roman" w:cs="Times New Roman"/>
                <w:b/>
                <w:szCs w:val="20"/>
              </w:rPr>
              <w:t>Interaction Variable (Multiplicative)</w:t>
            </w:r>
          </w:p>
        </w:tc>
        <w:tc>
          <w:tcPr>
            <w:tcW w:w="464" w:type="pct"/>
            <w:tcBorders>
              <w:top w:val="nil"/>
            </w:tcBorders>
            <w:tcMar>
              <w:left w:w="6" w:type="dxa"/>
              <w:right w:w="6" w:type="dxa"/>
            </w:tcMar>
            <w:vAlign w:val="bottom"/>
          </w:tcPr>
          <w:p w14:paraId="006FD08F" w14:textId="77777777" w:rsidR="008F5536" w:rsidRPr="002B3E1D" w:rsidRDefault="008F5536" w:rsidP="008F5536">
            <w:pPr>
              <w:tabs>
                <w:tab w:val="decimal" w:pos="340"/>
              </w:tabs>
              <w:rPr>
                <w:rFonts w:ascii="Times New Roman" w:hAnsi="Times New Roman" w:cs="Times New Roman"/>
                <w:szCs w:val="20"/>
              </w:rPr>
            </w:pPr>
          </w:p>
        </w:tc>
        <w:tc>
          <w:tcPr>
            <w:tcW w:w="464" w:type="pct"/>
            <w:tcBorders>
              <w:top w:val="nil"/>
              <w:right w:val="single" w:sz="2" w:space="0" w:color="auto"/>
            </w:tcBorders>
            <w:tcMar>
              <w:left w:w="6" w:type="dxa"/>
              <w:right w:w="6" w:type="dxa"/>
            </w:tcMar>
            <w:vAlign w:val="bottom"/>
          </w:tcPr>
          <w:p w14:paraId="5CA0B0F9"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1BB2350D" w14:textId="77777777" w:rsidR="008F5536" w:rsidRPr="002B3E1D" w:rsidRDefault="008F5536" w:rsidP="008F5536">
            <w:pPr>
              <w:tabs>
                <w:tab w:val="decimal" w:pos="340"/>
              </w:tabs>
              <w:rPr>
                <w:rFonts w:ascii="Times New Roman" w:hAnsi="Times New Roman" w:cs="Times New Roman"/>
                <w:szCs w:val="20"/>
              </w:rPr>
            </w:pPr>
          </w:p>
        </w:tc>
        <w:tc>
          <w:tcPr>
            <w:tcW w:w="464" w:type="pct"/>
            <w:tcBorders>
              <w:right w:val="single" w:sz="2" w:space="0" w:color="auto"/>
            </w:tcBorders>
            <w:noWrap/>
            <w:tcMar>
              <w:left w:w="6" w:type="dxa"/>
              <w:right w:w="6" w:type="dxa"/>
            </w:tcMar>
            <w:vAlign w:val="bottom"/>
          </w:tcPr>
          <w:p w14:paraId="1EA9E494"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76B2C5B9" w14:textId="77777777" w:rsidR="008F5536" w:rsidRPr="002B3E1D" w:rsidRDefault="008F5536" w:rsidP="008F5536">
            <w:pPr>
              <w:tabs>
                <w:tab w:val="decimal" w:pos="340"/>
              </w:tabs>
              <w:rPr>
                <w:rFonts w:ascii="Times New Roman" w:hAnsi="Times New Roman" w:cs="Times New Roman"/>
                <w:szCs w:val="20"/>
              </w:rPr>
            </w:pPr>
          </w:p>
        </w:tc>
        <w:tc>
          <w:tcPr>
            <w:tcW w:w="464" w:type="pct"/>
            <w:tcBorders>
              <w:right w:val="single" w:sz="2" w:space="0" w:color="auto"/>
            </w:tcBorders>
            <w:noWrap/>
            <w:tcMar>
              <w:left w:w="6" w:type="dxa"/>
              <w:right w:w="6" w:type="dxa"/>
            </w:tcMar>
            <w:vAlign w:val="bottom"/>
          </w:tcPr>
          <w:p w14:paraId="435840BE"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2BB8A0A7" w14:textId="77777777" w:rsidR="008F5536" w:rsidRPr="002B3E1D" w:rsidRDefault="008F5536" w:rsidP="008F5536">
            <w:pPr>
              <w:tabs>
                <w:tab w:val="decimal" w:pos="340"/>
              </w:tabs>
              <w:rPr>
                <w:rFonts w:ascii="Times New Roman" w:hAnsi="Times New Roman" w:cs="Times New Roman"/>
                <w:szCs w:val="20"/>
              </w:rPr>
            </w:pPr>
          </w:p>
        </w:tc>
        <w:tc>
          <w:tcPr>
            <w:tcW w:w="463" w:type="pct"/>
            <w:noWrap/>
            <w:tcMar>
              <w:left w:w="6" w:type="dxa"/>
              <w:right w:w="6" w:type="dxa"/>
            </w:tcMar>
            <w:vAlign w:val="bottom"/>
          </w:tcPr>
          <w:p w14:paraId="64F7E229" w14:textId="77777777" w:rsidR="008F5536" w:rsidRPr="002B3E1D" w:rsidRDefault="008F5536" w:rsidP="008F5536">
            <w:pPr>
              <w:tabs>
                <w:tab w:val="decimal" w:pos="340"/>
              </w:tabs>
              <w:rPr>
                <w:rFonts w:ascii="Times New Roman" w:hAnsi="Times New Roman" w:cs="Times New Roman"/>
                <w:szCs w:val="20"/>
              </w:rPr>
            </w:pPr>
          </w:p>
        </w:tc>
      </w:tr>
      <w:tr w:rsidR="008F5536" w:rsidRPr="002B3E1D" w14:paraId="17BE5A6E" w14:textId="77777777" w:rsidTr="008F5536">
        <w:tc>
          <w:tcPr>
            <w:tcW w:w="1289" w:type="pct"/>
            <w:noWrap/>
            <w:tcMar>
              <w:left w:w="6" w:type="dxa"/>
              <w:right w:w="6" w:type="dxa"/>
            </w:tcMar>
          </w:tcPr>
          <w:p w14:paraId="2A85673A" w14:textId="77777777" w:rsidR="008F5536" w:rsidRPr="002B3E1D" w:rsidRDefault="008F5536" w:rsidP="008F5536">
            <w:pPr>
              <w:rPr>
                <w:rFonts w:ascii="Times New Roman" w:hAnsi="Times New Roman" w:cs="Times New Roman"/>
                <w:szCs w:val="20"/>
              </w:rPr>
            </w:pPr>
            <w:r w:rsidRPr="002B3E1D">
              <w:rPr>
                <w:rFonts w:ascii="Times New Roman" w:hAnsi="Times New Roman" w:cs="Times New Roman"/>
                <w:szCs w:val="20"/>
              </w:rPr>
              <w:t>Corporate Entrepreneurship</w:t>
            </w:r>
          </w:p>
        </w:tc>
        <w:tc>
          <w:tcPr>
            <w:tcW w:w="464" w:type="pct"/>
            <w:tcBorders>
              <w:top w:val="nil"/>
            </w:tcBorders>
            <w:tcMar>
              <w:left w:w="6" w:type="dxa"/>
              <w:right w:w="6" w:type="dxa"/>
            </w:tcMar>
            <w:vAlign w:val="bottom"/>
          </w:tcPr>
          <w:p w14:paraId="5AD5EC04" w14:textId="77777777" w:rsidR="008F5536" w:rsidRPr="002B3E1D" w:rsidRDefault="008F5536" w:rsidP="008F5536">
            <w:pPr>
              <w:tabs>
                <w:tab w:val="decimal" w:pos="340"/>
              </w:tabs>
              <w:rPr>
                <w:rFonts w:ascii="Times New Roman" w:hAnsi="Times New Roman" w:cs="Times New Roman"/>
                <w:szCs w:val="20"/>
              </w:rPr>
            </w:pPr>
          </w:p>
        </w:tc>
        <w:tc>
          <w:tcPr>
            <w:tcW w:w="464" w:type="pct"/>
            <w:tcBorders>
              <w:top w:val="nil"/>
              <w:right w:val="single" w:sz="2" w:space="0" w:color="auto"/>
            </w:tcBorders>
            <w:tcMar>
              <w:left w:w="6" w:type="dxa"/>
              <w:right w:w="6" w:type="dxa"/>
            </w:tcMar>
            <w:vAlign w:val="bottom"/>
          </w:tcPr>
          <w:p w14:paraId="5BCC4E63"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47E80C3F" w14:textId="77777777" w:rsidR="008F5536" w:rsidRPr="002B3E1D" w:rsidRDefault="008F5536" w:rsidP="008F5536">
            <w:pPr>
              <w:tabs>
                <w:tab w:val="decimal" w:pos="340"/>
              </w:tabs>
              <w:rPr>
                <w:rFonts w:ascii="Times New Roman" w:hAnsi="Times New Roman" w:cs="Times New Roman"/>
                <w:szCs w:val="20"/>
              </w:rPr>
            </w:pPr>
          </w:p>
        </w:tc>
        <w:tc>
          <w:tcPr>
            <w:tcW w:w="464" w:type="pct"/>
            <w:tcBorders>
              <w:right w:val="single" w:sz="2" w:space="0" w:color="auto"/>
            </w:tcBorders>
            <w:noWrap/>
            <w:tcMar>
              <w:left w:w="6" w:type="dxa"/>
              <w:right w:w="6" w:type="dxa"/>
            </w:tcMar>
            <w:vAlign w:val="bottom"/>
          </w:tcPr>
          <w:p w14:paraId="2C2AB663"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7DA3C436"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.35</w:t>
            </w:r>
          </w:p>
        </w:tc>
        <w:tc>
          <w:tcPr>
            <w:tcW w:w="464" w:type="pct"/>
            <w:tcBorders>
              <w:right w:val="single" w:sz="2" w:space="0" w:color="auto"/>
            </w:tcBorders>
            <w:noWrap/>
            <w:tcMar>
              <w:left w:w="6" w:type="dxa"/>
              <w:right w:w="6" w:type="dxa"/>
            </w:tcMar>
            <w:vAlign w:val="bottom"/>
          </w:tcPr>
          <w:p w14:paraId="0EAB3A11"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3.86**</w:t>
            </w:r>
          </w:p>
        </w:tc>
        <w:tc>
          <w:tcPr>
            <w:tcW w:w="464" w:type="pct"/>
            <w:tcBorders>
              <w:left w:val="single" w:sz="2" w:space="0" w:color="auto"/>
            </w:tcBorders>
            <w:noWrap/>
            <w:tcMar>
              <w:left w:w="6" w:type="dxa"/>
              <w:right w:w="6" w:type="dxa"/>
            </w:tcMar>
            <w:vAlign w:val="bottom"/>
          </w:tcPr>
          <w:p w14:paraId="59DF47C2"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.30</w:t>
            </w:r>
          </w:p>
        </w:tc>
        <w:tc>
          <w:tcPr>
            <w:tcW w:w="463" w:type="pct"/>
            <w:noWrap/>
            <w:tcMar>
              <w:left w:w="6" w:type="dxa"/>
              <w:right w:w="6" w:type="dxa"/>
            </w:tcMar>
            <w:vAlign w:val="bottom"/>
          </w:tcPr>
          <w:p w14:paraId="65D0D669"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3.32**</w:t>
            </w:r>
          </w:p>
        </w:tc>
      </w:tr>
      <w:tr w:rsidR="008F5536" w:rsidRPr="002B3E1D" w14:paraId="338F161C" w14:textId="77777777" w:rsidTr="008F5536">
        <w:tc>
          <w:tcPr>
            <w:tcW w:w="1289" w:type="pct"/>
            <w:noWrap/>
            <w:tcMar>
              <w:left w:w="6" w:type="dxa"/>
              <w:right w:w="6" w:type="dxa"/>
            </w:tcMar>
          </w:tcPr>
          <w:p w14:paraId="7C9FF118" w14:textId="77777777" w:rsidR="008F5536" w:rsidRPr="002B3E1D" w:rsidRDefault="008F5536" w:rsidP="008F5536">
            <w:pPr>
              <w:rPr>
                <w:rFonts w:ascii="Times New Roman" w:hAnsi="Times New Roman" w:cs="Times New Roman"/>
                <w:szCs w:val="20"/>
              </w:rPr>
            </w:pPr>
            <w:r w:rsidRPr="002B3E1D">
              <w:rPr>
                <w:rFonts w:ascii="Times New Roman" w:hAnsi="Times New Roman" w:cs="Times New Roman"/>
                <w:szCs w:val="20"/>
              </w:rPr>
              <w:t>Integration</w:t>
            </w:r>
          </w:p>
        </w:tc>
        <w:tc>
          <w:tcPr>
            <w:tcW w:w="464" w:type="pct"/>
            <w:tcBorders>
              <w:top w:val="nil"/>
            </w:tcBorders>
            <w:tcMar>
              <w:left w:w="6" w:type="dxa"/>
              <w:right w:w="6" w:type="dxa"/>
            </w:tcMar>
            <w:vAlign w:val="bottom"/>
          </w:tcPr>
          <w:p w14:paraId="1EF11C55" w14:textId="77777777" w:rsidR="008F5536" w:rsidRPr="002B3E1D" w:rsidRDefault="008F5536" w:rsidP="008F5536">
            <w:pPr>
              <w:tabs>
                <w:tab w:val="decimal" w:pos="340"/>
              </w:tabs>
              <w:rPr>
                <w:rFonts w:ascii="Times New Roman" w:hAnsi="Times New Roman" w:cs="Times New Roman"/>
                <w:szCs w:val="20"/>
              </w:rPr>
            </w:pPr>
          </w:p>
        </w:tc>
        <w:tc>
          <w:tcPr>
            <w:tcW w:w="464" w:type="pct"/>
            <w:tcBorders>
              <w:top w:val="nil"/>
              <w:right w:val="single" w:sz="2" w:space="0" w:color="auto"/>
            </w:tcBorders>
            <w:tcMar>
              <w:left w:w="6" w:type="dxa"/>
              <w:right w:w="6" w:type="dxa"/>
            </w:tcMar>
            <w:vAlign w:val="bottom"/>
          </w:tcPr>
          <w:p w14:paraId="22D8B109"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6E0C7D09" w14:textId="77777777" w:rsidR="008F5536" w:rsidRPr="002B3E1D" w:rsidRDefault="008F5536" w:rsidP="008F5536">
            <w:pPr>
              <w:tabs>
                <w:tab w:val="decimal" w:pos="340"/>
              </w:tabs>
              <w:rPr>
                <w:rFonts w:ascii="Times New Roman" w:hAnsi="Times New Roman" w:cs="Times New Roman"/>
                <w:szCs w:val="20"/>
              </w:rPr>
            </w:pPr>
          </w:p>
        </w:tc>
        <w:tc>
          <w:tcPr>
            <w:tcW w:w="464" w:type="pct"/>
            <w:tcBorders>
              <w:right w:val="single" w:sz="2" w:space="0" w:color="auto"/>
            </w:tcBorders>
            <w:noWrap/>
            <w:tcMar>
              <w:left w:w="6" w:type="dxa"/>
              <w:right w:w="6" w:type="dxa"/>
            </w:tcMar>
            <w:vAlign w:val="bottom"/>
          </w:tcPr>
          <w:p w14:paraId="7025A925"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6FD6D96A"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-.02</w:t>
            </w:r>
          </w:p>
        </w:tc>
        <w:tc>
          <w:tcPr>
            <w:tcW w:w="464" w:type="pct"/>
            <w:tcBorders>
              <w:right w:val="single" w:sz="2" w:space="0" w:color="auto"/>
            </w:tcBorders>
            <w:noWrap/>
            <w:tcMar>
              <w:left w:w="6" w:type="dxa"/>
              <w:right w:w="6" w:type="dxa"/>
            </w:tcMar>
            <w:vAlign w:val="bottom"/>
          </w:tcPr>
          <w:p w14:paraId="205FA3C8"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-.25</w:t>
            </w:r>
          </w:p>
        </w:tc>
        <w:tc>
          <w:tcPr>
            <w:tcW w:w="464" w:type="pct"/>
            <w:tcBorders>
              <w:left w:val="single" w:sz="2" w:space="0" w:color="auto"/>
            </w:tcBorders>
            <w:noWrap/>
            <w:tcMar>
              <w:left w:w="6" w:type="dxa"/>
              <w:right w:w="6" w:type="dxa"/>
            </w:tcMar>
            <w:vAlign w:val="bottom"/>
          </w:tcPr>
          <w:p w14:paraId="101AF545"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.04</w:t>
            </w:r>
          </w:p>
        </w:tc>
        <w:tc>
          <w:tcPr>
            <w:tcW w:w="463" w:type="pct"/>
            <w:noWrap/>
            <w:tcMar>
              <w:left w:w="6" w:type="dxa"/>
              <w:right w:w="6" w:type="dxa"/>
            </w:tcMar>
            <w:vAlign w:val="bottom"/>
          </w:tcPr>
          <w:p w14:paraId="754001B9"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.37</w:t>
            </w:r>
          </w:p>
        </w:tc>
      </w:tr>
      <w:tr w:rsidR="008F5536" w:rsidRPr="002B3E1D" w14:paraId="016F9C10" w14:textId="77777777" w:rsidTr="008F5536">
        <w:tc>
          <w:tcPr>
            <w:tcW w:w="1289" w:type="pct"/>
            <w:noWrap/>
            <w:tcMar>
              <w:left w:w="6" w:type="dxa"/>
              <w:right w:w="6" w:type="dxa"/>
            </w:tcMar>
          </w:tcPr>
          <w:p w14:paraId="13500C69" w14:textId="77777777" w:rsidR="008F5536" w:rsidRPr="002B3E1D" w:rsidRDefault="008F5536" w:rsidP="008F5536">
            <w:pPr>
              <w:rPr>
                <w:rFonts w:ascii="Times New Roman" w:hAnsi="Times New Roman" w:cs="Times New Roman"/>
                <w:szCs w:val="20"/>
              </w:rPr>
            </w:pPr>
          </w:p>
        </w:tc>
        <w:tc>
          <w:tcPr>
            <w:tcW w:w="464" w:type="pct"/>
            <w:tcBorders>
              <w:top w:val="nil"/>
            </w:tcBorders>
            <w:tcMar>
              <w:left w:w="6" w:type="dxa"/>
              <w:right w:w="6" w:type="dxa"/>
            </w:tcMar>
            <w:vAlign w:val="bottom"/>
          </w:tcPr>
          <w:p w14:paraId="00F8E2A1" w14:textId="77777777" w:rsidR="008F5536" w:rsidRPr="002B3E1D" w:rsidRDefault="008F5536" w:rsidP="008F5536">
            <w:pPr>
              <w:tabs>
                <w:tab w:val="decimal" w:pos="340"/>
              </w:tabs>
              <w:rPr>
                <w:rFonts w:ascii="Times New Roman" w:hAnsi="Times New Roman" w:cs="Times New Roman"/>
                <w:szCs w:val="20"/>
              </w:rPr>
            </w:pPr>
          </w:p>
        </w:tc>
        <w:tc>
          <w:tcPr>
            <w:tcW w:w="464" w:type="pct"/>
            <w:tcBorders>
              <w:top w:val="nil"/>
              <w:right w:val="single" w:sz="2" w:space="0" w:color="auto"/>
            </w:tcBorders>
            <w:tcMar>
              <w:left w:w="6" w:type="dxa"/>
              <w:right w:w="6" w:type="dxa"/>
            </w:tcMar>
            <w:vAlign w:val="bottom"/>
          </w:tcPr>
          <w:p w14:paraId="671ADCBA"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0C92CC27" w14:textId="77777777" w:rsidR="008F5536" w:rsidRPr="002B3E1D" w:rsidRDefault="008F5536" w:rsidP="008F5536">
            <w:pPr>
              <w:tabs>
                <w:tab w:val="decimal" w:pos="340"/>
              </w:tabs>
              <w:rPr>
                <w:rFonts w:ascii="Times New Roman" w:hAnsi="Times New Roman" w:cs="Times New Roman"/>
                <w:szCs w:val="20"/>
              </w:rPr>
            </w:pPr>
          </w:p>
        </w:tc>
        <w:tc>
          <w:tcPr>
            <w:tcW w:w="464" w:type="pct"/>
            <w:tcBorders>
              <w:right w:val="single" w:sz="2" w:space="0" w:color="auto"/>
            </w:tcBorders>
            <w:noWrap/>
            <w:tcMar>
              <w:left w:w="6" w:type="dxa"/>
              <w:right w:w="6" w:type="dxa"/>
            </w:tcMar>
            <w:vAlign w:val="bottom"/>
          </w:tcPr>
          <w:p w14:paraId="76AEA76A"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25599701" w14:textId="77777777" w:rsidR="008F5536" w:rsidRPr="002B3E1D" w:rsidRDefault="008F5536" w:rsidP="008F5536">
            <w:pPr>
              <w:tabs>
                <w:tab w:val="decimal" w:pos="340"/>
              </w:tabs>
              <w:rPr>
                <w:rFonts w:ascii="Times New Roman" w:hAnsi="Times New Roman" w:cs="Times New Roman"/>
                <w:szCs w:val="20"/>
              </w:rPr>
            </w:pPr>
          </w:p>
        </w:tc>
        <w:tc>
          <w:tcPr>
            <w:tcW w:w="464" w:type="pct"/>
            <w:tcBorders>
              <w:right w:val="single" w:sz="2" w:space="0" w:color="auto"/>
            </w:tcBorders>
            <w:noWrap/>
            <w:tcMar>
              <w:left w:w="6" w:type="dxa"/>
              <w:right w:w="6" w:type="dxa"/>
            </w:tcMar>
            <w:vAlign w:val="bottom"/>
          </w:tcPr>
          <w:p w14:paraId="7902C0D3"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79AC5915" w14:textId="77777777" w:rsidR="008F5536" w:rsidRPr="002B3E1D" w:rsidRDefault="008F5536" w:rsidP="008F5536">
            <w:pPr>
              <w:tabs>
                <w:tab w:val="decimal" w:pos="340"/>
              </w:tabs>
              <w:rPr>
                <w:rFonts w:ascii="Times New Roman" w:hAnsi="Times New Roman" w:cs="Times New Roman"/>
                <w:szCs w:val="20"/>
              </w:rPr>
            </w:pPr>
          </w:p>
        </w:tc>
        <w:tc>
          <w:tcPr>
            <w:tcW w:w="463" w:type="pct"/>
            <w:noWrap/>
            <w:tcMar>
              <w:left w:w="6" w:type="dxa"/>
              <w:right w:w="6" w:type="dxa"/>
            </w:tcMar>
            <w:vAlign w:val="bottom"/>
          </w:tcPr>
          <w:p w14:paraId="63E27356" w14:textId="77777777" w:rsidR="008F5536" w:rsidRPr="002B3E1D" w:rsidRDefault="008F5536" w:rsidP="008F5536">
            <w:pPr>
              <w:tabs>
                <w:tab w:val="decimal" w:pos="340"/>
              </w:tabs>
              <w:rPr>
                <w:rFonts w:ascii="Times New Roman" w:hAnsi="Times New Roman" w:cs="Times New Roman"/>
                <w:szCs w:val="20"/>
              </w:rPr>
            </w:pPr>
          </w:p>
        </w:tc>
      </w:tr>
      <w:tr w:rsidR="008F5536" w:rsidRPr="002B3E1D" w14:paraId="728813FD" w14:textId="77777777" w:rsidTr="008F5536">
        <w:tc>
          <w:tcPr>
            <w:tcW w:w="1289" w:type="pct"/>
            <w:noWrap/>
            <w:tcMar>
              <w:left w:w="6" w:type="dxa"/>
              <w:right w:w="6" w:type="dxa"/>
            </w:tcMar>
          </w:tcPr>
          <w:p w14:paraId="31C2C1EB" w14:textId="77777777" w:rsidR="008F5536" w:rsidRPr="002B3E1D" w:rsidRDefault="008F5536" w:rsidP="008F5536">
            <w:pPr>
              <w:rPr>
                <w:rFonts w:ascii="Times New Roman" w:hAnsi="Times New Roman" w:cs="Times New Roman"/>
                <w:b/>
                <w:szCs w:val="20"/>
              </w:rPr>
            </w:pPr>
            <w:r w:rsidRPr="002B3E1D">
              <w:rPr>
                <w:rFonts w:ascii="Times New Roman" w:hAnsi="Times New Roman" w:cs="Times New Roman"/>
                <w:b/>
                <w:szCs w:val="20"/>
              </w:rPr>
              <w:t>Interaction Effects (Corporate Entrepreneurship)</w:t>
            </w:r>
          </w:p>
        </w:tc>
        <w:tc>
          <w:tcPr>
            <w:tcW w:w="464" w:type="pct"/>
            <w:tcBorders>
              <w:top w:val="nil"/>
            </w:tcBorders>
            <w:tcMar>
              <w:left w:w="6" w:type="dxa"/>
              <w:right w:w="6" w:type="dxa"/>
            </w:tcMar>
            <w:vAlign w:val="bottom"/>
          </w:tcPr>
          <w:p w14:paraId="17961F61" w14:textId="77777777" w:rsidR="008F5536" w:rsidRPr="002B3E1D" w:rsidRDefault="008F5536" w:rsidP="008F5536">
            <w:pPr>
              <w:tabs>
                <w:tab w:val="decimal" w:pos="340"/>
              </w:tabs>
              <w:rPr>
                <w:rFonts w:ascii="Times New Roman" w:hAnsi="Times New Roman" w:cs="Times New Roman"/>
                <w:szCs w:val="20"/>
              </w:rPr>
            </w:pPr>
          </w:p>
        </w:tc>
        <w:tc>
          <w:tcPr>
            <w:tcW w:w="464" w:type="pct"/>
            <w:tcBorders>
              <w:top w:val="nil"/>
              <w:right w:val="single" w:sz="2" w:space="0" w:color="auto"/>
            </w:tcBorders>
            <w:tcMar>
              <w:left w:w="6" w:type="dxa"/>
              <w:right w:w="6" w:type="dxa"/>
            </w:tcMar>
            <w:vAlign w:val="bottom"/>
          </w:tcPr>
          <w:p w14:paraId="753E8465"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7A6A0911" w14:textId="77777777" w:rsidR="008F5536" w:rsidRPr="002B3E1D" w:rsidRDefault="008F5536" w:rsidP="008F5536">
            <w:pPr>
              <w:tabs>
                <w:tab w:val="decimal" w:pos="340"/>
              </w:tabs>
              <w:rPr>
                <w:rFonts w:ascii="Times New Roman" w:hAnsi="Times New Roman" w:cs="Times New Roman"/>
                <w:szCs w:val="20"/>
              </w:rPr>
            </w:pPr>
          </w:p>
        </w:tc>
        <w:tc>
          <w:tcPr>
            <w:tcW w:w="464" w:type="pct"/>
            <w:tcBorders>
              <w:right w:val="single" w:sz="2" w:space="0" w:color="auto"/>
            </w:tcBorders>
            <w:noWrap/>
            <w:tcMar>
              <w:left w:w="6" w:type="dxa"/>
              <w:right w:w="6" w:type="dxa"/>
            </w:tcMar>
            <w:vAlign w:val="bottom"/>
          </w:tcPr>
          <w:p w14:paraId="50EAC8D6"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5A2796BA" w14:textId="77777777" w:rsidR="008F5536" w:rsidRPr="002B3E1D" w:rsidRDefault="008F5536" w:rsidP="008F5536">
            <w:pPr>
              <w:tabs>
                <w:tab w:val="decimal" w:pos="340"/>
              </w:tabs>
              <w:rPr>
                <w:rFonts w:ascii="Times New Roman" w:hAnsi="Times New Roman" w:cs="Times New Roman"/>
                <w:szCs w:val="20"/>
              </w:rPr>
            </w:pPr>
          </w:p>
        </w:tc>
        <w:tc>
          <w:tcPr>
            <w:tcW w:w="464" w:type="pct"/>
            <w:tcBorders>
              <w:right w:val="single" w:sz="2" w:space="0" w:color="auto"/>
            </w:tcBorders>
            <w:noWrap/>
            <w:tcMar>
              <w:left w:w="6" w:type="dxa"/>
              <w:right w:w="6" w:type="dxa"/>
            </w:tcMar>
            <w:vAlign w:val="bottom"/>
          </w:tcPr>
          <w:p w14:paraId="3BCE475F"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7394CD44" w14:textId="77777777" w:rsidR="008F5536" w:rsidRPr="002B3E1D" w:rsidRDefault="008F5536" w:rsidP="008F5536">
            <w:pPr>
              <w:tabs>
                <w:tab w:val="decimal" w:pos="340"/>
              </w:tabs>
              <w:rPr>
                <w:rFonts w:ascii="Times New Roman" w:hAnsi="Times New Roman" w:cs="Times New Roman"/>
                <w:szCs w:val="20"/>
              </w:rPr>
            </w:pPr>
          </w:p>
        </w:tc>
        <w:tc>
          <w:tcPr>
            <w:tcW w:w="463" w:type="pct"/>
            <w:noWrap/>
            <w:tcMar>
              <w:left w:w="6" w:type="dxa"/>
              <w:right w:w="6" w:type="dxa"/>
            </w:tcMar>
            <w:vAlign w:val="bottom"/>
          </w:tcPr>
          <w:p w14:paraId="2E93AE07" w14:textId="77777777" w:rsidR="008F5536" w:rsidRPr="002B3E1D" w:rsidRDefault="008F5536" w:rsidP="008F5536">
            <w:pPr>
              <w:tabs>
                <w:tab w:val="decimal" w:pos="340"/>
              </w:tabs>
              <w:rPr>
                <w:rFonts w:ascii="Times New Roman" w:hAnsi="Times New Roman" w:cs="Times New Roman"/>
                <w:szCs w:val="20"/>
              </w:rPr>
            </w:pPr>
          </w:p>
        </w:tc>
      </w:tr>
      <w:tr w:rsidR="008F5536" w:rsidRPr="002B3E1D" w14:paraId="32877CBD" w14:textId="77777777" w:rsidTr="008F5536">
        <w:tc>
          <w:tcPr>
            <w:tcW w:w="1289" w:type="pct"/>
            <w:noWrap/>
            <w:tcMar>
              <w:left w:w="6" w:type="dxa"/>
              <w:right w:w="6" w:type="dxa"/>
            </w:tcMar>
          </w:tcPr>
          <w:p w14:paraId="6973BBC1" w14:textId="77777777" w:rsidR="008F5536" w:rsidRPr="002B3E1D" w:rsidRDefault="008F5536" w:rsidP="008F5536">
            <w:pPr>
              <w:rPr>
                <w:rFonts w:ascii="Times New Roman" w:hAnsi="Times New Roman" w:cs="Times New Roman"/>
                <w:szCs w:val="20"/>
              </w:rPr>
            </w:pPr>
            <w:r w:rsidRPr="002B3E1D">
              <w:rPr>
                <w:rFonts w:ascii="Times New Roman" w:hAnsi="Times New Roman" w:cs="Times New Roman"/>
                <w:bCs/>
                <w:szCs w:val="20"/>
              </w:rPr>
              <w:t>× Knowledge Sharing</w:t>
            </w:r>
          </w:p>
        </w:tc>
        <w:tc>
          <w:tcPr>
            <w:tcW w:w="464" w:type="pct"/>
            <w:tcBorders>
              <w:top w:val="nil"/>
            </w:tcBorders>
            <w:tcMar>
              <w:left w:w="6" w:type="dxa"/>
              <w:right w:w="6" w:type="dxa"/>
            </w:tcMar>
            <w:vAlign w:val="bottom"/>
          </w:tcPr>
          <w:p w14:paraId="17F6DC38" w14:textId="77777777" w:rsidR="008F5536" w:rsidRPr="002B3E1D" w:rsidRDefault="008F5536" w:rsidP="008F5536">
            <w:pPr>
              <w:tabs>
                <w:tab w:val="decimal" w:pos="340"/>
              </w:tabs>
              <w:rPr>
                <w:rFonts w:ascii="Times New Roman" w:hAnsi="Times New Roman" w:cs="Times New Roman"/>
                <w:szCs w:val="20"/>
              </w:rPr>
            </w:pPr>
          </w:p>
        </w:tc>
        <w:tc>
          <w:tcPr>
            <w:tcW w:w="464" w:type="pct"/>
            <w:tcBorders>
              <w:top w:val="nil"/>
              <w:right w:val="single" w:sz="2" w:space="0" w:color="auto"/>
            </w:tcBorders>
            <w:tcMar>
              <w:left w:w="6" w:type="dxa"/>
              <w:right w:w="6" w:type="dxa"/>
            </w:tcMar>
            <w:vAlign w:val="bottom"/>
          </w:tcPr>
          <w:p w14:paraId="746B028B"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484D8329" w14:textId="77777777" w:rsidR="008F5536" w:rsidRPr="002B3E1D" w:rsidRDefault="008F5536" w:rsidP="008F5536">
            <w:pPr>
              <w:tabs>
                <w:tab w:val="decimal" w:pos="340"/>
              </w:tabs>
              <w:rPr>
                <w:rFonts w:ascii="Times New Roman" w:hAnsi="Times New Roman" w:cs="Times New Roman"/>
                <w:szCs w:val="20"/>
              </w:rPr>
            </w:pPr>
          </w:p>
        </w:tc>
        <w:tc>
          <w:tcPr>
            <w:tcW w:w="464" w:type="pct"/>
            <w:tcBorders>
              <w:right w:val="single" w:sz="2" w:space="0" w:color="auto"/>
            </w:tcBorders>
            <w:noWrap/>
            <w:tcMar>
              <w:left w:w="6" w:type="dxa"/>
              <w:right w:w="6" w:type="dxa"/>
            </w:tcMar>
            <w:vAlign w:val="bottom"/>
          </w:tcPr>
          <w:p w14:paraId="60AD8EB0"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7D47EB1F" w14:textId="77777777" w:rsidR="008F5536" w:rsidRPr="002B3E1D" w:rsidRDefault="008F5536" w:rsidP="008F5536">
            <w:pPr>
              <w:tabs>
                <w:tab w:val="decimal" w:pos="340"/>
              </w:tabs>
              <w:rPr>
                <w:rFonts w:ascii="Times New Roman" w:hAnsi="Times New Roman" w:cs="Times New Roman"/>
                <w:szCs w:val="20"/>
              </w:rPr>
            </w:pPr>
          </w:p>
        </w:tc>
        <w:tc>
          <w:tcPr>
            <w:tcW w:w="464" w:type="pct"/>
            <w:tcBorders>
              <w:right w:val="single" w:sz="2" w:space="0" w:color="auto"/>
            </w:tcBorders>
            <w:noWrap/>
            <w:tcMar>
              <w:left w:w="6" w:type="dxa"/>
              <w:right w:w="6" w:type="dxa"/>
            </w:tcMar>
            <w:vAlign w:val="bottom"/>
          </w:tcPr>
          <w:p w14:paraId="4B1407C3"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5A7A9549"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.04</w:t>
            </w:r>
          </w:p>
        </w:tc>
        <w:tc>
          <w:tcPr>
            <w:tcW w:w="463" w:type="pct"/>
            <w:noWrap/>
            <w:tcMar>
              <w:left w:w="6" w:type="dxa"/>
              <w:right w:w="6" w:type="dxa"/>
            </w:tcMar>
            <w:vAlign w:val="bottom"/>
          </w:tcPr>
          <w:p w14:paraId="2BBDFC5E"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.35</w:t>
            </w:r>
          </w:p>
        </w:tc>
      </w:tr>
      <w:tr w:rsidR="008F5536" w:rsidRPr="002B3E1D" w14:paraId="356C16DF" w14:textId="77777777" w:rsidTr="008F5536">
        <w:tc>
          <w:tcPr>
            <w:tcW w:w="1289" w:type="pct"/>
            <w:noWrap/>
            <w:tcMar>
              <w:left w:w="6" w:type="dxa"/>
              <w:right w:w="6" w:type="dxa"/>
            </w:tcMar>
          </w:tcPr>
          <w:p w14:paraId="12C9294B" w14:textId="77777777" w:rsidR="008F5536" w:rsidRPr="002B3E1D" w:rsidRDefault="008F5536" w:rsidP="008F5536">
            <w:pPr>
              <w:rPr>
                <w:rFonts w:ascii="Times New Roman" w:hAnsi="Times New Roman" w:cs="Times New Roman"/>
                <w:szCs w:val="20"/>
              </w:rPr>
            </w:pPr>
            <w:r w:rsidRPr="002B3E1D">
              <w:rPr>
                <w:rFonts w:ascii="Times New Roman" w:hAnsi="Times New Roman" w:cs="Times New Roman"/>
                <w:bCs/>
                <w:szCs w:val="20"/>
              </w:rPr>
              <w:t>× Use of Target's Capabilities</w:t>
            </w:r>
          </w:p>
        </w:tc>
        <w:tc>
          <w:tcPr>
            <w:tcW w:w="464" w:type="pct"/>
            <w:tcBorders>
              <w:top w:val="nil"/>
            </w:tcBorders>
            <w:tcMar>
              <w:left w:w="6" w:type="dxa"/>
              <w:right w:w="6" w:type="dxa"/>
            </w:tcMar>
            <w:vAlign w:val="bottom"/>
          </w:tcPr>
          <w:p w14:paraId="4A41D26D" w14:textId="77777777" w:rsidR="008F5536" w:rsidRPr="002B3E1D" w:rsidRDefault="008F5536" w:rsidP="008F5536">
            <w:pPr>
              <w:tabs>
                <w:tab w:val="decimal" w:pos="340"/>
              </w:tabs>
              <w:rPr>
                <w:rFonts w:ascii="Times New Roman" w:hAnsi="Times New Roman" w:cs="Times New Roman"/>
                <w:szCs w:val="20"/>
              </w:rPr>
            </w:pPr>
          </w:p>
        </w:tc>
        <w:tc>
          <w:tcPr>
            <w:tcW w:w="464" w:type="pct"/>
            <w:tcBorders>
              <w:top w:val="nil"/>
              <w:right w:val="single" w:sz="2" w:space="0" w:color="auto"/>
            </w:tcBorders>
            <w:tcMar>
              <w:left w:w="6" w:type="dxa"/>
              <w:right w:w="6" w:type="dxa"/>
            </w:tcMar>
            <w:vAlign w:val="bottom"/>
          </w:tcPr>
          <w:p w14:paraId="5A327191"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5C3BBCF0" w14:textId="77777777" w:rsidR="008F5536" w:rsidRPr="002B3E1D" w:rsidRDefault="008F5536" w:rsidP="008F5536">
            <w:pPr>
              <w:tabs>
                <w:tab w:val="decimal" w:pos="340"/>
              </w:tabs>
              <w:rPr>
                <w:rFonts w:ascii="Times New Roman" w:hAnsi="Times New Roman" w:cs="Times New Roman"/>
                <w:szCs w:val="20"/>
              </w:rPr>
            </w:pPr>
          </w:p>
        </w:tc>
        <w:tc>
          <w:tcPr>
            <w:tcW w:w="464" w:type="pct"/>
            <w:tcBorders>
              <w:right w:val="single" w:sz="2" w:space="0" w:color="auto"/>
            </w:tcBorders>
            <w:noWrap/>
            <w:tcMar>
              <w:left w:w="6" w:type="dxa"/>
              <w:right w:w="6" w:type="dxa"/>
            </w:tcMar>
            <w:vAlign w:val="bottom"/>
          </w:tcPr>
          <w:p w14:paraId="7ACC274A"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050C3580" w14:textId="77777777" w:rsidR="008F5536" w:rsidRPr="002B3E1D" w:rsidRDefault="008F5536" w:rsidP="008F5536">
            <w:pPr>
              <w:tabs>
                <w:tab w:val="decimal" w:pos="340"/>
              </w:tabs>
              <w:rPr>
                <w:rFonts w:ascii="Times New Roman" w:hAnsi="Times New Roman" w:cs="Times New Roman"/>
                <w:szCs w:val="20"/>
              </w:rPr>
            </w:pPr>
          </w:p>
        </w:tc>
        <w:tc>
          <w:tcPr>
            <w:tcW w:w="464" w:type="pct"/>
            <w:tcBorders>
              <w:right w:val="single" w:sz="2" w:space="0" w:color="auto"/>
            </w:tcBorders>
            <w:noWrap/>
            <w:tcMar>
              <w:left w:w="6" w:type="dxa"/>
              <w:right w:w="6" w:type="dxa"/>
            </w:tcMar>
            <w:vAlign w:val="bottom"/>
          </w:tcPr>
          <w:p w14:paraId="406D2D77"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37761063"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-.21</w:t>
            </w:r>
          </w:p>
        </w:tc>
        <w:tc>
          <w:tcPr>
            <w:tcW w:w="463" w:type="pct"/>
            <w:noWrap/>
            <w:tcMar>
              <w:left w:w="6" w:type="dxa"/>
              <w:right w:w="6" w:type="dxa"/>
            </w:tcMar>
            <w:vAlign w:val="bottom"/>
          </w:tcPr>
          <w:p w14:paraId="475F7DDB"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-1.88*</w:t>
            </w:r>
          </w:p>
        </w:tc>
      </w:tr>
      <w:tr w:rsidR="008F5536" w:rsidRPr="002B3E1D" w14:paraId="6C97B407" w14:textId="77777777" w:rsidTr="008F5536">
        <w:tc>
          <w:tcPr>
            <w:tcW w:w="1289" w:type="pct"/>
            <w:noWrap/>
            <w:tcMar>
              <w:left w:w="6" w:type="dxa"/>
              <w:right w:w="6" w:type="dxa"/>
            </w:tcMar>
          </w:tcPr>
          <w:p w14:paraId="0EB63A76" w14:textId="77777777" w:rsidR="008F5536" w:rsidRPr="002B3E1D" w:rsidRDefault="008F5536" w:rsidP="008F5536">
            <w:pPr>
              <w:rPr>
                <w:rFonts w:ascii="Times New Roman" w:hAnsi="Times New Roman" w:cs="Times New Roman"/>
                <w:szCs w:val="20"/>
              </w:rPr>
            </w:pPr>
            <w:r w:rsidRPr="002B3E1D">
              <w:rPr>
                <w:rFonts w:ascii="Times New Roman" w:hAnsi="Times New Roman" w:cs="Times New Roman"/>
                <w:bCs/>
                <w:szCs w:val="20"/>
              </w:rPr>
              <w:t>× Share Capabilities with Target</w:t>
            </w:r>
          </w:p>
        </w:tc>
        <w:tc>
          <w:tcPr>
            <w:tcW w:w="464" w:type="pct"/>
            <w:tcBorders>
              <w:top w:val="nil"/>
            </w:tcBorders>
            <w:tcMar>
              <w:left w:w="6" w:type="dxa"/>
              <w:right w:w="6" w:type="dxa"/>
            </w:tcMar>
            <w:vAlign w:val="bottom"/>
          </w:tcPr>
          <w:p w14:paraId="7FED8559" w14:textId="77777777" w:rsidR="008F5536" w:rsidRPr="002B3E1D" w:rsidRDefault="008F5536" w:rsidP="008F5536">
            <w:pPr>
              <w:tabs>
                <w:tab w:val="decimal" w:pos="340"/>
              </w:tabs>
              <w:rPr>
                <w:rFonts w:ascii="Times New Roman" w:hAnsi="Times New Roman" w:cs="Times New Roman"/>
                <w:szCs w:val="20"/>
              </w:rPr>
            </w:pPr>
          </w:p>
        </w:tc>
        <w:tc>
          <w:tcPr>
            <w:tcW w:w="464" w:type="pct"/>
            <w:tcBorders>
              <w:top w:val="nil"/>
              <w:right w:val="single" w:sz="2" w:space="0" w:color="auto"/>
            </w:tcBorders>
            <w:tcMar>
              <w:left w:w="6" w:type="dxa"/>
              <w:right w:w="6" w:type="dxa"/>
            </w:tcMar>
            <w:vAlign w:val="bottom"/>
          </w:tcPr>
          <w:p w14:paraId="5621A848"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6441C339" w14:textId="77777777" w:rsidR="008F5536" w:rsidRPr="002B3E1D" w:rsidRDefault="008F5536" w:rsidP="008F5536">
            <w:pPr>
              <w:tabs>
                <w:tab w:val="decimal" w:pos="340"/>
              </w:tabs>
              <w:rPr>
                <w:rFonts w:ascii="Times New Roman" w:hAnsi="Times New Roman" w:cs="Times New Roman"/>
                <w:szCs w:val="20"/>
              </w:rPr>
            </w:pPr>
          </w:p>
        </w:tc>
        <w:tc>
          <w:tcPr>
            <w:tcW w:w="464" w:type="pct"/>
            <w:tcBorders>
              <w:right w:val="single" w:sz="2" w:space="0" w:color="auto"/>
            </w:tcBorders>
            <w:noWrap/>
            <w:tcMar>
              <w:left w:w="6" w:type="dxa"/>
              <w:right w:w="6" w:type="dxa"/>
            </w:tcMar>
            <w:vAlign w:val="bottom"/>
          </w:tcPr>
          <w:p w14:paraId="49EB3F38"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60E51531" w14:textId="77777777" w:rsidR="008F5536" w:rsidRPr="002B3E1D" w:rsidRDefault="008F5536" w:rsidP="008F5536">
            <w:pPr>
              <w:tabs>
                <w:tab w:val="decimal" w:pos="340"/>
              </w:tabs>
              <w:rPr>
                <w:rFonts w:ascii="Times New Roman" w:hAnsi="Times New Roman" w:cs="Times New Roman"/>
                <w:szCs w:val="20"/>
              </w:rPr>
            </w:pPr>
          </w:p>
        </w:tc>
        <w:tc>
          <w:tcPr>
            <w:tcW w:w="464" w:type="pct"/>
            <w:tcBorders>
              <w:right w:val="single" w:sz="2" w:space="0" w:color="auto"/>
            </w:tcBorders>
            <w:noWrap/>
            <w:tcMar>
              <w:left w:w="6" w:type="dxa"/>
              <w:right w:w="6" w:type="dxa"/>
            </w:tcMar>
            <w:vAlign w:val="bottom"/>
          </w:tcPr>
          <w:p w14:paraId="4F6AEE70"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544A1F45"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.18</w:t>
            </w:r>
          </w:p>
        </w:tc>
        <w:tc>
          <w:tcPr>
            <w:tcW w:w="463" w:type="pct"/>
            <w:noWrap/>
            <w:tcMar>
              <w:left w:w="6" w:type="dxa"/>
              <w:right w:w="6" w:type="dxa"/>
            </w:tcMar>
            <w:vAlign w:val="bottom"/>
          </w:tcPr>
          <w:p w14:paraId="3A9E7913"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1.86*</w:t>
            </w:r>
          </w:p>
        </w:tc>
      </w:tr>
      <w:tr w:rsidR="008F5536" w:rsidRPr="002B3E1D" w14:paraId="05121378" w14:textId="77777777" w:rsidTr="008F5536">
        <w:tc>
          <w:tcPr>
            <w:tcW w:w="1289" w:type="pct"/>
            <w:noWrap/>
            <w:tcMar>
              <w:left w:w="6" w:type="dxa"/>
              <w:right w:w="6" w:type="dxa"/>
            </w:tcMar>
          </w:tcPr>
          <w:p w14:paraId="12E2607D" w14:textId="77777777" w:rsidR="008F5536" w:rsidRPr="002B3E1D" w:rsidRDefault="008F5536" w:rsidP="008F5536">
            <w:pPr>
              <w:rPr>
                <w:rFonts w:ascii="Times New Roman" w:hAnsi="Times New Roman" w:cs="Times New Roman"/>
                <w:szCs w:val="20"/>
              </w:rPr>
            </w:pPr>
          </w:p>
        </w:tc>
        <w:tc>
          <w:tcPr>
            <w:tcW w:w="464" w:type="pct"/>
            <w:tcBorders>
              <w:top w:val="nil"/>
            </w:tcBorders>
            <w:tcMar>
              <w:left w:w="6" w:type="dxa"/>
              <w:right w:w="6" w:type="dxa"/>
            </w:tcMar>
            <w:vAlign w:val="bottom"/>
          </w:tcPr>
          <w:p w14:paraId="119C5D46" w14:textId="77777777" w:rsidR="008F5536" w:rsidRPr="002B3E1D" w:rsidRDefault="008F5536" w:rsidP="008F5536">
            <w:pPr>
              <w:tabs>
                <w:tab w:val="decimal" w:pos="340"/>
              </w:tabs>
              <w:rPr>
                <w:rFonts w:ascii="Times New Roman" w:hAnsi="Times New Roman" w:cs="Times New Roman"/>
                <w:szCs w:val="20"/>
              </w:rPr>
            </w:pPr>
          </w:p>
        </w:tc>
        <w:tc>
          <w:tcPr>
            <w:tcW w:w="464" w:type="pct"/>
            <w:tcBorders>
              <w:top w:val="nil"/>
              <w:right w:val="single" w:sz="2" w:space="0" w:color="auto"/>
            </w:tcBorders>
            <w:tcMar>
              <w:left w:w="6" w:type="dxa"/>
              <w:right w:w="6" w:type="dxa"/>
            </w:tcMar>
            <w:vAlign w:val="bottom"/>
          </w:tcPr>
          <w:p w14:paraId="36B3134F"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0EF87F1D" w14:textId="77777777" w:rsidR="008F5536" w:rsidRPr="002B3E1D" w:rsidRDefault="008F5536" w:rsidP="008F5536">
            <w:pPr>
              <w:tabs>
                <w:tab w:val="decimal" w:pos="340"/>
              </w:tabs>
              <w:rPr>
                <w:rFonts w:ascii="Times New Roman" w:hAnsi="Times New Roman" w:cs="Times New Roman"/>
                <w:szCs w:val="20"/>
              </w:rPr>
            </w:pPr>
          </w:p>
        </w:tc>
        <w:tc>
          <w:tcPr>
            <w:tcW w:w="464" w:type="pct"/>
            <w:tcBorders>
              <w:right w:val="single" w:sz="2" w:space="0" w:color="auto"/>
            </w:tcBorders>
            <w:noWrap/>
            <w:tcMar>
              <w:left w:w="6" w:type="dxa"/>
              <w:right w:w="6" w:type="dxa"/>
            </w:tcMar>
            <w:vAlign w:val="bottom"/>
          </w:tcPr>
          <w:p w14:paraId="6E3144F6"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732F91DE" w14:textId="77777777" w:rsidR="008F5536" w:rsidRPr="002B3E1D" w:rsidRDefault="008F5536" w:rsidP="008F5536">
            <w:pPr>
              <w:tabs>
                <w:tab w:val="decimal" w:pos="340"/>
              </w:tabs>
              <w:rPr>
                <w:rFonts w:ascii="Times New Roman" w:hAnsi="Times New Roman" w:cs="Times New Roman"/>
                <w:szCs w:val="20"/>
              </w:rPr>
            </w:pPr>
          </w:p>
        </w:tc>
        <w:tc>
          <w:tcPr>
            <w:tcW w:w="464" w:type="pct"/>
            <w:tcBorders>
              <w:right w:val="single" w:sz="2" w:space="0" w:color="auto"/>
            </w:tcBorders>
            <w:noWrap/>
            <w:tcMar>
              <w:left w:w="6" w:type="dxa"/>
              <w:right w:w="6" w:type="dxa"/>
            </w:tcMar>
            <w:vAlign w:val="bottom"/>
          </w:tcPr>
          <w:p w14:paraId="02FBDF46"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13B12A05" w14:textId="77777777" w:rsidR="008F5536" w:rsidRPr="002B3E1D" w:rsidRDefault="008F5536" w:rsidP="008F5536">
            <w:pPr>
              <w:tabs>
                <w:tab w:val="decimal" w:pos="340"/>
              </w:tabs>
              <w:rPr>
                <w:rFonts w:ascii="Times New Roman" w:hAnsi="Times New Roman" w:cs="Times New Roman"/>
                <w:szCs w:val="20"/>
              </w:rPr>
            </w:pPr>
          </w:p>
        </w:tc>
        <w:tc>
          <w:tcPr>
            <w:tcW w:w="463" w:type="pct"/>
            <w:noWrap/>
            <w:tcMar>
              <w:left w:w="6" w:type="dxa"/>
              <w:right w:w="6" w:type="dxa"/>
            </w:tcMar>
            <w:vAlign w:val="bottom"/>
          </w:tcPr>
          <w:p w14:paraId="0EA5AE08" w14:textId="77777777" w:rsidR="008F5536" w:rsidRPr="002B3E1D" w:rsidRDefault="008F5536" w:rsidP="008F5536">
            <w:pPr>
              <w:tabs>
                <w:tab w:val="decimal" w:pos="340"/>
              </w:tabs>
              <w:rPr>
                <w:rFonts w:ascii="Times New Roman" w:hAnsi="Times New Roman" w:cs="Times New Roman"/>
                <w:szCs w:val="20"/>
              </w:rPr>
            </w:pPr>
          </w:p>
        </w:tc>
      </w:tr>
      <w:tr w:rsidR="008F5536" w:rsidRPr="002B3E1D" w14:paraId="54C60D99" w14:textId="77777777" w:rsidTr="008F5536">
        <w:tc>
          <w:tcPr>
            <w:tcW w:w="1289" w:type="pct"/>
            <w:noWrap/>
            <w:tcMar>
              <w:left w:w="6" w:type="dxa"/>
              <w:right w:w="6" w:type="dxa"/>
            </w:tcMar>
          </w:tcPr>
          <w:p w14:paraId="21819CAA" w14:textId="77777777" w:rsidR="008F5536" w:rsidRPr="002B3E1D" w:rsidRDefault="008F5536" w:rsidP="008F5536">
            <w:pPr>
              <w:rPr>
                <w:rFonts w:ascii="Times New Roman" w:hAnsi="Times New Roman" w:cs="Times New Roman"/>
                <w:b/>
                <w:szCs w:val="20"/>
              </w:rPr>
            </w:pPr>
            <w:r w:rsidRPr="002B3E1D">
              <w:rPr>
                <w:rFonts w:ascii="Times New Roman" w:hAnsi="Times New Roman" w:cs="Times New Roman"/>
                <w:b/>
                <w:szCs w:val="20"/>
              </w:rPr>
              <w:t>Interaction Effects (Integration)</w:t>
            </w:r>
          </w:p>
        </w:tc>
        <w:tc>
          <w:tcPr>
            <w:tcW w:w="464" w:type="pct"/>
            <w:tcBorders>
              <w:top w:val="nil"/>
            </w:tcBorders>
            <w:tcMar>
              <w:left w:w="6" w:type="dxa"/>
              <w:right w:w="6" w:type="dxa"/>
            </w:tcMar>
            <w:vAlign w:val="bottom"/>
          </w:tcPr>
          <w:p w14:paraId="0463F6D6" w14:textId="77777777" w:rsidR="008F5536" w:rsidRPr="002B3E1D" w:rsidRDefault="008F5536" w:rsidP="008F5536">
            <w:pPr>
              <w:tabs>
                <w:tab w:val="decimal" w:pos="340"/>
              </w:tabs>
              <w:rPr>
                <w:rFonts w:ascii="Times New Roman" w:hAnsi="Times New Roman" w:cs="Times New Roman"/>
                <w:szCs w:val="20"/>
              </w:rPr>
            </w:pPr>
          </w:p>
        </w:tc>
        <w:tc>
          <w:tcPr>
            <w:tcW w:w="464" w:type="pct"/>
            <w:tcBorders>
              <w:top w:val="nil"/>
              <w:right w:val="single" w:sz="2" w:space="0" w:color="auto"/>
            </w:tcBorders>
            <w:tcMar>
              <w:left w:w="6" w:type="dxa"/>
              <w:right w:w="6" w:type="dxa"/>
            </w:tcMar>
            <w:vAlign w:val="bottom"/>
          </w:tcPr>
          <w:p w14:paraId="0A011163"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6604CBCB" w14:textId="77777777" w:rsidR="008F5536" w:rsidRPr="002B3E1D" w:rsidRDefault="008F5536" w:rsidP="008F5536">
            <w:pPr>
              <w:tabs>
                <w:tab w:val="decimal" w:pos="340"/>
              </w:tabs>
              <w:rPr>
                <w:rFonts w:ascii="Times New Roman" w:hAnsi="Times New Roman" w:cs="Times New Roman"/>
                <w:szCs w:val="20"/>
              </w:rPr>
            </w:pPr>
          </w:p>
        </w:tc>
        <w:tc>
          <w:tcPr>
            <w:tcW w:w="464" w:type="pct"/>
            <w:tcBorders>
              <w:right w:val="single" w:sz="2" w:space="0" w:color="auto"/>
            </w:tcBorders>
            <w:noWrap/>
            <w:tcMar>
              <w:left w:w="6" w:type="dxa"/>
              <w:right w:w="6" w:type="dxa"/>
            </w:tcMar>
            <w:vAlign w:val="bottom"/>
          </w:tcPr>
          <w:p w14:paraId="610B19DD"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01EC1B71" w14:textId="77777777" w:rsidR="008F5536" w:rsidRPr="002B3E1D" w:rsidRDefault="008F5536" w:rsidP="008F5536">
            <w:pPr>
              <w:tabs>
                <w:tab w:val="decimal" w:pos="340"/>
              </w:tabs>
              <w:rPr>
                <w:rFonts w:ascii="Times New Roman" w:hAnsi="Times New Roman" w:cs="Times New Roman"/>
                <w:szCs w:val="20"/>
              </w:rPr>
            </w:pPr>
          </w:p>
        </w:tc>
        <w:tc>
          <w:tcPr>
            <w:tcW w:w="464" w:type="pct"/>
            <w:tcBorders>
              <w:right w:val="single" w:sz="2" w:space="0" w:color="auto"/>
            </w:tcBorders>
            <w:noWrap/>
            <w:tcMar>
              <w:left w:w="6" w:type="dxa"/>
              <w:right w:w="6" w:type="dxa"/>
            </w:tcMar>
            <w:vAlign w:val="bottom"/>
          </w:tcPr>
          <w:p w14:paraId="59E55D98"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4F447C1E" w14:textId="77777777" w:rsidR="008F5536" w:rsidRPr="002B3E1D" w:rsidRDefault="008F5536" w:rsidP="008F5536">
            <w:pPr>
              <w:tabs>
                <w:tab w:val="decimal" w:pos="340"/>
              </w:tabs>
              <w:rPr>
                <w:rFonts w:ascii="Times New Roman" w:hAnsi="Times New Roman" w:cs="Times New Roman"/>
                <w:szCs w:val="20"/>
              </w:rPr>
            </w:pPr>
          </w:p>
        </w:tc>
        <w:tc>
          <w:tcPr>
            <w:tcW w:w="463" w:type="pct"/>
            <w:noWrap/>
            <w:tcMar>
              <w:left w:w="6" w:type="dxa"/>
              <w:right w:w="6" w:type="dxa"/>
            </w:tcMar>
            <w:vAlign w:val="bottom"/>
          </w:tcPr>
          <w:p w14:paraId="115A6AF6" w14:textId="77777777" w:rsidR="008F5536" w:rsidRPr="002B3E1D" w:rsidRDefault="008F5536" w:rsidP="008F5536">
            <w:pPr>
              <w:tabs>
                <w:tab w:val="decimal" w:pos="340"/>
              </w:tabs>
              <w:rPr>
                <w:rFonts w:ascii="Times New Roman" w:hAnsi="Times New Roman" w:cs="Times New Roman"/>
                <w:szCs w:val="20"/>
              </w:rPr>
            </w:pPr>
          </w:p>
        </w:tc>
      </w:tr>
      <w:tr w:rsidR="008F5536" w:rsidRPr="002B3E1D" w14:paraId="4E5FF9FB" w14:textId="77777777" w:rsidTr="008F5536">
        <w:tc>
          <w:tcPr>
            <w:tcW w:w="1289" w:type="pct"/>
            <w:noWrap/>
            <w:tcMar>
              <w:left w:w="6" w:type="dxa"/>
              <w:right w:w="6" w:type="dxa"/>
            </w:tcMar>
          </w:tcPr>
          <w:p w14:paraId="4D048331" w14:textId="77777777" w:rsidR="008F5536" w:rsidRPr="002B3E1D" w:rsidRDefault="008F5536" w:rsidP="008F5536">
            <w:pPr>
              <w:rPr>
                <w:rFonts w:ascii="Times New Roman" w:hAnsi="Times New Roman" w:cs="Times New Roman"/>
                <w:szCs w:val="20"/>
              </w:rPr>
            </w:pPr>
            <w:r w:rsidRPr="002B3E1D">
              <w:rPr>
                <w:rFonts w:ascii="Times New Roman" w:hAnsi="Times New Roman" w:cs="Times New Roman"/>
                <w:bCs/>
                <w:szCs w:val="20"/>
              </w:rPr>
              <w:t>× Knowledge Sharing</w:t>
            </w:r>
          </w:p>
        </w:tc>
        <w:tc>
          <w:tcPr>
            <w:tcW w:w="464" w:type="pct"/>
            <w:tcBorders>
              <w:top w:val="nil"/>
            </w:tcBorders>
            <w:tcMar>
              <w:left w:w="6" w:type="dxa"/>
              <w:right w:w="6" w:type="dxa"/>
            </w:tcMar>
            <w:vAlign w:val="bottom"/>
          </w:tcPr>
          <w:p w14:paraId="4129DC1F" w14:textId="77777777" w:rsidR="008F5536" w:rsidRPr="002B3E1D" w:rsidRDefault="008F5536" w:rsidP="008F5536">
            <w:pPr>
              <w:tabs>
                <w:tab w:val="decimal" w:pos="340"/>
              </w:tabs>
              <w:rPr>
                <w:rFonts w:ascii="Times New Roman" w:hAnsi="Times New Roman" w:cs="Times New Roman"/>
                <w:szCs w:val="20"/>
              </w:rPr>
            </w:pPr>
          </w:p>
        </w:tc>
        <w:tc>
          <w:tcPr>
            <w:tcW w:w="464" w:type="pct"/>
            <w:tcBorders>
              <w:top w:val="nil"/>
              <w:right w:val="single" w:sz="2" w:space="0" w:color="auto"/>
            </w:tcBorders>
            <w:tcMar>
              <w:left w:w="6" w:type="dxa"/>
              <w:right w:w="6" w:type="dxa"/>
            </w:tcMar>
            <w:vAlign w:val="bottom"/>
          </w:tcPr>
          <w:p w14:paraId="7DEE6B9F"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3EA3B536" w14:textId="77777777" w:rsidR="008F5536" w:rsidRPr="002B3E1D" w:rsidRDefault="008F5536" w:rsidP="008F5536">
            <w:pPr>
              <w:tabs>
                <w:tab w:val="decimal" w:pos="340"/>
              </w:tabs>
              <w:rPr>
                <w:rFonts w:ascii="Times New Roman" w:hAnsi="Times New Roman" w:cs="Times New Roman"/>
                <w:szCs w:val="20"/>
              </w:rPr>
            </w:pPr>
          </w:p>
        </w:tc>
        <w:tc>
          <w:tcPr>
            <w:tcW w:w="464" w:type="pct"/>
            <w:tcBorders>
              <w:right w:val="single" w:sz="2" w:space="0" w:color="auto"/>
            </w:tcBorders>
            <w:noWrap/>
            <w:tcMar>
              <w:left w:w="6" w:type="dxa"/>
              <w:right w:w="6" w:type="dxa"/>
            </w:tcMar>
            <w:vAlign w:val="bottom"/>
          </w:tcPr>
          <w:p w14:paraId="296BBB99"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2508B466" w14:textId="77777777" w:rsidR="008F5536" w:rsidRPr="002B3E1D" w:rsidRDefault="008F5536" w:rsidP="008F5536">
            <w:pPr>
              <w:tabs>
                <w:tab w:val="decimal" w:pos="340"/>
              </w:tabs>
              <w:rPr>
                <w:rFonts w:ascii="Times New Roman" w:hAnsi="Times New Roman" w:cs="Times New Roman"/>
                <w:szCs w:val="20"/>
              </w:rPr>
            </w:pPr>
          </w:p>
        </w:tc>
        <w:tc>
          <w:tcPr>
            <w:tcW w:w="464" w:type="pct"/>
            <w:tcBorders>
              <w:right w:val="single" w:sz="2" w:space="0" w:color="auto"/>
            </w:tcBorders>
            <w:noWrap/>
            <w:tcMar>
              <w:left w:w="6" w:type="dxa"/>
              <w:right w:w="6" w:type="dxa"/>
            </w:tcMar>
            <w:vAlign w:val="bottom"/>
          </w:tcPr>
          <w:p w14:paraId="59FD8266"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6D80589F"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.42</w:t>
            </w:r>
          </w:p>
        </w:tc>
        <w:tc>
          <w:tcPr>
            <w:tcW w:w="463" w:type="pct"/>
            <w:noWrap/>
            <w:tcMar>
              <w:left w:w="6" w:type="dxa"/>
              <w:right w:w="6" w:type="dxa"/>
            </w:tcMar>
            <w:vAlign w:val="bottom"/>
          </w:tcPr>
          <w:p w14:paraId="6FD4B63B"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3.33**</w:t>
            </w:r>
          </w:p>
        </w:tc>
      </w:tr>
      <w:tr w:rsidR="008F5536" w:rsidRPr="002B3E1D" w14:paraId="69B52469" w14:textId="77777777" w:rsidTr="008F5536">
        <w:tc>
          <w:tcPr>
            <w:tcW w:w="1289" w:type="pct"/>
            <w:noWrap/>
            <w:tcMar>
              <w:left w:w="6" w:type="dxa"/>
              <w:right w:w="6" w:type="dxa"/>
            </w:tcMar>
          </w:tcPr>
          <w:p w14:paraId="5305F876" w14:textId="77777777" w:rsidR="008F5536" w:rsidRPr="002B3E1D" w:rsidRDefault="008F5536" w:rsidP="008F5536">
            <w:pPr>
              <w:rPr>
                <w:rFonts w:ascii="Times New Roman" w:hAnsi="Times New Roman" w:cs="Times New Roman"/>
                <w:szCs w:val="20"/>
              </w:rPr>
            </w:pPr>
            <w:r w:rsidRPr="002B3E1D">
              <w:rPr>
                <w:rFonts w:ascii="Times New Roman" w:hAnsi="Times New Roman" w:cs="Times New Roman"/>
                <w:bCs/>
                <w:szCs w:val="20"/>
              </w:rPr>
              <w:t>× Use of Target's Capabilities</w:t>
            </w:r>
          </w:p>
        </w:tc>
        <w:tc>
          <w:tcPr>
            <w:tcW w:w="464" w:type="pct"/>
            <w:tcBorders>
              <w:top w:val="nil"/>
            </w:tcBorders>
            <w:tcMar>
              <w:left w:w="6" w:type="dxa"/>
              <w:right w:w="6" w:type="dxa"/>
            </w:tcMar>
            <w:vAlign w:val="bottom"/>
          </w:tcPr>
          <w:p w14:paraId="27199E63" w14:textId="77777777" w:rsidR="008F5536" w:rsidRPr="002B3E1D" w:rsidRDefault="008F5536" w:rsidP="008F5536">
            <w:pPr>
              <w:tabs>
                <w:tab w:val="decimal" w:pos="340"/>
              </w:tabs>
              <w:rPr>
                <w:rFonts w:ascii="Times New Roman" w:hAnsi="Times New Roman" w:cs="Times New Roman"/>
                <w:szCs w:val="20"/>
              </w:rPr>
            </w:pPr>
          </w:p>
        </w:tc>
        <w:tc>
          <w:tcPr>
            <w:tcW w:w="464" w:type="pct"/>
            <w:tcBorders>
              <w:top w:val="nil"/>
              <w:right w:val="single" w:sz="2" w:space="0" w:color="auto"/>
            </w:tcBorders>
            <w:tcMar>
              <w:left w:w="6" w:type="dxa"/>
              <w:right w:w="6" w:type="dxa"/>
            </w:tcMar>
            <w:vAlign w:val="bottom"/>
          </w:tcPr>
          <w:p w14:paraId="1CDDF570"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0A1D8961" w14:textId="77777777" w:rsidR="008F5536" w:rsidRPr="002B3E1D" w:rsidRDefault="008F5536" w:rsidP="008F5536">
            <w:pPr>
              <w:tabs>
                <w:tab w:val="decimal" w:pos="340"/>
              </w:tabs>
              <w:rPr>
                <w:rFonts w:ascii="Times New Roman" w:hAnsi="Times New Roman" w:cs="Times New Roman"/>
                <w:szCs w:val="20"/>
              </w:rPr>
            </w:pPr>
          </w:p>
        </w:tc>
        <w:tc>
          <w:tcPr>
            <w:tcW w:w="464" w:type="pct"/>
            <w:tcBorders>
              <w:right w:val="single" w:sz="2" w:space="0" w:color="auto"/>
            </w:tcBorders>
            <w:noWrap/>
            <w:tcMar>
              <w:left w:w="6" w:type="dxa"/>
              <w:right w:w="6" w:type="dxa"/>
            </w:tcMar>
            <w:vAlign w:val="bottom"/>
          </w:tcPr>
          <w:p w14:paraId="2A2C10DA"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778F4107" w14:textId="77777777" w:rsidR="008F5536" w:rsidRPr="002B3E1D" w:rsidRDefault="008F5536" w:rsidP="008F5536">
            <w:pPr>
              <w:tabs>
                <w:tab w:val="decimal" w:pos="340"/>
              </w:tabs>
              <w:rPr>
                <w:rFonts w:ascii="Times New Roman" w:hAnsi="Times New Roman" w:cs="Times New Roman"/>
                <w:szCs w:val="20"/>
              </w:rPr>
            </w:pPr>
          </w:p>
        </w:tc>
        <w:tc>
          <w:tcPr>
            <w:tcW w:w="464" w:type="pct"/>
            <w:tcBorders>
              <w:right w:val="single" w:sz="2" w:space="0" w:color="auto"/>
            </w:tcBorders>
            <w:noWrap/>
            <w:tcMar>
              <w:left w:w="6" w:type="dxa"/>
              <w:right w:w="6" w:type="dxa"/>
            </w:tcMar>
            <w:vAlign w:val="bottom"/>
          </w:tcPr>
          <w:p w14:paraId="4DBE8E79"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226C8536"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-.03</w:t>
            </w:r>
          </w:p>
        </w:tc>
        <w:tc>
          <w:tcPr>
            <w:tcW w:w="463" w:type="pct"/>
            <w:noWrap/>
            <w:tcMar>
              <w:left w:w="6" w:type="dxa"/>
              <w:right w:w="6" w:type="dxa"/>
            </w:tcMar>
            <w:vAlign w:val="bottom"/>
          </w:tcPr>
          <w:p w14:paraId="383F2682"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-.27</w:t>
            </w:r>
          </w:p>
        </w:tc>
      </w:tr>
      <w:tr w:rsidR="008F5536" w:rsidRPr="002B3E1D" w14:paraId="663E21DD" w14:textId="77777777" w:rsidTr="008F5536">
        <w:tc>
          <w:tcPr>
            <w:tcW w:w="1289" w:type="pct"/>
            <w:noWrap/>
            <w:tcMar>
              <w:left w:w="6" w:type="dxa"/>
              <w:right w:w="6" w:type="dxa"/>
            </w:tcMar>
          </w:tcPr>
          <w:p w14:paraId="6542D285" w14:textId="77777777" w:rsidR="008F5536" w:rsidRPr="002B3E1D" w:rsidRDefault="008F5536" w:rsidP="008F5536">
            <w:pPr>
              <w:rPr>
                <w:rFonts w:ascii="Times New Roman" w:hAnsi="Times New Roman" w:cs="Times New Roman"/>
                <w:szCs w:val="20"/>
              </w:rPr>
            </w:pPr>
            <w:r w:rsidRPr="002B3E1D">
              <w:rPr>
                <w:rFonts w:ascii="Times New Roman" w:hAnsi="Times New Roman" w:cs="Times New Roman"/>
                <w:bCs/>
                <w:szCs w:val="20"/>
              </w:rPr>
              <w:t>× Share Capabilities with Target</w:t>
            </w:r>
          </w:p>
        </w:tc>
        <w:tc>
          <w:tcPr>
            <w:tcW w:w="464" w:type="pct"/>
            <w:tcBorders>
              <w:top w:val="nil"/>
            </w:tcBorders>
            <w:tcMar>
              <w:left w:w="6" w:type="dxa"/>
              <w:right w:w="6" w:type="dxa"/>
            </w:tcMar>
            <w:vAlign w:val="bottom"/>
          </w:tcPr>
          <w:p w14:paraId="4F931441" w14:textId="77777777" w:rsidR="008F5536" w:rsidRPr="002B3E1D" w:rsidRDefault="008F5536" w:rsidP="008F5536">
            <w:pPr>
              <w:tabs>
                <w:tab w:val="decimal" w:pos="340"/>
              </w:tabs>
              <w:rPr>
                <w:rFonts w:ascii="Times New Roman" w:hAnsi="Times New Roman" w:cs="Times New Roman"/>
                <w:szCs w:val="20"/>
              </w:rPr>
            </w:pPr>
          </w:p>
        </w:tc>
        <w:tc>
          <w:tcPr>
            <w:tcW w:w="464" w:type="pct"/>
            <w:tcBorders>
              <w:top w:val="nil"/>
              <w:right w:val="single" w:sz="2" w:space="0" w:color="auto"/>
            </w:tcBorders>
            <w:tcMar>
              <w:left w:w="6" w:type="dxa"/>
              <w:right w:w="6" w:type="dxa"/>
            </w:tcMar>
            <w:vAlign w:val="bottom"/>
          </w:tcPr>
          <w:p w14:paraId="587CD695"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4840EB38" w14:textId="77777777" w:rsidR="008F5536" w:rsidRPr="002B3E1D" w:rsidRDefault="008F5536" w:rsidP="008F5536">
            <w:pPr>
              <w:tabs>
                <w:tab w:val="decimal" w:pos="340"/>
              </w:tabs>
              <w:rPr>
                <w:rFonts w:ascii="Times New Roman" w:hAnsi="Times New Roman" w:cs="Times New Roman"/>
                <w:szCs w:val="20"/>
              </w:rPr>
            </w:pPr>
          </w:p>
        </w:tc>
        <w:tc>
          <w:tcPr>
            <w:tcW w:w="464" w:type="pct"/>
            <w:tcBorders>
              <w:right w:val="single" w:sz="2" w:space="0" w:color="auto"/>
            </w:tcBorders>
            <w:noWrap/>
            <w:tcMar>
              <w:left w:w="6" w:type="dxa"/>
              <w:right w:w="6" w:type="dxa"/>
            </w:tcMar>
            <w:vAlign w:val="bottom"/>
          </w:tcPr>
          <w:p w14:paraId="7D8C9C0E"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164BC7B0" w14:textId="77777777" w:rsidR="008F5536" w:rsidRPr="002B3E1D" w:rsidRDefault="008F5536" w:rsidP="008F5536">
            <w:pPr>
              <w:tabs>
                <w:tab w:val="decimal" w:pos="340"/>
              </w:tabs>
              <w:rPr>
                <w:rFonts w:ascii="Times New Roman" w:hAnsi="Times New Roman" w:cs="Times New Roman"/>
                <w:szCs w:val="20"/>
              </w:rPr>
            </w:pPr>
          </w:p>
        </w:tc>
        <w:tc>
          <w:tcPr>
            <w:tcW w:w="464" w:type="pct"/>
            <w:tcBorders>
              <w:right w:val="single" w:sz="2" w:space="0" w:color="auto"/>
            </w:tcBorders>
            <w:noWrap/>
            <w:tcMar>
              <w:left w:w="6" w:type="dxa"/>
              <w:right w:w="6" w:type="dxa"/>
            </w:tcMar>
            <w:vAlign w:val="bottom"/>
          </w:tcPr>
          <w:p w14:paraId="7438757D"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35003259"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-.12</w:t>
            </w:r>
          </w:p>
        </w:tc>
        <w:tc>
          <w:tcPr>
            <w:tcW w:w="463" w:type="pct"/>
            <w:noWrap/>
            <w:tcMar>
              <w:left w:w="6" w:type="dxa"/>
              <w:right w:w="6" w:type="dxa"/>
            </w:tcMar>
            <w:vAlign w:val="bottom"/>
          </w:tcPr>
          <w:p w14:paraId="63985693"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-1.17</w:t>
            </w:r>
          </w:p>
        </w:tc>
      </w:tr>
      <w:tr w:rsidR="008F5536" w:rsidRPr="002B3E1D" w14:paraId="0F67A64C" w14:textId="77777777" w:rsidTr="008F5536">
        <w:tc>
          <w:tcPr>
            <w:tcW w:w="1289" w:type="pct"/>
            <w:tcBorders>
              <w:bottom w:val="nil"/>
            </w:tcBorders>
            <w:noWrap/>
            <w:tcMar>
              <w:left w:w="6" w:type="dxa"/>
              <w:right w:w="6" w:type="dxa"/>
            </w:tcMar>
          </w:tcPr>
          <w:p w14:paraId="78A5FAAA" w14:textId="77777777" w:rsidR="008F5536" w:rsidRPr="002B3E1D" w:rsidRDefault="008F5536" w:rsidP="008F5536">
            <w:pPr>
              <w:rPr>
                <w:rFonts w:ascii="Times New Roman" w:hAnsi="Times New Roman" w:cs="Times New Roman"/>
                <w:bCs/>
                <w:szCs w:val="20"/>
              </w:rPr>
            </w:pPr>
          </w:p>
        </w:tc>
        <w:tc>
          <w:tcPr>
            <w:tcW w:w="464" w:type="pct"/>
            <w:tcBorders>
              <w:top w:val="nil"/>
              <w:bottom w:val="nil"/>
            </w:tcBorders>
            <w:tcMar>
              <w:left w:w="6" w:type="dxa"/>
              <w:right w:w="6" w:type="dxa"/>
            </w:tcMar>
            <w:vAlign w:val="bottom"/>
          </w:tcPr>
          <w:p w14:paraId="128E54BB" w14:textId="77777777" w:rsidR="008F5536" w:rsidRPr="002B3E1D" w:rsidRDefault="008F5536" w:rsidP="008F5536">
            <w:pPr>
              <w:tabs>
                <w:tab w:val="decimal" w:pos="340"/>
              </w:tabs>
              <w:rPr>
                <w:rFonts w:ascii="Times New Roman" w:hAnsi="Times New Roman" w:cs="Times New Roman"/>
                <w:szCs w:val="20"/>
              </w:rPr>
            </w:pPr>
          </w:p>
        </w:tc>
        <w:tc>
          <w:tcPr>
            <w:tcW w:w="464" w:type="pct"/>
            <w:tcBorders>
              <w:top w:val="nil"/>
              <w:bottom w:val="nil"/>
              <w:right w:val="single" w:sz="2" w:space="0" w:color="auto"/>
            </w:tcBorders>
            <w:tcMar>
              <w:left w:w="6" w:type="dxa"/>
              <w:right w:w="6" w:type="dxa"/>
            </w:tcMar>
            <w:vAlign w:val="bottom"/>
          </w:tcPr>
          <w:p w14:paraId="79553EE8"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bottom w:val="nil"/>
            </w:tcBorders>
            <w:noWrap/>
            <w:tcMar>
              <w:left w:w="6" w:type="dxa"/>
              <w:right w:w="6" w:type="dxa"/>
            </w:tcMar>
            <w:vAlign w:val="bottom"/>
          </w:tcPr>
          <w:p w14:paraId="565B343B" w14:textId="77777777" w:rsidR="008F5536" w:rsidRPr="002B3E1D" w:rsidRDefault="008F5536" w:rsidP="008F5536">
            <w:pPr>
              <w:tabs>
                <w:tab w:val="decimal" w:pos="340"/>
              </w:tabs>
              <w:rPr>
                <w:rFonts w:ascii="Times New Roman" w:hAnsi="Times New Roman" w:cs="Times New Roman"/>
                <w:szCs w:val="20"/>
              </w:rPr>
            </w:pPr>
          </w:p>
        </w:tc>
        <w:tc>
          <w:tcPr>
            <w:tcW w:w="464" w:type="pct"/>
            <w:tcBorders>
              <w:bottom w:val="nil"/>
              <w:right w:val="single" w:sz="2" w:space="0" w:color="auto"/>
            </w:tcBorders>
            <w:noWrap/>
            <w:tcMar>
              <w:left w:w="6" w:type="dxa"/>
              <w:right w:w="6" w:type="dxa"/>
            </w:tcMar>
            <w:vAlign w:val="bottom"/>
          </w:tcPr>
          <w:p w14:paraId="03EF8F48"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bottom w:val="nil"/>
            </w:tcBorders>
            <w:noWrap/>
            <w:tcMar>
              <w:left w:w="6" w:type="dxa"/>
              <w:right w:w="6" w:type="dxa"/>
            </w:tcMar>
            <w:vAlign w:val="bottom"/>
          </w:tcPr>
          <w:p w14:paraId="18587A73" w14:textId="77777777" w:rsidR="008F5536" w:rsidRPr="002B3E1D" w:rsidRDefault="008F5536" w:rsidP="008F5536">
            <w:pPr>
              <w:tabs>
                <w:tab w:val="decimal" w:pos="340"/>
              </w:tabs>
              <w:rPr>
                <w:rFonts w:ascii="Times New Roman" w:hAnsi="Times New Roman" w:cs="Times New Roman"/>
                <w:szCs w:val="20"/>
              </w:rPr>
            </w:pPr>
          </w:p>
        </w:tc>
        <w:tc>
          <w:tcPr>
            <w:tcW w:w="464" w:type="pct"/>
            <w:tcBorders>
              <w:bottom w:val="nil"/>
              <w:right w:val="single" w:sz="2" w:space="0" w:color="auto"/>
            </w:tcBorders>
            <w:noWrap/>
            <w:tcMar>
              <w:left w:w="6" w:type="dxa"/>
              <w:right w:w="6" w:type="dxa"/>
            </w:tcMar>
            <w:vAlign w:val="bottom"/>
          </w:tcPr>
          <w:p w14:paraId="155E5796"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bottom w:val="nil"/>
            </w:tcBorders>
            <w:noWrap/>
            <w:tcMar>
              <w:left w:w="6" w:type="dxa"/>
              <w:right w:w="6" w:type="dxa"/>
            </w:tcMar>
            <w:vAlign w:val="bottom"/>
          </w:tcPr>
          <w:p w14:paraId="5F52C5BF" w14:textId="77777777" w:rsidR="008F5536" w:rsidRPr="002B3E1D" w:rsidRDefault="008F5536" w:rsidP="008F5536">
            <w:pPr>
              <w:tabs>
                <w:tab w:val="decimal" w:pos="340"/>
              </w:tabs>
              <w:rPr>
                <w:rFonts w:ascii="Times New Roman" w:hAnsi="Times New Roman" w:cs="Times New Roman"/>
                <w:szCs w:val="20"/>
              </w:rPr>
            </w:pPr>
          </w:p>
        </w:tc>
        <w:tc>
          <w:tcPr>
            <w:tcW w:w="463" w:type="pct"/>
            <w:tcBorders>
              <w:bottom w:val="nil"/>
            </w:tcBorders>
            <w:noWrap/>
            <w:tcMar>
              <w:left w:w="6" w:type="dxa"/>
              <w:right w:w="6" w:type="dxa"/>
            </w:tcMar>
            <w:vAlign w:val="bottom"/>
          </w:tcPr>
          <w:p w14:paraId="05790955" w14:textId="77777777" w:rsidR="008F5536" w:rsidRPr="002B3E1D" w:rsidRDefault="008F5536" w:rsidP="008F5536">
            <w:pPr>
              <w:tabs>
                <w:tab w:val="decimal" w:pos="340"/>
              </w:tabs>
              <w:rPr>
                <w:rFonts w:ascii="Times New Roman" w:hAnsi="Times New Roman" w:cs="Times New Roman"/>
                <w:szCs w:val="20"/>
              </w:rPr>
            </w:pPr>
          </w:p>
        </w:tc>
      </w:tr>
      <w:tr w:rsidR="008F5536" w:rsidRPr="002B3E1D" w14:paraId="779038F9" w14:textId="77777777" w:rsidTr="008F5536">
        <w:tc>
          <w:tcPr>
            <w:tcW w:w="1289" w:type="pct"/>
            <w:tcBorders>
              <w:bottom w:val="nil"/>
            </w:tcBorders>
            <w:noWrap/>
            <w:tcMar>
              <w:left w:w="6" w:type="dxa"/>
              <w:right w:w="6" w:type="dxa"/>
            </w:tcMar>
          </w:tcPr>
          <w:p w14:paraId="16636FBA" w14:textId="77777777" w:rsidR="008F5536" w:rsidRPr="002B3E1D" w:rsidRDefault="008F5536" w:rsidP="008F5536">
            <w:pPr>
              <w:rPr>
                <w:rFonts w:ascii="Times New Roman" w:hAnsi="Times New Roman" w:cs="Times New Roman"/>
                <w:bCs/>
                <w:szCs w:val="20"/>
              </w:rPr>
            </w:pPr>
            <w:r w:rsidRPr="002B3E1D">
              <w:rPr>
                <w:rFonts w:ascii="Times New Roman" w:hAnsi="Times New Roman" w:cs="Times New Roman"/>
                <w:bCs/>
                <w:szCs w:val="20"/>
              </w:rPr>
              <w:t>Model F-Value</w:t>
            </w:r>
          </w:p>
        </w:tc>
        <w:tc>
          <w:tcPr>
            <w:tcW w:w="927" w:type="pct"/>
            <w:gridSpan w:val="2"/>
            <w:tcBorders>
              <w:top w:val="nil"/>
              <w:bottom w:val="nil"/>
              <w:right w:val="single" w:sz="2" w:space="0" w:color="auto"/>
            </w:tcBorders>
            <w:tcMar>
              <w:left w:w="6" w:type="dxa"/>
              <w:right w:w="6" w:type="dxa"/>
            </w:tcMar>
          </w:tcPr>
          <w:p w14:paraId="7FC1FC4C" w14:textId="77777777" w:rsidR="008F5536" w:rsidRPr="002B3E1D" w:rsidRDefault="008F5536" w:rsidP="008F5536">
            <w:pPr>
              <w:tabs>
                <w:tab w:val="decimal" w:pos="737"/>
              </w:tabs>
              <w:rPr>
                <w:rFonts w:ascii="Times New Roman" w:hAnsi="Times New Roman" w:cs="Times New Roman"/>
                <w:szCs w:val="20"/>
              </w:rPr>
            </w:pPr>
            <w:r w:rsidRPr="002B3E1D">
              <w:rPr>
                <w:rFonts w:ascii="Times New Roman" w:hAnsi="Times New Roman" w:cs="Times New Roman"/>
                <w:szCs w:val="20"/>
              </w:rPr>
              <w:t>1.31</w:t>
            </w:r>
          </w:p>
        </w:tc>
        <w:tc>
          <w:tcPr>
            <w:tcW w:w="927" w:type="pct"/>
            <w:gridSpan w:val="2"/>
            <w:tcBorders>
              <w:left w:val="single" w:sz="2" w:space="0" w:color="auto"/>
              <w:bottom w:val="nil"/>
              <w:right w:val="single" w:sz="2" w:space="0" w:color="auto"/>
            </w:tcBorders>
            <w:noWrap/>
            <w:tcMar>
              <w:left w:w="6" w:type="dxa"/>
              <w:right w:w="6" w:type="dxa"/>
            </w:tcMar>
          </w:tcPr>
          <w:p w14:paraId="4FF8E59F" w14:textId="77777777" w:rsidR="008F5536" w:rsidRPr="002B3E1D" w:rsidRDefault="008F5536" w:rsidP="008F5536">
            <w:pPr>
              <w:tabs>
                <w:tab w:val="decimal" w:pos="737"/>
              </w:tabs>
              <w:rPr>
                <w:rFonts w:ascii="Times New Roman" w:hAnsi="Times New Roman" w:cs="Times New Roman"/>
                <w:szCs w:val="20"/>
              </w:rPr>
            </w:pPr>
            <w:r w:rsidRPr="002B3E1D">
              <w:rPr>
                <w:rFonts w:ascii="Times New Roman" w:hAnsi="Times New Roman" w:cs="Times New Roman"/>
                <w:szCs w:val="20"/>
              </w:rPr>
              <w:t>3.78**</w:t>
            </w:r>
          </w:p>
        </w:tc>
        <w:tc>
          <w:tcPr>
            <w:tcW w:w="927" w:type="pct"/>
            <w:gridSpan w:val="2"/>
            <w:tcBorders>
              <w:left w:val="single" w:sz="2" w:space="0" w:color="auto"/>
              <w:bottom w:val="nil"/>
              <w:right w:val="single" w:sz="2" w:space="0" w:color="auto"/>
            </w:tcBorders>
            <w:noWrap/>
            <w:tcMar>
              <w:left w:w="6" w:type="dxa"/>
              <w:right w:w="6" w:type="dxa"/>
            </w:tcMar>
          </w:tcPr>
          <w:p w14:paraId="1A8DE1E6" w14:textId="77777777" w:rsidR="008F5536" w:rsidRPr="002B3E1D" w:rsidRDefault="008F5536" w:rsidP="008F5536">
            <w:pPr>
              <w:tabs>
                <w:tab w:val="decimal" w:pos="737"/>
              </w:tabs>
              <w:rPr>
                <w:rFonts w:ascii="Times New Roman" w:hAnsi="Times New Roman" w:cs="Times New Roman"/>
                <w:szCs w:val="20"/>
              </w:rPr>
            </w:pPr>
            <w:r w:rsidRPr="002B3E1D">
              <w:rPr>
                <w:rFonts w:ascii="Times New Roman" w:hAnsi="Times New Roman" w:cs="Times New Roman"/>
                <w:szCs w:val="20"/>
              </w:rPr>
              <w:t>4.73**</w:t>
            </w:r>
          </w:p>
        </w:tc>
        <w:tc>
          <w:tcPr>
            <w:tcW w:w="928" w:type="pct"/>
            <w:gridSpan w:val="2"/>
            <w:tcBorders>
              <w:left w:val="single" w:sz="2" w:space="0" w:color="auto"/>
              <w:bottom w:val="nil"/>
            </w:tcBorders>
            <w:noWrap/>
            <w:tcMar>
              <w:left w:w="6" w:type="dxa"/>
              <w:right w:w="6" w:type="dxa"/>
            </w:tcMar>
          </w:tcPr>
          <w:p w14:paraId="502005ED" w14:textId="77777777" w:rsidR="008F5536" w:rsidRPr="002B3E1D" w:rsidRDefault="008F5536" w:rsidP="008F5536">
            <w:pPr>
              <w:tabs>
                <w:tab w:val="decimal" w:pos="737"/>
              </w:tabs>
              <w:rPr>
                <w:rFonts w:ascii="Times New Roman" w:hAnsi="Times New Roman" w:cs="Times New Roman"/>
                <w:szCs w:val="20"/>
              </w:rPr>
            </w:pPr>
            <w:r w:rsidRPr="002B3E1D">
              <w:rPr>
                <w:rFonts w:ascii="Times New Roman" w:hAnsi="Times New Roman" w:cs="Times New Roman"/>
                <w:szCs w:val="20"/>
              </w:rPr>
              <w:t>4.45**</w:t>
            </w:r>
          </w:p>
        </w:tc>
      </w:tr>
      <w:tr w:rsidR="008F5536" w:rsidRPr="002B3E1D" w14:paraId="11E94254" w14:textId="77777777" w:rsidTr="008F5536">
        <w:tc>
          <w:tcPr>
            <w:tcW w:w="1289" w:type="pct"/>
            <w:tcBorders>
              <w:bottom w:val="nil"/>
            </w:tcBorders>
            <w:noWrap/>
            <w:tcMar>
              <w:left w:w="6" w:type="dxa"/>
              <w:right w:w="6" w:type="dxa"/>
            </w:tcMar>
          </w:tcPr>
          <w:p w14:paraId="72E6AD87" w14:textId="77777777" w:rsidR="008F5536" w:rsidRPr="002B3E1D" w:rsidRDefault="008F5536" w:rsidP="008F5536">
            <w:pPr>
              <w:rPr>
                <w:rFonts w:ascii="Times New Roman" w:hAnsi="Times New Roman" w:cs="Times New Roman"/>
                <w:bCs/>
                <w:szCs w:val="20"/>
              </w:rPr>
            </w:pPr>
            <w:r w:rsidRPr="002B3E1D">
              <w:rPr>
                <w:rFonts w:ascii="Times New Roman" w:hAnsi="Times New Roman" w:cs="Times New Roman"/>
                <w:bCs/>
                <w:i/>
                <w:szCs w:val="20"/>
              </w:rPr>
              <w:t>R</w:t>
            </w:r>
            <w:r w:rsidRPr="002B3E1D">
              <w:rPr>
                <w:rFonts w:ascii="Times New Roman" w:hAnsi="Times New Roman" w:cs="Times New Roman"/>
                <w:bCs/>
                <w:szCs w:val="20"/>
                <w:vertAlign w:val="superscript"/>
              </w:rPr>
              <w:t>2</w:t>
            </w:r>
          </w:p>
        </w:tc>
        <w:tc>
          <w:tcPr>
            <w:tcW w:w="927" w:type="pct"/>
            <w:gridSpan w:val="2"/>
            <w:tcBorders>
              <w:top w:val="nil"/>
              <w:bottom w:val="nil"/>
              <w:right w:val="single" w:sz="2" w:space="0" w:color="auto"/>
            </w:tcBorders>
            <w:tcMar>
              <w:left w:w="6" w:type="dxa"/>
              <w:right w:w="6" w:type="dxa"/>
            </w:tcMar>
          </w:tcPr>
          <w:p w14:paraId="169C04AA" w14:textId="77777777" w:rsidR="008F5536" w:rsidRPr="002B3E1D" w:rsidRDefault="008F5536" w:rsidP="008F5536">
            <w:pPr>
              <w:tabs>
                <w:tab w:val="decimal" w:pos="737"/>
              </w:tabs>
              <w:rPr>
                <w:rFonts w:ascii="Times New Roman" w:hAnsi="Times New Roman" w:cs="Times New Roman"/>
                <w:szCs w:val="20"/>
              </w:rPr>
            </w:pPr>
            <w:r w:rsidRPr="002B3E1D">
              <w:rPr>
                <w:rFonts w:ascii="Times New Roman" w:hAnsi="Times New Roman" w:cs="Times New Roman"/>
                <w:szCs w:val="20"/>
              </w:rPr>
              <w:t>.09</w:t>
            </w:r>
          </w:p>
        </w:tc>
        <w:tc>
          <w:tcPr>
            <w:tcW w:w="927" w:type="pct"/>
            <w:gridSpan w:val="2"/>
            <w:tcBorders>
              <w:left w:val="single" w:sz="2" w:space="0" w:color="auto"/>
              <w:bottom w:val="nil"/>
              <w:right w:val="single" w:sz="2" w:space="0" w:color="auto"/>
            </w:tcBorders>
            <w:noWrap/>
            <w:tcMar>
              <w:left w:w="6" w:type="dxa"/>
              <w:right w:w="6" w:type="dxa"/>
            </w:tcMar>
          </w:tcPr>
          <w:p w14:paraId="7A6BA188" w14:textId="77777777" w:rsidR="008F5536" w:rsidRPr="002B3E1D" w:rsidRDefault="008F5536" w:rsidP="008F5536">
            <w:pPr>
              <w:tabs>
                <w:tab w:val="decimal" w:pos="737"/>
              </w:tabs>
              <w:rPr>
                <w:rFonts w:ascii="Times New Roman" w:hAnsi="Times New Roman" w:cs="Times New Roman"/>
                <w:szCs w:val="20"/>
              </w:rPr>
            </w:pPr>
            <w:r w:rsidRPr="002B3E1D">
              <w:rPr>
                <w:rFonts w:ascii="Times New Roman" w:hAnsi="Times New Roman" w:cs="Times New Roman"/>
                <w:szCs w:val="20"/>
              </w:rPr>
              <w:t>.28</w:t>
            </w:r>
          </w:p>
        </w:tc>
        <w:tc>
          <w:tcPr>
            <w:tcW w:w="927" w:type="pct"/>
            <w:gridSpan w:val="2"/>
            <w:tcBorders>
              <w:left w:val="single" w:sz="2" w:space="0" w:color="auto"/>
              <w:bottom w:val="nil"/>
              <w:right w:val="single" w:sz="2" w:space="0" w:color="auto"/>
            </w:tcBorders>
            <w:noWrap/>
            <w:tcMar>
              <w:left w:w="6" w:type="dxa"/>
              <w:right w:w="6" w:type="dxa"/>
            </w:tcMar>
          </w:tcPr>
          <w:p w14:paraId="0E20CBF4" w14:textId="77777777" w:rsidR="008F5536" w:rsidRPr="002B3E1D" w:rsidRDefault="008F5536" w:rsidP="008F5536">
            <w:pPr>
              <w:tabs>
                <w:tab w:val="decimal" w:pos="737"/>
              </w:tabs>
              <w:rPr>
                <w:rFonts w:ascii="Times New Roman" w:hAnsi="Times New Roman" w:cs="Times New Roman"/>
                <w:szCs w:val="20"/>
              </w:rPr>
            </w:pPr>
            <w:r w:rsidRPr="002B3E1D">
              <w:rPr>
                <w:rFonts w:ascii="Times New Roman" w:hAnsi="Times New Roman" w:cs="Times New Roman"/>
                <w:szCs w:val="20"/>
              </w:rPr>
              <w:t>.36</w:t>
            </w:r>
          </w:p>
        </w:tc>
        <w:tc>
          <w:tcPr>
            <w:tcW w:w="928" w:type="pct"/>
            <w:gridSpan w:val="2"/>
            <w:tcBorders>
              <w:left w:val="single" w:sz="2" w:space="0" w:color="auto"/>
              <w:bottom w:val="nil"/>
            </w:tcBorders>
            <w:noWrap/>
            <w:tcMar>
              <w:left w:w="6" w:type="dxa"/>
              <w:right w:w="6" w:type="dxa"/>
            </w:tcMar>
          </w:tcPr>
          <w:p w14:paraId="1B3D18B3" w14:textId="77777777" w:rsidR="008F5536" w:rsidRPr="002B3E1D" w:rsidRDefault="008F5536" w:rsidP="008F5536">
            <w:pPr>
              <w:tabs>
                <w:tab w:val="decimal" w:pos="737"/>
              </w:tabs>
              <w:rPr>
                <w:rFonts w:ascii="Times New Roman" w:hAnsi="Times New Roman" w:cs="Times New Roman"/>
                <w:szCs w:val="20"/>
              </w:rPr>
            </w:pPr>
            <w:r w:rsidRPr="002B3E1D">
              <w:rPr>
                <w:rFonts w:ascii="Times New Roman" w:hAnsi="Times New Roman" w:cs="Times New Roman"/>
                <w:szCs w:val="20"/>
              </w:rPr>
              <w:t>.45</w:t>
            </w:r>
          </w:p>
        </w:tc>
      </w:tr>
      <w:tr w:rsidR="008F5536" w:rsidRPr="002B3E1D" w14:paraId="653EE2A8" w14:textId="77777777" w:rsidTr="008F5536">
        <w:tc>
          <w:tcPr>
            <w:tcW w:w="5000" w:type="pct"/>
            <w:gridSpan w:val="9"/>
            <w:tcBorders>
              <w:top w:val="single" w:sz="12" w:space="0" w:color="auto"/>
            </w:tcBorders>
            <w:tcMar>
              <w:left w:w="6" w:type="dxa"/>
              <w:right w:w="6" w:type="dxa"/>
            </w:tcMar>
          </w:tcPr>
          <w:p w14:paraId="3CA245F1" w14:textId="77777777" w:rsidR="008F5536" w:rsidRPr="002B3E1D" w:rsidRDefault="008F5536" w:rsidP="008F5536">
            <w:pPr>
              <w:rPr>
                <w:rFonts w:ascii="Times New Roman" w:hAnsi="Times New Roman" w:cs="Times New Roman"/>
                <w:szCs w:val="20"/>
              </w:rPr>
            </w:pPr>
            <w:r w:rsidRPr="002B3E1D">
              <w:rPr>
                <w:rFonts w:ascii="Times New Roman" w:hAnsi="Times New Roman" w:cs="Times New Roman"/>
                <w:szCs w:val="20"/>
                <w:vertAlign w:val="superscript"/>
              </w:rPr>
              <w:t>1</w:t>
            </w:r>
            <w:r w:rsidRPr="002B3E1D">
              <w:rPr>
                <w:rFonts w:ascii="Times New Roman" w:hAnsi="Times New Roman" w:cs="Times New Roman"/>
                <w:szCs w:val="20"/>
              </w:rPr>
              <w:t xml:space="preserve"> Standardized regression coefficient.</w:t>
            </w:r>
          </w:p>
          <w:p w14:paraId="3861F595" w14:textId="77777777" w:rsidR="008F5536" w:rsidRPr="002B3E1D" w:rsidRDefault="008F5536" w:rsidP="008F5536">
            <w:pPr>
              <w:rPr>
                <w:rFonts w:ascii="Times New Roman" w:hAnsi="Times New Roman" w:cs="Times New Roman"/>
                <w:szCs w:val="20"/>
              </w:rPr>
            </w:pPr>
            <w:r w:rsidRPr="002B3E1D">
              <w:rPr>
                <w:rFonts w:ascii="Times New Roman" w:hAnsi="Times New Roman" w:cs="Times New Roman"/>
                <w:szCs w:val="20"/>
              </w:rPr>
              <w:t>Significance levels (one-tailed as hypotheses are directional):</w:t>
            </w:r>
          </w:p>
          <w:p w14:paraId="21173677" w14:textId="77777777" w:rsidR="008F5536" w:rsidRPr="002B3E1D" w:rsidRDefault="008F5536" w:rsidP="008F5536">
            <w:pPr>
              <w:rPr>
                <w:rFonts w:ascii="Times New Roman" w:hAnsi="Times New Roman" w:cs="Times New Roman"/>
                <w:szCs w:val="20"/>
              </w:rPr>
            </w:pPr>
            <w:r w:rsidRPr="002B3E1D">
              <w:rPr>
                <w:rFonts w:ascii="Times New Roman" w:hAnsi="Times New Roman" w:cs="Times New Roman"/>
                <w:szCs w:val="20"/>
              </w:rPr>
              <w:t>** Significant at 0.01 level (critical t-value = 2.326).</w:t>
            </w:r>
          </w:p>
          <w:p w14:paraId="129124D6" w14:textId="77777777" w:rsidR="008F5536" w:rsidRPr="002B3E1D" w:rsidRDefault="008F5536" w:rsidP="008F5536">
            <w:pPr>
              <w:rPr>
                <w:rFonts w:ascii="Times New Roman" w:hAnsi="Times New Roman" w:cs="Times New Roman"/>
                <w:szCs w:val="20"/>
              </w:rPr>
            </w:pPr>
            <w:r w:rsidRPr="002B3E1D">
              <w:rPr>
                <w:rFonts w:ascii="Times New Roman" w:hAnsi="Times New Roman" w:cs="Times New Roman"/>
                <w:szCs w:val="20"/>
              </w:rPr>
              <w:lastRenderedPageBreak/>
              <w:t>* Significant at 0.05 level (critical t-value = 1.645).</w:t>
            </w:r>
          </w:p>
        </w:tc>
      </w:tr>
    </w:tbl>
    <w:p w14:paraId="388A3AB9" w14:textId="77777777" w:rsidR="008F5536" w:rsidRPr="002B3E1D" w:rsidRDefault="008F5536" w:rsidP="008F5536">
      <w:pPr>
        <w:spacing w:after="0" w:line="240" w:lineRule="auto"/>
        <w:rPr>
          <w:rFonts w:ascii="Times New Roman" w:hAnsi="Times New Roman" w:cs="Times New Roman"/>
          <w:sz w:val="24"/>
          <w:szCs w:val="24"/>
          <w:lang w:val="en-US"/>
        </w:rPr>
      </w:pPr>
    </w:p>
    <w:p w14:paraId="29FB9011" w14:textId="77777777" w:rsidR="008F5536" w:rsidRPr="002B3E1D" w:rsidRDefault="008F5536" w:rsidP="008F5536">
      <w:pPr>
        <w:autoSpaceDE w:val="0"/>
        <w:autoSpaceDN w:val="0"/>
        <w:adjustRightInd w:val="0"/>
        <w:spacing w:after="0" w:line="480" w:lineRule="auto"/>
        <w:rPr>
          <w:rFonts w:ascii="Times New Roman" w:hAnsi="Times New Roman" w:cs="Times New Roman"/>
          <w:sz w:val="24"/>
          <w:szCs w:val="24"/>
          <w:lang w:val="en-US"/>
        </w:rPr>
      </w:pPr>
    </w:p>
    <w:p w14:paraId="32D2B33E" w14:textId="77777777" w:rsidR="008F5536" w:rsidRPr="002B3E1D" w:rsidRDefault="008F5536" w:rsidP="008F5536">
      <w:pPr>
        <w:spacing w:after="0" w:line="240" w:lineRule="auto"/>
        <w:rPr>
          <w:rFonts w:ascii="Times New Roman" w:hAnsi="Times New Roman" w:cs="Times New Roman"/>
          <w:sz w:val="24"/>
          <w:szCs w:val="24"/>
          <w:lang w:val="en-US"/>
        </w:rPr>
      </w:pPr>
      <w:r w:rsidRPr="002B3E1D">
        <w:rPr>
          <w:rFonts w:ascii="Times New Roman" w:hAnsi="Times New Roman" w:cs="Times New Roman"/>
          <w:b/>
          <w:sz w:val="24"/>
          <w:szCs w:val="24"/>
          <w:lang w:val="en-US"/>
        </w:rPr>
        <w:t>Appendix 1:</w:t>
      </w:r>
      <w:r w:rsidRPr="002B3E1D">
        <w:rPr>
          <w:rFonts w:ascii="Times New Roman" w:hAnsi="Times New Roman" w:cs="Times New Roman"/>
          <w:sz w:val="24"/>
          <w:szCs w:val="24"/>
          <w:lang w:val="en-US"/>
        </w:rPr>
        <w:t xml:space="preserve"> Testing for common method bias: Regression results after partial correlation procedure with the marker variable</w:t>
      </w:r>
    </w:p>
    <w:tbl>
      <w:tblPr>
        <w:tblStyle w:val="TableGrid"/>
        <w:tblW w:w="4958" w:type="pct"/>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99"/>
        <w:gridCol w:w="862"/>
        <w:gridCol w:w="884"/>
        <w:gridCol w:w="863"/>
        <w:gridCol w:w="863"/>
        <w:gridCol w:w="863"/>
        <w:gridCol w:w="863"/>
        <w:gridCol w:w="863"/>
        <w:gridCol w:w="835"/>
      </w:tblGrid>
      <w:tr w:rsidR="008F5536" w:rsidRPr="002B3E1D" w14:paraId="12D76350" w14:textId="77777777" w:rsidTr="008F5536">
        <w:tc>
          <w:tcPr>
            <w:tcW w:w="1291" w:type="pct"/>
            <w:noWrap/>
            <w:tcMar>
              <w:left w:w="6" w:type="dxa"/>
              <w:right w:w="6" w:type="dxa"/>
            </w:tcMar>
            <w:vAlign w:val="bottom"/>
          </w:tcPr>
          <w:p w14:paraId="58332DE9" w14:textId="77777777" w:rsidR="008F5536" w:rsidRPr="002B3E1D" w:rsidRDefault="008F5536" w:rsidP="008F5536">
            <w:pPr>
              <w:rPr>
                <w:rFonts w:ascii="Times New Roman" w:hAnsi="Times New Roman" w:cs="Times New Roman"/>
                <w:szCs w:val="20"/>
              </w:rPr>
            </w:pPr>
          </w:p>
        </w:tc>
        <w:tc>
          <w:tcPr>
            <w:tcW w:w="3709" w:type="pct"/>
            <w:gridSpan w:val="8"/>
            <w:tcMar>
              <w:left w:w="6" w:type="dxa"/>
              <w:right w:w="6" w:type="dxa"/>
            </w:tcMar>
          </w:tcPr>
          <w:p w14:paraId="3E751C0F" w14:textId="77777777" w:rsidR="008F5536" w:rsidRPr="002B3E1D" w:rsidRDefault="008F5536" w:rsidP="008F5536">
            <w:pPr>
              <w:jc w:val="center"/>
              <w:rPr>
                <w:rFonts w:ascii="Times New Roman" w:hAnsi="Times New Roman" w:cs="Times New Roman"/>
                <w:b/>
                <w:szCs w:val="20"/>
              </w:rPr>
            </w:pPr>
            <w:r w:rsidRPr="002B3E1D">
              <w:rPr>
                <w:rFonts w:ascii="Times New Roman" w:hAnsi="Times New Roman" w:cs="Times New Roman"/>
                <w:b/>
                <w:szCs w:val="20"/>
              </w:rPr>
              <w:t>Dependent Variable:</w:t>
            </w:r>
          </w:p>
          <w:p w14:paraId="2DC2522D" w14:textId="77777777" w:rsidR="008F5536" w:rsidRPr="002B3E1D" w:rsidRDefault="008F5536" w:rsidP="008F5536">
            <w:pPr>
              <w:jc w:val="center"/>
              <w:rPr>
                <w:rFonts w:ascii="Times New Roman" w:hAnsi="Times New Roman" w:cs="Times New Roman"/>
                <w:b/>
                <w:szCs w:val="20"/>
              </w:rPr>
            </w:pPr>
            <w:r w:rsidRPr="002B3E1D">
              <w:rPr>
                <w:rFonts w:ascii="Times New Roman" w:hAnsi="Times New Roman" w:cs="Times New Roman"/>
                <w:b/>
                <w:szCs w:val="20"/>
              </w:rPr>
              <w:t>Organizational Ambidexterity</w:t>
            </w:r>
          </w:p>
        </w:tc>
      </w:tr>
      <w:tr w:rsidR="008F5536" w:rsidRPr="002B3E1D" w14:paraId="78512EFB" w14:textId="77777777" w:rsidTr="008F5536">
        <w:tc>
          <w:tcPr>
            <w:tcW w:w="1291" w:type="pct"/>
            <w:noWrap/>
            <w:tcMar>
              <w:left w:w="6" w:type="dxa"/>
              <w:right w:w="6" w:type="dxa"/>
            </w:tcMar>
          </w:tcPr>
          <w:p w14:paraId="6C09BB2B" w14:textId="77777777" w:rsidR="008F5536" w:rsidRPr="002B3E1D" w:rsidRDefault="008F5536" w:rsidP="008F5536">
            <w:pPr>
              <w:rPr>
                <w:rFonts w:ascii="Times New Roman" w:hAnsi="Times New Roman" w:cs="Times New Roman"/>
                <w:szCs w:val="20"/>
              </w:rPr>
            </w:pPr>
          </w:p>
        </w:tc>
        <w:tc>
          <w:tcPr>
            <w:tcW w:w="940" w:type="pct"/>
            <w:gridSpan w:val="2"/>
            <w:tcBorders>
              <w:top w:val="nil"/>
              <w:bottom w:val="single" w:sz="2" w:space="0" w:color="auto"/>
              <w:right w:val="single" w:sz="2" w:space="0" w:color="auto"/>
            </w:tcBorders>
            <w:tcMar>
              <w:left w:w="6" w:type="dxa"/>
              <w:right w:w="6" w:type="dxa"/>
            </w:tcMar>
          </w:tcPr>
          <w:p w14:paraId="4C5E48EC" w14:textId="77777777" w:rsidR="008F5536" w:rsidRPr="002B3E1D" w:rsidRDefault="008F5536" w:rsidP="008F5536">
            <w:pPr>
              <w:jc w:val="center"/>
              <w:rPr>
                <w:rFonts w:ascii="Times New Roman" w:hAnsi="Times New Roman" w:cs="Times New Roman"/>
                <w:b/>
                <w:szCs w:val="20"/>
              </w:rPr>
            </w:pPr>
            <w:r w:rsidRPr="002B3E1D">
              <w:rPr>
                <w:rFonts w:ascii="Times New Roman" w:hAnsi="Times New Roman" w:cs="Times New Roman"/>
                <w:b/>
                <w:szCs w:val="20"/>
              </w:rPr>
              <w:t>Regression</w:t>
            </w:r>
          </w:p>
          <w:p w14:paraId="58205994" w14:textId="77777777" w:rsidR="008F5536" w:rsidRPr="002B3E1D" w:rsidRDefault="008F5536" w:rsidP="008F5536">
            <w:pPr>
              <w:jc w:val="center"/>
              <w:rPr>
                <w:rFonts w:ascii="Times New Roman" w:hAnsi="Times New Roman" w:cs="Times New Roman"/>
                <w:b/>
                <w:szCs w:val="20"/>
              </w:rPr>
            </w:pPr>
            <w:r w:rsidRPr="002B3E1D">
              <w:rPr>
                <w:rFonts w:ascii="Times New Roman" w:hAnsi="Times New Roman" w:cs="Times New Roman"/>
                <w:b/>
                <w:szCs w:val="20"/>
              </w:rPr>
              <w:t>Model 1</w:t>
            </w:r>
          </w:p>
        </w:tc>
        <w:tc>
          <w:tcPr>
            <w:tcW w:w="928" w:type="pct"/>
            <w:gridSpan w:val="2"/>
            <w:tcBorders>
              <w:top w:val="nil"/>
              <w:left w:val="single" w:sz="2" w:space="0" w:color="auto"/>
              <w:bottom w:val="single" w:sz="2" w:space="0" w:color="auto"/>
              <w:right w:val="single" w:sz="2" w:space="0" w:color="auto"/>
            </w:tcBorders>
            <w:noWrap/>
            <w:tcMar>
              <w:left w:w="6" w:type="dxa"/>
              <w:right w:w="6" w:type="dxa"/>
            </w:tcMar>
          </w:tcPr>
          <w:p w14:paraId="6C19666B" w14:textId="77777777" w:rsidR="008F5536" w:rsidRPr="002B3E1D" w:rsidRDefault="008F5536" w:rsidP="008F5536">
            <w:pPr>
              <w:jc w:val="center"/>
              <w:rPr>
                <w:rFonts w:ascii="Times New Roman" w:hAnsi="Times New Roman" w:cs="Times New Roman"/>
                <w:b/>
                <w:szCs w:val="20"/>
              </w:rPr>
            </w:pPr>
            <w:r w:rsidRPr="002B3E1D">
              <w:rPr>
                <w:rFonts w:ascii="Times New Roman" w:hAnsi="Times New Roman" w:cs="Times New Roman"/>
                <w:b/>
                <w:szCs w:val="20"/>
              </w:rPr>
              <w:t>Regression</w:t>
            </w:r>
          </w:p>
          <w:p w14:paraId="257B070A" w14:textId="77777777" w:rsidR="008F5536" w:rsidRPr="002B3E1D" w:rsidRDefault="008F5536" w:rsidP="008F5536">
            <w:pPr>
              <w:jc w:val="center"/>
              <w:rPr>
                <w:rFonts w:ascii="Times New Roman" w:hAnsi="Times New Roman" w:cs="Times New Roman"/>
                <w:b/>
                <w:szCs w:val="20"/>
              </w:rPr>
            </w:pPr>
            <w:r w:rsidRPr="002B3E1D">
              <w:rPr>
                <w:rFonts w:ascii="Times New Roman" w:hAnsi="Times New Roman" w:cs="Times New Roman"/>
                <w:b/>
                <w:szCs w:val="20"/>
              </w:rPr>
              <w:t>Model 2</w:t>
            </w:r>
          </w:p>
        </w:tc>
        <w:tc>
          <w:tcPr>
            <w:tcW w:w="928" w:type="pct"/>
            <w:gridSpan w:val="2"/>
            <w:tcBorders>
              <w:top w:val="nil"/>
              <w:left w:val="single" w:sz="2" w:space="0" w:color="auto"/>
              <w:bottom w:val="single" w:sz="2" w:space="0" w:color="auto"/>
              <w:right w:val="single" w:sz="2" w:space="0" w:color="auto"/>
            </w:tcBorders>
            <w:noWrap/>
            <w:tcMar>
              <w:left w:w="6" w:type="dxa"/>
              <w:right w:w="6" w:type="dxa"/>
            </w:tcMar>
          </w:tcPr>
          <w:p w14:paraId="7BC9E152" w14:textId="77777777" w:rsidR="008F5536" w:rsidRPr="002B3E1D" w:rsidRDefault="008F5536" w:rsidP="008F5536">
            <w:pPr>
              <w:jc w:val="center"/>
              <w:rPr>
                <w:rFonts w:ascii="Times New Roman" w:hAnsi="Times New Roman" w:cs="Times New Roman"/>
                <w:b/>
                <w:szCs w:val="20"/>
              </w:rPr>
            </w:pPr>
            <w:r w:rsidRPr="002B3E1D">
              <w:rPr>
                <w:rFonts w:ascii="Times New Roman" w:hAnsi="Times New Roman" w:cs="Times New Roman"/>
                <w:b/>
                <w:szCs w:val="20"/>
              </w:rPr>
              <w:t>Regression</w:t>
            </w:r>
          </w:p>
          <w:p w14:paraId="0AD60D10" w14:textId="77777777" w:rsidR="008F5536" w:rsidRPr="002B3E1D" w:rsidRDefault="008F5536" w:rsidP="008F5536">
            <w:pPr>
              <w:jc w:val="center"/>
              <w:rPr>
                <w:rFonts w:ascii="Times New Roman" w:hAnsi="Times New Roman" w:cs="Times New Roman"/>
                <w:b/>
                <w:szCs w:val="20"/>
              </w:rPr>
            </w:pPr>
            <w:r w:rsidRPr="002B3E1D">
              <w:rPr>
                <w:rFonts w:ascii="Times New Roman" w:hAnsi="Times New Roman" w:cs="Times New Roman"/>
                <w:b/>
                <w:szCs w:val="20"/>
              </w:rPr>
              <w:t>Model 3</w:t>
            </w:r>
          </w:p>
        </w:tc>
        <w:tc>
          <w:tcPr>
            <w:tcW w:w="913" w:type="pct"/>
            <w:gridSpan w:val="2"/>
            <w:tcBorders>
              <w:top w:val="nil"/>
              <w:left w:val="single" w:sz="2" w:space="0" w:color="auto"/>
              <w:bottom w:val="single" w:sz="2" w:space="0" w:color="auto"/>
            </w:tcBorders>
            <w:noWrap/>
            <w:tcMar>
              <w:left w:w="6" w:type="dxa"/>
              <w:right w:w="6" w:type="dxa"/>
            </w:tcMar>
          </w:tcPr>
          <w:p w14:paraId="50BFE578" w14:textId="77777777" w:rsidR="008F5536" w:rsidRPr="002B3E1D" w:rsidRDefault="008F5536" w:rsidP="008F5536">
            <w:pPr>
              <w:jc w:val="center"/>
              <w:rPr>
                <w:rFonts w:ascii="Times New Roman" w:hAnsi="Times New Roman" w:cs="Times New Roman"/>
                <w:b/>
                <w:szCs w:val="20"/>
              </w:rPr>
            </w:pPr>
            <w:r w:rsidRPr="002B3E1D">
              <w:rPr>
                <w:rFonts w:ascii="Times New Roman" w:hAnsi="Times New Roman" w:cs="Times New Roman"/>
                <w:b/>
                <w:szCs w:val="20"/>
              </w:rPr>
              <w:t>Regression</w:t>
            </w:r>
          </w:p>
          <w:p w14:paraId="6CD31172" w14:textId="77777777" w:rsidR="008F5536" w:rsidRPr="002B3E1D" w:rsidRDefault="008F5536" w:rsidP="008F5536">
            <w:pPr>
              <w:jc w:val="center"/>
              <w:rPr>
                <w:rFonts w:ascii="Times New Roman" w:hAnsi="Times New Roman" w:cs="Times New Roman"/>
                <w:b/>
                <w:szCs w:val="20"/>
              </w:rPr>
            </w:pPr>
            <w:r w:rsidRPr="002B3E1D">
              <w:rPr>
                <w:rFonts w:ascii="Times New Roman" w:hAnsi="Times New Roman" w:cs="Times New Roman"/>
                <w:b/>
                <w:szCs w:val="20"/>
              </w:rPr>
              <w:t>Model 4</w:t>
            </w:r>
          </w:p>
        </w:tc>
      </w:tr>
      <w:tr w:rsidR="008F5536" w:rsidRPr="002B3E1D" w14:paraId="75AF324D" w14:textId="77777777" w:rsidTr="008F5536">
        <w:tc>
          <w:tcPr>
            <w:tcW w:w="1291" w:type="pct"/>
            <w:tcBorders>
              <w:bottom w:val="nil"/>
            </w:tcBorders>
            <w:noWrap/>
            <w:tcMar>
              <w:left w:w="6" w:type="dxa"/>
              <w:right w:w="6" w:type="dxa"/>
            </w:tcMar>
          </w:tcPr>
          <w:p w14:paraId="5D845B07" w14:textId="77777777" w:rsidR="008F5536" w:rsidRPr="002B3E1D" w:rsidRDefault="008F5536" w:rsidP="008F5536">
            <w:pPr>
              <w:rPr>
                <w:rFonts w:ascii="Times New Roman" w:hAnsi="Times New Roman" w:cs="Times New Roman"/>
                <w:szCs w:val="20"/>
              </w:rPr>
            </w:pPr>
          </w:p>
        </w:tc>
        <w:tc>
          <w:tcPr>
            <w:tcW w:w="464" w:type="pct"/>
            <w:tcBorders>
              <w:top w:val="single" w:sz="2" w:space="0" w:color="auto"/>
              <w:bottom w:val="single" w:sz="2" w:space="0" w:color="auto"/>
            </w:tcBorders>
            <w:tcMar>
              <w:left w:w="6" w:type="dxa"/>
              <w:right w:w="6" w:type="dxa"/>
            </w:tcMar>
          </w:tcPr>
          <w:p w14:paraId="39A50185" w14:textId="77777777" w:rsidR="008F5536" w:rsidRPr="002B3E1D" w:rsidRDefault="008F5536" w:rsidP="008F5536">
            <w:pPr>
              <w:jc w:val="center"/>
              <w:rPr>
                <w:rFonts w:ascii="Times New Roman" w:hAnsi="Times New Roman" w:cs="Times New Roman"/>
                <w:b/>
                <w:szCs w:val="20"/>
              </w:rPr>
            </w:pPr>
            <w:r w:rsidRPr="002B3E1D">
              <w:rPr>
                <w:rFonts w:ascii="Times New Roman" w:hAnsi="Times New Roman" w:cs="Times New Roman"/>
                <w:b/>
                <w:szCs w:val="20"/>
              </w:rPr>
              <w:t>β</w:t>
            </w:r>
            <w:r w:rsidRPr="002B3E1D">
              <w:rPr>
                <w:rFonts w:ascii="Times New Roman" w:hAnsi="Times New Roman" w:cs="Times New Roman"/>
                <w:b/>
                <w:szCs w:val="20"/>
                <w:vertAlign w:val="superscript"/>
              </w:rPr>
              <w:t>1</w:t>
            </w:r>
          </w:p>
        </w:tc>
        <w:tc>
          <w:tcPr>
            <w:tcW w:w="476" w:type="pct"/>
            <w:tcBorders>
              <w:top w:val="single" w:sz="2" w:space="0" w:color="auto"/>
              <w:bottom w:val="single" w:sz="2" w:space="0" w:color="auto"/>
              <w:right w:val="single" w:sz="2" w:space="0" w:color="auto"/>
            </w:tcBorders>
            <w:tcMar>
              <w:left w:w="6" w:type="dxa"/>
              <w:right w:w="6" w:type="dxa"/>
            </w:tcMar>
          </w:tcPr>
          <w:p w14:paraId="0A382D54" w14:textId="77777777" w:rsidR="008F5536" w:rsidRPr="002B3E1D" w:rsidRDefault="008F5536" w:rsidP="008F5536">
            <w:pPr>
              <w:jc w:val="center"/>
              <w:rPr>
                <w:rFonts w:ascii="Times New Roman" w:hAnsi="Times New Roman" w:cs="Times New Roman"/>
                <w:b/>
                <w:szCs w:val="20"/>
              </w:rPr>
            </w:pPr>
            <w:r w:rsidRPr="002B3E1D">
              <w:rPr>
                <w:rFonts w:ascii="Times New Roman" w:hAnsi="Times New Roman" w:cs="Times New Roman"/>
                <w:b/>
                <w:i/>
                <w:szCs w:val="20"/>
              </w:rPr>
              <w:t>t</w:t>
            </w:r>
            <w:r w:rsidRPr="002B3E1D">
              <w:rPr>
                <w:rFonts w:ascii="Times New Roman" w:hAnsi="Times New Roman" w:cs="Times New Roman"/>
                <w:b/>
                <w:szCs w:val="20"/>
              </w:rPr>
              <w:t>-value</w:t>
            </w:r>
          </w:p>
        </w:tc>
        <w:tc>
          <w:tcPr>
            <w:tcW w:w="464" w:type="pct"/>
            <w:tcBorders>
              <w:top w:val="single" w:sz="2" w:space="0" w:color="auto"/>
              <w:left w:val="single" w:sz="2" w:space="0" w:color="auto"/>
              <w:bottom w:val="single" w:sz="2" w:space="0" w:color="auto"/>
            </w:tcBorders>
            <w:noWrap/>
            <w:tcMar>
              <w:left w:w="6" w:type="dxa"/>
              <w:right w:w="6" w:type="dxa"/>
            </w:tcMar>
          </w:tcPr>
          <w:p w14:paraId="282F931C" w14:textId="77777777" w:rsidR="008F5536" w:rsidRPr="002B3E1D" w:rsidRDefault="008F5536" w:rsidP="008F5536">
            <w:pPr>
              <w:jc w:val="center"/>
              <w:rPr>
                <w:rFonts w:ascii="Times New Roman" w:hAnsi="Times New Roman" w:cs="Times New Roman"/>
                <w:b/>
                <w:szCs w:val="20"/>
              </w:rPr>
            </w:pPr>
            <w:r w:rsidRPr="002B3E1D">
              <w:rPr>
                <w:rFonts w:ascii="Times New Roman" w:hAnsi="Times New Roman" w:cs="Times New Roman"/>
                <w:b/>
                <w:szCs w:val="20"/>
              </w:rPr>
              <w:t>β</w:t>
            </w:r>
            <w:r w:rsidRPr="002B3E1D">
              <w:rPr>
                <w:rFonts w:ascii="Times New Roman" w:hAnsi="Times New Roman" w:cs="Times New Roman"/>
                <w:b/>
                <w:szCs w:val="20"/>
                <w:vertAlign w:val="superscript"/>
              </w:rPr>
              <w:t>1</w:t>
            </w:r>
          </w:p>
        </w:tc>
        <w:tc>
          <w:tcPr>
            <w:tcW w:w="464" w:type="pct"/>
            <w:tcBorders>
              <w:top w:val="single" w:sz="2" w:space="0" w:color="auto"/>
              <w:bottom w:val="single" w:sz="2" w:space="0" w:color="auto"/>
              <w:right w:val="single" w:sz="2" w:space="0" w:color="auto"/>
            </w:tcBorders>
            <w:noWrap/>
            <w:tcMar>
              <w:left w:w="6" w:type="dxa"/>
              <w:right w:w="6" w:type="dxa"/>
            </w:tcMar>
          </w:tcPr>
          <w:p w14:paraId="442B575D" w14:textId="77777777" w:rsidR="008F5536" w:rsidRPr="002B3E1D" w:rsidRDefault="008F5536" w:rsidP="008F5536">
            <w:pPr>
              <w:jc w:val="center"/>
              <w:rPr>
                <w:rFonts w:ascii="Times New Roman" w:hAnsi="Times New Roman" w:cs="Times New Roman"/>
                <w:b/>
                <w:szCs w:val="20"/>
              </w:rPr>
            </w:pPr>
            <w:r w:rsidRPr="002B3E1D">
              <w:rPr>
                <w:rFonts w:ascii="Times New Roman" w:hAnsi="Times New Roman" w:cs="Times New Roman"/>
                <w:b/>
                <w:i/>
                <w:szCs w:val="20"/>
              </w:rPr>
              <w:t>t</w:t>
            </w:r>
            <w:r w:rsidRPr="002B3E1D">
              <w:rPr>
                <w:rFonts w:ascii="Times New Roman" w:hAnsi="Times New Roman" w:cs="Times New Roman"/>
                <w:b/>
                <w:szCs w:val="20"/>
              </w:rPr>
              <w:t>-value</w:t>
            </w:r>
          </w:p>
        </w:tc>
        <w:tc>
          <w:tcPr>
            <w:tcW w:w="464" w:type="pct"/>
            <w:tcBorders>
              <w:top w:val="single" w:sz="2" w:space="0" w:color="auto"/>
              <w:left w:val="single" w:sz="2" w:space="0" w:color="auto"/>
              <w:bottom w:val="single" w:sz="2" w:space="0" w:color="auto"/>
            </w:tcBorders>
            <w:noWrap/>
            <w:tcMar>
              <w:left w:w="6" w:type="dxa"/>
              <w:right w:w="6" w:type="dxa"/>
            </w:tcMar>
          </w:tcPr>
          <w:p w14:paraId="4DC35B7B" w14:textId="77777777" w:rsidR="008F5536" w:rsidRPr="002B3E1D" w:rsidRDefault="008F5536" w:rsidP="008F5536">
            <w:pPr>
              <w:jc w:val="center"/>
              <w:rPr>
                <w:rFonts w:ascii="Times New Roman" w:hAnsi="Times New Roman" w:cs="Times New Roman"/>
                <w:b/>
                <w:szCs w:val="20"/>
              </w:rPr>
            </w:pPr>
            <w:r w:rsidRPr="002B3E1D">
              <w:rPr>
                <w:rFonts w:ascii="Times New Roman" w:hAnsi="Times New Roman" w:cs="Times New Roman"/>
                <w:b/>
                <w:szCs w:val="20"/>
              </w:rPr>
              <w:t>β</w:t>
            </w:r>
            <w:r w:rsidRPr="002B3E1D">
              <w:rPr>
                <w:rFonts w:ascii="Times New Roman" w:hAnsi="Times New Roman" w:cs="Times New Roman"/>
                <w:b/>
                <w:szCs w:val="20"/>
                <w:vertAlign w:val="superscript"/>
              </w:rPr>
              <w:t>1</w:t>
            </w:r>
          </w:p>
        </w:tc>
        <w:tc>
          <w:tcPr>
            <w:tcW w:w="464" w:type="pct"/>
            <w:tcBorders>
              <w:top w:val="single" w:sz="2" w:space="0" w:color="auto"/>
              <w:bottom w:val="single" w:sz="2" w:space="0" w:color="auto"/>
              <w:right w:val="single" w:sz="2" w:space="0" w:color="auto"/>
            </w:tcBorders>
            <w:noWrap/>
            <w:tcMar>
              <w:left w:w="6" w:type="dxa"/>
              <w:right w:w="6" w:type="dxa"/>
            </w:tcMar>
          </w:tcPr>
          <w:p w14:paraId="5A996F93" w14:textId="77777777" w:rsidR="008F5536" w:rsidRPr="002B3E1D" w:rsidRDefault="008F5536" w:rsidP="008F5536">
            <w:pPr>
              <w:jc w:val="center"/>
              <w:rPr>
                <w:rFonts w:ascii="Times New Roman" w:hAnsi="Times New Roman" w:cs="Times New Roman"/>
                <w:b/>
                <w:szCs w:val="20"/>
              </w:rPr>
            </w:pPr>
            <w:r w:rsidRPr="002B3E1D">
              <w:rPr>
                <w:rFonts w:ascii="Times New Roman" w:hAnsi="Times New Roman" w:cs="Times New Roman"/>
                <w:b/>
                <w:i/>
                <w:szCs w:val="20"/>
              </w:rPr>
              <w:t>t</w:t>
            </w:r>
            <w:r w:rsidRPr="002B3E1D">
              <w:rPr>
                <w:rFonts w:ascii="Times New Roman" w:hAnsi="Times New Roman" w:cs="Times New Roman"/>
                <w:b/>
                <w:szCs w:val="20"/>
              </w:rPr>
              <w:t>-value</w:t>
            </w:r>
          </w:p>
        </w:tc>
        <w:tc>
          <w:tcPr>
            <w:tcW w:w="464" w:type="pct"/>
            <w:tcBorders>
              <w:top w:val="single" w:sz="2" w:space="0" w:color="auto"/>
              <w:left w:val="single" w:sz="2" w:space="0" w:color="auto"/>
              <w:bottom w:val="single" w:sz="2" w:space="0" w:color="auto"/>
            </w:tcBorders>
            <w:noWrap/>
            <w:tcMar>
              <w:left w:w="6" w:type="dxa"/>
              <w:right w:w="6" w:type="dxa"/>
            </w:tcMar>
          </w:tcPr>
          <w:p w14:paraId="4B5A37D6" w14:textId="77777777" w:rsidR="008F5536" w:rsidRPr="002B3E1D" w:rsidRDefault="008F5536" w:rsidP="008F5536">
            <w:pPr>
              <w:jc w:val="center"/>
              <w:rPr>
                <w:rFonts w:ascii="Times New Roman" w:hAnsi="Times New Roman" w:cs="Times New Roman"/>
                <w:b/>
                <w:szCs w:val="20"/>
              </w:rPr>
            </w:pPr>
            <w:r w:rsidRPr="002B3E1D">
              <w:rPr>
                <w:rFonts w:ascii="Times New Roman" w:hAnsi="Times New Roman" w:cs="Times New Roman"/>
                <w:b/>
                <w:szCs w:val="20"/>
              </w:rPr>
              <w:t>β</w:t>
            </w:r>
            <w:r w:rsidRPr="002B3E1D">
              <w:rPr>
                <w:rFonts w:ascii="Times New Roman" w:hAnsi="Times New Roman" w:cs="Times New Roman"/>
                <w:b/>
                <w:szCs w:val="20"/>
                <w:vertAlign w:val="superscript"/>
              </w:rPr>
              <w:t>1</w:t>
            </w:r>
          </w:p>
        </w:tc>
        <w:tc>
          <w:tcPr>
            <w:tcW w:w="449" w:type="pct"/>
            <w:tcBorders>
              <w:top w:val="single" w:sz="2" w:space="0" w:color="auto"/>
              <w:bottom w:val="single" w:sz="2" w:space="0" w:color="auto"/>
            </w:tcBorders>
            <w:noWrap/>
            <w:tcMar>
              <w:left w:w="6" w:type="dxa"/>
              <w:right w:w="6" w:type="dxa"/>
            </w:tcMar>
          </w:tcPr>
          <w:p w14:paraId="5F1CF9FC" w14:textId="77777777" w:rsidR="008F5536" w:rsidRPr="002B3E1D" w:rsidRDefault="008F5536" w:rsidP="008F5536">
            <w:pPr>
              <w:jc w:val="center"/>
              <w:rPr>
                <w:rFonts w:ascii="Times New Roman" w:hAnsi="Times New Roman" w:cs="Times New Roman"/>
                <w:b/>
                <w:szCs w:val="20"/>
              </w:rPr>
            </w:pPr>
            <w:r w:rsidRPr="002B3E1D">
              <w:rPr>
                <w:rFonts w:ascii="Times New Roman" w:hAnsi="Times New Roman" w:cs="Times New Roman"/>
                <w:b/>
                <w:i/>
                <w:szCs w:val="20"/>
              </w:rPr>
              <w:t>t</w:t>
            </w:r>
            <w:r w:rsidRPr="002B3E1D">
              <w:rPr>
                <w:rFonts w:ascii="Times New Roman" w:hAnsi="Times New Roman" w:cs="Times New Roman"/>
                <w:b/>
                <w:szCs w:val="20"/>
              </w:rPr>
              <w:t>-value</w:t>
            </w:r>
          </w:p>
        </w:tc>
      </w:tr>
      <w:tr w:rsidR="008F5536" w:rsidRPr="002B3E1D" w14:paraId="3E71FB01" w14:textId="77777777" w:rsidTr="008F5536">
        <w:tc>
          <w:tcPr>
            <w:tcW w:w="1291" w:type="pct"/>
            <w:noWrap/>
            <w:tcMar>
              <w:left w:w="6" w:type="dxa"/>
              <w:right w:w="6" w:type="dxa"/>
            </w:tcMar>
          </w:tcPr>
          <w:p w14:paraId="5D29BA8B" w14:textId="77777777" w:rsidR="008F5536" w:rsidRPr="002B3E1D" w:rsidRDefault="008F5536" w:rsidP="008F5536">
            <w:pPr>
              <w:rPr>
                <w:rFonts w:ascii="Times New Roman" w:hAnsi="Times New Roman" w:cs="Times New Roman"/>
                <w:b/>
                <w:szCs w:val="20"/>
              </w:rPr>
            </w:pPr>
            <w:r w:rsidRPr="002B3E1D">
              <w:rPr>
                <w:rFonts w:ascii="Times New Roman" w:hAnsi="Times New Roman" w:cs="Times New Roman"/>
                <w:b/>
                <w:szCs w:val="20"/>
              </w:rPr>
              <w:t>Control Variables</w:t>
            </w:r>
          </w:p>
        </w:tc>
        <w:tc>
          <w:tcPr>
            <w:tcW w:w="464" w:type="pct"/>
            <w:tcBorders>
              <w:top w:val="single" w:sz="2" w:space="0" w:color="auto"/>
            </w:tcBorders>
            <w:tcMar>
              <w:left w:w="6" w:type="dxa"/>
              <w:right w:w="6" w:type="dxa"/>
            </w:tcMar>
            <w:vAlign w:val="bottom"/>
          </w:tcPr>
          <w:p w14:paraId="24E64907" w14:textId="77777777" w:rsidR="008F5536" w:rsidRPr="002B3E1D" w:rsidRDefault="008F5536" w:rsidP="008F5536">
            <w:pPr>
              <w:tabs>
                <w:tab w:val="decimal" w:pos="340"/>
              </w:tabs>
              <w:rPr>
                <w:rFonts w:ascii="Times New Roman" w:hAnsi="Times New Roman" w:cs="Times New Roman"/>
                <w:szCs w:val="20"/>
              </w:rPr>
            </w:pPr>
          </w:p>
        </w:tc>
        <w:tc>
          <w:tcPr>
            <w:tcW w:w="476" w:type="pct"/>
            <w:tcBorders>
              <w:top w:val="single" w:sz="2" w:space="0" w:color="auto"/>
              <w:right w:val="single" w:sz="2" w:space="0" w:color="auto"/>
            </w:tcBorders>
            <w:tcMar>
              <w:left w:w="6" w:type="dxa"/>
              <w:right w:w="6" w:type="dxa"/>
            </w:tcMar>
            <w:vAlign w:val="bottom"/>
          </w:tcPr>
          <w:p w14:paraId="318C65EA" w14:textId="77777777" w:rsidR="008F5536" w:rsidRPr="002B3E1D" w:rsidRDefault="008F5536" w:rsidP="008F5536">
            <w:pPr>
              <w:tabs>
                <w:tab w:val="decimal" w:pos="340"/>
              </w:tabs>
              <w:rPr>
                <w:rFonts w:ascii="Times New Roman" w:hAnsi="Times New Roman" w:cs="Times New Roman"/>
                <w:szCs w:val="20"/>
              </w:rPr>
            </w:pPr>
          </w:p>
        </w:tc>
        <w:tc>
          <w:tcPr>
            <w:tcW w:w="464" w:type="pct"/>
            <w:tcBorders>
              <w:top w:val="single" w:sz="2" w:space="0" w:color="auto"/>
              <w:left w:val="single" w:sz="2" w:space="0" w:color="auto"/>
            </w:tcBorders>
            <w:noWrap/>
            <w:tcMar>
              <w:left w:w="6" w:type="dxa"/>
              <w:right w:w="6" w:type="dxa"/>
            </w:tcMar>
            <w:vAlign w:val="bottom"/>
          </w:tcPr>
          <w:p w14:paraId="722E89B6" w14:textId="77777777" w:rsidR="008F5536" w:rsidRPr="002B3E1D" w:rsidRDefault="008F5536" w:rsidP="008F5536">
            <w:pPr>
              <w:tabs>
                <w:tab w:val="decimal" w:pos="340"/>
              </w:tabs>
              <w:rPr>
                <w:rFonts w:ascii="Times New Roman" w:hAnsi="Times New Roman" w:cs="Times New Roman"/>
                <w:szCs w:val="20"/>
              </w:rPr>
            </w:pPr>
          </w:p>
        </w:tc>
        <w:tc>
          <w:tcPr>
            <w:tcW w:w="464" w:type="pct"/>
            <w:tcBorders>
              <w:top w:val="single" w:sz="2" w:space="0" w:color="auto"/>
              <w:right w:val="single" w:sz="2" w:space="0" w:color="auto"/>
            </w:tcBorders>
            <w:noWrap/>
            <w:tcMar>
              <w:left w:w="6" w:type="dxa"/>
              <w:right w:w="6" w:type="dxa"/>
            </w:tcMar>
            <w:vAlign w:val="bottom"/>
          </w:tcPr>
          <w:p w14:paraId="7E6604CC" w14:textId="77777777" w:rsidR="008F5536" w:rsidRPr="002B3E1D" w:rsidRDefault="008F5536" w:rsidP="008F5536">
            <w:pPr>
              <w:tabs>
                <w:tab w:val="decimal" w:pos="340"/>
              </w:tabs>
              <w:rPr>
                <w:rFonts w:ascii="Times New Roman" w:hAnsi="Times New Roman" w:cs="Times New Roman"/>
                <w:szCs w:val="20"/>
              </w:rPr>
            </w:pPr>
          </w:p>
        </w:tc>
        <w:tc>
          <w:tcPr>
            <w:tcW w:w="464" w:type="pct"/>
            <w:tcBorders>
              <w:top w:val="single" w:sz="2" w:space="0" w:color="auto"/>
              <w:left w:val="single" w:sz="2" w:space="0" w:color="auto"/>
            </w:tcBorders>
            <w:noWrap/>
            <w:tcMar>
              <w:left w:w="6" w:type="dxa"/>
              <w:right w:w="6" w:type="dxa"/>
            </w:tcMar>
            <w:vAlign w:val="bottom"/>
          </w:tcPr>
          <w:p w14:paraId="2AD305B7" w14:textId="77777777" w:rsidR="008F5536" w:rsidRPr="002B3E1D" w:rsidRDefault="008F5536" w:rsidP="008F5536">
            <w:pPr>
              <w:tabs>
                <w:tab w:val="decimal" w:pos="340"/>
              </w:tabs>
              <w:rPr>
                <w:rFonts w:ascii="Times New Roman" w:hAnsi="Times New Roman" w:cs="Times New Roman"/>
                <w:szCs w:val="20"/>
              </w:rPr>
            </w:pPr>
          </w:p>
        </w:tc>
        <w:tc>
          <w:tcPr>
            <w:tcW w:w="464" w:type="pct"/>
            <w:tcBorders>
              <w:top w:val="single" w:sz="2" w:space="0" w:color="auto"/>
              <w:right w:val="single" w:sz="2" w:space="0" w:color="auto"/>
            </w:tcBorders>
            <w:noWrap/>
            <w:tcMar>
              <w:left w:w="6" w:type="dxa"/>
              <w:right w:w="6" w:type="dxa"/>
            </w:tcMar>
            <w:vAlign w:val="bottom"/>
          </w:tcPr>
          <w:p w14:paraId="7C8EFDD7" w14:textId="77777777" w:rsidR="008F5536" w:rsidRPr="002B3E1D" w:rsidRDefault="008F5536" w:rsidP="008F5536">
            <w:pPr>
              <w:tabs>
                <w:tab w:val="decimal" w:pos="340"/>
              </w:tabs>
              <w:rPr>
                <w:rFonts w:ascii="Times New Roman" w:hAnsi="Times New Roman" w:cs="Times New Roman"/>
                <w:szCs w:val="20"/>
              </w:rPr>
            </w:pPr>
          </w:p>
        </w:tc>
        <w:tc>
          <w:tcPr>
            <w:tcW w:w="464" w:type="pct"/>
            <w:tcBorders>
              <w:top w:val="single" w:sz="2" w:space="0" w:color="auto"/>
              <w:left w:val="single" w:sz="2" w:space="0" w:color="auto"/>
            </w:tcBorders>
            <w:noWrap/>
            <w:tcMar>
              <w:left w:w="6" w:type="dxa"/>
              <w:right w:w="6" w:type="dxa"/>
            </w:tcMar>
            <w:vAlign w:val="bottom"/>
          </w:tcPr>
          <w:p w14:paraId="14AD226F" w14:textId="77777777" w:rsidR="008F5536" w:rsidRPr="002B3E1D" w:rsidRDefault="008F5536" w:rsidP="008F5536">
            <w:pPr>
              <w:tabs>
                <w:tab w:val="decimal" w:pos="340"/>
              </w:tabs>
              <w:rPr>
                <w:rFonts w:ascii="Times New Roman" w:hAnsi="Times New Roman" w:cs="Times New Roman"/>
                <w:szCs w:val="20"/>
              </w:rPr>
            </w:pPr>
          </w:p>
        </w:tc>
        <w:tc>
          <w:tcPr>
            <w:tcW w:w="449" w:type="pct"/>
            <w:tcBorders>
              <w:top w:val="single" w:sz="2" w:space="0" w:color="auto"/>
            </w:tcBorders>
            <w:noWrap/>
            <w:tcMar>
              <w:left w:w="6" w:type="dxa"/>
              <w:right w:w="6" w:type="dxa"/>
            </w:tcMar>
            <w:vAlign w:val="bottom"/>
          </w:tcPr>
          <w:p w14:paraId="510EC395" w14:textId="77777777" w:rsidR="008F5536" w:rsidRPr="002B3E1D" w:rsidRDefault="008F5536" w:rsidP="008F5536">
            <w:pPr>
              <w:tabs>
                <w:tab w:val="decimal" w:pos="340"/>
              </w:tabs>
              <w:rPr>
                <w:rFonts w:ascii="Times New Roman" w:hAnsi="Times New Roman" w:cs="Times New Roman"/>
                <w:szCs w:val="20"/>
              </w:rPr>
            </w:pPr>
          </w:p>
        </w:tc>
      </w:tr>
      <w:tr w:rsidR="008F5536" w:rsidRPr="002B3E1D" w14:paraId="11B17EBE" w14:textId="77777777" w:rsidTr="008F5536">
        <w:tc>
          <w:tcPr>
            <w:tcW w:w="1291" w:type="pct"/>
            <w:noWrap/>
            <w:tcMar>
              <w:left w:w="6" w:type="dxa"/>
              <w:right w:w="6" w:type="dxa"/>
            </w:tcMar>
          </w:tcPr>
          <w:p w14:paraId="35B720F8" w14:textId="77777777" w:rsidR="008F5536" w:rsidRPr="002B3E1D" w:rsidRDefault="00562D43" w:rsidP="008F5536">
            <w:pPr>
              <w:rPr>
                <w:rFonts w:ascii="Times New Roman" w:hAnsi="Times New Roman" w:cs="Times New Roman"/>
                <w:bCs/>
                <w:szCs w:val="20"/>
              </w:rPr>
            </w:pPr>
            <w:r w:rsidRPr="002B3E1D">
              <w:rPr>
                <w:rFonts w:ascii="Times New Roman" w:hAnsi="Times New Roman" w:cs="Times New Roman"/>
                <w:bCs/>
                <w:szCs w:val="20"/>
              </w:rPr>
              <w:t>M&amp;A</w:t>
            </w:r>
            <w:r w:rsidR="008F5536" w:rsidRPr="002B3E1D">
              <w:rPr>
                <w:rFonts w:ascii="Times New Roman" w:hAnsi="Times New Roman" w:cs="Times New Roman"/>
                <w:bCs/>
                <w:szCs w:val="20"/>
              </w:rPr>
              <w:t xml:space="preserve"> Type</w:t>
            </w:r>
          </w:p>
        </w:tc>
        <w:tc>
          <w:tcPr>
            <w:tcW w:w="464" w:type="pct"/>
            <w:tcBorders>
              <w:top w:val="nil"/>
            </w:tcBorders>
            <w:tcMar>
              <w:left w:w="6" w:type="dxa"/>
              <w:right w:w="6" w:type="dxa"/>
            </w:tcMar>
          </w:tcPr>
          <w:p w14:paraId="4D788822"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-.20</w:t>
            </w:r>
          </w:p>
        </w:tc>
        <w:tc>
          <w:tcPr>
            <w:tcW w:w="476" w:type="pct"/>
            <w:tcBorders>
              <w:top w:val="nil"/>
              <w:right w:val="single" w:sz="2" w:space="0" w:color="auto"/>
            </w:tcBorders>
            <w:tcMar>
              <w:left w:w="6" w:type="dxa"/>
              <w:right w:w="6" w:type="dxa"/>
            </w:tcMar>
          </w:tcPr>
          <w:p w14:paraId="240B697A"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-2.11*</w:t>
            </w:r>
          </w:p>
        </w:tc>
        <w:tc>
          <w:tcPr>
            <w:tcW w:w="464" w:type="pct"/>
            <w:tcBorders>
              <w:left w:val="single" w:sz="2" w:space="0" w:color="auto"/>
            </w:tcBorders>
            <w:noWrap/>
            <w:tcMar>
              <w:left w:w="6" w:type="dxa"/>
              <w:right w:w="6" w:type="dxa"/>
            </w:tcMar>
          </w:tcPr>
          <w:p w14:paraId="64DA4117"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-.19</w:t>
            </w:r>
          </w:p>
        </w:tc>
        <w:tc>
          <w:tcPr>
            <w:tcW w:w="464" w:type="pct"/>
            <w:tcBorders>
              <w:right w:val="single" w:sz="2" w:space="0" w:color="auto"/>
            </w:tcBorders>
            <w:noWrap/>
            <w:tcMar>
              <w:left w:w="6" w:type="dxa"/>
              <w:right w:w="6" w:type="dxa"/>
            </w:tcMar>
          </w:tcPr>
          <w:p w14:paraId="23FFEC0B"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-2.25*</w:t>
            </w:r>
          </w:p>
        </w:tc>
        <w:tc>
          <w:tcPr>
            <w:tcW w:w="464" w:type="pct"/>
            <w:tcBorders>
              <w:left w:val="single" w:sz="2" w:space="0" w:color="auto"/>
            </w:tcBorders>
            <w:noWrap/>
            <w:tcMar>
              <w:left w:w="6" w:type="dxa"/>
              <w:right w:w="6" w:type="dxa"/>
            </w:tcMar>
          </w:tcPr>
          <w:p w14:paraId="2C0F2FEC"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-.16</w:t>
            </w:r>
          </w:p>
        </w:tc>
        <w:tc>
          <w:tcPr>
            <w:tcW w:w="464" w:type="pct"/>
            <w:tcBorders>
              <w:right w:val="single" w:sz="2" w:space="0" w:color="auto"/>
            </w:tcBorders>
            <w:noWrap/>
            <w:tcMar>
              <w:left w:w="6" w:type="dxa"/>
              <w:right w:w="6" w:type="dxa"/>
            </w:tcMar>
          </w:tcPr>
          <w:p w14:paraId="5DAE46FA"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-2.02*</w:t>
            </w:r>
          </w:p>
        </w:tc>
        <w:tc>
          <w:tcPr>
            <w:tcW w:w="464" w:type="pct"/>
            <w:tcBorders>
              <w:left w:val="single" w:sz="2" w:space="0" w:color="auto"/>
            </w:tcBorders>
            <w:noWrap/>
            <w:tcMar>
              <w:left w:w="6" w:type="dxa"/>
              <w:right w:w="6" w:type="dxa"/>
            </w:tcMar>
          </w:tcPr>
          <w:p w14:paraId="01E5C149"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-.16</w:t>
            </w:r>
          </w:p>
        </w:tc>
        <w:tc>
          <w:tcPr>
            <w:tcW w:w="449" w:type="pct"/>
            <w:noWrap/>
            <w:tcMar>
              <w:left w:w="6" w:type="dxa"/>
              <w:right w:w="6" w:type="dxa"/>
            </w:tcMar>
          </w:tcPr>
          <w:p w14:paraId="6634C68A"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-2.06*</w:t>
            </w:r>
          </w:p>
        </w:tc>
      </w:tr>
      <w:tr w:rsidR="008F5536" w:rsidRPr="002B3E1D" w14:paraId="0E252BFA" w14:textId="77777777" w:rsidTr="008F5536">
        <w:tc>
          <w:tcPr>
            <w:tcW w:w="1291" w:type="pct"/>
            <w:noWrap/>
            <w:tcMar>
              <w:left w:w="6" w:type="dxa"/>
              <w:right w:w="6" w:type="dxa"/>
            </w:tcMar>
          </w:tcPr>
          <w:p w14:paraId="61580B00" w14:textId="77777777" w:rsidR="008F5536" w:rsidRPr="002B3E1D" w:rsidRDefault="008F5536" w:rsidP="008F5536">
            <w:pPr>
              <w:rPr>
                <w:rFonts w:ascii="Times New Roman" w:hAnsi="Times New Roman" w:cs="Times New Roman"/>
                <w:bCs/>
                <w:szCs w:val="20"/>
              </w:rPr>
            </w:pPr>
            <w:r w:rsidRPr="002B3E1D">
              <w:rPr>
                <w:rFonts w:ascii="Times New Roman" w:hAnsi="Times New Roman" w:cs="Times New Roman"/>
                <w:bCs/>
                <w:szCs w:val="20"/>
              </w:rPr>
              <w:t>Acquiring Firm Size</w:t>
            </w:r>
          </w:p>
        </w:tc>
        <w:tc>
          <w:tcPr>
            <w:tcW w:w="464" w:type="pct"/>
            <w:tcBorders>
              <w:top w:val="nil"/>
            </w:tcBorders>
            <w:tcMar>
              <w:left w:w="6" w:type="dxa"/>
              <w:right w:w="6" w:type="dxa"/>
            </w:tcMar>
          </w:tcPr>
          <w:p w14:paraId="09AADFE3"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-.10</w:t>
            </w:r>
          </w:p>
        </w:tc>
        <w:tc>
          <w:tcPr>
            <w:tcW w:w="476" w:type="pct"/>
            <w:tcBorders>
              <w:top w:val="nil"/>
              <w:right w:val="single" w:sz="2" w:space="0" w:color="auto"/>
            </w:tcBorders>
            <w:tcMar>
              <w:left w:w="6" w:type="dxa"/>
              <w:right w:w="6" w:type="dxa"/>
            </w:tcMar>
          </w:tcPr>
          <w:p w14:paraId="7B5BB59E"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-1.12</w:t>
            </w:r>
          </w:p>
        </w:tc>
        <w:tc>
          <w:tcPr>
            <w:tcW w:w="464" w:type="pct"/>
            <w:tcBorders>
              <w:left w:val="single" w:sz="2" w:space="0" w:color="auto"/>
            </w:tcBorders>
            <w:noWrap/>
            <w:tcMar>
              <w:left w:w="6" w:type="dxa"/>
              <w:right w:w="6" w:type="dxa"/>
            </w:tcMar>
          </w:tcPr>
          <w:p w14:paraId="08536A69"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-.07</w:t>
            </w:r>
          </w:p>
        </w:tc>
        <w:tc>
          <w:tcPr>
            <w:tcW w:w="464" w:type="pct"/>
            <w:tcBorders>
              <w:right w:val="single" w:sz="2" w:space="0" w:color="auto"/>
            </w:tcBorders>
            <w:noWrap/>
            <w:tcMar>
              <w:left w:w="6" w:type="dxa"/>
              <w:right w:w="6" w:type="dxa"/>
            </w:tcMar>
          </w:tcPr>
          <w:p w14:paraId="0325E2F0"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-.83</w:t>
            </w:r>
          </w:p>
        </w:tc>
        <w:tc>
          <w:tcPr>
            <w:tcW w:w="464" w:type="pct"/>
            <w:tcBorders>
              <w:left w:val="single" w:sz="2" w:space="0" w:color="auto"/>
            </w:tcBorders>
            <w:noWrap/>
            <w:tcMar>
              <w:left w:w="6" w:type="dxa"/>
              <w:right w:w="6" w:type="dxa"/>
            </w:tcMar>
          </w:tcPr>
          <w:p w14:paraId="5F7FCBC8"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-.07</w:t>
            </w:r>
          </w:p>
        </w:tc>
        <w:tc>
          <w:tcPr>
            <w:tcW w:w="464" w:type="pct"/>
            <w:tcBorders>
              <w:right w:val="single" w:sz="2" w:space="0" w:color="auto"/>
            </w:tcBorders>
            <w:noWrap/>
            <w:tcMar>
              <w:left w:w="6" w:type="dxa"/>
              <w:right w:w="6" w:type="dxa"/>
            </w:tcMar>
          </w:tcPr>
          <w:p w14:paraId="44B99325"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-.89</w:t>
            </w:r>
          </w:p>
        </w:tc>
        <w:tc>
          <w:tcPr>
            <w:tcW w:w="464" w:type="pct"/>
            <w:tcBorders>
              <w:left w:val="single" w:sz="2" w:space="0" w:color="auto"/>
            </w:tcBorders>
            <w:noWrap/>
            <w:tcMar>
              <w:left w:w="6" w:type="dxa"/>
              <w:right w:w="6" w:type="dxa"/>
            </w:tcMar>
          </w:tcPr>
          <w:p w14:paraId="1E4EDAF8"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-.08</w:t>
            </w:r>
          </w:p>
        </w:tc>
        <w:tc>
          <w:tcPr>
            <w:tcW w:w="449" w:type="pct"/>
            <w:noWrap/>
            <w:tcMar>
              <w:left w:w="6" w:type="dxa"/>
              <w:right w:w="6" w:type="dxa"/>
            </w:tcMar>
          </w:tcPr>
          <w:p w14:paraId="52331E7B"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-1.01</w:t>
            </w:r>
          </w:p>
        </w:tc>
      </w:tr>
      <w:tr w:rsidR="008F5536" w:rsidRPr="002B3E1D" w14:paraId="29CABF97" w14:textId="77777777" w:rsidTr="008F5536">
        <w:tc>
          <w:tcPr>
            <w:tcW w:w="1291" w:type="pct"/>
            <w:noWrap/>
            <w:tcMar>
              <w:left w:w="6" w:type="dxa"/>
              <w:right w:w="6" w:type="dxa"/>
            </w:tcMar>
          </w:tcPr>
          <w:p w14:paraId="4314E0C0" w14:textId="77777777" w:rsidR="008F5536" w:rsidRPr="002B3E1D" w:rsidRDefault="008F5536" w:rsidP="008F5536">
            <w:pPr>
              <w:rPr>
                <w:rFonts w:ascii="Times New Roman" w:hAnsi="Times New Roman" w:cs="Times New Roman"/>
                <w:bCs/>
                <w:szCs w:val="20"/>
              </w:rPr>
            </w:pPr>
            <w:r w:rsidRPr="002B3E1D">
              <w:rPr>
                <w:rFonts w:ascii="Times New Roman" w:hAnsi="Times New Roman" w:cs="Times New Roman"/>
                <w:bCs/>
                <w:szCs w:val="20"/>
              </w:rPr>
              <w:t>Acquiring Firm Age</w:t>
            </w:r>
          </w:p>
        </w:tc>
        <w:tc>
          <w:tcPr>
            <w:tcW w:w="464" w:type="pct"/>
            <w:tcBorders>
              <w:top w:val="nil"/>
            </w:tcBorders>
            <w:tcMar>
              <w:left w:w="6" w:type="dxa"/>
              <w:right w:w="6" w:type="dxa"/>
            </w:tcMar>
          </w:tcPr>
          <w:p w14:paraId="12FEF1CE"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.03</w:t>
            </w:r>
          </w:p>
        </w:tc>
        <w:tc>
          <w:tcPr>
            <w:tcW w:w="476" w:type="pct"/>
            <w:tcBorders>
              <w:top w:val="nil"/>
              <w:right w:val="single" w:sz="2" w:space="0" w:color="auto"/>
            </w:tcBorders>
            <w:tcMar>
              <w:left w:w="6" w:type="dxa"/>
              <w:right w:w="6" w:type="dxa"/>
            </w:tcMar>
          </w:tcPr>
          <w:p w14:paraId="598F2D52"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.32</w:t>
            </w:r>
          </w:p>
        </w:tc>
        <w:tc>
          <w:tcPr>
            <w:tcW w:w="464" w:type="pct"/>
            <w:tcBorders>
              <w:left w:val="single" w:sz="2" w:space="0" w:color="auto"/>
            </w:tcBorders>
            <w:noWrap/>
            <w:tcMar>
              <w:left w:w="6" w:type="dxa"/>
              <w:right w:w="6" w:type="dxa"/>
            </w:tcMar>
          </w:tcPr>
          <w:p w14:paraId="64CA998C"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.05</w:t>
            </w:r>
          </w:p>
        </w:tc>
        <w:tc>
          <w:tcPr>
            <w:tcW w:w="464" w:type="pct"/>
            <w:tcBorders>
              <w:right w:val="single" w:sz="2" w:space="0" w:color="auto"/>
            </w:tcBorders>
            <w:noWrap/>
            <w:tcMar>
              <w:left w:w="6" w:type="dxa"/>
              <w:right w:w="6" w:type="dxa"/>
            </w:tcMar>
          </w:tcPr>
          <w:p w14:paraId="4B718C3D"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.56</w:t>
            </w:r>
          </w:p>
        </w:tc>
        <w:tc>
          <w:tcPr>
            <w:tcW w:w="464" w:type="pct"/>
            <w:tcBorders>
              <w:left w:val="single" w:sz="2" w:space="0" w:color="auto"/>
            </w:tcBorders>
            <w:noWrap/>
            <w:tcMar>
              <w:left w:w="6" w:type="dxa"/>
              <w:right w:w="6" w:type="dxa"/>
            </w:tcMar>
          </w:tcPr>
          <w:p w14:paraId="5E1DEE14"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.10</w:t>
            </w:r>
          </w:p>
        </w:tc>
        <w:tc>
          <w:tcPr>
            <w:tcW w:w="464" w:type="pct"/>
            <w:tcBorders>
              <w:right w:val="single" w:sz="2" w:space="0" w:color="auto"/>
            </w:tcBorders>
            <w:noWrap/>
            <w:tcMar>
              <w:left w:w="6" w:type="dxa"/>
              <w:right w:w="6" w:type="dxa"/>
            </w:tcMar>
          </w:tcPr>
          <w:p w14:paraId="3D436103"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1.08</w:t>
            </w:r>
          </w:p>
        </w:tc>
        <w:tc>
          <w:tcPr>
            <w:tcW w:w="464" w:type="pct"/>
            <w:tcBorders>
              <w:left w:val="single" w:sz="2" w:space="0" w:color="auto"/>
            </w:tcBorders>
            <w:noWrap/>
            <w:tcMar>
              <w:left w:w="6" w:type="dxa"/>
              <w:right w:w="6" w:type="dxa"/>
            </w:tcMar>
          </w:tcPr>
          <w:p w14:paraId="5CED9192"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.11</w:t>
            </w:r>
          </w:p>
        </w:tc>
        <w:tc>
          <w:tcPr>
            <w:tcW w:w="449" w:type="pct"/>
            <w:noWrap/>
            <w:tcMar>
              <w:left w:w="6" w:type="dxa"/>
              <w:right w:w="6" w:type="dxa"/>
            </w:tcMar>
          </w:tcPr>
          <w:p w14:paraId="20F673F2"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1.25</w:t>
            </w:r>
          </w:p>
        </w:tc>
      </w:tr>
      <w:tr w:rsidR="008F5536" w:rsidRPr="002B3E1D" w14:paraId="6E19DDF3" w14:textId="77777777" w:rsidTr="008F5536">
        <w:tc>
          <w:tcPr>
            <w:tcW w:w="1291" w:type="pct"/>
            <w:noWrap/>
            <w:tcMar>
              <w:left w:w="6" w:type="dxa"/>
              <w:right w:w="6" w:type="dxa"/>
            </w:tcMar>
          </w:tcPr>
          <w:p w14:paraId="6224D1EE" w14:textId="77777777" w:rsidR="008F5536" w:rsidRPr="002B3E1D" w:rsidRDefault="008F5536" w:rsidP="008F5536">
            <w:pPr>
              <w:rPr>
                <w:rFonts w:ascii="Times New Roman" w:hAnsi="Times New Roman" w:cs="Times New Roman"/>
                <w:bCs/>
                <w:szCs w:val="20"/>
              </w:rPr>
            </w:pPr>
            <w:r w:rsidRPr="002B3E1D">
              <w:rPr>
                <w:rFonts w:ascii="Times New Roman" w:hAnsi="Times New Roman" w:cs="Times New Roman"/>
                <w:bCs/>
                <w:szCs w:val="20"/>
              </w:rPr>
              <w:t>Time Since Deal Completion</w:t>
            </w:r>
          </w:p>
        </w:tc>
        <w:tc>
          <w:tcPr>
            <w:tcW w:w="464" w:type="pct"/>
            <w:tcBorders>
              <w:top w:val="nil"/>
            </w:tcBorders>
            <w:tcMar>
              <w:left w:w="6" w:type="dxa"/>
              <w:right w:w="6" w:type="dxa"/>
            </w:tcMar>
          </w:tcPr>
          <w:p w14:paraId="39967BA4"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-.19</w:t>
            </w:r>
          </w:p>
        </w:tc>
        <w:tc>
          <w:tcPr>
            <w:tcW w:w="476" w:type="pct"/>
            <w:tcBorders>
              <w:top w:val="nil"/>
              <w:right w:val="single" w:sz="2" w:space="0" w:color="auto"/>
            </w:tcBorders>
            <w:tcMar>
              <w:left w:w="6" w:type="dxa"/>
              <w:right w:w="6" w:type="dxa"/>
            </w:tcMar>
          </w:tcPr>
          <w:p w14:paraId="5D1216CC"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-2.05*</w:t>
            </w:r>
          </w:p>
        </w:tc>
        <w:tc>
          <w:tcPr>
            <w:tcW w:w="464" w:type="pct"/>
            <w:tcBorders>
              <w:left w:val="single" w:sz="2" w:space="0" w:color="auto"/>
            </w:tcBorders>
            <w:noWrap/>
            <w:tcMar>
              <w:left w:w="6" w:type="dxa"/>
              <w:right w:w="6" w:type="dxa"/>
            </w:tcMar>
          </w:tcPr>
          <w:p w14:paraId="1A01703F"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-.19</w:t>
            </w:r>
          </w:p>
        </w:tc>
        <w:tc>
          <w:tcPr>
            <w:tcW w:w="464" w:type="pct"/>
            <w:tcBorders>
              <w:right w:val="single" w:sz="2" w:space="0" w:color="auto"/>
            </w:tcBorders>
            <w:noWrap/>
            <w:tcMar>
              <w:left w:w="6" w:type="dxa"/>
              <w:right w:w="6" w:type="dxa"/>
            </w:tcMar>
          </w:tcPr>
          <w:p w14:paraId="443BD616"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-2.13*</w:t>
            </w:r>
          </w:p>
        </w:tc>
        <w:tc>
          <w:tcPr>
            <w:tcW w:w="464" w:type="pct"/>
            <w:tcBorders>
              <w:left w:val="single" w:sz="2" w:space="0" w:color="auto"/>
            </w:tcBorders>
            <w:noWrap/>
            <w:tcMar>
              <w:left w:w="6" w:type="dxa"/>
              <w:right w:w="6" w:type="dxa"/>
            </w:tcMar>
          </w:tcPr>
          <w:p w14:paraId="4690E27C"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-.13</w:t>
            </w:r>
          </w:p>
        </w:tc>
        <w:tc>
          <w:tcPr>
            <w:tcW w:w="464" w:type="pct"/>
            <w:tcBorders>
              <w:right w:val="single" w:sz="2" w:space="0" w:color="auto"/>
            </w:tcBorders>
            <w:noWrap/>
            <w:tcMar>
              <w:left w:w="6" w:type="dxa"/>
              <w:right w:w="6" w:type="dxa"/>
            </w:tcMar>
          </w:tcPr>
          <w:p w14:paraId="3F4D7661"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-1.53</w:t>
            </w:r>
          </w:p>
        </w:tc>
        <w:tc>
          <w:tcPr>
            <w:tcW w:w="464" w:type="pct"/>
            <w:tcBorders>
              <w:left w:val="single" w:sz="2" w:space="0" w:color="auto"/>
            </w:tcBorders>
            <w:noWrap/>
            <w:tcMar>
              <w:left w:w="6" w:type="dxa"/>
              <w:right w:w="6" w:type="dxa"/>
            </w:tcMar>
          </w:tcPr>
          <w:p w14:paraId="19C33E15"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-.18</w:t>
            </w:r>
          </w:p>
        </w:tc>
        <w:tc>
          <w:tcPr>
            <w:tcW w:w="449" w:type="pct"/>
            <w:noWrap/>
            <w:tcMar>
              <w:left w:w="6" w:type="dxa"/>
              <w:right w:w="6" w:type="dxa"/>
            </w:tcMar>
          </w:tcPr>
          <w:p w14:paraId="7231731C"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-2.05*</w:t>
            </w:r>
          </w:p>
        </w:tc>
      </w:tr>
      <w:tr w:rsidR="008F5536" w:rsidRPr="002B3E1D" w14:paraId="48291BEC" w14:textId="77777777" w:rsidTr="008F5536">
        <w:tc>
          <w:tcPr>
            <w:tcW w:w="1291" w:type="pct"/>
            <w:noWrap/>
            <w:tcMar>
              <w:left w:w="6" w:type="dxa"/>
              <w:right w:w="6" w:type="dxa"/>
            </w:tcMar>
          </w:tcPr>
          <w:p w14:paraId="716498F4" w14:textId="77777777" w:rsidR="008F5536" w:rsidRPr="002B3E1D" w:rsidRDefault="008F5536" w:rsidP="008F5536">
            <w:pPr>
              <w:rPr>
                <w:rFonts w:ascii="Times New Roman" w:hAnsi="Times New Roman" w:cs="Times New Roman"/>
                <w:bCs/>
                <w:szCs w:val="20"/>
              </w:rPr>
            </w:pPr>
            <w:r w:rsidRPr="002B3E1D">
              <w:rPr>
                <w:rFonts w:ascii="Times New Roman" w:hAnsi="Times New Roman" w:cs="Times New Roman"/>
                <w:bCs/>
                <w:szCs w:val="20"/>
              </w:rPr>
              <w:t xml:space="preserve">Years of </w:t>
            </w:r>
            <w:r w:rsidR="00562D43" w:rsidRPr="002B3E1D">
              <w:rPr>
                <w:rFonts w:ascii="Times New Roman" w:hAnsi="Times New Roman" w:cs="Times New Roman"/>
                <w:bCs/>
                <w:szCs w:val="20"/>
              </w:rPr>
              <w:t>M&amp;A</w:t>
            </w:r>
            <w:r w:rsidRPr="002B3E1D">
              <w:rPr>
                <w:rFonts w:ascii="Times New Roman" w:hAnsi="Times New Roman" w:cs="Times New Roman"/>
                <w:bCs/>
                <w:szCs w:val="20"/>
              </w:rPr>
              <w:t xml:space="preserve"> Experience</w:t>
            </w:r>
          </w:p>
        </w:tc>
        <w:tc>
          <w:tcPr>
            <w:tcW w:w="464" w:type="pct"/>
            <w:tcBorders>
              <w:top w:val="nil"/>
            </w:tcBorders>
            <w:tcMar>
              <w:left w:w="6" w:type="dxa"/>
              <w:right w:w="6" w:type="dxa"/>
            </w:tcMar>
          </w:tcPr>
          <w:p w14:paraId="3B4CB536"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-.08</w:t>
            </w:r>
          </w:p>
        </w:tc>
        <w:tc>
          <w:tcPr>
            <w:tcW w:w="476" w:type="pct"/>
            <w:tcBorders>
              <w:top w:val="nil"/>
              <w:right w:val="single" w:sz="2" w:space="0" w:color="auto"/>
            </w:tcBorders>
            <w:tcMar>
              <w:left w:w="6" w:type="dxa"/>
              <w:right w:w="6" w:type="dxa"/>
            </w:tcMar>
          </w:tcPr>
          <w:p w14:paraId="08D0BA1A"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-.63</w:t>
            </w:r>
          </w:p>
        </w:tc>
        <w:tc>
          <w:tcPr>
            <w:tcW w:w="464" w:type="pct"/>
            <w:tcBorders>
              <w:left w:val="single" w:sz="2" w:space="0" w:color="auto"/>
            </w:tcBorders>
            <w:noWrap/>
            <w:tcMar>
              <w:left w:w="6" w:type="dxa"/>
              <w:right w:w="6" w:type="dxa"/>
            </w:tcMar>
          </w:tcPr>
          <w:p w14:paraId="4A8036FC"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-.05</w:t>
            </w:r>
          </w:p>
        </w:tc>
        <w:tc>
          <w:tcPr>
            <w:tcW w:w="464" w:type="pct"/>
            <w:tcBorders>
              <w:right w:val="single" w:sz="2" w:space="0" w:color="auto"/>
            </w:tcBorders>
            <w:noWrap/>
            <w:tcMar>
              <w:left w:w="6" w:type="dxa"/>
              <w:right w:w="6" w:type="dxa"/>
            </w:tcMar>
          </w:tcPr>
          <w:p w14:paraId="33CA3C96"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-.44</w:t>
            </w:r>
          </w:p>
        </w:tc>
        <w:tc>
          <w:tcPr>
            <w:tcW w:w="464" w:type="pct"/>
            <w:tcBorders>
              <w:left w:val="single" w:sz="2" w:space="0" w:color="auto"/>
            </w:tcBorders>
            <w:noWrap/>
            <w:tcMar>
              <w:left w:w="6" w:type="dxa"/>
              <w:right w:w="6" w:type="dxa"/>
            </w:tcMar>
          </w:tcPr>
          <w:p w14:paraId="70831491"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-.02</w:t>
            </w:r>
          </w:p>
        </w:tc>
        <w:tc>
          <w:tcPr>
            <w:tcW w:w="464" w:type="pct"/>
            <w:tcBorders>
              <w:right w:val="single" w:sz="2" w:space="0" w:color="auto"/>
            </w:tcBorders>
            <w:noWrap/>
            <w:tcMar>
              <w:left w:w="6" w:type="dxa"/>
              <w:right w:w="6" w:type="dxa"/>
            </w:tcMar>
          </w:tcPr>
          <w:p w14:paraId="6FB8E2DA"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-.16</w:t>
            </w:r>
          </w:p>
        </w:tc>
        <w:tc>
          <w:tcPr>
            <w:tcW w:w="464" w:type="pct"/>
            <w:tcBorders>
              <w:left w:val="single" w:sz="2" w:space="0" w:color="auto"/>
            </w:tcBorders>
            <w:noWrap/>
            <w:tcMar>
              <w:left w:w="6" w:type="dxa"/>
              <w:right w:w="6" w:type="dxa"/>
            </w:tcMar>
          </w:tcPr>
          <w:p w14:paraId="22E3BFDB"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.03</w:t>
            </w:r>
          </w:p>
        </w:tc>
        <w:tc>
          <w:tcPr>
            <w:tcW w:w="449" w:type="pct"/>
            <w:noWrap/>
            <w:tcMar>
              <w:left w:w="6" w:type="dxa"/>
              <w:right w:w="6" w:type="dxa"/>
            </w:tcMar>
          </w:tcPr>
          <w:p w14:paraId="1643F560"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.24</w:t>
            </w:r>
          </w:p>
        </w:tc>
      </w:tr>
      <w:tr w:rsidR="008F5536" w:rsidRPr="002B3E1D" w14:paraId="17799BB7" w14:textId="77777777" w:rsidTr="008F5536">
        <w:tc>
          <w:tcPr>
            <w:tcW w:w="1291" w:type="pct"/>
            <w:noWrap/>
            <w:tcMar>
              <w:left w:w="6" w:type="dxa"/>
              <w:right w:w="6" w:type="dxa"/>
            </w:tcMar>
          </w:tcPr>
          <w:p w14:paraId="6C21017A" w14:textId="77777777" w:rsidR="008F5536" w:rsidRPr="002B3E1D" w:rsidRDefault="008F5536" w:rsidP="008F5536">
            <w:pPr>
              <w:rPr>
                <w:rFonts w:ascii="Times New Roman" w:hAnsi="Times New Roman" w:cs="Times New Roman"/>
                <w:bCs/>
                <w:szCs w:val="20"/>
              </w:rPr>
            </w:pPr>
            <w:r w:rsidRPr="002B3E1D">
              <w:rPr>
                <w:rFonts w:ascii="Times New Roman" w:hAnsi="Times New Roman" w:cs="Times New Roman"/>
                <w:bCs/>
                <w:szCs w:val="20"/>
              </w:rPr>
              <w:t>Industry Relatedness</w:t>
            </w:r>
          </w:p>
        </w:tc>
        <w:tc>
          <w:tcPr>
            <w:tcW w:w="464" w:type="pct"/>
            <w:tcBorders>
              <w:top w:val="nil"/>
            </w:tcBorders>
            <w:tcMar>
              <w:left w:w="6" w:type="dxa"/>
              <w:right w:w="6" w:type="dxa"/>
            </w:tcMar>
          </w:tcPr>
          <w:p w14:paraId="49428FDE"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.04</w:t>
            </w:r>
          </w:p>
        </w:tc>
        <w:tc>
          <w:tcPr>
            <w:tcW w:w="476" w:type="pct"/>
            <w:tcBorders>
              <w:top w:val="nil"/>
              <w:right w:val="single" w:sz="2" w:space="0" w:color="auto"/>
            </w:tcBorders>
            <w:tcMar>
              <w:left w:w="6" w:type="dxa"/>
              <w:right w:w="6" w:type="dxa"/>
            </w:tcMar>
          </w:tcPr>
          <w:p w14:paraId="19961CE1"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.44</w:t>
            </w:r>
          </w:p>
        </w:tc>
        <w:tc>
          <w:tcPr>
            <w:tcW w:w="464" w:type="pct"/>
            <w:tcBorders>
              <w:left w:val="single" w:sz="2" w:space="0" w:color="auto"/>
            </w:tcBorders>
            <w:noWrap/>
            <w:tcMar>
              <w:left w:w="6" w:type="dxa"/>
              <w:right w:w="6" w:type="dxa"/>
            </w:tcMar>
          </w:tcPr>
          <w:p w14:paraId="2EDEA66D"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.02</w:t>
            </w:r>
          </w:p>
        </w:tc>
        <w:tc>
          <w:tcPr>
            <w:tcW w:w="464" w:type="pct"/>
            <w:tcBorders>
              <w:right w:val="single" w:sz="2" w:space="0" w:color="auto"/>
            </w:tcBorders>
            <w:noWrap/>
            <w:tcMar>
              <w:left w:w="6" w:type="dxa"/>
              <w:right w:w="6" w:type="dxa"/>
            </w:tcMar>
          </w:tcPr>
          <w:p w14:paraId="2EA37067"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.23</w:t>
            </w:r>
          </w:p>
        </w:tc>
        <w:tc>
          <w:tcPr>
            <w:tcW w:w="464" w:type="pct"/>
            <w:tcBorders>
              <w:left w:val="single" w:sz="2" w:space="0" w:color="auto"/>
            </w:tcBorders>
            <w:noWrap/>
            <w:tcMar>
              <w:left w:w="6" w:type="dxa"/>
              <w:right w:w="6" w:type="dxa"/>
            </w:tcMar>
          </w:tcPr>
          <w:p w14:paraId="4F1BD9DD"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.01</w:t>
            </w:r>
          </w:p>
        </w:tc>
        <w:tc>
          <w:tcPr>
            <w:tcW w:w="464" w:type="pct"/>
            <w:tcBorders>
              <w:right w:val="single" w:sz="2" w:space="0" w:color="auto"/>
            </w:tcBorders>
            <w:noWrap/>
            <w:tcMar>
              <w:left w:w="6" w:type="dxa"/>
              <w:right w:w="6" w:type="dxa"/>
            </w:tcMar>
          </w:tcPr>
          <w:p w14:paraId="7A81C0D5"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.11</w:t>
            </w:r>
          </w:p>
        </w:tc>
        <w:tc>
          <w:tcPr>
            <w:tcW w:w="464" w:type="pct"/>
            <w:tcBorders>
              <w:left w:val="single" w:sz="2" w:space="0" w:color="auto"/>
            </w:tcBorders>
            <w:noWrap/>
            <w:tcMar>
              <w:left w:w="6" w:type="dxa"/>
              <w:right w:w="6" w:type="dxa"/>
            </w:tcMar>
          </w:tcPr>
          <w:p w14:paraId="5ECFAB81"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.05</w:t>
            </w:r>
          </w:p>
        </w:tc>
        <w:tc>
          <w:tcPr>
            <w:tcW w:w="449" w:type="pct"/>
            <w:noWrap/>
            <w:tcMar>
              <w:left w:w="6" w:type="dxa"/>
              <w:right w:w="6" w:type="dxa"/>
            </w:tcMar>
          </w:tcPr>
          <w:p w14:paraId="5FF36514"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.61</w:t>
            </w:r>
          </w:p>
        </w:tc>
      </w:tr>
      <w:tr w:rsidR="008F5536" w:rsidRPr="002B3E1D" w14:paraId="1305AF3F" w14:textId="77777777" w:rsidTr="008F5536">
        <w:tc>
          <w:tcPr>
            <w:tcW w:w="1291" w:type="pct"/>
            <w:noWrap/>
            <w:tcMar>
              <w:left w:w="6" w:type="dxa"/>
              <w:right w:w="6" w:type="dxa"/>
            </w:tcMar>
          </w:tcPr>
          <w:p w14:paraId="2F578117" w14:textId="77777777" w:rsidR="008F5536" w:rsidRPr="002B3E1D" w:rsidRDefault="008F5536" w:rsidP="008F5536">
            <w:pPr>
              <w:rPr>
                <w:rFonts w:ascii="Times New Roman" w:hAnsi="Times New Roman" w:cs="Times New Roman"/>
                <w:bCs/>
                <w:szCs w:val="20"/>
              </w:rPr>
            </w:pPr>
            <w:r w:rsidRPr="002B3E1D">
              <w:rPr>
                <w:rFonts w:ascii="Times New Roman" w:hAnsi="Times New Roman" w:cs="Times New Roman"/>
                <w:bCs/>
                <w:szCs w:val="20"/>
              </w:rPr>
              <w:t xml:space="preserve">Number of Previous </w:t>
            </w:r>
            <w:r w:rsidR="00562D43" w:rsidRPr="002B3E1D">
              <w:rPr>
                <w:rFonts w:ascii="Times New Roman" w:hAnsi="Times New Roman" w:cs="Times New Roman"/>
                <w:bCs/>
                <w:szCs w:val="20"/>
              </w:rPr>
              <w:t>M&amp;A</w:t>
            </w:r>
          </w:p>
        </w:tc>
        <w:tc>
          <w:tcPr>
            <w:tcW w:w="464" w:type="pct"/>
            <w:tcBorders>
              <w:top w:val="nil"/>
            </w:tcBorders>
            <w:tcMar>
              <w:left w:w="6" w:type="dxa"/>
              <w:right w:w="6" w:type="dxa"/>
            </w:tcMar>
          </w:tcPr>
          <w:p w14:paraId="4B001F61"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-.06</w:t>
            </w:r>
          </w:p>
        </w:tc>
        <w:tc>
          <w:tcPr>
            <w:tcW w:w="476" w:type="pct"/>
            <w:tcBorders>
              <w:top w:val="nil"/>
              <w:right w:val="single" w:sz="2" w:space="0" w:color="auto"/>
            </w:tcBorders>
            <w:tcMar>
              <w:left w:w="6" w:type="dxa"/>
              <w:right w:w="6" w:type="dxa"/>
            </w:tcMar>
          </w:tcPr>
          <w:p w14:paraId="5EC0A5C7"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-.50</w:t>
            </w:r>
          </w:p>
        </w:tc>
        <w:tc>
          <w:tcPr>
            <w:tcW w:w="464" w:type="pct"/>
            <w:tcBorders>
              <w:left w:val="single" w:sz="2" w:space="0" w:color="auto"/>
            </w:tcBorders>
            <w:noWrap/>
            <w:tcMar>
              <w:left w:w="6" w:type="dxa"/>
              <w:right w:w="6" w:type="dxa"/>
            </w:tcMar>
          </w:tcPr>
          <w:p w14:paraId="1FA49F75"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-.06</w:t>
            </w:r>
          </w:p>
        </w:tc>
        <w:tc>
          <w:tcPr>
            <w:tcW w:w="464" w:type="pct"/>
            <w:tcBorders>
              <w:right w:val="single" w:sz="2" w:space="0" w:color="auto"/>
            </w:tcBorders>
            <w:noWrap/>
            <w:tcMar>
              <w:left w:w="6" w:type="dxa"/>
              <w:right w:w="6" w:type="dxa"/>
            </w:tcMar>
          </w:tcPr>
          <w:p w14:paraId="09860F05"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-.59</w:t>
            </w:r>
          </w:p>
        </w:tc>
        <w:tc>
          <w:tcPr>
            <w:tcW w:w="464" w:type="pct"/>
            <w:tcBorders>
              <w:left w:val="single" w:sz="2" w:space="0" w:color="auto"/>
            </w:tcBorders>
            <w:noWrap/>
            <w:tcMar>
              <w:left w:w="6" w:type="dxa"/>
              <w:right w:w="6" w:type="dxa"/>
            </w:tcMar>
          </w:tcPr>
          <w:p w14:paraId="76FAD92D"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-.06</w:t>
            </w:r>
          </w:p>
        </w:tc>
        <w:tc>
          <w:tcPr>
            <w:tcW w:w="464" w:type="pct"/>
            <w:tcBorders>
              <w:right w:val="single" w:sz="2" w:space="0" w:color="auto"/>
            </w:tcBorders>
            <w:noWrap/>
            <w:tcMar>
              <w:left w:w="6" w:type="dxa"/>
              <w:right w:w="6" w:type="dxa"/>
            </w:tcMar>
          </w:tcPr>
          <w:p w14:paraId="106A938E"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-.56</w:t>
            </w:r>
          </w:p>
        </w:tc>
        <w:tc>
          <w:tcPr>
            <w:tcW w:w="464" w:type="pct"/>
            <w:tcBorders>
              <w:left w:val="single" w:sz="2" w:space="0" w:color="auto"/>
            </w:tcBorders>
            <w:noWrap/>
            <w:tcMar>
              <w:left w:w="6" w:type="dxa"/>
              <w:right w:w="6" w:type="dxa"/>
            </w:tcMar>
          </w:tcPr>
          <w:p w14:paraId="63AB59F8"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-.08</w:t>
            </w:r>
          </w:p>
        </w:tc>
        <w:tc>
          <w:tcPr>
            <w:tcW w:w="449" w:type="pct"/>
            <w:noWrap/>
            <w:tcMar>
              <w:left w:w="6" w:type="dxa"/>
              <w:right w:w="6" w:type="dxa"/>
            </w:tcMar>
          </w:tcPr>
          <w:p w14:paraId="3FA75F74"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-.82</w:t>
            </w:r>
          </w:p>
        </w:tc>
      </w:tr>
      <w:tr w:rsidR="008F5536" w:rsidRPr="002B3E1D" w14:paraId="4B9B0C8B" w14:textId="77777777" w:rsidTr="008F5536">
        <w:tc>
          <w:tcPr>
            <w:tcW w:w="1291" w:type="pct"/>
            <w:noWrap/>
            <w:tcMar>
              <w:left w:w="6" w:type="dxa"/>
              <w:right w:w="6" w:type="dxa"/>
            </w:tcMar>
          </w:tcPr>
          <w:p w14:paraId="5C20D003" w14:textId="77777777" w:rsidR="008F5536" w:rsidRPr="002B3E1D" w:rsidRDefault="008F5536" w:rsidP="008F5536">
            <w:pPr>
              <w:rPr>
                <w:rFonts w:ascii="Times New Roman" w:hAnsi="Times New Roman" w:cs="Times New Roman"/>
                <w:bCs/>
                <w:szCs w:val="20"/>
              </w:rPr>
            </w:pPr>
            <w:r w:rsidRPr="002B3E1D">
              <w:rPr>
                <w:rFonts w:ascii="Times New Roman" w:hAnsi="Times New Roman" w:cs="Times New Roman"/>
                <w:bCs/>
                <w:szCs w:val="20"/>
              </w:rPr>
              <w:t xml:space="preserve">Years of Target Market Experience </w:t>
            </w:r>
          </w:p>
        </w:tc>
        <w:tc>
          <w:tcPr>
            <w:tcW w:w="464" w:type="pct"/>
            <w:tcBorders>
              <w:top w:val="nil"/>
            </w:tcBorders>
            <w:tcMar>
              <w:left w:w="6" w:type="dxa"/>
              <w:right w:w="6" w:type="dxa"/>
            </w:tcMar>
          </w:tcPr>
          <w:p w14:paraId="71D8F1E8"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.02</w:t>
            </w:r>
          </w:p>
        </w:tc>
        <w:tc>
          <w:tcPr>
            <w:tcW w:w="476" w:type="pct"/>
            <w:tcBorders>
              <w:top w:val="nil"/>
              <w:right w:val="single" w:sz="2" w:space="0" w:color="auto"/>
            </w:tcBorders>
            <w:tcMar>
              <w:left w:w="6" w:type="dxa"/>
              <w:right w:w="6" w:type="dxa"/>
            </w:tcMar>
          </w:tcPr>
          <w:p w14:paraId="2AC543EC"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.26</w:t>
            </w:r>
          </w:p>
        </w:tc>
        <w:tc>
          <w:tcPr>
            <w:tcW w:w="464" w:type="pct"/>
            <w:tcBorders>
              <w:left w:val="single" w:sz="2" w:space="0" w:color="auto"/>
            </w:tcBorders>
            <w:noWrap/>
            <w:tcMar>
              <w:left w:w="6" w:type="dxa"/>
              <w:right w:w="6" w:type="dxa"/>
            </w:tcMar>
          </w:tcPr>
          <w:p w14:paraId="6CCB8B46"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.00</w:t>
            </w:r>
          </w:p>
        </w:tc>
        <w:tc>
          <w:tcPr>
            <w:tcW w:w="464" w:type="pct"/>
            <w:tcBorders>
              <w:right w:val="single" w:sz="2" w:space="0" w:color="auto"/>
            </w:tcBorders>
            <w:noWrap/>
            <w:tcMar>
              <w:left w:w="6" w:type="dxa"/>
              <w:right w:w="6" w:type="dxa"/>
            </w:tcMar>
          </w:tcPr>
          <w:p w14:paraId="57AAF4C3"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.04</w:t>
            </w:r>
          </w:p>
        </w:tc>
        <w:tc>
          <w:tcPr>
            <w:tcW w:w="464" w:type="pct"/>
            <w:tcBorders>
              <w:left w:val="single" w:sz="2" w:space="0" w:color="auto"/>
            </w:tcBorders>
            <w:noWrap/>
            <w:tcMar>
              <w:left w:w="6" w:type="dxa"/>
              <w:right w:w="6" w:type="dxa"/>
            </w:tcMar>
          </w:tcPr>
          <w:p w14:paraId="547CD240"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-.02</w:t>
            </w:r>
          </w:p>
        </w:tc>
        <w:tc>
          <w:tcPr>
            <w:tcW w:w="464" w:type="pct"/>
            <w:tcBorders>
              <w:right w:val="single" w:sz="2" w:space="0" w:color="auto"/>
            </w:tcBorders>
            <w:noWrap/>
            <w:tcMar>
              <w:left w:w="6" w:type="dxa"/>
              <w:right w:w="6" w:type="dxa"/>
            </w:tcMar>
          </w:tcPr>
          <w:p w14:paraId="539AD34A"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-.29</w:t>
            </w:r>
          </w:p>
        </w:tc>
        <w:tc>
          <w:tcPr>
            <w:tcW w:w="464" w:type="pct"/>
            <w:tcBorders>
              <w:left w:val="single" w:sz="2" w:space="0" w:color="auto"/>
            </w:tcBorders>
            <w:noWrap/>
            <w:tcMar>
              <w:left w:w="6" w:type="dxa"/>
              <w:right w:w="6" w:type="dxa"/>
            </w:tcMar>
          </w:tcPr>
          <w:p w14:paraId="75A8A941"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.01</w:t>
            </w:r>
          </w:p>
        </w:tc>
        <w:tc>
          <w:tcPr>
            <w:tcW w:w="449" w:type="pct"/>
            <w:noWrap/>
            <w:tcMar>
              <w:left w:w="6" w:type="dxa"/>
              <w:right w:w="6" w:type="dxa"/>
            </w:tcMar>
          </w:tcPr>
          <w:p w14:paraId="6272079D"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.09</w:t>
            </w:r>
          </w:p>
        </w:tc>
      </w:tr>
      <w:tr w:rsidR="008F5536" w:rsidRPr="002B3E1D" w14:paraId="5D875764" w14:textId="77777777" w:rsidTr="008F5536">
        <w:tc>
          <w:tcPr>
            <w:tcW w:w="1291" w:type="pct"/>
            <w:noWrap/>
            <w:tcMar>
              <w:left w:w="6" w:type="dxa"/>
              <w:right w:w="6" w:type="dxa"/>
            </w:tcMar>
          </w:tcPr>
          <w:p w14:paraId="163D09AA" w14:textId="77777777" w:rsidR="008F5536" w:rsidRPr="002B3E1D" w:rsidRDefault="008F5536" w:rsidP="008F5536">
            <w:pPr>
              <w:rPr>
                <w:rFonts w:ascii="Times New Roman" w:hAnsi="Times New Roman" w:cs="Times New Roman"/>
                <w:bCs/>
                <w:szCs w:val="20"/>
              </w:rPr>
            </w:pPr>
            <w:r w:rsidRPr="002B3E1D">
              <w:rPr>
                <w:rFonts w:ascii="Times New Roman" w:hAnsi="Times New Roman" w:cs="Times New Roman"/>
                <w:bCs/>
                <w:szCs w:val="20"/>
              </w:rPr>
              <w:t>Relative Firm Sizes</w:t>
            </w:r>
          </w:p>
        </w:tc>
        <w:tc>
          <w:tcPr>
            <w:tcW w:w="464" w:type="pct"/>
            <w:tcBorders>
              <w:top w:val="nil"/>
            </w:tcBorders>
            <w:tcMar>
              <w:left w:w="6" w:type="dxa"/>
              <w:right w:w="6" w:type="dxa"/>
            </w:tcMar>
          </w:tcPr>
          <w:p w14:paraId="3EA87814"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-.15</w:t>
            </w:r>
          </w:p>
        </w:tc>
        <w:tc>
          <w:tcPr>
            <w:tcW w:w="476" w:type="pct"/>
            <w:tcBorders>
              <w:top w:val="nil"/>
              <w:right w:val="single" w:sz="2" w:space="0" w:color="auto"/>
            </w:tcBorders>
            <w:tcMar>
              <w:left w:w="6" w:type="dxa"/>
              <w:right w:w="6" w:type="dxa"/>
            </w:tcMar>
          </w:tcPr>
          <w:p w14:paraId="60136F61"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-1.53</w:t>
            </w:r>
          </w:p>
        </w:tc>
        <w:tc>
          <w:tcPr>
            <w:tcW w:w="464" w:type="pct"/>
            <w:tcBorders>
              <w:left w:val="single" w:sz="2" w:space="0" w:color="auto"/>
            </w:tcBorders>
            <w:noWrap/>
            <w:tcMar>
              <w:left w:w="6" w:type="dxa"/>
              <w:right w:w="6" w:type="dxa"/>
            </w:tcMar>
          </w:tcPr>
          <w:p w14:paraId="64A4CD74"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-.15</w:t>
            </w:r>
          </w:p>
        </w:tc>
        <w:tc>
          <w:tcPr>
            <w:tcW w:w="464" w:type="pct"/>
            <w:tcBorders>
              <w:right w:val="single" w:sz="2" w:space="0" w:color="auto"/>
            </w:tcBorders>
            <w:noWrap/>
            <w:tcMar>
              <w:left w:w="6" w:type="dxa"/>
              <w:right w:w="6" w:type="dxa"/>
            </w:tcMar>
          </w:tcPr>
          <w:p w14:paraId="216AC697"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-1.71*</w:t>
            </w:r>
          </w:p>
        </w:tc>
        <w:tc>
          <w:tcPr>
            <w:tcW w:w="464" w:type="pct"/>
            <w:tcBorders>
              <w:left w:val="single" w:sz="2" w:space="0" w:color="auto"/>
            </w:tcBorders>
            <w:noWrap/>
            <w:tcMar>
              <w:left w:w="6" w:type="dxa"/>
              <w:right w:w="6" w:type="dxa"/>
            </w:tcMar>
          </w:tcPr>
          <w:p w14:paraId="18515477"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-.09</w:t>
            </w:r>
          </w:p>
        </w:tc>
        <w:tc>
          <w:tcPr>
            <w:tcW w:w="464" w:type="pct"/>
            <w:tcBorders>
              <w:right w:val="single" w:sz="2" w:space="0" w:color="auto"/>
            </w:tcBorders>
            <w:noWrap/>
            <w:tcMar>
              <w:left w:w="6" w:type="dxa"/>
              <w:right w:w="6" w:type="dxa"/>
            </w:tcMar>
          </w:tcPr>
          <w:p w14:paraId="03222942"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-1.06</w:t>
            </w:r>
          </w:p>
        </w:tc>
        <w:tc>
          <w:tcPr>
            <w:tcW w:w="464" w:type="pct"/>
            <w:tcBorders>
              <w:left w:val="single" w:sz="2" w:space="0" w:color="auto"/>
            </w:tcBorders>
            <w:noWrap/>
            <w:tcMar>
              <w:left w:w="6" w:type="dxa"/>
              <w:right w:w="6" w:type="dxa"/>
            </w:tcMar>
          </w:tcPr>
          <w:p w14:paraId="50957C27"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-.04</w:t>
            </w:r>
          </w:p>
        </w:tc>
        <w:tc>
          <w:tcPr>
            <w:tcW w:w="449" w:type="pct"/>
            <w:noWrap/>
            <w:tcMar>
              <w:left w:w="6" w:type="dxa"/>
              <w:right w:w="6" w:type="dxa"/>
            </w:tcMar>
          </w:tcPr>
          <w:p w14:paraId="11C8C056"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-.49</w:t>
            </w:r>
          </w:p>
        </w:tc>
      </w:tr>
      <w:tr w:rsidR="008F5536" w:rsidRPr="002B3E1D" w14:paraId="1684A55D" w14:textId="77777777" w:rsidTr="008F5536">
        <w:tc>
          <w:tcPr>
            <w:tcW w:w="1291" w:type="pct"/>
            <w:noWrap/>
            <w:tcMar>
              <w:left w:w="6" w:type="dxa"/>
              <w:right w:w="6" w:type="dxa"/>
            </w:tcMar>
          </w:tcPr>
          <w:p w14:paraId="2C30815A" w14:textId="77777777" w:rsidR="008F5536" w:rsidRPr="002B3E1D" w:rsidRDefault="008F5536" w:rsidP="008F5536">
            <w:pPr>
              <w:rPr>
                <w:rFonts w:ascii="Times New Roman" w:hAnsi="Times New Roman" w:cs="Times New Roman"/>
                <w:bCs/>
                <w:szCs w:val="20"/>
              </w:rPr>
            </w:pPr>
          </w:p>
        </w:tc>
        <w:tc>
          <w:tcPr>
            <w:tcW w:w="464" w:type="pct"/>
            <w:tcBorders>
              <w:top w:val="nil"/>
            </w:tcBorders>
            <w:tcMar>
              <w:left w:w="6" w:type="dxa"/>
              <w:right w:w="6" w:type="dxa"/>
            </w:tcMar>
            <w:vAlign w:val="bottom"/>
          </w:tcPr>
          <w:p w14:paraId="5BDF345B" w14:textId="77777777" w:rsidR="008F5536" w:rsidRPr="002B3E1D" w:rsidRDefault="008F5536" w:rsidP="008F5536">
            <w:pPr>
              <w:tabs>
                <w:tab w:val="decimal" w:pos="340"/>
              </w:tabs>
              <w:rPr>
                <w:rFonts w:ascii="Times New Roman" w:hAnsi="Times New Roman" w:cs="Times New Roman"/>
                <w:szCs w:val="20"/>
              </w:rPr>
            </w:pPr>
          </w:p>
        </w:tc>
        <w:tc>
          <w:tcPr>
            <w:tcW w:w="476" w:type="pct"/>
            <w:tcBorders>
              <w:top w:val="nil"/>
              <w:right w:val="single" w:sz="2" w:space="0" w:color="auto"/>
            </w:tcBorders>
            <w:tcMar>
              <w:left w:w="6" w:type="dxa"/>
              <w:right w:w="6" w:type="dxa"/>
            </w:tcMar>
            <w:vAlign w:val="bottom"/>
          </w:tcPr>
          <w:p w14:paraId="1CE87F05"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1E5DB53D" w14:textId="77777777" w:rsidR="008F5536" w:rsidRPr="002B3E1D" w:rsidRDefault="008F5536" w:rsidP="008F5536">
            <w:pPr>
              <w:tabs>
                <w:tab w:val="decimal" w:pos="340"/>
              </w:tabs>
              <w:rPr>
                <w:rFonts w:ascii="Times New Roman" w:hAnsi="Times New Roman" w:cs="Times New Roman"/>
                <w:szCs w:val="20"/>
              </w:rPr>
            </w:pPr>
          </w:p>
        </w:tc>
        <w:tc>
          <w:tcPr>
            <w:tcW w:w="464" w:type="pct"/>
            <w:tcBorders>
              <w:right w:val="single" w:sz="2" w:space="0" w:color="auto"/>
            </w:tcBorders>
            <w:noWrap/>
            <w:tcMar>
              <w:left w:w="6" w:type="dxa"/>
              <w:right w:w="6" w:type="dxa"/>
            </w:tcMar>
            <w:vAlign w:val="bottom"/>
          </w:tcPr>
          <w:p w14:paraId="0BFEB783"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45D2C19B" w14:textId="77777777" w:rsidR="008F5536" w:rsidRPr="002B3E1D" w:rsidRDefault="008F5536" w:rsidP="008F5536">
            <w:pPr>
              <w:tabs>
                <w:tab w:val="decimal" w:pos="340"/>
              </w:tabs>
              <w:rPr>
                <w:rFonts w:ascii="Times New Roman" w:hAnsi="Times New Roman" w:cs="Times New Roman"/>
                <w:szCs w:val="20"/>
              </w:rPr>
            </w:pPr>
          </w:p>
        </w:tc>
        <w:tc>
          <w:tcPr>
            <w:tcW w:w="464" w:type="pct"/>
            <w:tcBorders>
              <w:right w:val="single" w:sz="2" w:space="0" w:color="auto"/>
            </w:tcBorders>
            <w:noWrap/>
            <w:tcMar>
              <w:left w:w="6" w:type="dxa"/>
              <w:right w:w="6" w:type="dxa"/>
            </w:tcMar>
            <w:vAlign w:val="bottom"/>
          </w:tcPr>
          <w:p w14:paraId="415A26CF"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3A8FA253" w14:textId="77777777" w:rsidR="008F5536" w:rsidRPr="002B3E1D" w:rsidRDefault="008F5536" w:rsidP="008F5536">
            <w:pPr>
              <w:tabs>
                <w:tab w:val="decimal" w:pos="340"/>
              </w:tabs>
              <w:rPr>
                <w:rFonts w:ascii="Times New Roman" w:hAnsi="Times New Roman" w:cs="Times New Roman"/>
                <w:szCs w:val="20"/>
              </w:rPr>
            </w:pPr>
          </w:p>
        </w:tc>
        <w:tc>
          <w:tcPr>
            <w:tcW w:w="449" w:type="pct"/>
            <w:noWrap/>
            <w:tcMar>
              <w:left w:w="6" w:type="dxa"/>
              <w:right w:w="6" w:type="dxa"/>
            </w:tcMar>
            <w:vAlign w:val="bottom"/>
          </w:tcPr>
          <w:p w14:paraId="33531CCD" w14:textId="77777777" w:rsidR="008F5536" w:rsidRPr="002B3E1D" w:rsidRDefault="008F5536" w:rsidP="008F5536">
            <w:pPr>
              <w:tabs>
                <w:tab w:val="decimal" w:pos="340"/>
              </w:tabs>
              <w:rPr>
                <w:rFonts w:ascii="Times New Roman" w:hAnsi="Times New Roman" w:cs="Times New Roman"/>
                <w:szCs w:val="20"/>
              </w:rPr>
            </w:pPr>
          </w:p>
        </w:tc>
      </w:tr>
      <w:tr w:rsidR="008F5536" w:rsidRPr="002B3E1D" w14:paraId="4B764258" w14:textId="77777777" w:rsidTr="008F5536">
        <w:tc>
          <w:tcPr>
            <w:tcW w:w="1291" w:type="pct"/>
            <w:noWrap/>
            <w:tcMar>
              <w:left w:w="6" w:type="dxa"/>
              <w:right w:w="6" w:type="dxa"/>
            </w:tcMar>
          </w:tcPr>
          <w:p w14:paraId="79C89FCC" w14:textId="77777777" w:rsidR="008F5536" w:rsidRPr="002B3E1D" w:rsidRDefault="008F5536" w:rsidP="008F5536">
            <w:pPr>
              <w:rPr>
                <w:rFonts w:ascii="Times New Roman" w:hAnsi="Times New Roman" w:cs="Times New Roman"/>
                <w:bCs/>
                <w:szCs w:val="20"/>
              </w:rPr>
            </w:pPr>
            <w:r w:rsidRPr="002B3E1D">
              <w:rPr>
                <w:rFonts w:ascii="Times New Roman" w:hAnsi="Times New Roman" w:cs="Times New Roman"/>
                <w:b/>
                <w:szCs w:val="20"/>
              </w:rPr>
              <w:t>Direct Effects</w:t>
            </w:r>
          </w:p>
        </w:tc>
        <w:tc>
          <w:tcPr>
            <w:tcW w:w="464" w:type="pct"/>
            <w:tcBorders>
              <w:top w:val="nil"/>
            </w:tcBorders>
            <w:tcMar>
              <w:left w:w="6" w:type="dxa"/>
              <w:right w:w="6" w:type="dxa"/>
            </w:tcMar>
            <w:vAlign w:val="bottom"/>
          </w:tcPr>
          <w:p w14:paraId="20A74C19" w14:textId="77777777" w:rsidR="008F5536" w:rsidRPr="002B3E1D" w:rsidRDefault="008F5536" w:rsidP="008F5536">
            <w:pPr>
              <w:tabs>
                <w:tab w:val="decimal" w:pos="340"/>
              </w:tabs>
              <w:rPr>
                <w:rFonts w:ascii="Times New Roman" w:hAnsi="Times New Roman" w:cs="Times New Roman"/>
                <w:szCs w:val="20"/>
              </w:rPr>
            </w:pPr>
          </w:p>
        </w:tc>
        <w:tc>
          <w:tcPr>
            <w:tcW w:w="476" w:type="pct"/>
            <w:tcBorders>
              <w:top w:val="nil"/>
              <w:right w:val="single" w:sz="2" w:space="0" w:color="auto"/>
            </w:tcBorders>
            <w:tcMar>
              <w:left w:w="6" w:type="dxa"/>
              <w:right w:w="6" w:type="dxa"/>
            </w:tcMar>
            <w:vAlign w:val="bottom"/>
          </w:tcPr>
          <w:p w14:paraId="4D1F1FA4"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3E0DB823" w14:textId="77777777" w:rsidR="008F5536" w:rsidRPr="002B3E1D" w:rsidRDefault="008F5536" w:rsidP="008F5536">
            <w:pPr>
              <w:tabs>
                <w:tab w:val="decimal" w:pos="340"/>
              </w:tabs>
              <w:rPr>
                <w:rFonts w:ascii="Times New Roman" w:hAnsi="Times New Roman" w:cs="Times New Roman"/>
                <w:szCs w:val="20"/>
              </w:rPr>
            </w:pPr>
          </w:p>
        </w:tc>
        <w:tc>
          <w:tcPr>
            <w:tcW w:w="464" w:type="pct"/>
            <w:tcBorders>
              <w:right w:val="single" w:sz="2" w:space="0" w:color="auto"/>
            </w:tcBorders>
            <w:noWrap/>
            <w:tcMar>
              <w:left w:w="6" w:type="dxa"/>
              <w:right w:w="6" w:type="dxa"/>
            </w:tcMar>
            <w:vAlign w:val="bottom"/>
          </w:tcPr>
          <w:p w14:paraId="2F5DDD39"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3EFCAAA0" w14:textId="77777777" w:rsidR="008F5536" w:rsidRPr="002B3E1D" w:rsidRDefault="008F5536" w:rsidP="008F5536">
            <w:pPr>
              <w:tabs>
                <w:tab w:val="decimal" w:pos="340"/>
              </w:tabs>
              <w:rPr>
                <w:rFonts w:ascii="Times New Roman" w:hAnsi="Times New Roman" w:cs="Times New Roman"/>
                <w:szCs w:val="20"/>
              </w:rPr>
            </w:pPr>
          </w:p>
        </w:tc>
        <w:tc>
          <w:tcPr>
            <w:tcW w:w="464" w:type="pct"/>
            <w:tcBorders>
              <w:right w:val="single" w:sz="2" w:space="0" w:color="auto"/>
            </w:tcBorders>
            <w:noWrap/>
            <w:tcMar>
              <w:left w:w="6" w:type="dxa"/>
              <w:right w:w="6" w:type="dxa"/>
            </w:tcMar>
            <w:vAlign w:val="bottom"/>
          </w:tcPr>
          <w:p w14:paraId="7E2A8A92"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41130A0F" w14:textId="77777777" w:rsidR="008F5536" w:rsidRPr="002B3E1D" w:rsidRDefault="008F5536" w:rsidP="008F5536">
            <w:pPr>
              <w:tabs>
                <w:tab w:val="decimal" w:pos="340"/>
              </w:tabs>
              <w:rPr>
                <w:rFonts w:ascii="Times New Roman" w:hAnsi="Times New Roman" w:cs="Times New Roman"/>
                <w:szCs w:val="20"/>
              </w:rPr>
            </w:pPr>
          </w:p>
        </w:tc>
        <w:tc>
          <w:tcPr>
            <w:tcW w:w="449" w:type="pct"/>
            <w:noWrap/>
            <w:tcMar>
              <w:left w:w="6" w:type="dxa"/>
              <w:right w:w="6" w:type="dxa"/>
            </w:tcMar>
            <w:vAlign w:val="bottom"/>
          </w:tcPr>
          <w:p w14:paraId="1275C794" w14:textId="77777777" w:rsidR="008F5536" w:rsidRPr="002B3E1D" w:rsidRDefault="008F5536" w:rsidP="008F5536">
            <w:pPr>
              <w:tabs>
                <w:tab w:val="decimal" w:pos="340"/>
              </w:tabs>
              <w:rPr>
                <w:rFonts w:ascii="Times New Roman" w:hAnsi="Times New Roman" w:cs="Times New Roman"/>
                <w:szCs w:val="20"/>
              </w:rPr>
            </w:pPr>
          </w:p>
        </w:tc>
      </w:tr>
      <w:tr w:rsidR="008F5536" w:rsidRPr="002B3E1D" w14:paraId="3F15DB14" w14:textId="77777777" w:rsidTr="008F5536">
        <w:tc>
          <w:tcPr>
            <w:tcW w:w="1291" w:type="pct"/>
            <w:noWrap/>
            <w:tcMar>
              <w:left w:w="6" w:type="dxa"/>
              <w:right w:w="6" w:type="dxa"/>
            </w:tcMar>
          </w:tcPr>
          <w:p w14:paraId="12DC120C" w14:textId="77777777" w:rsidR="008F5536" w:rsidRPr="002B3E1D" w:rsidRDefault="008F5536" w:rsidP="008F5536">
            <w:pPr>
              <w:rPr>
                <w:rFonts w:ascii="Times New Roman" w:hAnsi="Times New Roman" w:cs="Times New Roman"/>
                <w:szCs w:val="20"/>
              </w:rPr>
            </w:pPr>
            <w:r w:rsidRPr="002B3E1D">
              <w:rPr>
                <w:rFonts w:ascii="Times New Roman" w:hAnsi="Times New Roman" w:cs="Times New Roman"/>
                <w:bCs/>
                <w:szCs w:val="20"/>
              </w:rPr>
              <w:t>Knowledge Sharing</w:t>
            </w:r>
          </w:p>
        </w:tc>
        <w:tc>
          <w:tcPr>
            <w:tcW w:w="464" w:type="pct"/>
            <w:tcBorders>
              <w:top w:val="nil"/>
            </w:tcBorders>
            <w:tcMar>
              <w:left w:w="6" w:type="dxa"/>
              <w:right w:w="6" w:type="dxa"/>
            </w:tcMar>
            <w:vAlign w:val="bottom"/>
          </w:tcPr>
          <w:p w14:paraId="1FAD154D" w14:textId="77777777" w:rsidR="008F5536" w:rsidRPr="002B3E1D" w:rsidRDefault="008F5536" w:rsidP="008F5536">
            <w:pPr>
              <w:tabs>
                <w:tab w:val="decimal" w:pos="340"/>
              </w:tabs>
              <w:rPr>
                <w:rFonts w:ascii="Times New Roman" w:hAnsi="Times New Roman" w:cs="Times New Roman"/>
                <w:szCs w:val="20"/>
              </w:rPr>
            </w:pPr>
          </w:p>
        </w:tc>
        <w:tc>
          <w:tcPr>
            <w:tcW w:w="476" w:type="pct"/>
            <w:tcBorders>
              <w:top w:val="nil"/>
              <w:right w:val="single" w:sz="2" w:space="0" w:color="auto"/>
            </w:tcBorders>
            <w:tcMar>
              <w:left w:w="6" w:type="dxa"/>
              <w:right w:w="6" w:type="dxa"/>
            </w:tcMar>
            <w:vAlign w:val="bottom"/>
          </w:tcPr>
          <w:p w14:paraId="4E16F4A0"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tcPr>
          <w:p w14:paraId="61B38D2B"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.10</w:t>
            </w:r>
          </w:p>
        </w:tc>
        <w:tc>
          <w:tcPr>
            <w:tcW w:w="464" w:type="pct"/>
            <w:tcBorders>
              <w:right w:val="single" w:sz="2" w:space="0" w:color="auto"/>
            </w:tcBorders>
            <w:noWrap/>
            <w:tcMar>
              <w:left w:w="6" w:type="dxa"/>
              <w:right w:w="6" w:type="dxa"/>
            </w:tcMar>
          </w:tcPr>
          <w:p w14:paraId="403B8BCE"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1.03</w:t>
            </w:r>
          </w:p>
        </w:tc>
        <w:tc>
          <w:tcPr>
            <w:tcW w:w="464" w:type="pct"/>
            <w:tcBorders>
              <w:left w:val="single" w:sz="2" w:space="0" w:color="auto"/>
            </w:tcBorders>
            <w:noWrap/>
            <w:tcMar>
              <w:left w:w="6" w:type="dxa"/>
              <w:right w:w="6" w:type="dxa"/>
            </w:tcMar>
          </w:tcPr>
          <w:p w14:paraId="476F27DD"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.04</w:t>
            </w:r>
          </w:p>
        </w:tc>
        <w:tc>
          <w:tcPr>
            <w:tcW w:w="464" w:type="pct"/>
            <w:tcBorders>
              <w:right w:val="single" w:sz="2" w:space="0" w:color="auto"/>
            </w:tcBorders>
            <w:noWrap/>
            <w:tcMar>
              <w:left w:w="6" w:type="dxa"/>
              <w:right w:w="6" w:type="dxa"/>
            </w:tcMar>
          </w:tcPr>
          <w:p w14:paraId="0E5934D0"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.41</w:t>
            </w:r>
          </w:p>
        </w:tc>
        <w:tc>
          <w:tcPr>
            <w:tcW w:w="464" w:type="pct"/>
            <w:tcBorders>
              <w:left w:val="single" w:sz="2" w:space="0" w:color="auto"/>
            </w:tcBorders>
            <w:noWrap/>
            <w:tcMar>
              <w:left w:w="6" w:type="dxa"/>
              <w:right w:w="6" w:type="dxa"/>
            </w:tcMar>
          </w:tcPr>
          <w:p w14:paraId="0F4BB5C7"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.18</w:t>
            </w:r>
          </w:p>
        </w:tc>
        <w:tc>
          <w:tcPr>
            <w:tcW w:w="449" w:type="pct"/>
            <w:noWrap/>
            <w:tcMar>
              <w:left w:w="6" w:type="dxa"/>
              <w:right w:w="6" w:type="dxa"/>
            </w:tcMar>
          </w:tcPr>
          <w:p w14:paraId="66895F31"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1.69*</w:t>
            </w:r>
          </w:p>
        </w:tc>
      </w:tr>
      <w:tr w:rsidR="008F5536" w:rsidRPr="002B3E1D" w14:paraId="68E8419F" w14:textId="77777777" w:rsidTr="008F5536">
        <w:tc>
          <w:tcPr>
            <w:tcW w:w="1291" w:type="pct"/>
            <w:noWrap/>
            <w:tcMar>
              <w:left w:w="6" w:type="dxa"/>
              <w:right w:w="6" w:type="dxa"/>
            </w:tcMar>
          </w:tcPr>
          <w:p w14:paraId="448266E8" w14:textId="77777777" w:rsidR="008F5536" w:rsidRPr="002B3E1D" w:rsidRDefault="008F5536" w:rsidP="008F5536">
            <w:pPr>
              <w:rPr>
                <w:rFonts w:ascii="Times New Roman" w:hAnsi="Times New Roman" w:cs="Times New Roman"/>
                <w:szCs w:val="20"/>
              </w:rPr>
            </w:pPr>
            <w:r w:rsidRPr="002B3E1D">
              <w:rPr>
                <w:rFonts w:ascii="Times New Roman" w:hAnsi="Times New Roman" w:cs="Times New Roman"/>
                <w:bCs/>
                <w:szCs w:val="20"/>
              </w:rPr>
              <w:t>Use of Target's Capabilities</w:t>
            </w:r>
          </w:p>
        </w:tc>
        <w:tc>
          <w:tcPr>
            <w:tcW w:w="464" w:type="pct"/>
            <w:tcBorders>
              <w:top w:val="nil"/>
            </w:tcBorders>
            <w:tcMar>
              <w:left w:w="6" w:type="dxa"/>
              <w:right w:w="6" w:type="dxa"/>
            </w:tcMar>
            <w:vAlign w:val="bottom"/>
          </w:tcPr>
          <w:p w14:paraId="59B2A78C" w14:textId="77777777" w:rsidR="008F5536" w:rsidRPr="002B3E1D" w:rsidRDefault="008F5536" w:rsidP="008F5536">
            <w:pPr>
              <w:tabs>
                <w:tab w:val="decimal" w:pos="340"/>
              </w:tabs>
              <w:rPr>
                <w:rFonts w:ascii="Times New Roman" w:hAnsi="Times New Roman" w:cs="Times New Roman"/>
                <w:szCs w:val="20"/>
              </w:rPr>
            </w:pPr>
          </w:p>
        </w:tc>
        <w:tc>
          <w:tcPr>
            <w:tcW w:w="476" w:type="pct"/>
            <w:tcBorders>
              <w:top w:val="nil"/>
              <w:right w:val="single" w:sz="2" w:space="0" w:color="auto"/>
            </w:tcBorders>
            <w:tcMar>
              <w:left w:w="6" w:type="dxa"/>
              <w:right w:w="6" w:type="dxa"/>
            </w:tcMar>
            <w:vAlign w:val="bottom"/>
          </w:tcPr>
          <w:p w14:paraId="35D29AD3"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tcPr>
          <w:p w14:paraId="6B8A58E2"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-.12</w:t>
            </w:r>
          </w:p>
        </w:tc>
        <w:tc>
          <w:tcPr>
            <w:tcW w:w="464" w:type="pct"/>
            <w:tcBorders>
              <w:right w:val="single" w:sz="2" w:space="0" w:color="auto"/>
            </w:tcBorders>
            <w:noWrap/>
            <w:tcMar>
              <w:left w:w="6" w:type="dxa"/>
              <w:right w:w="6" w:type="dxa"/>
            </w:tcMar>
          </w:tcPr>
          <w:p w14:paraId="3580B3D6"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-1.33</w:t>
            </w:r>
          </w:p>
        </w:tc>
        <w:tc>
          <w:tcPr>
            <w:tcW w:w="464" w:type="pct"/>
            <w:tcBorders>
              <w:left w:val="single" w:sz="2" w:space="0" w:color="auto"/>
            </w:tcBorders>
            <w:noWrap/>
            <w:tcMar>
              <w:left w:w="6" w:type="dxa"/>
              <w:right w:w="6" w:type="dxa"/>
            </w:tcMar>
          </w:tcPr>
          <w:p w14:paraId="257FFB93"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-.09</w:t>
            </w:r>
          </w:p>
        </w:tc>
        <w:tc>
          <w:tcPr>
            <w:tcW w:w="464" w:type="pct"/>
            <w:tcBorders>
              <w:right w:val="single" w:sz="2" w:space="0" w:color="auto"/>
            </w:tcBorders>
            <w:noWrap/>
            <w:tcMar>
              <w:left w:w="6" w:type="dxa"/>
              <w:right w:w="6" w:type="dxa"/>
            </w:tcMar>
          </w:tcPr>
          <w:p w14:paraId="39E30048"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-1.09</w:t>
            </w:r>
          </w:p>
        </w:tc>
        <w:tc>
          <w:tcPr>
            <w:tcW w:w="464" w:type="pct"/>
            <w:tcBorders>
              <w:left w:val="single" w:sz="2" w:space="0" w:color="auto"/>
            </w:tcBorders>
            <w:noWrap/>
            <w:tcMar>
              <w:left w:w="6" w:type="dxa"/>
              <w:right w:w="6" w:type="dxa"/>
            </w:tcMar>
          </w:tcPr>
          <w:p w14:paraId="548EA7BE"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-.16</w:t>
            </w:r>
          </w:p>
        </w:tc>
        <w:tc>
          <w:tcPr>
            <w:tcW w:w="449" w:type="pct"/>
            <w:noWrap/>
            <w:tcMar>
              <w:left w:w="6" w:type="dxa"/>
              <w:right w:w="6" w:type="dxa"/>
            </w:tcMar>
          </w:tcPr>
          <w:p w14:paraId="7FC5F8D7"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-1.77*</w:t>
            </w:r>
          </w:p>
        </w:tc>
      </w:tr>
      <w:tr w:rsidR="008F5536" w:rsidRPr="002B3E1D" w14:paraId="309ADF83" w14:textId="77777777" w:rsidTr="008F5536">
        <w:tc>
          <w:tcPr>
            <w:tcW w:w="1291" w:type="pct"/>
            <w:noWrap/>
            <w:tcMar>
              <w:left w:w="6" w:type="dxa"/>
              <w:right w:w="6" w:type="dxa"/>
            </w:tcMar>
          </w:tcPr>
          <w:p w14:paraId="312A51CC" w14:textId="77777777" w:rsidR="008F5536" w:rsidRPr="002B3E1D" w:rsidRDefault="008F5536" w:rsidP="008F5536">
            <w:pPr>
              <w:rPr>
                <w:rFonts w:ascii="Times New Roman" w:hAnsi="Times New Roman" w:cs="Times New Roman"/>
                <w:szCs w:val="20"/>
              </w:rPr>
            </w:pPr>
            <w:r w:rsidRPr="002B3E1D">
              <w:rPr>
                <w:rFonts w:ascii="Times New Roman" w:hAnsi="Times New Roman" w:cs="Times New Roman"/>
                <w:bCs/>
                <w:szCs w:val="20"/>
              </w:rPr>
              <w:t>Share Capabilities with Target</w:t>
            </w:r>
          </w:p>
        </w:tc>
        <w:tc>
          <w:tcPr>
            <w:tcW w:w="464" w:type="pct"/>
            <w:tcBorders>
              <w:top w:val="nil"/>
            </w:tcBorders>
            <w:tcMar>
              <w:left w:w="6" w:type="dxa"/>
              <w:right w:w="6" w:type="dxa"/>
            </w:tcMar>
            <w:vAlign w:val="bottom"/>
          </w:tcPr>
          <w:p w14:paraId="3F90BB34" w14:textId="77777777" w:rsidR="008F5536" w:rsidRPr="002B3E1D" w:rsidRDefault="008F5536" w:rsidP="008F5536">
            <w:pPr>
              <w:tabs>
                <w:tab w:val="decimal" w:pos="340"/>
              </w:tabs>
              <w:rPr>
                <w:rFonts w:ascii="Times New Roman" w:hAnsi="Times New Roman" w:cs="Times New Roman"/>
                <w:szCs w:val="20"/>
              </w:rPr>
            </w:pPr>
          </w:p>
        </w:tc>
        <w:tc>
          <w:tcPr>
            <w:tcW w:w="476" w:type="pct"/>
            <w:tcBorders>
              <w:top w:val="nil"/>
              <w:right w:val="single" w:sz="2" w:space="0" w:color="auto"/>
            </w:tcBorders>
            <w:tcMar>
              <w:left w:w="6" w:type="dxa"/>
              <w:right w:w="6" w:type="dxa"/>
            </w:tcMar>
            <w:vAlign w:val="bottom"/>
          </w:tcPr>
          <w:p w14:paraId="2E6A874B"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tcPr>
          <w:p w14:paraId="47D51413"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.42</w:t>
            </w:r>
          </w:p>
        </w:tc>
        <w:tc>
          <w:tcPr>
            <w:tcW w:w="464" w:type="pct"/>
            <w:tcBorders>
              <w:right w:val="single" w:sz="2" w:space="0" w:color="auto"/>
            </w:tcBorders>
            <w:noWrap/>
            <w:tcMar>
              <w:left w:w="6" w:type="dxa"/>
              <w:right w:w="6" w:type="dxa"/>
            </w:tcMar>
          </w:tcPr>
          <w:p w14:paraId="546FEFD9"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4.75**</w:t>
            </w:r>
          </w:p>
        </w:tc>
        <w:tc>
          <w:tcPr>
            <w:tcW w:w="464" w:type="pct"/>
            <w:tcBorders>
              <w:left w:val="single" w:sz="2" w:space="0" w:color="auto"/>
            </w:tcBorders>
            <w:noWrap/>
            <w:tcMar>
              <w:left w:w="6" w:type="dxa"/>
              <w:right w:w="6" w:type="dxa"/>
            </w:tcMar>
          </w:tcPr>
          <w:p w14:paraId="65513497"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.30</w:t>
            </w:r>
          </w:p>
        </w:tc>
        <w:tc>
          <w:tcPr>
            <w:tcW w:w="464" w:type="pct"/>
            <w:tcBorders>
              <w:right w:val="single" w:sz="2" w:space="0" w:color="auto"/>
            </w:tcBorders>
            <w:noWrap/>
            <w:tcMar>
              <w:left w:w="6" w:type="dxa"/>
              <w:right w:w="6" w:type="dxa"/>
            </w:tcMar>
          </w:tcPr>
          <w:p w14:paraId="775B801C"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3.09**</w:t>
            </w:r>
          </w:p>
        </w:tc>
        <w:tc>
          <w:tcPr>
            <w:tcW w:w="464" w:type="pct"/>
            <w:tcBorders>
              <w:left w:val="single" w:sz="2" w:space="0" w:color="auto"/>
            </w:tcBorders>
            <w:noWrap/>
            <w:tcMar>
              <w:left w:w="6" w:type="dxa"/>
              <w:right w:w="6" w:type="dxa"/>
            </w:tcMar>
          </w:tcPr>
          <w:p w14:paraId="0C4EAAA9"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.37</w:t>
            </w:r>
          </w:p>
        </w:tc>
        <w:tc>
          <w:tcPr>
            <w:tcW w:w="449" w:type="pct"/>
            <w:noWrap/>
            <w:tcMar>
              <w:left w:w="6" w:type="dxa"/>
              <w:right w:w="6" w:type="dxa"/>
            </w:tcMar>
          </w:tcPr>
          <w:p w14:paraId="40F5CBDE"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3.88**</w:t>
            </w:r>
          </w:p>
        </w:tc>
      </w:tr>
      <w:tr w:rsidR="008F5536" w:rsidRPr="002B3E1D" w14:paraId="111A0114" w14:textId="77777777" w:rsidTr="008F5536">
        <w:tc>
          <w:tcPr>
            <w:tcW w:w="1291" w:type="pct"/>
            <w:noWrap/>
            <w:tcMar>
              <w:left w:w="6" w:type="dxa"/>
              <w:right w:w="6" w:type="dxa"/>
            </w:tcMar>
          </w:tcPr>
          <w:p w14:paraId="407D7297" w14:textId="77777777" w:rsidR="008F5536" w:rsidRPr="002B3E1D" w:rsidRDefault="008F5536" w:rsidP="008F5536">
            <w:pPr>
              <w:rPr>
                <w:rFonts w:ascii="Times New Roman" w:hAnsi="Times New Roman" w:cs="Times New Roman"/>
                <w:szCs w:val="20"/>
              </w:rPr>
            </w:pPr>
          </w:p>
        </w:tc>
        <w:tc>
          <w:tcPr>
            <w:tcW w:w="464" w:type="pct"/>
            <w:tcBorders>
              <w:top w:val="nil"/>
            </w:tcBorders>
            <w:tcMar>
              <w:left w:w="6" w:type="dxa"/>
              <w:right w:w="6" w:type="dxa"/>
            </w:tcMar>
            <w:vAlign w:val="bottom"/>
          </w:tcPr>
          <w:p w14:paraId="27A1E811" w14:textId="77777777" w:rsidR="008F5536" w:rsidRPr="002B3E1D" w:rsidRDefault="008F5536" w:rsidP="008F5536">
            <w:pPr>
              <w:tabs>
                <w:tab w:val="decimal" w:pos="340"/>
              </w:tabs>
              <w:rPr>
                <w:rFonts w:ascii="Times New Roman" w:hAnsi="Times New Roman" w:cs="Times New Roman"/>
                <w:szCs w:val="20"/>
              </w:rPr>
            </w:pPr>
          </w:p>
        </w:tc>
        <w:tc>
          <w:tcPr>
            <w:tcW w:w="476" w:type="pct"/>
            <w:tcBorders>
              <w:top w:val="nil"/>
              <w:right w:val="single" w:sz="2" w:space="0" w:color="auto"/>
            </w:tcBorders>
            <w:tcMar>
              <w:left w:w="6" w:type="dxa"/>
              <w:right w:w="6" w:type="dxa"/>
            </w:tcMar>
            <w:vAlign w:val="bottom"/>
          </w:tcPr>
          <w:p w14:paraId="0950AC85"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76F723B5" w14:textId="77777777" w:rsidR="008F5536" w:rsidRPr="002B3E1D" w:rsidRDefault="008F5536" w:rsidP="008F5536">
            <w:pPr>
              <w:tabs>
                <w:tab w:val="decimal" w:pos="340"/>
              </w:tabs>
              <w:rPr>
                <w:rFonts w:ascii="Times New Roman" w:hAnsi="Times New Roman" w:cs="Times New Roman"/>
                <w:szCs w:val="20"/>
              </w:rPr>
            </w:pPr>
          </w:p>
        </w:tc>
        <w:tc>
          <w:tcPr>
            <w:tcW w:w="464" w:type="pct"/>
            <w:tcBorders>
              <w:right w:val="single" w:sz="2" w:space="0" w:color="auto"/>
            </w:tcBorders>
            <w:noWrap/>
            <w:tcMar>
              <w:left w:w="6" w:type="dxa"/>
              <w:right w:w="6" w:type="dxa"/>
            </w:tcMar>
            <w:vAlign w:val="bottom"/>
          </w:tcPr>
          <w:p w14:paraId="0221DC35"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68097DB2" w14:textId="77777777" w:rsidR="008F5536" w:rsidRPr="002B3E1D" w:rsidRDefault="008F5536" w:rsidP="008F5536">
            <w:pPr>
              <w:tabs>
                <w:tab w:val="decimal" w:pos="340"/>
              </w:tabs>
              <w:rPr>
                <w:rFonts w:ascii="Times New Roman" w:hAnsi="Times New Roman" w:cs="Times New Roman"/>
                <w:szCs w:val="20"/>
              </w:rPr>
            </w:pPr>
          </w:p>
        </w:tc>
        <w:tc>
          <w:tcPr>
            <w:tcW w:w="464" w:type="pct"/>
            <w:tcBorders>
              <w:right w:val="single" w:sz="2" w:space="0" w:color="auto"/>
            </w:tcBorders>
            <w:noWrap/>
            <w:tcMar>
              <w:left w:w="6" w:type="dxa"/>
              <w:right w:w="6" w:type="dxa"/>
            </w:tcMar>
            <w:vAlign w:val="bottom"/>
          </w:tcPr>
          <w:p w14:paraId="4F280875"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4DD94579" w14:textId="77777777" w:rsidR="008F5536" w:rsidRPr="002B3E1D" w:rsidRDefault="008F5536" w:rsidP="008F5536">
            <w:pPr>
              <w:tabs>
                <w:tab w:val="decimal" w:pos="340"/>
              </w:tabs>
              <w:rPr>
                <w:rFonts w:ascii="Times New Roman" w:hAnsi="Times New Roman" w:cs="Times New Roman"/>
                <w:szCs w:val="20"/>
              </w:rPr>
            </w:pPr>
          </w:p>
        </w:tc>
        <w:tc>
          <w:tcPr>
            <w:tcW w:w="449" w:type="pct"/>
            <w:noWrap/>
            <w:tcMar>
              <w:left w:w="6" w:type="dxa"/>
              <w:right w:w="6" w:type="dxa"/>
            </w:tcMar>
            <w:vAlign w:val="bottom"/>
          </w:tcPr>
          <w:p w14:paraId="234B0C0D" w14:textId="77777777" w:rsidR="008F5536" w:rsidRPr="002B3E1D" w:rsidRDefault="008F5536" w:rsidP="008F5536">
            <w:pPr>
              <w:tabs>
                <w:tab w:val="decimal" w:pos="340"/>
              </w:tabs>
              <w:rPr>
                <w:rFonts w:ascii="Times New Roman" w:hAnsi="Times New Roman" w:cs="Times New Roman"/>
                <w:szCs w:val="20"/>
              </w:rPr>
            </w:pPr>
          </w:p>
        </w:tc>
      </w:tr>
      <w:tr w:rsidR="008F5536" w:rsidRPr="002B3E1D" w14:paraId="0E430412" w14:textId="77777777" w:rsidTr="008F5536">
        <w:tc>
          <w:tcPr>
            <w:tcW w:w="1291" w:type="pct"/>
            <w:noWrap/>
            <w:tcMar>
              <w:left w:w="6" w:type="dxa"/>
              <w:right w:w="6" w:type="dxa"/>
            </w:tcMar>
          </w:tcPr>
          <w:p w14:paraId="2DA81224" w14:textId="77777777" w:rsidR="008F5536" w:rsidRPr="002B3E1D" w:rsidRDefault="008F5536" w:rsidP="008F5536">
            <w:pPr>
              <w:rPr>
                <w:rFonts w:ascii="Times New Roman" w:hAnsi="Times New Roman" w:cs="Times New Roman"/>
                <w:szCs w:val="20"/>
              </w:rPr>
            </w:pPr>
            <w:r w:rsidRPr="002B3E1D">
              <w:rPr>
                <w:rFonts w:ascii="Times New Roman" w:hAnsi="Times New Roman" w:cs="Times New Roman"/>
                <w:b/>
                <w:szCs w:val="20"/>
              </w:rPr>
              <w:t>Interaction Variable (Multiplicative)</w:t>
            </w:r>
          </w:p>
        </w:tc>
        <w:tc>
          <w:tcPr>
            <w:tcW w:w="464" w:type="pct"/>
            <w:tcBorders>
              <w:top w:val="nil"/>
            </w:tcBorders>
            <w:tcMar>
              <w:left w:w="6" w:type="dxa"/>
              <w:right w:w="6" w:type="dxa"/>
            </w:tcMar>
            <w:vAlign w:val="bottom"/>
          </w:tcPr>
          <w:p w14:paraId="23CCB98F" w14:textId="77777777" w:rsidR="008F5536" w:rsidRPr="002B3E1D" w:rsidRDefault="008F5536" w:rsidP="008F5536">
            <w:pPr>
              <w:tabs>
                <w:tab w:val="decimal" w:pos="340"/>
              </w:tabs>
              <w:rPr>
                <w:rFonts w:ascii="Times New Roman" w:hAnsi="Times New Roman" w:cs="Times New Roman"/>
                <w:szCs w:val="20"/>
              </w:rPr>
            </w:pPr>
          </w:p>
        </w:tc>
        <w:tc>
          <w:tcPr>
            <w:tcW w:w="476" w:type="pct"/>
            <w:tcBorders>
              <w:top w:val="nil"/>
              <w:right w:val="single" w:sz="2" w:space="0" w:color="auto"/>
            </w:tcBorders>
            <w:tcMar>
              <w:left w:w="6" w:type="dxa"/>
              <w:right w:w="6" w:type="dxa"/>
            </w:tcMar>
            <w:vAlign w:val="bottom"/>
          </w:tcPr>
          <w:p w14:paraId="7FF76B8D"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51E600CD" w14:textId="77777777" w:rsidR="008F5536" w:rsidRPr="002B3E1D" w:rsidRDefault="008F5536" w:rsidP="008F5536">
            <w:pPr>
              <w:tabs>
                <w:tab w:val="decimal" w:pos="340"/>
              </w:tabs>
              <w:rPr>
                <w:rFonts w:ascii="Times New Roman" w:hAnsi="Times New Roman" w:cs="Times New Roman"/>
                <w:szCs w:val="20"/>
              </w:rPr>
            </w:pPr>
          </w:p>
        </w:tc>
        <w:tc>
          <w:tcPr>
            <w:tcW w:w="464" w:type="pct"/>
            <w:tcBorders>
              <w:right w:val="single" w:sz="2" w:space="0" w:color="auto"/>
            </w:tcBorders>
            <w:noWrap/>
            <w:tcMar>
              <w:left w:w="6" w:type="dxa"/>
              <w:right w:w="6" w:type="dxa"/>
            </w:tcMar>
            <w:vAlign w:val="bottom"/>
          </w:tcPr>
          <w:p w14:paraId="7FB9869F"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0B6E6CEA" w14:textId="77777777" w:rsidR="008F5536" w:rsidRPr="002B3E1D" w:rsidRDefault="008F5536" w:rsidP="008F5536">
            <w:pPr>
              <w:tabs>
                <w:tab w:val="decimal" w:pos="340"/>
              </w:tabs>
              <w:rPr>
                <w:rFonts w:ascii="Times New Roman" w:hAnsi="Times New Roman" w:cs="Times New Roman"/>
                <w:szCs w:val="20"/>
              </w:rPr>
            </w:pPr>
          </w:p>
        </w:tc>
        <w:tc>
          <w:tcPr>
            <w:tcW w:w="464" w:type="pct"/>
            <w:tcBorders>
              <w:right w:val="single" w:sz="2" w:space="0" w:color="auto"/>
            </w:tcBorders>
            <w:noWrap/>
            <w:tcMar>
              <w:left w:w="6" w:type="dxa"/>
              <w:right w:w="6" w:type="dxa"/>
            </w:tcMar>
            <w:vAlign w:val="bottom"/>
          </w:tcPr>
          <w:p w14:paraId="2654F6E5"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24907746" w14:textId="77777777" w:rsidR="008F5536" w:rsidRPr="002B3E1D" w:rsidRDefault="008F5536" w:rsidP="008F5536">
            <w:pPr>
              <w:tabs>
                <w:tab w:val="decimal" w:pos="340"/>
              </w:tabs>
              <w:rPr>
                <w:rFonts w:ascii="Times New Roman" w:hAnsi="Times New Roman" w:cs="Times New Roman"/>
                <w:szCs w:val="20"/>
              </w:rPr>
            </w:pPr>
          </w:p>
        </w:tc>
        <w:tc>
          <w:tcPr>
            <w:tcW w:w="449" w:type="pct"/>
            <w:noWrap/>
            <w:tcMar>
              <w:left w:w="6" w:type="dxa"/>
              <w:right w:w="6" w:type="dxa"/>
            </w:tcMar>
            <w:vAlign w:val="bottom"/>
          </w:tcPr>
          <w:p w14:paraId="553C883A" w14:textId="77777777" w:rsidR="008F5536" w:rsidRPr="002B3E1D" w:rsidRDefault="008F5536" w:rsidP="008F5536">
            <w:pPr>
              <w:tabs>
                <w:tab w:val="decimal" w:pos="340"/>
              </w:tabs>
              <w:rPr>
                <w:rFonts w:ascii="Times New Roman" w:hAnsi="Times New Roman" w:cs="Times New Roman"/>
                <w:szCs w:val="20"/>
              </w:rPr>
            </w:pPr>
          </w:p>
        </w:tc>
      </w:tr>
      <w:tr w:rsidR="008F5536" w:rsidRPr="002B3E1D" w14:paraId="6FA0410B" w14:textId="77777777" w:rsidTr="008F5536">
        <w:tc>
          <w:tcPr>
            <w:tcW w:w="1291" w:type="pct"/>
            <w:noWrap/>
            <w:tcMar>
              <w:left w:w="6" w:type="dxa"/>
              <w:right w:w="6" w:type="dxa"/>
            </w:tcMar>
          </w:tcPr>
          <w:p w14:paraId="3BFFE8B4" w14:textId="77777777" w:rsidR="008F5536" w:rsidRPr="002B3E1D" w:rsidRDefault="008F5536" w:rsidP="008F5536">
            <w:pPr>
              <w:rPr>
                <w:rFonts w:ascii="Times New Roman" w:hAnsi="Times New Roman" w:cs="Times New Roman"/>
                <w:szCs w:val="20"/>
              </w:rPr>
            </w:pPr>
            <w:r w:rsidRPr="002B3E1D">
              <w:rPr>
                <w:rFonts w:ascii="Times New Roman" w:hAnsi="Times New Roman" w:cs="Times New Roman"/>
                <w:szCs w:val="20"/>
              </w:rPr>
              <w:t>Corporate Entrepreneurship</w:t>
            </w:r>
          </w:p>
        </w:tc>
        <w:tc>
          <w:tcPr>
            <w:tcW w:w="464" w:type="pct"/>
            <w:tcBorders>
              <w:top w:val="nil"/>
            </w:tcBorders>
            <w:tcMar>
              <w:left w:w="6" w:type="dxa"/>
              <w:right w:w="6" w:type="dxa"/>
            </w:tcMar>
            <w:vAlign w:val="bottom"/>
          </w:tcPr>
          <w:p w14:paraId="638F03C6" w14:textId="77777777" w:rsidR="008F5536" w:rsidRPr="002B3E1D" w:rsidRDefault="008F5536" w:rsidP="008F5536">
            <w:pPr>
              <w:tabs>
                <w:tab w:val="decimal" w:pos="340"/>
              </w:tabs>
              <w:rPr>
                <w:rFonts w:ascii="Times New Roman" w:hAnsi="Times New Roman" w:cs="Times New Roman"/>
                <w:szCs w:val="20"/>
              </w:rPr>
            </w:pPr>
          </w:p>
        </w:tc>
        <w:tc>
          <w:tcPr>
            <w:tcW w:w="476" w:type="pct"/>
            <w:tcBorders>
              <w:top w:val="nil"/>
              <w:right w:val="single" w:sz="2" w:space="0" w:color="auto"/>
            </w:tcBorders>
            <w:tcMar>
              <w:left w:w="6" w:type="dxa"/>
              <w:right w:w="6" w:type="dxa"/>
            </w:tcMar>
            <w:vAlign w:val="bottom"/>
          </w:tcPr>
          <w:p w14:paraId="0090C097"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4C39056C" w14:textId="77777777" w:rsidR="008F5536" w:rsidRPr="002B3E1D" w:rsidRDefault="008F5536" w:rsidP="008F5536">
            <w:pPr>
              <w:tabs>
                <w:tab w:val="decimal" w:pos="340"/>
              </w:tabs>
              <w:rPr>
                <w:rFonts w:ascii="Times New Roman" w:hAnsi="Times New Roman" w:cs="Times New Roman"/>
                <w:szCs w:val="20"/>
              </w:rPr>
            </w:pPr>
          </w:p>
        </w:tc>
        <w:tc>
          <w:tcPr>
            <w:tcW w:w="464" w:type="pct"/>
            <w:tcBorders>
              <w:right w:val="single" w:sz="2" w:space="0" w:color="auto"/>
            </w:tcBorders>
            <w:noWrap/>
            <w:tcMar>
              <w:left w:w="6" w:type="dxa"/>
              <w:right w:w="6" w:type="dxa"/>
            </w:tcMar>
            <w:vAlign w:val="bottom"/>
          </w:tcPr>
          <w:p w14:paraId="4291CC4A"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tcPr>
          <w:p w14:paraId="6E56FFD5"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.34</w:t>
            </w:r>
          </w:p>
        </w:tc>
        <w:tc>
          <w:tcPr>
            <w:tcW w:w="464" w:type="pct"/>
            <w:tcBorders>
              <w:right w:val="single" w:sz="2" w:space="0" w:color="auto"/>
            </w:tcBorders>
            <w:noWrap/>
            <w:tcMar>
              <w:left w:w="6" w:type="dxa"/>
              <w:right w:w="6" w:type="dxa"/>
            </w:tcMar>
          </w:tcPr>
          <w:p w14:paraId="1AA17D20"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3.80**</w:t>
            </w:r>
          </w:p>
        </w:tc>
        <w:tc>
          <w:tcPr>
            <w:tcW w:w="464" w:type="pct"/>
            <w:tcBorders>
              <w:left w:val="single" w:sz="2" w:space="0" w:color="auto"/>
            </w:tcBorders>
            <w:noWrap/>
            <w:tcMar>
              <w:left w:w="6" w:type="dxa"/>
              <w:right w:w="6" w:type="dxa"/>
            </w:tcMar>
          </w:tcPr>
          <w:p w14:paraId="4049FA15"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.29</w:t>
            </w:r>
          </w:p>
        </w:tc>
        <w:tc>
          <w:tcPr>
            <w:tcW w:w="449" w:type="pct"/>
            <w:noWrap/>
            <w:tcMar>
              <w:left w:w="6" w:type="dxa"/>
              <w:right w:w="6" w:type="dxa"/>
            </w:tcMar>
          </w:tcPr>
          <w:p w14:paraId="710BE014"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3.24**</w:t>
            </w:r>
          </w:p>
        </w:tc>
      </w:tr>
      <w:tr w:rsidR="008F5536" w:rsidRPr="002B3E1D" w14:paraId="39BB322A" w14:textId="77777777" w:rsidTr="008F5536">
        <w:tc>
          <w:tcPr>
            <w:tcW w:w="1291" w:type="pct"/>
            <w:noWrap/>
            <w:tcMar>
              <w:left w:w="6" w:type="dxa"/>
              <w:right w:w="6" w:type="dxa"/>
            </w:tcMar>
          </w:tcPr>
          <w:p w14:paraId="71EC44D8" w14:textId="77777777" w:rsidR="008F5536" w:rsidRPr="002B3E1D" w:rsidRDefault="008F5536" w:rsidP="008F5536">
            <w:pPr>
              <w:rPr>
                <w:rFonts w:ascii="Times New Roman" w:hAnsi="Times New Roman" w:cs="Times New Roman"/>
                <w:szCs w:val="20"/>
              </w:rPr>
            </w:pPr>
            <w:r w:rsidRPr="002B3E1D">
              <w:rPr>
                <w:rFonts w:ascii="Times New Roman" w:hAnsi="Times New Roman" w:cs="Times New Roman"/>
                <w:szCs w:val="20"/>
              </w:rPr>
              <w:t>Integration</w:t>
            </w:r>
          </w:p>
        </w:tc>
        <w:tc>
          <w:tcPr>
            <w:tcW w:w="464" w:type="pct"/>
            <w:tcBorders>
              <w:top w:val="nil"/>
            </w:tcBorders>
            <w:tcMar>
              <w:left w:w="6" w:type="dxa"/>
              <w:right w:w="6" w:type="dxa"/>
            </w:tcMar>
            <w:vAlign w:val="bottom"/>
          </w:tcPr>
          <w:p w14:paraId="101A0A6F" w14:textId="77777777" w:rsidR="008F5536" w:rsidRPr="002B3E1D" w:rsidRDefault="008F5536" w:rsidP="008F5536">
            <w:pPr>
              <w:tabs>
                <w:tab w:val="decimal" w:pos="340"/>
              </w:tabs>
              <w:rPr>
                <w:rFonts w:ascii="Times New Roman" w:hAnsi="Times New Roman" w:cs="Times New Roman"/>
                <w:szCs w:val="20"/>
              </w:rPr>
            </w:pPr>
          </w:p>
        </w:tc>
        <w:tc>
          <w:tcPr>
            <w:tcW w:w="476" w:type="pct"/>
            <w:tcBorders>
              <w:top w:val="nil"/>
              <w:right w:val="single" w:sz="2" w:space="0" w:color="auto"/>
            </w:tcBorders>
            <w:tcMar>
              <w:left w:w="6" w:type="dxa"/>
              <w:right w:w="6" w:type="dxa"/>
            </w:tcMar>
            <w:vAlign w:val="bottom"/>
          </w:tcPr>
          <w:p w14:paraId="520EF075"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222B91D2" w14:textId="77777777" w:rsidR="008F5536" w:rsidRPr="002B3E1D" w:rsidRDefault="008F5536" w:rsidP="008F5536">
            <w:pPr>
              <w:tabs>
                <w:tab w:val="decimal" w:pos="340"/>
              </w:tabs>
              <w:rPr>
                <w:rFonts w:ascii="Times New Roman" w:hAnsi="Times New Roman" w:cs="Times New Roman"/>
                <w:szCs w:val="20"/>
              </w:rPr>
            </w:pPr>
          </w:p>
        </w:tc>
        <w:tc>
          <w:tcPr>
            <w:tcW w:w="464" w:type="pct"/>
            <w:tcBorders>
              <w:right w:val="single" w:sz="2" w:space="0" w:color="auto"/>
            </w:tcBorders>
            <w:noWrap/>
            <w:tcMar>
              <w:left w:w="6" w:type="dxa"/>
              <w:right w:w="6" w:type="dxa"/>
            </w:tcMar>
            <w:vAlign w:val="bottom"/>
          </w:tcPr>
          <w:p w14:paraId="7C85EC8B"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tcPr>
          <w:p w14:paraId="38D086BC"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-.03</w:t>
            </w:r>
          </w:p>
        </w:tc>
        <w:tc>
          <w:tcPr>
            <w:tcW w:w="464" w:type="pct"/>
            <w:tcBorders>
              <w:right w:val="single" w:sz="2" w:space="0" w:color="auto"/>
            </w:tcBorders>
            <w:noWrap/>
            <w:tcMar>
              <w:left w:w="6" w:type="dxa"/>
              <w:right w:w="6" w:type="dxa"/>
            </w:tcMar>
          </w:tcPr>
          <w:p w14:paraId="32CDA60D"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-.31</w:t>
            </w:r>
          </w:p>
        </w:tc>
        <w:tc>
          <w:tcPr>
            <w:tcW w:w="464" w:type="pct"/>
            <w:tcBorders>
              <w:left w:val="single" w:sz="2" w:space="0" w:color="auto"/>
            </w:tcBorders>
            <w:noWrap/>
            <w:tcMar>
              <w:left w:w="6" w:type="dxa"/>
              <w:right w:w="6" w:type="dxa"/>
            </w:tcMar>
          </w:tcPr>
          <w:p w14:paraId="16680CB4"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.02</w:t>
            </w:r>
          </w:p>
        </w:tc>
        <w:tc>
          <w:tcPr>
            <w:tcW w:w="449" w:type="pct"/>
            <w:noWrap/>
            <w:tcMar>
              <w:left w:w="6" w:type="dxa"/>
              <w:right w:w="6" w:type="dxa"/>
            </w:tcMar>
          </w:tcPr>
          <w:p w14:paraId="30BC0FE9"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.18</w:t>
            </w:r>
          </w:p>
        </w:tc>
      </w:tr>
      <w:tr w:rsidR="008F5536" w:rsidRPr="002B3E1D" w14:paraId="64C07B26" w14:textId="77777777" w:rsidTr="008F5536">
        <w:tc>
          <w:tcPr>
            <w:tcW w:w="1291" w:type="pct"/>
            <w:noWrap/>
            <w:tcMar>
              <w:left w:w="6" w:type="dxa"/>
              <w:right w:w="6" w:type="dxa"/>
            </w:tcMar>
          </w:tcPr>
          <w:p w14:paraId="5D804AE6" w14:textId="77777777" w:rsidR="008F5536" w:rsidRPr="002B3E1D" w:rsidRDefault="008F5536" w:rsidP="008F5536">
            <w:pPr>
              <w:rPr>
                <w:rFonts w:ascii="Times New Roman" w:hAnsi="Times New Roman" w:cs="Times New Roman"/>
                <w:szCs w:val="20"/>
              </w:rPr>
            </w:pPr>
          </w:p>
        </w:tc>
        <w:tc>
          <w:tcPr>
            <w:tcW w:w="464" w:type="pct"/>
            <w:tcBorders>
              <w:top w:val="nil"/>
            </w:tcBorders>
            <w:tcMar>
              <w:left w:w="6" w:type="dxa"/>
              <w:right w:w="6" w:type="dxa"/>
            </w:tcMar>
            <w:vAlign w:val="bottom"/>
          </w:tcPr>
          <w:p w14:paraId="1DC64B00" w14:textId="77777777" w:rsidR="008F5536" w:rsidRPr="002B3E1D" w:rsidRDefault="008F5536" w:rsidP="008F5536">
            <w:pPr>
              <w:tabs>
                <w:tab w:val="decimal" w:pos="340"/>
              </w:tabs>
              <w:rPr>
                <w:rFonts w:ascii="Times New Roman" w:hAnsi="Times New Roman" w:cs="Times New Roman"/>
                <w:szCs w:val="20"/>
              </w:rPr>
            </w:pPr>
          </w:p>
        </w:tc>
        <w:tc>
          <w:tcPr>
            <w:tcW w:w="476" w:type="pct"/>
            <w:tcBorders>
              <w:top w:val="nil"/>
              <w:right w:val="single" w:sz="2" w:space="0" w:color="auto"/>
            </w:tcBorders>
            <w:tcMar>
              <w:left w:w="6" w:type="dxa"/>
              <w:right w:w="6" w:type="dxa"/>
            </w:tcMar>
            <w:vAlign w:val="bottom"/>
          </w:tcPr>
          <w:p w14:paraId="5B37F2A0"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0C63C3BD" w14:textId="77777777" w:rsidR="008F5536" w:rsidRPr="002B3E1D" w:rsidRDefault="008F5536" w:rsidP="008F5536">
            <w:pPr>
              <w:tabs>
                <w:tab w:val="decimal" w:pos="340"/>
              </w:tabs>
              <w:rPr>
                <w:rFonts w:ascii="Times New Roman" w:hAnsi="Times New Roman" w:cs="Times New Roman"/>
                <w:szCs w:val="20"/>
              </w:rPr>
            </w:pPr>
          </w:p>
        </w:tc>
        <w:tc>
          <w:tcPr>
            <w:tcW w:w="464" w:type="pct"/>
            <w:tcBorders>
              <w:right w:val="single" w:sz="2" w:space="0" w:color="auto"/>
            </w:tcBorders>
            <w:noWrap/>
            <w:tcMar>
              <w:left w:w="6" w:type="dxa"/>
              <w:right w:w="6" w:type="dxa"/>
            </w:tcMar>
            <w:vAlign w:val="bottom"/>
          </w:tcPr>
          <w:p w14:paraId="6A58D471"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6CDAE863" w14:textId="77777777" w:rsidR="008F5536" w:rsidRPr="002B3E1D" w:rsidRDefault="008F5536" w:rsidP="008F5536">
            <w:pPr>
              <w:tabs>
                <w:tab w:val="decimal" w:pos="340"/>
              </w:tabs>
              <w:rPr>
                <w:rFonts w:ascii="Times New Roman" w:hAnsi="Times New Roman" w:cs="Times New Roman"/>
                <w:szCs w:val="20"/>
              </w:rPr>
            </w:pPr>
          </w:p>
        </w:tc>
        <w:tc>
          <w:tcPr>
            <w:tcW w:w="464" w:type="pct"/>
            <w:tcBorders>
              <w:right w:val="single" w:sz="2" w:space="0" w:color="auto"/>
            </w:tcBorders>
            <w:noWrap/>
            <w:tcMar>
              <w:left w:w="6" w:type="dxa"/>
              <w:right w:w="6" w:type="dxa"/>
            </w:tcMar>
            <w:vAlign w:val="bottom"/>
          </w:tcPr>
          <w:p w14:paraId="2512090A"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3FF18DD7" w14:textId="77777777" w:rsidR="008F5536" w:rsidRPr="002B3E1D" w:rsidRDefault="008F5536" w:rsidP="008F5536">
            <w:pPr>
              <w:tabs>
                <w:tab w:val="decimal" w:pos="340"/>
              </w:tabs>
              <w:rPr>
                <w:rFonts w:ascii="Times New Roman" w:hAnsi="Times New Roman" w:cs="Times New Roman"/>
                <w:szCs w:val="20"/>
              </w:rPr>
            </w:pPr>
          </w:p>
        </w:tc>
        <w:tc>
          <w:tcPr>
            <w:tcW w:w="449" w:type="pct"/>
            <w:noWrap/>
            <w:tcMar>
              <w:left w:w="6" w:type="dxa"/>
              <w:right w:w="6" w:type="dxa"/>
            </w:tcMar>
            <w:vAlign w:val="bottom"/>
          </w:tcPr>
          <w:p w14:paraId="30DB3657" w14:textId="77777777" w:rsidR="008F5536" w:rsidRPr="002B3E1D" w:rsidRDefault="008F5536" w:rsidP="008F5536">
            <w:pPr>
              <w:tabs>
                <w:tab w:val="decimal" w:pos="340"/>
              </w:tabs>
              <w:rPr>
                <w:rFonts w:ascii="Times New Roman" w:hAnsi="Times New Roman" w:cs="Times New Roman"/>
                <w:szCs w:val="20"/>
              </w:rPr>
            </w:pPr>
          </w:p>
        </w:tc>
      </w:tr>
      <w:tr w:rsidR="008F5536" w:rsidRPr="002B3E1D" w14:paraId="674E6414" w14:textId="77777777" w:rsidTr="008F5536">
        <w:tc>
          <w:tcPr>
            <w:tcW w:w="1291" w:type="pct"/>
            <w:noWrap/>
            <w:tcMar>
              <w:left w:w="6" w:type="dxa"/>
              <w:right w:w="6" w:type="dxa"/>
            </w:tcMar>
          </w:tcPr>
          <w:p w14:paraId="47414EF3" w14:textId="77777777" w:rsidR="008F5536" w:rsidRPr="002B3E1D" w:rsidRDefault="008F5536" w:rsidP="008F5536">
            <w:pPr>
              <w:rPr>
                <w:rFonts w:ascii="Times New Roman" w:hAnsi="Times New Roman" w:cs="Times New Roman"/>
                <w:b/>
                <w:szCs w:val="20"/>
              </w:rPr>
            </w:pPr>
            <w:r w:rsidRPr="002B3E1D">
              <w:rPr>
                <w:rFonts w:ascii="Times New Roman" w:hAnsi="Times New Roman" w:cs="Times New Roman"/>
                <w:b/>
                <w:szCs w:val="20"/>
              </w:rPr>
              <w:t>Interaction Effects (Corporate Entrepreneurship)</w:t>
            </w:r>
          </w:p>
        </w:tc>
        <w:tc>
          <w:tcPr>
            <w:tcW w:w="464" w:type="pct"/>
            <w:tcBorders>
              <w:top w:val="nil"/>
            </w:tcBorders>
            <w:tcMar>
              <w:left w:w="6" w:type="dxa"/>
              <w:right w:w="6" w:type="dxa"/>
            </w:tcMar>
            <w:vAlign w:val="bottom"/>
          </w:tcPr>
          <w:p w14:paraId="2F7E9A91" w14:textId="77777777" w:rsidR="008F5536" w:rsidRPr="002B3E1D" w:rsidRDefault="008F5536" w:rsidP="008F5536">
            <w:pPr>
              <w:tabs>
                <w:tab w:val="decimal" w:pos="340"/>
              </w:tabs>
              <w:rPr>
                <w:rFonts w:ascii="Times New Roman" w:hAnsi="Times New Roman" w:cs="Times New Roman"/>
                <w:szCs w:val="20"/>
              </w:rPr>
            </w:pPr>
          </w:p>
        </w:tc>
        <w:tc>
          <w:tcPr>
            <w:tcW w:w="476" w:type="pct"/>
            <w:tcBorders>
              <w:top w:val="nil"/>
              <w:right w:val="single" w:sz="2" w:space="0" w:color="auto"/>
            </w:tcBorders>
            <w:tcMar>
              <w:left w:w="6" w:type="dxa"/>
              <w:right w:w="6" w:type="dxa"/>
            </w:tcMar>
            <w:vAlign w:val="bottom"/>
          </w:tcPr>
          <w:p w14:paraId="26FC81CC"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400C2FC6" w14:textId="77777777" w:rsidR="008F5536" w:rsidRPr="002B3E1D" w:rsidRDefault="008F5536" w:rsidP="008F5536">
            <w:pPr>
              <w:tabs>
                <w:tab w:val="decimal" w:pos="340"/>
              </w:tabs>
              <w:rPr>
                <w:rFonts w:ascii="Times New Roman" w:hAnsi="Times New Roman" w:cs="Times New Roman"/>
                <w:szCs w:val="20"/>
              </w:rPr>
            </w:pPr>
          </w:p>
        </w:tc>
        <w:tc>
          <w:tcPr>
            <w:tcW w:w="464" w:type="pct"/>
            <w:tcBorders>
              <w:right w:val="single" w:sz="2" w:space="0" w:color="auto"/>
            </w:tcBorders>
            <w:noWrap/>
            <w:tcMar>
              <w:left w:w="6" w:type="dxa"/>
              <w:right w:w="6" w:type="dxa"/>
            </w:tcMar>
            <w:vAlign w:val="bottom"/>
          </w:tcPr>
          <w:p w14:paraId="2E918F67"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21373F68" w14:textId="77777777" w:rsidR="008F5536" w:rsidRPr="002B3E1D" w:rsidRDefault="008F5536" w:rsidP="008F5536">
            <w:pPr>
              <w:tabs>
                <w:tab w:val="decimal" w:pos="340"/>
              </w:tabs>
              <w:rPr>
                <w:rFonts w:ascii="Times New Roman" w:hAnsi="Times New Roman" w:cs="Times New Roman"/>
                <w:szCs w:val="20"/>
              </w:rPr>
            </w:pPr>
          </w:p>
        </w:tc>
        <w:tc>
          <w:tcPr>
            <w:tcW w:w="464" w:type="pct"/>
            <w:tcBorders>
              <w:right w:val="single" w:sz="2" w:space="0" w:color="auto"/>
            </w:tcBorders>
            <w:noWrap/>
            <w:tcMar>
              <w:left w:w="6" w:type="dxa"/>
              <w:right w:w="6" w:type="dxa"/>
            </w:tcMar>
            <w:vAlign w:val="bottom"/>
          </w:tcPr>
          <w:p w14:paraId="5F883C37"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087AF61B" w14:textId="77777777" w:rsidR="008F5536" w:rsidRPr="002B3E1D" w:rsidRDefault="008F5536" w:rsidP="008F5536">
            <w:pPr>
              <w:tabs>
                <w:tab w:val="decimal" w:pos="340"/>
              </w:tabs>
              <w:rPr>
                <w:rFonts w:ascii="Times New Roman" w:hAnsi="Times New Roman" w:cs="Times New Roman"/>
                <w:szCs w:val="20"/>
              </w:rPr>
            </w:pPr>
          </w:p>
        </w:tc>
        <w:tc>
          <w:tcPr>
            <w:tcW w:w="449" w:type="pct"/>
            <w:noWrap/>
            <w:tcMar>
              <w:left w:w="6" w:type="dxa"/>
              <w:right w:w="6" w:type="dxa"/>
            </w:tcMar>
            <w:vAlign w:val="bottom"/>
          </w:tcPr>
          <w:p w14:paraId="70402167" w14:textId="77777777" w:rsidR="008F5536" w:rsidRPr="002B3E1D" w:rsidRDefault="008F5536" w:rsidP="008F5536">
            <w:pPr>
              <w:tabs>
                <w:tab w:val="decimal" w:pos="340"/>
              </w:tabs>
              <w:rPr>
                <w:rFonts w:ascii="Times New Roman" w:hAnsi="Times New Roman" w:cs="Times New Roman"/>
                <w:szCs w:val="20"/>
              </w:rPr>
            </w:pPr>
          </w:p>
        </w:tc>
      </w:tr>
      <w:tr w:rsidR="008F5536" w:rsidRPr="002B3E1D" w14:paraId="034EEED5" w14:textId="77777777" w:rsidTr="008F5536">
        <w:tc>
          <w:tcPr>
            <w:tcW w:w="1291" w:type="pct"/>
            <w:noWrap/>
            <w:tcMar>
              <w:left w:w="6" w:type="dxa"/>
              <w:right w:w="6" w:type="dxa"/>
            </w:tcMar>
          </w:tcPr>
          <w:p w14:paraId="45623040" w14:textId="77777777" w:rsidR="008F5536" w:rsidRPr="002B3E1D" w:rsidRDefault="008F5536" w:rsidP="008F5536">
            <w:pPr>
              <w:rPr>
                <w:rFonts w:ascii="Times New Roman" w:hAnsi="Times New Roman" w:cs="Times New Roman"/>
                <w:szCs w:val="20"/>
              </w:rPr>
            </w:pPr>
            <w:r w:rsidRPr="002B3E1D">
              <w:rPr>
                <w:rFonts w:ascii="Times New Roman" w:hAnsi="Times New Roman" w:cs="Times New Roman"/>
                <w:bCs/>
                <w:szCs w:val="20"/>
              </w:rPr>
              <w:t>× Knowledge Sharing</w:t>
            </w:r>
          </w:p>
        </w:tc>
        <w:tc>
          <w:tcPr>
            <w:tcW w:w="464" w:type="pct"/>
            <w:tcBorders>
              <w:top w:val="nil"/>
            </w:tcBorders>
            <w:tcMar>
              <w:left w:w="6" w:type="dxa"/>
              <w:right w:w="6" w:type="dxa"/>
            </w:tcMar>
            <w:vAlign w:val="bottom"/>
          </w:tcPr>
          <w:p w14:paraId="62E1F10C" w14:textId="77777777" w:rsidR="008F5536" w:rsidRPr="002B3E1D" w:rsidRDefault="008F5536" w:rsidP="008F5536">
            <w:pPr>
              <w:tabs>
                <w:tab w:val="decimal" w:pos="340"/>
              </w:tabs>
              <w:rPr>
                <w:rFonts w:ascii="Times New Roman" w:hAnsi="Times New Roman" w:cs="Times New Roman"/>
                <w:szCs w:val="20"/>
              </w:rPr>
            </w:pPr>
          </w:p>
        </w:tc>
        <w:tc>
          <w:tcPr>
            <w:tcW w:w="476" w:type="pct"/>
            <w:tcBorders>
              <w:top w:val="nil"/>
              <w:right w:val="single" w:sz="2" w:space="0" w:color="auto"/>
            </w:tcBorders>
            <w:tcMar>
              <w:left w:w="6" w:type="dxa"/>
              <w:right w:w="6" w:type="dxa"/>
            </w:tcMar>
            <w:vAlign w:val="bottom"/>
          </w:tcPr>
          <w:p w14:paraId="10E9457C"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601B5DA4" w14:textId="77777777" w:rsidR="008F5536" w:rsidRPr="002B3E1D" w:rsidRDefault="008F5536" w:rsidP="008F5536">
            <w:pPr>
              <w:tabs>
                <w:tab w:val="decimal" w:pos="340"/>
              </w:tabs>
              <w:rPr>
                <w:rFonts w:ascii="Times New Roman" w:hAnsi="Times New Roman" w:cs="Times New Roman"/>
                <w:szCs w:val="20"/>
              </w:rPr>
            </w:pPr>
          </w:p>
        </w:tc>
        <w:tc>
          <w:tcPr>
            <w:tcW w:w="464" w:type="pct"/>
            <w:tcBorders>
              <w:right w:val="single" w:sz="2" w:space="0" w:color="auto"/>
            </w:tcBorders>
            <w:noWrap/>
            <w:tcMar>
              <w:left w:w="6" w:type="dxa"/>
              <w:right w:w="6" w:type="dxa"/>
            </w:tcMar>
            <w:vAlign w:val="bottom"/>
          </w:tcPr>
          <w:p w14:paraId="14E4543E"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16808513" w14:textId="77777777" w:rsidR="008F5536" w:rsidRPr="002B3E1D" w:rsidRDefault="008F5536" w:rsidP="008F5536">
            <w:pPr>
              <w:tabs>
                <w:tab w:val="decimal" w:pos="340"/>
              </w:tabs>
              <w:rPr>
                <w:rFonts w:ascii="Times New Roman" w:hAnsi="Times New Roman" w:cs="Times New Roman"/>
                <w:szCs w:val="20"/>
              </w:rPr>
            </w:pPr>
          </w:p>
        </w:tc>
        <w:tc>
          <w:tcPr>
            <w:tcW w:w="464" w:type="pct"/>
            <w:tcBorders>
              <w:right w:val="single" w:sz="2" w:space="0" w:color="auto"/>
            </w:tcBorders>
            <w:noWrap/>
            <w:tcMar>
              <w:left w:w="6" w:type="dxa"/>
              <w:right w:w="6" w:type="dxa"/>
            </w:tcMar>
            <w:vAlign w:val="bottom"/>
          </w:tcPr>
          <w:p w14:paraId="5B7DE65E"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tcPr>
          <w:p w14:paraId="07FB9465"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.04</w:t>
            </w:r>
          </w:p>
        </w:tc>
        <w:tc>
          <w:tcPr>
            <w:tcW w:w="449" w:type="pct"/>
            <w:noWrap/>
            <w:tcMar>
              <w:left w:w="6" w:type="dxa"/>
              <w:right w:w="6" w:type="dxa"/>
            </w:tcMar>
          </w:tcPr>
          <w:p w14:paraId="59789DEA"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.36</w:t>
            </w:r>
          </w:p>
        </w:tc>
      </w:tr>
      <w:tr w:rsidR="008F5536" w:rsidRPr="002B3E1D" w14:paraId="025B3093" w14:textId="77777777" w:rsidTr="008F5536">
        <w:tc>
          <w:tcPr>
            <w:tcW w:w="1291" w:type="pct"/>
            <w:noWrap/>
            <w:tcMar>
              <w:left w:w="6" w:type="dxa"/>
              <w:right w:w="6" w:type="dxa"/>
            </w:tcMar>
          </w:tcPr>
          <w:p w14:paraId="062D062C" w14:textId="77777777" w:rsidR="008F5536" w:rsidRPr="002B3E1D" w:rsidRDefault="008F5536" w:rsidP="008F5536">
            <w:pPr>
              <w:rPr>
                <w:rFonts w:ascii="Times New Roman" w:hAnsi="Times New Roman" w:cs="Times New Roman"/>
                <w:szCs w:val="20"/>
              </w:rPr>
            </w:pPr>
            <w:r w:rsidRPr="002B3E1D">
              <w:rPr>
                <w:rFonts w:ascii="Times New Roman" w:hAnsi="Times New Roman" w:cs="Times New Roman"/>
                <w:bCs/>
                <w:szCs w:val="20"/>
              </w:rPr>
              <w:t>× Use of Target's Capabilities</w:t>
            </w:r>
          </w:p>
        </w:tc>
        <w:tc>
          <w:tcPr>
            <w:tcW w:w="464" w:type="pct"/>
            <w:tcBorders>
              <w:top w:val="nil"/>
            </w:tcBorders>
            <w:tcMar>
              <w:left w:w="6" w:type="dxa"/>
              <w:right w:w="6" w:type="dxa"/>
            </w:tcMar>
            <w:vAlign w:val="bottom"/>
          </w:tcPr>
          <w:p w14:paraId="08528096" w14:textId="77777777" w:rsidR="008F5536" w:rsidRPr="002B3E1D" w:rsidRDefault="008F5536" w:rsidP="008F5536">
            <w:pPr>
              <w:tabs>
                <w:tab w:val="decimal" w:pos="340"/>
              </w:tabs>
              <w:rPr>
                <w:rFonts w:ascii="Times New Roman" w:hAnsi="Times New Roman" w:cs="Times New Roman"/>
                <w:szCs w:val="20"/>
              </w:rPr>
            </w:pPr>
          </w:p>
        </w:tc>
        <w:tc>
          <w:tcPr>
            <w:tcW w:w="476" w:type="pct"/>
            <w:tcBorders>
              <w:top w:val="nil"/>
              <w:right w:val="single" w:sz="2" w:space="0" w:color="auto"/>
            </w:tcBorders>
            <w:tcMar>
              <w:left w:w="6" w:type="dxa"/>
              <w:right w:w="6" w:type="dxa"/>
            </w:tcMar>
            <w:vAlign w:val="bottom"/>
          </w:tcPr>
          <w:p w14:paraId="601BA03F"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1EDF7073" w14:textId="77777777" w:rsidR="008F5536" w:rsidRPr="002B3E1D" w:rsidRDefault="008F5536" w:rsidP="008F5536">
            <w:pPr>
              <w:tabs>
                <w:tab w:val="decimal" w:pos="340"/>
              </w:tabs>
              <w:rPr>
                <w:rFonts w:ascii="Times New Roman" w:hAnsi="Times New Roman" w:cs="Times New Roman"/>
                <w:szCs w:val="20"/>
              </w:rPr>
            </w:pPr>
          </w:p>
        </w:tc>
        <w:tc>
          <w:tcPr>
            <w:tcW w:w="464" w:type="pct"/>
            <w:tcBorders>
              <w:right w:val="single" w:sz="2" w:space="0" w:color="auto"/>
            </w:tcBorders>
            <w:noWrap/>
            <w:tcMar>
              <w:left w:w="6" w:type="dxa"/>
              <w:right w:w="6" w:type="dxa"/>
            </w:tcMar>
            <w:vAlign w:val="bottom"/>
          </w:tcPr>
          <w:p w14:paraId="7CE9BD5F"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2E12DE4C" w14:textId="77777777" w:rsidR="008F5536" w:rsidRPr="002B3E1D" w:rsidRDefault="008F5536" w:rsidP="008F5536">
            <w:pPr>
              <w:tabs>
                <w:tab w:val="decimal" w:pos="340"/>
              </w:tabs>
              <w:rPr>
                <w:rFonts w:ascii="Times New Roman" w:hAnsi="Times New Roman" w:cs="Times New Roman"/>
                <w:szCs w:val="20"/>
              </w:rPr>
            </w:pPr>
          </w:p>
        </w:tc>
        <w:tc>
          <w:tcPr>
            <w:tcW w:w="464" w:type="pct"/>
            <w:tcBorders>
              <w:right w:val="single" w:sz="2" w:space="0" w:color="auto"/>
            </w:tcBorders>
            <w:noWrap/>
            <w:tcMar>
              <w:left w:w="6" w:type="dxa"/>
              <w:right w:w="6" w:type="dxa"/>
            </w:tcMar>
            <w:vAlign w:val="bottom"/>
          </w:tcPr>
          <w:p w14:paraId="24E6DBF5"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tcPr>
          <w:p w14:paraId="47911162"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-.21</w:t>
            </w:r>
          </w:p>
        </w:tc>
        <w:tc>
          <w:tcPr>
            <w:tcW w:w="449" w:type="pct"/>
            <w:noWrap/>
            <w:tcMar>
              <w:left w:w="6" w:type="dxa"/>
              <w:right w:w="6" w:type="dxa"/>
            </w:tcMar>
          </w:tcPr>
          <w:p w14:paraId="2354AC1A"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-1.94*</w:t>
            </w:r>
          </w:p>
        </w:tc>
      </w:tr>
      <w:tr w:rsidR="008F5536" w:rsidRPr="002B3E1D" w14:paraId="3F7B1296" w14:textId="77777777" w:rsidTr="008F5536">
        <w:tc>
          <w:tcPr>
            <w:tcW w:w="1291" w:type="pct"/>
            <w:noWrap/>
            <w:tcMar>
              <w:left w:w="6" w:type="dxa"/>
              <w:right w:w="6" w:type="dxa"/>
            </w:tcMar>
          </w:tcPr>
          <w:p w14:paraId="7F6323AE" w14:textId="77777777" w:rsidR="008F5536" w:rsidRPr="002B3E1D" w:rsidRDefault="008F5536" w:rsidP="008F5536">
            <w:pPr>
              <w:rPr>
                <w:rFonts w:ascii="Times New Roman" w:hAnsi="Times New Roman" w:cs="Times New Roman"/>
                <w:szCs w:val="20"/>
              </w:rPr>
            </w:pPr>
            <w:r w:rsidRPr="002B3E1D">
              <w:rPr>
                <w:rFonts w:ascii="Times New Roman" w:hAnsi="Times New Roman" w:cs="Times New Roman"/>
                <w:bCs/>
                <w:szCs w:val="20"/>
              </w:rPr>
              <w:t>× Share Capabilities with Target</w:t>
            </w:r>
          </w:p>
        </w:tc>
        <w:tc>
          <w:tcPr>
            <w:tcW w:w="464" w:type="pct"/>
            <w:tcBorders>
              <w:top w:val="nil"/>
            </w:tcBorders>
            <w:tcMar>
              <w:left w:w="6" w:type="dxa"/>
              <w:right w:w="6" w:type="dxa"/>
            </w:tcMar>
            <w:vAlign w:val="bottom"/>
          </w:tcPr>
          <w:p w14:paraId="195CD7D5" w14:textId="77777777" w:rsidR="008F5536" w:rsidRPr="002B3E1D" w:rsidRDefault="008F5536" w:rsidP="008F5536">
            <w:pPr>
              <w:tabs>
                <w:tab w:val="decimal" w:pos="340"/>
              </w:tabs>
              <w:rPr>
                <w:rFonts w:ascii="Times New Roman" w:hAnsi="Times New Roman" w:cs="Times New Roman"/>
                <w:szCs w:val="20"/>
              </w:rPr>
            </w:pPr>
          </w:p>
        </w:tc>
        <w:tc>
          <w:tcPr>
            <w:tcW w:w="476" w:type="pct"/>
            <w:tcBorders>
              <w:top w:val="nil"/>
              <w:right w:val="single" w:sz="2" w:space="0" w:color="auto"/>
            </w:tcBorders>
            <w:tcMar>
              <w:left w:w="6" w:type="dxa"/>
              <w:right w:w="6" w:type="dxa"/>
            </w:tcMar>
            <w:vAlign w:val="bottom"/>
          </w:tcPr>
          <w:p w14:paraId="19D0B61C"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76E71EB2" w14:textId="77777777" w:rsidR="008F5536" w:rsidRPr="002B3E1D" w:rsidRDefault="008F5536" w:rsidP="008F5536">
            <w:pPr>
              <w:tabs>
                <w:tab w:val="decimal" w:pos="340"/>
              </w:tabs>
              <w:rPr>
                <w:rFonts w:ascii="Times New Roman" w:hAnsi="Times New Roman" w:cs="Times New Roman"/>
                <w:szCs w:val="20"/>
              </w:rPr>
            </w:pPr>
          </w:p>
        </w:tc>
        <w:tc>
          <w:tcPr>
            <w:tcW w:w="464" w:type="pct"/>
            <w:tcBorders>
              <w:right w:val="single" w:sz="2" w:space="0" w:color="auto"/>
            </w:tcBorders>
            <w:noWrap/>
            <w:tcMar>
              <w:left w:w="6" w:type="dxa"/>
              <w:right w:w="6" w:type="dxa"/>
            </w:tcMar>
            <w:vAlign w:val="bottom"/>
          </w:tcPr>
          <w:p w14:paraId="1B917A4B"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tcPr>
          <w:p w14:paraId="370D4AD1" w14:textId="77777777" w:rsidR="008F5536" w:rsidRPr="002B3E1D" w:rsidRDefault="008F5536" w:rsidP="008F5536">
            <w:pPr>
              <w:tabs>
                <w:tab w:val="decimal" w:pos="340"/>
              </w:tabs>
              <w:rPr>
                <w:rFonts w:ascii="Times New Roman" w:hAnsi="Times New Roman" w:cs="Times New Roman"/>
                <w:szCs w:val="20"/>
              </w:rPr>
            </w:pPr>
          </w:p>
        </w:tc>
        <w:tc>
          <w:tcPr>
            <w:tcW w:w="464" w:type="pct"/>
            <w:tcBorders>
              <w:right w:val="single" w:sz="2" w:space="0" w:color="auto"/>
            </w:tcBorders>
            <w:noWrap/>
            <w:tcMar>
              <w:left w:w="6" w:type="dxa"/>
              <w:right w:w="6" w:type="dxa"/>
            </w:tcMar>
          </w:tcPr>
          <w:p w14:paraId="13FBF6EA"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tcPr>
          <w:p w14:paraId="443C3152"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.20</w:t>
            </w:r>
          </w:p>
        </w:tc>
        <w:tc>
          <w:tcPr>
            <w:tcW w:w="449" w:type="pct"/>
            <w:noWrap/>
            <w:tcMar>
              <w:left w:w="6" w:type="dxa"/>
              <w:right w:w="6" w:type="dxa"/>
            </w:tcMar>
          </w:tcPr>
          <w:p w14:paraId="543CE71C"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2.11*</w:t>
            </w:r>
          </w:p>
        </w:tc>
      </w:tr>
      <w:tr w:rsidR="008F5536" w:rsidRPr="002B3E1D" w14:paraId="007B5D04" w14:textId="77777777" w:rsidTr="008F5536">
        <w:tc>
          <w:tcPr>
            <w:tcW w:w="1291" w:type="pct"/>
            <w:noWrap/>
            <w:tcMar>
              <w:left w:w="6" w:type="dxa"/>
              <w:right w:w="6" w:type="dxa"/>
            </w:tcMar>
          </w:tcPr>
          <w:p w14:paraId="6F84D02B" w14:textId="77777777" w:rsidR="008F5536" w:rsidRPr="002B3E1D" w:rsidRDefault="008F5536" w:rsidP="008F5536">
            <w:pPr>
              <w:rPr>
                <w:rFonts w:ascii="Times New Roman" w:hAnsi="Times New Roman" w:cs="Times New Roman"/>
                <w:szCs w:val="20"/>
              </w:rPr>
            </w:pPr>
          </w:p>
        </w:tc>
        <w:tc>
          <w:tcPr>
            <w:tcW w:w="464" w:type="pct"/>
            <w:tcBorders>
              <w:top w:val="nil"/>
            </w:tcBorders>
            <w:tcMar>
              <w:left w:w="6" w:type="dxa"/>
              <w:right w:w="6" w:type="dxa"/>
            </w:tcMar>
            <w:vAlign w:val="bottom"/>
          </w:tcPr>
          <w:p w14:paraId="5532ECFE" w14:textId="77777777" w:rsidR="008F5536" w:rsidRPr="002B3E1D" w:rsidRDefault="008F5536" w:rsidP="008F5536">
            <w:pPr>
              <w:tabs>
                <w:tab w:val="decimal" w:pos="340"/>
              </w:tabs>
              <w:rPr>
                <w:rFonts w:ascii="Times New Roman" w:hAnsi="Times New Roman" w:cs="Times New Roman"/>
                <w:szCs w:val="20"/>
              </w:rPr>
            </w:pPr>
          </w:p>
        </w:tc>
        <w:tc>
          <w:tcPr>
            <w:tcW w:w="476" w:type="pct"/>
            <w:tcBorders>
              <w:top w:val="nil"/>
              <w:right w:val="single" w:sz="2" w:space="0" w:color="auto"/>
            </w:tcBorders>
            <w:tcMar>
              <w:left w:w="6" w:type="dxa"/>
              <w:right w:w="6" w:type="dxa"/>
            </w:tcMar>
            <w:vAlign w:val="bottom"/>
          </w:tcPr>
          <w:p w14:paraId="1DBAB15B"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1E32A4CF" w14:textId="77777777" w:rsidR="008F5536" w:rsidRPr="002B3E1D" w:rsidRDefault="008F5536" w:rsidP="008F5536">
            <w:pPr>
              <w:tabs>
                <w:tab w:val="decimal" w:pos="340"/>
              </w:tabs>
              <w:rPr>
                <w:rFonts w:ascii="Times New Roman" w:hAnsi="Times New Roman" w:cs="Times New Roman"/>
                <w:szCs w:val="20"/>
              </w:rPr>
            </w:pPr>
          </w:p>
        </w:tc>
        <w:tc>
          <w:tcPr>
            <w:tcW w:w="464" w:type="pct"/>
            <w:tcBorders>
              <w:right w:val="single" w:sz="2" w:space="0" w:color="auto"/>
            </w:tcBorders>
            <w:noWrap/>
            <w:tcMar>
              <w:left w:w="6" w:type="dxa"/>
              <w:right w:w="6" w:type="dxa"/>
            </w:tcMar>
            <w:vAlign w:val="bottom"/>
          </w:tcPr>
          <w:p w14:paraId="17E96E3F"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71372094" w14:textId="77777777" w:rsidR="008F5536" w:rsidRPr="002B3E1D" w:rsidRDefault="008F5536" w:rsidP="008F5536">
            <w:pPr>
              <w:tabs>
                <w:tab w:val="decimal" w:pos="340"/>
              </w:tabs>
              <w:rPr>
                <w:rFonts w:ascii="Times New Roman" w:hAnsi="Times New Roman" w:cs="Times New Roman"/>
                <w:szCs w:val="20"/>
              </w:rPr>
            </w:pPr>
          </w:p>
        </w:tc>
        <w:tc>
          <w:tcPr>
            <w:tcW w:w="464" w:type="pct"/>
            <w:tcBorders>
              <w:right w:val="single" w:sz="2" w:space="0" w:color="auto"/>
            </w:tcBorders>
            <w:noWrap/>
            <w:tcMar>
              <w:left w:w="6" w:type="dxa"/>
              <w:right w:w="6" w:type="dxa"/>
            </w:tcMar>
            <w:vAlign w:val="bottom"/>
          </w:tcPr>
          <w:p w14:paraId="6AE9C8B8"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25C63DE5" w14:textId="77777777" w:rsidR="008F5536" w:rsidRPr="002B3E1D" w:rsidRDefault="008F5536" w:rsidP="008F5536">
            <w:pPr>
              <w:tabs>
                <w:tab w:val="decimal" w:pos="340"/>
              </w:tabs>
              <w:rPr>
                <w:rFonts w:ascii="Times New Roman" w:hAnsi="Times New Roman" w:cs="Times New Roman"/>
                <w:szCs w:val="20"/>
              </w:rPr>
            </w:pPr>
          </w:p>
        </w:tc>
        <w:tc>
          <w:tcPr>
            <w:tcW w:w="449" w:type="pct"/>
            <w:noWrap/>
            <w:tcMar>
              <w:left w:w="6" w:type="dxa"/>
              <w:right w:w="6" w:type="dxa"/>
            </w:tcMar>
            <w:vAlign w:val="bottom"/>
          </w:tcPr>
          <w:p w14:paraId="41414831" w14:textId="77777777" w:rsidR="008F5536" w:rsidRPr="002B3E1D" w:rsidRDefault="008F5536" w:rsidP="008F5536">
            <w:pPr>
              <w:tabs>
                <w:tab w:val="decimal" w:pos="340"/>
              </w:tabs>
              <w:rPr>
                <w:rFonts w:ascii="Times New Roman" w:hAnsi="Times New Roman" w:cs="Times New Roman"/>
                <w:szCs w:val="20"/>
              </w:rPr>
            </w:pPr>
          </w:p>
        </w:tc>
      </w:tr>
      <w:tr w:rsidR="008F5536" w:rsidRPr="002B3E1D" w14:paraId="7E28F026" w14:textId="77777777" w:rsidTr="008F5536">
        <w:tc>
          <w:tcPr>
            <w:tcW w:w="1291" w:type="pct"/>
            <w:noWrap/>
            <w:tcMar>
              <w:left w:w="6" w:type="dxa"/>
              <w:right w:w="6" w:type="dxa"/>
            </w:tcMar>
          </w:tcPr>
          <w:p w14:paraId="17AC146F" w14:textId="77777777" w:rsidR="008F5536" w:rsidRPr="002B3E1D" w:rsidRDefault="008F5536" w:rsidP="008F5536">
            <w:pPr>
              <w:rPr>
                <w:rFonts w:ascii="Times New Roman" w:hAnsi="Times New Roman" w:cs="Times New Roman"/>
                <w:b/>
                <w:szCs w:val="20"/>
              </w:rPr>
            </w:pPr>
            <w:r w:rsidRPr="002B3E1D">
              <w:rPr>
                <w:rFonts w:ascii="Times New Roman" w:hAnsi="Times New Roman" w:cs="Times New Roman"/>
                <w:b/>
                <w:szCs w:val="20"/>
              </w:rPr>
              <w:t>Interaction Effects (Integration)</w:t>
            </w:r>
          </w:p>
        </w:tc>
        <w:tc>
          <w:tcPr>
            <w:tcW w:w="464" w:type="pct"/>
            <w:tcBorders>
              <w:top w:val="nil"/>
            </w:tcBorders>
            <w:tcMar>
              <w:left w:w="6" w:type="dxa"/>
              <w:right w:w="6" w:type="dxa"/>
            </w:tcMar>
            <w:vAlign w:val="bottom"/>
          </w:tcPr>
          <w:p w14:paraId="3F989FB9" w14:textId="77777777" w:rsidR="008F5536" w:rsidRPr="002B3E1D" w:rsidRDefault="008F5536" w:rsidP="008F5536">
            <w:pPr>
              <w:tabs>
                <w:tab w:val="decimal" w:pos="340"/>
              </w:tabs>
              <w:rPr>
                <w:rFonts w:ascii="Times New Roman" w:hAnsi="Times New Roman" w:cs="Times New Roman"/>
                <w:szCs w:val="20"/>
              </w:rPr>
            </w:pPr>
          </w:p>
        </w:tc>
        <w:tc>
          <w:tcPr>
            <w:tcW w:w="476" w:type="pct"/>
            <w:tcBorders>
              <w:top w:val="nil"/>
              <w:right w:val="single" w:sz="2" w:space="0" w:color="auto"/>
            </w:tcBorders>
            <w:tcMar>
              <w:left w:w="6" w:type="dxa"/>
              <w:right w:w="6" w:type="dxa"/>
            </w:tcMar>
            <w:vAlign w:val="bottom"/>
          </w:tcPr>
          <w:p w14:paraId="5D34406E"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38989161" w14:textId="77777777" w:rsidR="008F5536" w:rsidRPr="002B3E1D" w:rsidRDefault="008F5536" w:rsidP="008F5536">
            <w:pPr>
              <w:tabs>
                <w:tab w:val="decimal" w:pos="340"/>
              </w:tabs>
              <w:rPr>
                <w:rFonts w:ascii="Times New Roman" w:hAnsi="Times New Roman" w:cs="Times New Roman"/>
                <w:szCs w:val="20"/>
              </w:rPr>
            </w:pPr>
          </w:p>
        </w:tc>
        <w:tc>
          <w:tcPr>
            <w:tcW w:w="464" w:type="pct"/>
            <w:tcBorders>
              <w:right w:val="single" w:sz="2" w:space="0" w:color="auto"/>
            </w:tcBorders>
            <w:noWrap/>
            <w:tcMar>
              <w:left w:w="6" w:type="dxa"/>
              <w:right w:w="6" w:type="dxa"/>
            </w:tcMar>
            <w:vAlign w:val="bottom"/>
          </w:tcPr>
          <w:p w14:paraId="500E12C6"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46F31C48" w14:textId="77777777" w:rsidR="008F5536" w:rsidRPr="002B3E1D" w:rsidRDefault="008F5536" w:rsidP="008F5536">
            <w:pPr>
              <w:tabs>
                <w:tab w:val="decimal" w:pos="340"/>
              </w:tabs>
              <w:rPr>
                <w:rFonts w:ascii="Times New Roman" w:hAnsi="Times New Roman" w:cs="Times New Roman"/>
                <w:szCs w:val="20"/>
              </w:rPr>
            </w:pPr>
          </w:p>
        </w:tc>
        <w:tc>
          <w:tcPr>
            <w:tcW w:w="464" w:type="pct"/>
            <w:tcBorders>
              <w:right w:val="single" w:sz="2" w:space="0" w:color="auto"/>
            </w:tcBorders>
            <w:noWrap/>
            <w:tcMar>
              <w:left w:w="6" w:type="dxa"/>
              <w:right w:w="6" w:type="dxa"/>
            </w:tcMar>
            <w:vAlign w:val="bottom"/>
          </w:tcPr>
          <w:p w14:paraId="7790D4A3"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0A3A734B" w14:textId="77777777" w:rsidR="008F5536" w:rsidRPr="002B3E1D" w:rsidRDefault="008F5536" w:rsidP="008F5536">
            <w:pPr>
              <w:tabs>
                <w:tab w:val="decimal" w:pos="340"/>
              </w:tabs>
              <w:rPr>
                <w:rFonts w:ascii="Times New Roman" w:hAnsi="Times New Roman" w:cs="Times New Roman"/>
                <w:szCs w:val="20"/>
              </w:rPr>
            </w:pPr>
          </w:p>
        </w:tc>
        <w:tc>
          <w:tcPr>
            <w:tcW w:w="449" w:type="pct"/>
            <w:noWrap/>
            <w:tcMar>
              <w:left w:w="6" w:type="dxa"/>
              <w:right w:w="6" w:type="dxa"/>
            </w:tcMar>
            <w:vAlign w:val="bottom"/>
          </w:tcPr>
          <w:p w14:paraId="7F65C44E" w14:textId="77777777" w:rsidR="008F5536" w:rsidRPr="002B3E1D" w:rsidRDefault="008F5536" w:rsidP="008F5536">
            <w:pPr>
              <w:tabs>
                <w:tab w:val="decimal" w:pos="340"/>
              </w:tabs>
              <w:rPr>
                <w:rFonts w:ascii="Times New Roman" w:hAnsi="Times New Roman" w:cs="Times New Roman"/>
                <w:szCs w:val="20"/>
              </w:rPr>
            </w:pPr>
          </w:p>
        </w:tc>
      </w:tr>
      <w:tr w:rsidR="008F5536" w:rsidRPr="002B3E1D" w14:paraId="28D9AB0C" w14:textId="77777777" w:rsidTr="008F5536">
        <w:tc>
          <w:tcPr>
            <w:tcW w:w="1291" w:type="pct"/>
            <w:noWrap/>
            <w:tcMar>
              <w:left w:w="6" w:type="dxa"/>
              <w:right w:w="6" w:type="dxa"/>
            </w:tcMar>
          </w:tcPr>
          <w:p w14:paraId="0391DFEA" w14:textId="77777777" w:rsidR="008F5536" w:rsidRPr="002B3E1D" w:rsidRDefault="008F5536" w:rsidP="008F5536">
            <w:pPr>
              <w:rPr>
                <w:rFonts w:ascii="Times New Roman" w:hAnsi="Times New Roman" w:cs="Times New Roman"/>
                <w:szCs w:val="20"/>
              </w:rPr>
            </w:pPr>
            <w:r w:rsidRPr="002B3E1D">
              <w:rPr>
                <w:rFonts w:ascii="Times New Roman" w:hAnsi="Times New Roman" w:cs="Times New Roman"/>
                <w:bCs/>
                <w:szCs w:val="20"/>
              </w:rPr>
              <w:t>× Knowledge Sharing</w:t>
            </w:r>
          </w:p>
        </w:tc>
        <w:tc>
          <w:tcPr>
            <w:tcW w:w="464" w:type="pct"/>
            <w:tcBorders>
              <w:top w:val="nil"/>
            </w:tcBorders>
            <w:tcMar>
              <w:left w:w="6" w:type="dxa"/>
              <w:right w:w="6" w:type="dxa"/>
            </w:tcMar>
            <w:vAlign w:val="bottom"/>
          </w:tcPr>
          <w:p w14:paraId="0E47BC19" w14:textId="77777777" w:rsidR="008F5536" w:rsidRPr="002B3E1D" w:rsidRDefault="008F5536" w:rsidP="008F5536">
            <w:pPr>
              <w:tabs>
                <w:tab w:val="decimal" w:pos="340"/>
              </w:tabs>
              <w:rPr>
                <w:rFonts w:ascii="Times New Roman" w:hAnsi="Times New Roman" w:cs="Times New Roman"/>
                <w:szCs w:val="20"/>
              </w:rPr>
            </w:pPr>
          </w:p>
        </w:tc>
        <w:tc>
          <w:tcPr>
            <w:tcW w:w="476" w:type="pct"/>
            <w:tcBorders>
              <w:top w:val="nil"/>
              <w:right w:val="single" w:sz="2" w:space="0" w:color="auto"/>
            </w:tcBorders>
            <w:tcMar>
              <w:left w:w="6" w:type="dxa"/>
              <w:right w:w="6" w:type="dxa"/>
            </w:tcMar>
            <w:vAlign w:val="bottom"/>
          </w:tcPr>
          <w:p w14:paraId="7107C560"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522BD9DA" w14:textId="77777777" w:rsidR="008F5536" w:rsidRPr="002B3E1D" w:rsidRDefault="008F5536" w:rsidP="008F5536">
            <w:pPr>
              <w:tabs>
                <w:tab w:val="decimal" w:pos="340"/>
              </w:tabs>
              <w:rPr>
                <w:rFonts w:ascii="Times New Roman" w:hAnsi="Times New Roman" w:cs="Times New Roman"/>
                <w:szCs w:val="20"/>
              </w:rPr>
            </w:pPr>
          </w:p>
        </w:tc>
        <w:tc>
          <w:tcPr>
            <w:tcW w:w="464" w:type="pct"/>
            <w:tcBorders>
              <w:right w:val="single" w:sz="2" w:space="0" w:color="auto"/>
            </w:tcBorders>
            <w:noWrap/>
            <w:tcMar>
              <w:left w:w="6" w:type="dxa"/>
              <w:right w:w="6" w:type="dxa"/>
            </w:tcMar>
            <w:vAlign w:val="bottom"/>
          </w:tcPr>
          <w:p w14:paraId="77516246"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08340EB8" w14:textId="77777777" w:rsidR="008F5536" w:rsidRPr="002B3E1D" w:rsidRDefault="008F5536" w:rsidP="008F5536">
            <w:pPr>
              <w:tabs>
                <w:tab w:val="decimal" w:pos="340"/>
              </w:tabs>
              <w:rPr>
                <w:rFonts w:ascii="Times New Roman" w:hAnsi="Times New Roman" w:cs="Times New Roman"/>
                <w:szCs w:val="20"/>
              </w:rPr>
            </w:pPr>
          </w:p>
        </w:tc>
        <w:tc>
          <w:tcPr>
            <w:tcW w:w="464" w:type="pct"/>
            <w:tcBorders>
              <w:right w:val="single" w:sz="2" w:space="0" w:color="auto"/>
            </w:tcBorders>
            <w:noWrap/>
            <w:tcMar>
              <w:left w:w="6" w:type="dxa"/>
              <w:right w:w="6" w:type="dxa"/>
            </w:tcMar>
            <w:vAlign w:val="bottom"/>
          </w:tcPr>
          <w:p w14:paraId="502562EA"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tcPr>
          <w:p w14:paraId="45507C15"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.43</w:t>
            </w:r>
          </w:p>
        </w:tc>
        <w:tc>
          <w:tcPr>
            <w:tcW w:w="449" w:type="pct"/>
            <w:noWrap/>
            <w:tcMar>
              <w:left w:w="6" w:type="dxa"/>
              <w:right w:w="6" w:type="dxa"/>
            </w:tcMar>
          </w:tcPr>
          <w:p w14:paraId="3BB4F9A3"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3.44**</w:t>
            </w:r>
          </w:p>
        </w:tc>
      </w:tr>
      <w:tr w:rsidR="008F5536" w:rsidRPr="002B3E1D" w14:paraId="76B5CD3E" w14:textId="77777777" w:rsidTr="008F5536">
        <w:tc>
          <w:tcPr>
            <w:tcW w:w="1291" w:type="pct"/>
            <w:noWrap/>
            <w:tcMar>
              <w:left w:w="6" w:type="dxa"/>
              <w:right w:w="6" w:type="dxa"/>
            </w:tcMar>
          </w:tcPr>
          <w:p w14:paraId="4183B41D" w14:textId="77777777" w:rsidR="008F5536" w:rsidRPr="002B3E1D" w:rsidRDefault="008F5536" w:rsidP="008F5536">
            <w:pPr>
              <w:rPr>
                <w:rFonts w:ascii="Times New Roman" w:hAnsi="Times New Roman" w:cs="Times New Roman"/>
                <w:szCs w:val="20"/>
              </w:rPr>
            </w:pPr>
            <w:r w:rsidRPr="002B3E1D">
              <w:rPr>
                <w:rFonts w:ascii="Times New Roman" w:hAnsi="Times New Roman" w:cs="Times New Roman"/>
                <w:bCs/>
                <w:szCs w:val="20"/>
              </w:rPr>
              <w:t>× Use of Target's Capabilities</w:t>
            </w:r>
          </w:p>
        </w:tc>
        <w:tc>
          <w:tcPr>
            <w:tcW w:w="464" w:type="pct"/>
            <w:tcBorders>
              <w:top w:val="nil"/>
            </w:tcBorders>
            <w:tcMar>
              <w:left w:w="6" w:type="dxa"/>
              <w:right w:w="6" w:type="dxa"/>
            </w:tcMar>
            <w:vAlign w:val="bottom"/>
          </w:tcPr>
          <w:p w14:paraId="74A1A4AF" w14:textId="77777777" w:rsidR="008F5536" w:rsidRPr="002B3E1D" w:rsidRDefault="008F5536" w:rsidP="008F5536">
            <w:pPr>
              <w:tabs>
                <w:tab w:val="decimal" w:pos="340"/>
              </w:tabs>
              <w:rPr>
                <w:rFonts w:ascii="Times New Roman" w:hAnsi="Times New Roman" w:cs="Times New Roman"/>
                <w:szCs w:val="20"/>
              </w:rPr>
            </w:pPr>
          </w:p>
        </w:tc>
        <w:tc>
          <w:tcPr>
            <w:tcW w:w="476" w:type="pct"/>
            <w:tcBorders>
              <w:top w:val="nil"/>
              <w:right w:val="single" w:sz="2" w:space="0" w:color="auto"/>
            </w:tcBorders>
            <w:tcMar>
              <w:left w:w="6" w:type="dxa"/>
              <w:right w:w="6" w:type="dxa"/>
            </w:tcMar>
            <w:vAlign w:val="bottom"/>
          </w:tcPr>
          <w:p w14:paraId="7837B9D8"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0CE17F72" w14:textId="77777777" w:rsidR="008F5536" w:rsidRPr="002B3E1D" w:rsidRDefault="008F5536" w:rsidP="008F5536">
            <w:pPr>
              <w:tabs>
                <w:tab w:val="decimal" w:pos="340"/>
              </w:tabs>
              <w:rPr>
                <w:rFonts w:ascii="Times New Roman" w:hAnsi="Times New Roman" w:cs="Times New Roman"/>
                <w:szCs w:val="20"/>
              </w:rPr>
            </w:pPr>
          </w:p>
        </w:tc>
        <w:tc>
          <w:tcPr>
            <w:tcW w:w="464" w:type="pct"/>
            <w:tcBorders>
              <w:right w:val="single" w:sz="2" w:space="0" w:color="auto"/>
            </w:tcBorders>
            <w:noWrap/>
            <w:tcMar>
              <w:left w:w="6" w:type="dxa"/>
              <w:right w:w="6" w:type="dxa"/>
            </w:tcMar>
            <w:vAlign w:val="bottom"/>
          </w:tcPr>
          <w:p w14:paraId="41E2E226"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380AAC50" w14:textId="77777777" w:rsidR="008F5536" w:rsidRPr="002B3E1D" w:rsidRDefault="008F5536" w:rsidP="008F5536">
            <w:pPr>
              <w:tabs>
                <w:tab w:val="decimal" w:pos="340"/>
              </w:tabs>
              <w:rPr>
                <w:rFonts w:ascii="Times New Roman" w:hAnsi="Times New Roman" w:cs="Times New Roman"/>
                <w:szCs w:val="20"/>
              </w:rPr>
            </w:pPr>
          </w:p>
        </w:tc>
        <w:tc>
          <w:tcPr>
            <w:tcW w:w="464" w:type="pct"/>
            <w:tcBorders>
              <w:right w:val="single" w:sz="2" w:space="0" w:color="auto"/>
            </w:tcBorders>
            <w:noWrap/>
            <w:tcMar>
              <w:left w:w="6" w:type="dxa"/>
              <w:right w:w="6" w:type="dxa"/>
            </w:tcMar>
            <w:vAlign w:val="bottom"/>
          </w:tcPr>
          <w:p w14:paraId="0C81511B"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tcPr>
          <w:p w14:paraId="58113CB1"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-.14</w:t>
            </w:r>
          </w:p>
        </w:tc>
        <w:tc>
          <w:tcPr>
            <w:tcW w:w="449" w:type="pct"/>
            <w:noWrap/>
            <w:tcMar>
              <w:left w:w="6" w:type="dxa"/>
              <w:right w:w="6" w:type="dxa"/>
            </w:tcMar>
          </w:tcPr>
          <w:p w14:paraId="285241DF"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-1.38</w:t>
            </w:r>
          </w:p>
        </w:tc>
      </w:tr>
      <w:tr w:rsidR="008F5536" w:rsidRPr="002B3E1D" w14:paraId="218F7490" w14:textId="77777777" w:rsidTr="008F5536">
        <w:tc>
          <w:tcPr>
            <w:tcW w:w="1291" w:type="pct"/>
            <w:noWrap/>
            <w:tcMar>
              <w:left w:w="6" w:type="dxa"/>
              <w:right w:w="6" w:type="dxa"/>
            </w:tcMar>
          </w:tcPr>
          <w:p w14:paraId="378FBD6F" w14:textId="77777777" w:rsidR="008F5536" w:rsidRPr="002B3E1D" w:rsidRDefault="008F5536" w:rsidP="008F5536">
            <w:pPr>
              <w:rPr>
                <w:rFonts w:ascii="Times New Roman" w:hAnsi="Times New Roman" w:cs="Times New Roman"/>
                <w:szCs w:val="20"/>
              </w:rPr>
            </w:pPr>
            <w:r w:rsidRPr="002B3E1D">
              <w:rPr>
                <w:rFonts w:ascii="Times New Roman" w:hAnsi="Times New Roman" w:cs="Times New Roman"/>
                <w:bCs/>
                <w:szCs w:val="20"/>
              </w:rPr>
              <w:t>× Share Capabilities with Target</w:t>
            </w:r>
          </w:p>
        </w:tc>
        <w:tc>
          <w:tcPr>
            <w:tcW w:w="464" w:type="pct"/>
            <w:tcBorders>
              <w:top w:val="nil"/>
            </w:tcBorders>
            <w:tcMar>
              <w:left w:w="6" w:type="dxa"/>
              <w:right w:w="6" w:type="dxa"/>
            </w:tcMar>
            <w:vAlign w:val="bottom"/>
          </w:tcPr>
          <w:p w14:paraId="2063132F" w14:textId="77777777" w:rsidR="008F5536" w:rsidRPr="002B3E1D" w:rsidRDefault="008F5536" w:rsidP="008F5536">
            <w:pPr>
              <w:tabs>
                <w:tab w:val="decimal" w:pos="340"/>
              </w:tabs>
              <w:rPr>
                <w:rFonts w:ascii="Times New Roman" w:hAnsi="Times New Roman" w:cs="Times New Roman"/>
                <w:szCs w:val="20"/>
              </w:rPr>
            </w:pPr>
          </w:p>
        </w:tc>
        <w:tc>
          <w:tcPr>
            <w:tcW w:w="476" w:type="pct"/>
            <w:tcBorders>
              <w:top w:val="nil"/>
              <w:right w:val="single" w:sz="2" w:space="0" w:color="auto"/>
            </w:tcBorders>
            <w:tcMar>
              <w:left w:w="6" w:type="dxa"/>
              <w:right w:w="6" w:type="dxa"/>
            </w:tcMar>
            <w:vAlign w:val="bottom"/>
          </w:tcPr>
          <w:p w14:paraId="13E3ACF9"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206F7718" w14:textId="77777777" w:rsidR="008F5536" w:rsidRPr="002B3E1D" w:rsidRDefault="008F5536" w:rsidP="008F5536">
            <w:pPr>
              <w:tabs>
                <w:tab w:val="decimal" w:pos="340"/>
              </w:tabs>
              <w:rPr>
                <w:rFonts w:ascii="Times New Roman" w:hAnsi="Times New Roman" w:cs="Times New Roman"/>
                <w:szCs w:val="20"/>
              </w:rPr>
            </w:pPr>
          </w:p>
        </w:tc>
        <w:tc>
          <w:tcPr>
            <w:tcW w:w="464" w:type="pct"/>
            <w:tcBorders>
              <w:right w:val="single" w:sz="2" w:space="0" w:color="auto"/>
            </w:tcBorders>
            <w:noWrap/>
            <w:tcMar>
              <w:left w:w="6" w:type="dxa"/>
              <w:right w:w="6" w:type="dxa"/>
            </w:tcMar>
            <w:vAlign w:val="bottom"/>
          </w:tcPr>
          <w:p w14:paraId="6F3894C1"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vAlign w:val="bottom"/>
          </w:tcPr>
          <w:p w14:paraId="68AFA36D" w14:textId="77777777" w:rsidR="008F5536" w:rsidRPr="002B3E1D" w:rsidRDefault="008F5536" w:rsidP="008F5536">
            <w:pPr>
              <w:tabs>
                <w:tab w:val="decimal" w:pos="340"/>
              </w:tabs>
              <w:rPr>
                <w:rFonts w:ascii="Times New Roman" w:hAnsi="Times New Roman" w:cs="Times New Roman"/>
                <w:szCs w:val="20"/>
              </w:rPr>
            </w:pPr>
          </w:p>
        </w:tc>
        <w:tc>
          <w:tcPr>
            <w:tcW w:w="464" w:type="pct"/>
            <w:tcBorders>
              <w:right w:val="single" w:sz="2" w:space="0" w:color="auto"/>
            </w:tcBorders>
            <w:noWrap/>
            <w:tcMar>
              <w:left w:w="6" w:type="dxa"/>
              <w:right w:w="6" w:type="dxa"/>
            </w:tcMar>
            <w:vAlign w:val="bottom"/>
          </w:tcPr>
          <w:p w14:paraId="351D7B6B"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tcBorders>
            <w:noWrap/>
            <w:tcMar>
              <w:left w:w="6" w:type="dxa"/>
              <w:right w:w="6" w:type="dxa"/>
            </w:tcMar>
          </w:tcPr>
          <w:p w14:paraId="47148426"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-.04</w:t>
            </w:r>
          </w:p>
        </w:tc>
        <w:tc>
          <w:tcPr>
            <w:tcW w:w="449" w:type="pct"/>
            <w:noWrap/>
            <w:tcMar>
              <w:left w:w="6" w:type="dxa"/>
              <w:right w:w="6" w:type="dxa"/>
            </w:tcMar>
          </w:tcPr>
          <w:p w14:paraId="791E7C32" w14:textId="77777777" w:rsidR="008F5536" w:rsidRPr="002B3E1D" w:rsidRDefault="008F5536" w:rsidP="008F5536">
            <w:pPr>
              <w:tabs>
                <w:tab w:val="decimal" w:pos="340"/>
              </w:tabs>
              <w:rPr>
                <w:rFonts w:ascii="Times New Roman" w:hAnsi="Times New Roman" w:cs="Times New Roman"/>
                <w:szCs w:val="20"/>
              </w:rPr>
            </w:pPr>
            <w:r w:rsidRPr="002B3E1D">
              <w:rPr>
                <w:rFonts w:ascii="Times New Roman" w:hAnsi="Times New Roman" w:cs="Times New Roman"/>
                <w:szCs w:val="20"/>
              </w:rPr>
              <w:t>-.40</w:t>
            </w:r>
          </w:p>
        </w:tc>
      </w:tr>
      <w:tr w:rsidR="008F5536" w:rsidRPr="002B3E1D" w14:paraId="202B230D" w14:textId="77777777" w:rsidTr="008F5536">
        <w:tc>
          <w:tcPr>
            <w:tcW w:w="1291" w:type="pct"/>
            <w:tcBorders>
              <w:bottom w:val="nil"/>
            </w:tcBorders>
            <w:noWrap/>
            <w:tcMar>
              <w:left w:w="6" w:type="dxa"/>
              <w:right w:w="6" w:type="dxa"/>
            </w:tcMar>
          </w:tcPr>
          <w:p w14:paraId="17778F75" w14:textId="77777777" w:rsidR="008F5536" w:rsidRPr="002B3E1D" w:rsidRDefault="008F5536" w:rsidP="008F5536">
            <w:pPr>
              <w:rPr>
                <w:rFonts w:ascii="Times New Roman" w:hAnsi="Times New Roman" w:cs="Times New Roman"/>
                <w:bCs/>
                <w:szCs w:val="20"/>
              </w:rPr>
            </w:pPr>
          </w:p>
        </w:tc>
        <w:tc>
          <w:tcPr>
            <w:tcW w:w="464" w:type="pct"/>
            <w:tcBorders>
              <w:top w:val="nil"/>
              <w:bottom w:val="nil"/>
            </w:tcBorders>
            <w:tcMar>
              <w:left w:w="6" w:type="dxa"/>
              <w:right w:w="6" w:type="dxa"/>
            </w:tcMar>
            <w:vAlign w:val="bottom"/>
          </w:tcPr>
          <w:p w14:paraId="60C7387E" w14:textId="77777777" w:rsidR="008F5536" w:rsidRPr="002B3E1D" w:rsidRDefault="008F5536" w:rsidP="008F5536">
            <w:pPr>
              <w:tabs>
                <w:tab w:val="decimal" w:pos="340"/>
              </w:tabs>
              <w:rPr>
                <w:rFonts w:ascii="Times New Roman" w:hAnsi="Times New Roman" w:cs="Times New Roman"/>
                <w:szCs w:val="20"/>
              </w:rPr>
            </w:pPr>
          </w:p>
        </w:tc>
        <w:tc>
          <w:tcPr>
            <w:tcW w:w="476" w:type="pct"/>
            <w:tcBorders>
              <w:top w:val="nil"/>
              <w:bottom w:val="nil"/>
              <w:right w:val="single" w:sz="2" w:space="0" w:color="auto"/>
            </w:tcBorders>
            <w:tcMar>
              <w:left w:w="6" w:type="dxa"/>
              <w:right w:w="6" w:type="dxa"/>
            </w:tcMar>
            <w:vAlign w:val="bottom"/>
          </w:tcPr>
          <w:p w14:paraId="55CF346E"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bottom w:val="nil"/>
            </w:tcBorders>
            <w:noWrap/>
            <w:tcMar>
              <w:left w:w="6" w:type="dxa"/>
              <w:right w:w="6" w:type="dxa"/>
            </w:tcMar>
            <w:vAlign w:val="bottom"/>
          </w:tcPr>
          <w:p w14:paraId="091B4711" w14:textId="77777777" w:rsidR="008F5536" w:rsidRPr="002B3E1D" w:rsidRDefault="008F5536" w:rsidP="008F5536">
            <w:pPr>
              <w:tabs>
                <w:tab w:val="decimal" w:pos="340"/>
              </w:tabs>
              <w:rPr>
                <w:rFonts w:ascii="Times New Roman" w:hAnsi="Times New Roman" w:cs="Times New Roman"/>
                <w:szCs w:val="20"/>
              </w:rPr>
            </w:pPr>
          </w:p>
        </w:tc>
        <w:tc>
          <w:tcPr>
            <w:tcW w:w="464" w:type="pct"/>
            <w:tcBorders>
              <w:bottom w:val="nil"/>
              <w:right w:val="single" w:sz="2" w:space="0" w:color="auto"/>
            </w:tcBorders>
            <w:noWrap/>
            <w:tcMar>
              <w:left w:w="6" w:type="dxa"/>
              <w:right w:w="6" w:type="dxa"/>
            </w:tcMar>
            <w:vAlign w:val="bottom"/>
          </w:tcPr>
          <w:p w14:paraId="76820840"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bottom w:val="nil"/>
            </w:tcBorders>
            <w:noWrap/>
            <w:tcMar>
              <w:left w:w="6" w:type="dxa"/>
              <w:right w:w="6" w:type="dxa"/>
            </w:tcMar>
            <w:vAlign w:val="bottom"/>
          </w:tcPr>
          <w:p w14:paraId="75837E7A" w14:textId="77777777" w:rsidR="008F5536" w:rsidRPr="002B3E1D" w:rsidRDefault="008F5536" w:rsidP="008F5536">
            <w:pPr>
              <w:tabs>
                <w:tab w:val="decimal" w:pos="340"/>
              </w:tabs>
              <w:rPr>
                <w:rFonts w:ascii="Times New Roman" w:hAnsi="Times New Roman" w:cs="Times New Roman"/>
                <w:szCs w:val="20"/>
              </w:rPr>
            </w:pPr>
          </w:p>
        </w:tc>
        <w:tc>
          <w:tcPr>
            <w:tcW w:w="464" w:type="pct"/>
            <w:tcBorders>
              <w:bottom w:val="nil"/>
              <w:right w:val="single" w:sz="2" w:space="0" w:color="auto"/>
            </w:tcBorders>
            <w:noWrap/>
            <w:tcMar>
              <w:left w:w="6" w:type="dxa"/>
              <w:right w:w="6" w:type="dxa"/>
            </w:tcMar>
            <w:vAlign w:val="bottom"/>
          </w:tcPr>
          <w:p w14:paraId="5097F8A5" w14:textId="77777777" w:rsidR="008F5536" w:rsidRPr="002B3E1D" w:rsidRDefault="008F5536" w:rsidP="008F5536">
            <w:pPr>
              <w:tabs>
                <w:tab w:val="decimal" w:pos="340"/>
              </w:tabs>
              <w:rPr>
                <w:rFonts w:ascii="Times New Roman" w:hAnsi="Times New Roman" w:cs="Times New Roman"/>
                <w:szCs w:val="20"/>
              </w:rPr>
            </w:pPr>
          </w:p>
        </w:tc>
        <w:tc>
          <w:tcPr>
            <w:tcW w:w="464" w:type="pct"/>
            <w:tcBorders>
              <w:left w:val="single" w:sz="2" w:space="0" w:color="auto"/>
              <w:bottom w:val="nil"/>
            </w:tcBorders>
            <w:noWrap/>
            <w:tcMar>
              <w:left w:w="6" w:type="dxa"/>
              <w:right w:w="6" w:type="dxa"/>
            </w:tcMar>
            <w:vAlign w:val="bottom"/>
          </w:tcPr>
          <w:p w14:paraId="712AA230" w14:textId="77777777" w:rsidR="008F5536" w:rsidRPr="002B3E1D" w:rsidRDefault="008F5536" w:rsidP="008F5536">
            <w:pPr>
              <w:tabs>
                <w:tab w:val="decimal" w:pos="340"/>
              </w:tabs>
              <w:rPr>
                <w:rFonts w:ascii="Times New Roman" w:hAnsi="Times New Roman" w:cs="Times New Roman"/>
                <w:szCs w:val="20"/>
              </w:rPr>
            </w:pPr>
          </w:p>
        </w:tc>
        <w:tc>
          <w:tcPr>
            <w:tcW w:w="449" w:type="pct"/>
            <w:tcBorders>
              <w:bottom w:val="nil"/>
            </w:tcBorders>
            <w:noWrap/>
            <w:tcMar>
              <w:left w:w="6" w:type="dxa"/>
              <w:right w:w="6" w:type="dxa"/>
            </w:tcMar>
            <w:vAlign w:val="bottom"/>
          </w:tcPr>
          <w:p w14:paraId="0B9CF9E3" w14:textId="77777777" w:rsidR="008F5536" w:rsidRPr="002B3E1D" w:rsidRDefault="008F5536" w:rsidP="008F5536">
            <w:pPr>
              <w:tabs>
                <w:tab w:val="decimal" w:pos="340"/>
              </w:tabs>
              <w:rPr>
                <w:rFonts w:ascii="Times New Roman" w:hAnsi="Times New Roman" w:cs="Times New Roman"/>
                <w:szCs w:val="20"/>
              </w:rPr>
            </w:pPr>
          </w:p>
        </w:tc>
      </w:tr>
      <w:tr w:rsidR="008F5536" w:rsidRPr="002B3E1D" w14:paraId="53102764" w14:textId="77777777" w:rsidTr="008F5536">
        <w:tc>
          <w:tcPr>
            <w:tcW w:w="1291" w:type="pct"/>
            <w:tcBorders>
              <w:bottom w:val="nil"/>
            </w:tcBorders>
            <w:noWrap/>
            <w:tcMar>
              <w:left w:w="6" w:type="dxa"/>
              <w:right w:w="6" w:type="dxa"/>
            </w:tcMar>
          </w:tcPr>
          <w:p w14:paraId="31EC7C4B" w14:textId="77777777" w:rsidR="008F5536" w:rsidRPr="002B3E1D" w:rsidRDefault="008F5536" w:rsidP="008F5536">
            <w:pPr>
              <w:rPr>
                <w:rFonts w:ascii="Times New Roman" w:hAnsi="Times New Roman" w:cs="Times New Roman"/>
                <w:bCs/>
                <w:szCs w:val="20"/>
              </w:rPr>
            </w:pPr>
            <w:r w:rsidRPr="002B3E1D">
              <w:rPr>
                <w:rFonts w:ascii="Times New Roman" w:hAnsi="Times New Roman" w:cs="Times New Roman"/>
                <w:bCs/>
                <w:szCs w:val="20"/>
              </w:rPr>
              <w:t>Model F-Value</w:t>
            </w:r>
          </w:p>
        </w:tc>
        <w:tc>
          <w:tcPr>
            <w:tcW w:w="940" w:type="pct"/>
            <w:gridSpan w:val="2"/>
            <w:tcBorders>
              <w:top w:val="nil"/>
              <w:bottom w:val="nil"/>
              <w:right w:val="single" w:sz="2" w:space="0" w:color="auto"/>
            </w:tcBorders>
            <w:tcMar>
              <w:left w:w="6" w:type="dxa"/>
              <w:right w:w="6" w:type="dxa"/>
            </w:tcMar>
          </w:tcPr>
          <w:p w14:paraId="58692987" w14:textId="77777777" w:rsidR="008F5536" w:rsidRPr="002B3E1D" w:rsidRDefault="008F5536" w:rsidP="008F5536">
            <w:pPr>
              <w:tabs>
                <w:tab w:val="decimal" w:pos="737"/>
              </w:tabs>
              <w:rPr>
                <w:rFonts w:ascii="Times New Roman" w:hAnsi="Times New Roman" w:cs="Times New Roman"/>
                <w:szCs w:val="20"/>
              </w:rPr>
            </w:pPr>
            <w:r w:rsidRPr="002B3E1D">
              <w:rPr>
                <w:rFonts w:ascii="Times New Roman" w:hAnsi="Times New Roman" w:cs="Times New Roman"/>
                <w:szCs w:val="20"/>
              </w:rPr>
              <w:t>1.25</w:t>
            </w:r>
          </w:p>
        </w:tc>
        <w:tc>
          <w:tcPr>
            <w:tcW w:w="928" w:type="pct"/>
            <w:gridSpan w:val="2"/>
            <w:tcBorders>
              <w:left w:val="single" w:sz="2" w:space="0" w:color="auto"/>
              <w:bottom w:val="nil"/>
              <w:right w:val="single" w:sz="2" w:space="0" w:color="auto"/>
            </w:tcBorders>
            <w:noWrap/>
            <w:tcMar>
              <w:left w:w="6" w:type="dxa"/>
              <w:right w:w="6" w:type="dxa"/>
            </w:tcMar>
          </w:tcPr>
          <w:p w14:paraId="556B098B" w14:textId="77777777" w:rsidR="008F5536" w:rsidRPr="002B3E1D" w:rsidRDefault="008F5536" w:rsidP="008F5536">
            <w:pPr>
              <w:tabs>
                <w:tab w:val="decimal" w:pos="737"/>
              </w:tabs>
              <w:rPr>
                <w:rFonts w:ascii="Times New Roman" w:hAnsi="Times New Roman" w:cs="Times New Roman"/>
                <w:szCs w:val="20"/>
              </w:rPr>
            </w:pPr>
            <w:r w:rsidRPr="002B3E1D">
              <w:rPr>
                <w:rFonts w:ascii="Times New Roman" w:hAnsi="Times New Roman" w:cs="Times New Roman"/>
                <w:szCs w:val="20"/>
              </w:rPr>
              <w:t>3.76**</w:t>
            </w:r>
          </w:p>
        </w:tc>
        <w:tc>
          <w:tcPr>
            <w:tcW w:w="928" w:type="pct"/>
            <w:gridSpan w:val="2"/>
            <w:tcBorders>
              <w:left w:val="single" w:sz="2" w:space="0" w:color="auto"/>
              <w:bottom w:val="nil"/>
              <w:right w:val="single" w:sz="2" w:space="0" w:color="auto"/>
            </w:tcBorders>
            <w:noWrap/>
            <w:tcMar>
              <w:left w:w="6" w:type="dxa"/>
              <w:right w:w="6" w:type="dxa"/>
            </w:tcMar>
          </w:tcPr>
          <w:p w14:paraId="0659E9C0" w14:textId="77777777" w:rsidR="008F5536" w:rsidRPr="002B3E1D" w:rsidRDefault="008F5536" w:rsidP="008F5536">
            <w:pPr>
              <w:tabs>
                <w:tab w:val="decimal" w:pos="737"/>
              </w:tabs>
              <w:rPr>
                <w:rFonts w:ascii="Times New Roman" w:hAnsi="Times New Roman" w:cs="Times New Roman"/>
                <w:szCs w:val="20"/>
              </w:rPr>
            </w:pPr>
            <w:r w:rsidRPr="002B3E1D">
              <w:rPr>
                <w:rFonts w:ascii="Times New Roman" w:hAnsi="Times New Roman" w:cs="Times New Roman"/>
                <w:szCs w:val="20"/>
              </w:rPr>
              <w:t>4.65**</w:t>
            </w:r>
          </w:p>
        </w:tc>
        <w:tc>
          <w:tcPr>
            <w:tcW w:w="913" w:type="pct"/>
            <w:gridSpan w:val="2"/>
            <w:tcBorders>
              <w:left w:val="single" w:sz="2" w:space="0" w:color="auto"/>
              <w:bottom w:val="nil"/>
            </w:tcBorders>
            <w:noWrap/>
            <w:tcMar>
              <w:left w:w="6" w:type="dxa"/>
              <w:right w:w="6" w:type="dxa"/>
            </w:tcMar>
          </w:tcPr>
          <w:p w14:paraId="42690C78" w14:textId="77777777" w:rsidR="008F5536" w:rsidRPr="002B3E1D" w:rsidRDefault="008F5536" w:rsidP="008F5536">
            <w:pPr>
              <w:tabs>
                <w:tab w:val="decimal" w:pos="737"/>
              </w:tabs>
              <w:rPr>
                <w:rFonts w:ascii="Times New Roman" w:hAnsi="Times New Roman" w:cs="Times New Roman"/>
                <w:szCs w:val="20"/>
              </w:rPr>
            </w:pPr>
            <w:r w:rsidRPr="002B3E1D">
              <w:rPr>
                <w:rFonts w:ascii="Times New Roman" w:hAnsi="Times New Roman" w:cs="Times New Roman"/>
                <w:szCs w:val="20"/>
              </w:rPr>
              <w:t>4.49**</w:t>
            </w:r>
          </w:p>
        </w:tc>
      </w:tr>
      <w:tr w:rsidR="008F5536" w:rsidRPr="002B3E1D" w14:paraId="26607764" w14:textId="77777777" w:rsidTr="008F5536">
        <w:tc>
          <w:tcPr>
            <w:tcW w:w="1291" w:type="pct"/>
            <w:tcBorders>
              <w:bottom w:val="nil"/>
            </w:tcBorders>
            <w:noWrap/>
            <w:tcMar>
              <w:left w:w="6" w:type="dxa"/>
              <w:right w:w="6" w:type="dxa"/>
            </w:tcMar>
          </w:tcPr>
          <w:p w14:paraId="2DC41254" w14:textId="77777777" w:rsidR="008F5536" w:rsidRPr="002B3E1D" w:rsidRDefault="008F5536" w:rsidP="008F5536">
            <w:pPr>
              <w:rPr>
                <w:rFonts w:ascii="Times New Roman" w:hAnsi="Times New Roman" w:cs="Times New Roman"/>
                <w:bCs/>
                <w:szCs w:val="20"/>
              </w:rPr>
            </w:pPr>
            <w:r w:rsidRPr="002B3E1D">
              <w:rPr>
                <w:rFonts w:ascii="Times New Roman" w:hAnsi="Times New Roman" w:cs="Times New Roman"/>
                <w:bCs/>
                <w:i/>
                <w:szCs w:val="20"/>
              </w:rPr>
              <w:t>R</w:t>
            </w:r>
            <w:r w:rsidRPr="002B3E1D">
              <w:rPr>
                <w:rFonts w:ascii="Times New Roman" w:hAnsi="Times New Roman" w:cs="Times New Roman"/>
                <w:bCs/>
                <w:szCs w:val="20"/>
                <w:vertAlign w:val="superscript"/>
              </w:rPr>
              <w:t>2</w:t>
            </w:r>
          </w:p>
        </w:tc>
        <w:tc>
          <w:tcPr>
            <w:tcW w:w="940" w:type="pct"/>
            <w:gridSpan w:val="2"/>
            <w:tcBorders>
              <w:top w:val="nil"/>
              <w:bottom w:val="nil"/>
              <w:right w:val="single" w:sz="2" w:space="0" w:color="auto"/>
            </w:tcBorders>
            <w:tcMar>
              <w:left w:w="6" w:type="dxa"/>
              <w:right w:w="6" w:type="dxa"/>
            </w:tcMar>
          </w:tcPr>
          <w:p w14:paraId="55FFE2AD" w14:textId="77777777" w:rsidR="008F5536" w:rsidRPr="002B3E1D" w:rsidRDefault="008F5536" w:rsidP="008F5536">
            <w:pPr>
              <w:tabs>
                <w:tab w:val="decimal" w:pos="737"/>
              </w:tabs>
              <w:rPr>
                <w:rFonts w:ascii="Times New Roman" w:hAnsi="Times New Roman" w:cs="Times New Roman"/>
                <w:szCs w:val="20"/>
              </w:rPr>
            </w:pPr>
            <w:r w:rsidRPr="002B3E1D">
              <w:rPr>
                <w:rFonts w:ascii="Times New Roman" w:hAnsi="Times New Roman" w:cs="Times New Roman"/>
                <w:szCs w:val="20"/>
              </w:rPr>
              <w:t>.08</w:t>
            </w:r>
          </w:p>
        </w:tc>
        <w:tc>
          <w:tcPr>
            <w:tcW w:w="928" w:type="pct"/>
            <w:gridSpan w:val="2"/>
            <w:tcBorders>
              <w:left w:val="single" w:sz="2" w:space="0" w:color="auto"/>
              <w:bottom w:val="nil"/>
              <w:right w:val="single" w:sz="2" w:space="0" w:color="auto"/>
            </w:tcBorders>
            <w:noWrap/>
            <w:tcMar>
              <w:left w:w="6" w:type="dxa"/>
              <w:right w:w="6" w:type="dxa"/>
            </w:tcMar>
          </w:tcPr>
          <w:p w14:paraId="54A7EF99" w14:textId="77777777" w:rsidR="008F5536" w:rsidRPr="002B3E1D" w:rsidRDefault="008F5536" w:rsidP="008F5536">
            <w:pPr>
              <w:tabs>
                <w:tab w:val="decimal" w:pos="737"/>
              </w:tabs>
              <w:rPr>
                <w:rFonts w:ascii="Times New Roman" w:hAnsi="Times New Roman" w:cs="Times New Roman"/>
                <w:szCs w:val="20"/>
              </w:rPr>
            </w:pPr>
            <w:r w:rsidRPr="002B3E1D">
              <w:rPr>
                <w:rFonts w:ascii="Times New Roman" w:hAnsi="Times New Roman" w:cs="Times New Roman"/>
                <w:szCs w:val="20"/>
              </w:rPr>
              <w:t>.28</w:t>
            </w:r>
          </w:p>
        </w:tc>
        <w:tc>
          <w:tcPr>
            <w:tcW w:w="928" w:type="pct"/>
            <w:gridSpan w:val="2"/>
            <w:tcBorders>
              <w:left w:val="single" w:sz="2" w:space="0" w:color="auto"/>
              <w:bottom w:val="nil"/>
              <w:right w:val="single" w:sz="2" w:space="0" w:color="auto"/>
            </w:tcBorders>
            <w:noWrap/>
            <w:tcMar>
              <w:left w:w="6" w:type="dxa"/>
              <w:right w:w="6" w:type="dxa"/>
            </w:tcMar>
          </w:tcPr>
          <w:p w14:paraId="499F97E0" w14:textId="77777777" w:rsidR="008F5536" w:rsidRPr="002B3E1D" w:rsidRDefault="008F5536" w:rsidP="008F5536">
            <w:pPr>
              <w:tabs>
                <w:tab w:val="decimal" w:pos="737"/>
              </w:tabs>
              <w:rPr>
                <w:rFonts w:ascii="Times New Roman" w:hAnsi="Times New Roman" w:cs="Times New Roman"/>
                <w:szCs w:val="20"/>
              </w:rPr>
            </w:pPr>
            <w:r w:rsidRPr="002B3E1D">
              <w:rPr>
                <w:rFonts w:ascii="Times New Roman" w:hAnsi="Times New Roman" w:cs="Times New Roman"/>
                <w:szCs w:val="20"/>
              </w:rPr>
              <w:t>.36</w:t>
            </w:r>
          </w:p>
        </w:tc>
        <w:tc>
          <w:tcPr>
            <w:tcW w:w="913" w:type="pct"/>
            <w:gridSpan w:val="2"/>
            <w:tcBorders>
              <w:left w:val="single" w:sz="2" w:space="0" w:color="auto"/>
              <w:bottom w:val="nil"/>
            </w:tcBorders>
            <w:noWrap/>
            <w:tcMar>
              <w:left w:w="6" w:type="dxa"/>
              <w:right w:w="6" w:type="dxa"/>
            </w:tcMar>
          </w:tcPr>
          <w:p w14:paraId="0A92374F" w14:textId="77777777" w:rsidR="008F5536" w:rsidRPr="002B3E1D" w:rsidRDefault="008F5536" w:rsidP="008F5536">
            <w:pPr>
              <w:tabs>
                <w:tab w:val="decimal" w:pos="737"/>
              </w:tabs>
              <w:rPr>
                <w:rFonts w:ascii="Times New Roman" w:hAnsi="Times New Roman" w:cs="Times New Roman"/>
                <w:szCs w:val="20"/>
              </w:rPr>
            </w:pPr>
            <w:r w:rsidRPr="002B3E1D">
              <w:rPr>
                <w:rFonts w:ascii="Times New Roman" w:hAnsi="Times New Roman" w:cs="Times New Roman"/>
                <w:szCs w:val="20"/>
              </w:rPr>
              <w:t>.45</w:t>
            </w:r>
          </w:p>
        </w:tc>
      </w:tr>
      <w:tr w:rsidR="008F5536" w:rsidRPr="002B3E1D" w14:paraId="2E9A34F5" w14:textId="77777777" w:rsidTr="008F5536">
        <w:tc>
          <w:tcPr>
            <w:tcW w:w="5000" w:type="pct"/>
            <w:gridSpan w:val="9"/>
            <w:tcBorders>
              <w:top w:val="single" w:sz="12" w:space="0" w:color="auto"/>
            </w:tcBorders>
            <w:tcMar>
              <w:left w:w="6" w:type="dxa"/>
              <w:right w:w="6" w:type="dxa"/>
            </w:tcMar>
          </w:tcPr>
          <w:p w14:paraId="5DD0F8D0" w14:textId="77777777" w:rsidR="008F5536" w:rsidRPr="002B3E1D" w:rsidRDefault="008F5536" w:rsidP="008F5536">
            <w:pPr>
              <w:rPr>
                <w:rFonts w:ascii="Times New Roman" w:hAnsi="Times New Roman" w:cs="Times New Roman"/>
                <w:szCs w:val="20"/>
              </w:rPr>
            </w:pPr>
            <w:r w:rsidRPr="002B3E1D">
              <w:rPr>
                <w:rFonts w:ascii="Times New Roman" w:hAnsi="Times New Roman" w:cs="Times New Roman"/>
                <w:szCs w:val="20"/>
                <w:vertAlign w:val="superscript"/>
              </w:rPr>
              <w:t>1</w:t>
            </w:r>
            <w:r w:rsidRPr="002B3E1D">
              <w:rPr>
                <w:rFonts w:ascii="Times New Roman" w:hAnsi="Times New Roman" w:cs="Times New Roman"/>
                <w:szCs w:val="20"/>
              </w:rPr>
              <w:t xml:space="preserve"> Standardized regression coefficient.</w:t>
            </w:r>
          </w:p>
          <w:p w14:paraId="34E63A53" w14:textId="77777777" w:rsidR="008F5536" w:rsidRPr="002B3E1D" w:rsidRDefault="008F5536" w:rsidP="008F5536">
            <w:pPr>
              <w:rPr>
                <w:rFonts w:ascii="Times New Roman" w:hAnsi="Times New Roman" w:cs="Times New Roman"/>
                <w:szCs w:val="20"/>
              </w:rPr>
            </w:pPr>
            <w:r w:rsidRPr="002B3E1D">
              <w:rPr>
                <w:rFonts w:ascii="Times New Roman" w:hAnsi="Times New Roman" w:cs="Times New Roman"/>
                <w:szCs w:val="20"/>
              </w:rPr>
              <w:t>Significance levels (one-tailed as hypotheses are directional):</w:t>
            </w:r>
          </w:p>
          <w:p w14:paraId="7F58582B" w14:textId="77777777" w:rsidR="008F5536" w:rsidRPr="002B3E1D" w:rsidRDefault="008F5536" w:rsidP="008F5536">
            <w:pPr>
              <w:rPr>
                <w:rFonts w:ascii="Times New Roman" w:hAnsi="Times New Roman" w:cs="Times New Roman"/>
                <w:szCs w:val="20"/>
              </w:rPr>
            </w:pPr>
            <w:r w:rsidRPr="002B3E1D">
              <w:rPr>
                <w:rFonts w:ascii="Times New Roman" w:hAnsi="Times New Roman" w:cs="Times New Roman"/>
                <w:szCs w:val="20"/>
              </w:rPr>
              <w:t>** Significant at 0.01 level (critical t-value = 2.326).</w:t>
            </w:r>
          </w:p>
          <w:p w14:paraId="7B3B578A" w14:textId="77777777" w:rsidR="008F5536" w:rsidRPr="002B3E1D" w:rsidRDefault="008F5536" w:rsidP="008F5536">
            <w:pPr>
              <w:rPr>
                <w:rFonts w:ascii="Times New Roman" w:hAnsi="Times New Roman" w:cs="Times New Roman"/>
                <w:szCs w:val="20"/>
              </w:rPr>
            </w:pPr>
            <w:r w:rsidRPr="002B3E1D">
              <w:rPr>
                <w:rFonts w:ascii="Times New Roman" w:hAnsi="Times New Roman" w:cs="Times New Roman"/>
                <w:szCs w:val="20"/>
              </w:rPr>
              <w:lastRenderedPageBreak/>
              <w:t>* Significant at 0.05 level (critical t-value = 1.645).</w:t>
            </w:r>
          </w:p>
        </w:tc>
      </w:tr>
    </w:tbl>
    <w:p w14:paraId="6CEE5D2A" w14:textId="77777777" w:rsidR="008F5536" w:rsidRPr="002B3E1D" w:rsidRDefault="008F5536" w:rsidP="008F5536">
      <w:pPr>
        <w:spacing w:after="0" w:line="240" w:lineRule="auto"/>
        <w:rPr>
          <w:rFonts w:ascii="Times New Roman" w:hAnsi="Times New Roman" w:cs="Times New Roman"/>
          <w:sz w:val="24"/>
          <w:szCs w:val="24"/>
          <w:lang w:val="en-US"/>
        </w:rPr>
      </w:pPr>
    </w:p>
    <w:p w14:paraId="0F78FD03" w14:textId="77777777" w:rsidR="008F5536" w:rsidRPr="002B3E1D" w:rsidRDefault="008F5536" w:rsidP="008F5536">
      <w:pPr>
        <w:autoSpaceDE w:val="0"/>
        <w:autoSpaceDN w:val="0"/>
        <w:adjustRightInd w:val="0"/>
        <w:spacing w:after="0" w:line="480" w:lineRule="auto"/>
        <w:rPr>
          <w:rFonts w:ascii="Times New Roman" w:hAnsi="Times New Roman" w:cs="Times New Roman"/>
          <w:sz w:val="24"/>
          <w:szCs w:val="24"/>
          <w:lang w:val="en-US"/>
        </w:rPr>
      </w:pPr>
    </w:p>
    <w:p w14:paraId="2F8F0D2B" w14:textId="77777777" w:rsidR="008F5536" w:rsidRPr="002B3E1D" w:rsidRDefault="008F5536" w:rsidP="008F5536">
      <w:pPr>
        <w:spacing w:after="0" w:line="480" w:lineRule="auto"/>
        <w:rPr>
          <w:rFonts w:ascii="Times New Roman" w:hAnsi="Times New Roman" w:cs="Times New Roman"/>
          <w:b/>
          <w:sz w:val="24"/>
          <w:szCs w:val="24"/>
          <w:lang w:val="en-US"/>
        </w:rPr>
      </w:pPr>
      <w:r w:rsidRPr="002B3E1D">
        <w:rPr>
          <w:rFonts w:ascii="Times New Roman" w:hAnsi="Times New Roman" w:cs="Times New Roman"/>
          <w:b/>
          <w:sz w:val="24"/>
          <w:szCs w:val="24"/>
          <w:lang w:val="en-US"/>
        </w:rPr>
        <w:t xml:space="preserve">Figure 1: Conceptual </w:t>
      </w:r>
      <w:r w:rsidR="00D252BF" w:rsidRPr="002B3E1D">
        <w:rPr>
          <w:rFonts w:ascii="Times New Roman" w:hAnsi="Times New Roman" w:cs="Times New Roman"/>
          <w:b/>
          <w:sz w:val="24"/>
          <w:szCs w:val="24"/>
          <w:lang w:val="en-US"/>
        </w:rPr>
        <w:t xml:space="preserve">model of ambidexterity in the context of cross-border </w:t>
      </w:r>
      <w:r w:rsidR="00B775DB" w:rsidRPr="002B3E1D">
        <w:rPr>
          <w:rFonts w:ascii="Times New Roman" w:hAnsi="Times New Roman" w:cs="Times New Roman"/>
          <w:b/>
          <w:sz w:val="24"/>
          <w:szCs w:val="24"/>
          <w:lang w:val="en-US"/>
        </w:rPr>
        <w:t>M&amp;As</w:t>
      </w:r>
    </w:p>
    <w:p w14:paraId="1DF9037D" w14:textId="77777777" w:rsidR="008F5536" w:rsidRPr="002B3E1D" w:rsidRDefault="00B775DB" w:rsidP="008F5536">
      <w:pPr>
        <w:spacing w:after="0" w:line="480" w:lineRule="auto"/>
        <w:rPr>
          <w:rFonts w:ascii="Times New Roman" w:hAnsi="Times New Roman" w:cs="Times New Roman"/>
          <w:color w:val="222222"/>
          <w:sz w:val="24"/>
          <w:szCs w:val="24"/>
          <w:shd w:val="clear" w:color="auto" w:fill="FFFFFF"/>
          <w:lang w:val="en-US"/>
        </w:rPr>
      </w:pPr>
      <w:r w:rsidRPr="002B3E1D">
        <w:rPr>
          <w:rFonts w:ascii="Times New Roman" w:hAnsi="Times New Roman" w:cs="Times New Roman"/>
          <w:noProof/>
          <w:color w:val="222222"/>
          <w:sz w:val="24"/>
          <w:szCs w:val="24"/>
          <w:shd w:val="clear" w:color="auto" w:fill="FFFFFF"/>
          <w:lang w:eastAsia="en-GB"/>
        </w:rPr>
        <w:drawing>
          <wp:inline distT="0" distB="0" distL="0" distR="0" wp14:anchorId="4CA6046D" wp14:editId="1804ABFB">
            <wp:extent cx="5826366" cy="428625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8699" cy="4287966"/>
                    </a:xfrm>
                    <a:prstGeom prst="rect">
                      <a:avLst/>
                    </a:prstGeom>
                    <a:noFill/>
                  </pic:spPr>
                </pic:pic>
              </a:graphicData>
            </a:graphic>
          </wp:inline>
        </w:drawing>
      </w:r>
    </w:p>
    <w:p w14:paraId="75079638" w14:textId="77777777" w:rsidR="008F5536" w:rsidRPr="002B3E1D" w:rsidRDefault="008F5536" w:rsidP="008F5536">
      <w:pPr>
        <w:autoSpaceDE w:val="0"/>
        <w:autoSpaceDN w:val="0"/>
        <w:adjustRightInd w:val="0"/>
        <w:spacing w:after="0" w:line="480" w:lineRule="auto"/>
        <w:rPr>
          <w:rFonts w:ascii="Times New Roman" w:hAnsi="Times New Roman" w:cs="Times New Roman"/>
          <w:color w:val="222222"/>
          <w:sz w:val="24"/>
          <w:szCs w:val="24"/>
          <w:shd w:val="clear" w:color="auto" w:fill="FFFFFF"/>
          <w:lang w:val="en-US"/>
        </w:rPr>
      </w:pPr>
    </w:p>
    <w:p w14:paraId="3F1ACAF2" w14:textId="77777777" w:rsidR="008F5536" w:rsidRPr="002B3E1D" w:rsidRDefault="008F5536" w:rsidP="008F5536">
      <w:pPr>
        <w:autoSpaceDE w:val="0"/>
        <w:autoSpaceDN w:val="0"/>
        <w:adjustRightInd w:val="0"/>
        <w:spacing w:after="0" w:line="480" w:lineRule="auto"/>
        <w:rPr>
          <w:rFonts w:ascii="Times New Roman" w:hAnsi="Times New Roman" w:cs="Times New Roman"/>
          <w:sz w:val="24"/>
          <w:szCs w:val="24"/>
          <w:lang w:val="en-US"/>
        </w:rPr>
      </w:pPr>
    </w:p>
    <w:p w14:paraId="01E86F46" w14:textId="77777777" w:rsidR="008F5536" w:rsidRPr="002B3E1D" w:rsidRDefault="008F5536" w:rsidP="008F5536">
      <w:pPr>
        <w:autoSpaceDE w:val="0"/>
        <w:autoSpaceDN w:val="0"/>
        <w:adjustRightInd w:val="0"/>
        <w:spacing w:after="0" w:line="480" w:lineRule="auto"/>
        <w:rPr>
          <w:rFonts w:ascii="Times New Roman" w:hAnsi="Times New Roman" w:cs="Times New Roman"/>
          <w:sz w:val="24"/>
          <w:szCs w:val="24"/>
          <w:lang w:val="en-US"/>
        </w:rPr>
      </w:pPr>
    </w:p>
    <w:p w14:paraId="4D017D3D" w14:textId="77777777" w:rsidR="008F5536" w:rsidRPr="002B3E1D" w:rsidRDefault="008F5536" w:rsidP="008F5536">
      <w:pPr>
        <w:autoSpaceDE w:val="0"/>
        <w:autoSpaceDN w:val="0"/>
        <w:adjustRightInd w:val="0"/>
        <w:spacing w:after="0" w:line="480" w:lineRule="auto"/>
        <w:rPr>
          <w:rFonts w:ascii="Times New Roman" w:hAnsi="Times New Roman" w:cs="Times New Roman"/>
          <w:sz w:val="24"/>
          <w:szCs w:val="24"/>
          <w:lang w:val="en-US"/>
        </w:rPr>
      </w:pPr>
    </w:p>
    <w:p w14:paraId="4D2E5877" w14:textId="77777777" w:rsidR="008F5536" w:rsidRPr="002B3E1D" w:rsidRDefault="008F5536" w:rsidP="008F5536">
      <w:pPr>
        <w:autoSpaceDE w:val="0"/>
        <w:autoSpaceDN w:val="0"/>
        <w:adjustRightInd w:val="0"/>
        <w:spacing w:after="0" w:line="480" w:lineRule="auto"/>
        <w:rPr>
          <w:rFonts w:ascii="Times New Roman" w:hAnsi="Times New Roman" w:cs="Times New Roman"/>
          <w:sz w:val="24"/>
          <w:szCs w:val="24"/>
          <w:lang w:val="en-US"/>
        </w:rPr>
      </w:pPr>
    </w:p>
    <w:p w14:paraId="0604ACC5" w14:textId="77777777" w:rsidR="008F5536" w:rsidRPr="002B3E1D" w:rsidRDefault="008F5536" w:rsidP="008F5536">
      <w:pPr>
        <w:autoSpaceDE w:val="0"/>
        <w:autoSpaceDN w:val="0"/>
        <w:adjustRightInd w:val="0"/>
        <w:spacing w:after="0" w:line="480" w:lineRule="auto"/>
        <w:rPr>
          <w:rFonts w:ascii="Times New Roman" w:hAnsi="Times New Roman" w:cs="Times New Roman"/>
          <w:sz w:val="24"/>
          <w:szCs w:val="24"/>
          <w:lang w:val="en-US"/>
        </w:rPr>
      </w:pPr>
    </w:p>
    <w:p w14:paraId="7C64A561" w14:textId="77777777" w:rsidR="008F5536" w:rsidRPr="002B3E1D" w:rsidRDefault="008F5536" w:rsidP="008F5536">
      <w:pPr>
        <w:autoSpaceDE w:val="0"/>
        <w:autoSpaceDN w:val="0"/>
        <w:adjustRightInd w:val="0"/>
        <w:spacing w:after="0" w:line="480" w:lineRule="auto"/>
        <w:rPr>
          <w:rFonts w:ascii="Times New Roman" w:hAnsi="Times New Roman" w:cs="Times New Roman"/>
          <w:sz w:val="24"/>
          <w:szCs w:val="24"/>
          <w:lang w:val="en-US"/>
        </w:rPr>
      </w:pPr>
    </w:p>
    <w:p w14:paraId="3C2973B3" w14:textId="77777777" w:rsidR="008F5536" w:rsidRPr="002B3E1D" w:rsidRDefault="008F5536" w:rsidP="008F5536">
      <w:pPr>
        <w:autoSpaceDE w:val="0"/>
        <w:autoSpaceDN w:val="0"/>
        <w:adjustRightInd w:val="0"/>
        <w:spacing w:after="0" w:line="480" w:lineRule="auto"/>
        <w:rPr>
          <w:rFonts w:ascii="Times New Roman" w:hAnsi="Times New Roman" w:cs="Times New Roman"/>
          <w:sz w:val="24"/>
          <w:szCs w:val="24"/>
          <w:lang w:val="en-US"/>
        </w:rPr>
      </w:pPr>
    </w:p>
    <w:p w14:paraId="1D485E70" w14:textId="77777777" w:rsidR="008F5536" w:rsidRPr="002B3E1D" w:rsidRDefault="008F5536" w:rsidP="008F5536">
      <w:pPr>
        <w:autoSpaceDE w:val="0"/>
        <w:autoSpaceDN w:val="0"/>
        <w:adjustRightInd w:val="0"/>
        <w:spacing w:after="0" w:line="480" w:lineRule="auto"/>
        <w:rPr>
          <w:rFonts w:ascii="Times New Roman" w:hAnsi="Times New Roman" w:cs="Times New Roman"/>
          <w:sz w:val="24"/>
          <w:szCs w:val="24"/>
          <w:lang w:val="en-US"/>
        </w:rPr>
      </w:pPr>
    </w:p>
    <w:p w14:paraId="7C5BC24E" w14:textId="77777777" w:rsidR="008F5536" w:rsidRPr="002B3E1D" w:rsidRDefault="008F5536" w:rsidP="008F5536">
      <w:pPr>
        <w:autoSpaceDE w:val="0"/>
        <w:autoSpaceDN w:val="0"/>
        <w:adjustRightInd w:val="0"/>
        <w:spacing w:after="0" w:line="480" w:lineRule="auto"/>
        <w:rPr>
          <w:rFonts w:ascii="Times New Roman" w:hAnsi="Times New Roman" w:cs="Times New Roman"/>
          <w:sz w:val="24"/>
          <w:szCs w:val="24"/>
          <w:lang w:val="en-US"/>
        </w:rPr>
      </w:pPr>
    </w:p>
    <w:p w14:paraId="673A1F72" w14:textId="77777777" w:rsidR="008F5536" w:rsidRPr="002B3E1D" w:rsidRDefault="008F5536" w:rsidP="008F5536">
      <w:pPr>
        <w:spacing w:after="0" w:line="240" w:lineRule="auto"/>
        <w:rPr>
          <w:rFonts w:ascii="Times New Roman" w:hAnsi="Times New Roman" w:cs="Times New Roman"/>
          <w:b/>
          <w:sz w:val="24"/>
          <w:szCs w:val="24"/>
          <w:lang w:val="en-US"/>
        </w:rPr>
      </w:pPr>
      <w:r w:rsidRPr="002B3E1D">
        <w:rPr>
          <w:rFonts w:ascii="Times New Roman" w:hAnsi="Times New Roman" w:cs="Times New Roman"/>
          <w:b/>
          <w:sz w:val="24"/>
          <w:szCs w:val="24"/>
          <w:lang w:val="en-US"/>
        </w:rPr>
        <w:t xml:space="preserve">Figure 2: </w:t>
      </w:r>
      <w:r w:rsidRPr="002B3E1D">
        <w:rPr>
          <w:rFonts w:ascii="Times New Roman" w:hAnsi="Times New Roman" w:cs="Times New Roman"/>
          <w:sz w:val="24"/>
          <w:szCs w:val="24"/>
          <w:lang w:val="en-US"/>
        </w:rPr>
        <w:t xml:space="preserve">Moderating effect of </w:t>
      </w:r>
      <w:r w:rsidR="00D252BF" w:rsidRPr="002B3E1D">
        <w:rPr>
          <w:rFonts w:ascii="Times New Roman" w:hAnsi="Times New Roman" w:cs="Times New Roman"/>
          <w:sz w:val="24"/>
          <w:szCs w:val="24"/>
          <w:lang w:val="en-US"/>
        </w:rPr>
        <w:t>corporate entrepreneurship on use of acquired target’s capabilities</w:t>
      </w:r>
    </w:p>
    <w:p w14:paraId="3BD55505" w14:textId="77777777" w:rsidR="008F5536" w:rsidRPr="002B3E1D" w:rsidRDefault="008F5536" w:rsidP="008F5536">
      <w:pPr>
        <w:spacing w:after="0" w:line="240" w:lineRule="auto"/>
        <w:rPr>
          <w:rFonts w:ascii="Times New Roman" w:hAnsi="Times New Roman" w:cs="Times New Roman"/>
          <w:sz w:val="24"/>
          <w:szCs w:val="24"/>
          <w:lang w:val="en-US"/>
        </w:rPr>
      </w:pPr>
      <w:r w:rsidRPr="002B3E1D">
        <w:rPr>
          <w:rFonts w:ascii="Times New Roman" w:hAnsi="Times New Roman" w:cs="Times New Roman"/>
          <w:noProof/>
          <w:sz w:val="24"/>
          <w:szCs w:val="24"/>
          <w:lang w:eastAsia="en-GB"/>
        </w:rPr>
        <w:drawing>
          <wp:inline distT="0" distB="0" distL="0" distR="0" wp14:anchorId="0646829F" wp14:editId="5A0DB758">
            <wp:extent cx="5181600" cy="383828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5015" cy="3840815"/>
                    </a:xfrm>
                    <a:prstGeom prst="rect">
                      <a:avLst/>
                    </a:prstGeom>
                    <a:noFill/>
                  </pic:spPr>
                </pic:pic>
              </a:graphicData>
            </a:graphic>
          </wp:inline>
        </w:drawing>
      </w:r>
    </w:p>
    <w:p w14:paraId="022B7D48" w14:textId="77777777" w:rsidR="008F5536" w:rsidRPr="002B3E1D" w:rsidRDefault="008F5536" w:rsidP="008F5536">
      <w:pPr>
        <w:spacing w:after="0" w:line="240" w:lineRule="auto"/>
        <w:rPr>
          <w:rFonts w:ascii="Times New Roman" w:hAnsi="Times New Roman" w:cs="Times New Roman"/>
          <w:sz w:val="24"/>
          <w:szCs w:val="24"/>
          <w:lang w:val="en-US"/>
        </w:rPr>
      </w:pPr>
    </w:p>
    <w:p w14:paraId="5971EC2D" w14:textId="77777777" w:rsidR="008F5536" w:rsidRPr="002B3E1D" w:rsidRDefault="008F5536" w:rsidP="008F5536">
      <w:pPr>
        <w:spacing w:after="0" w:line="240" w:lineRule="auto"/>
        <w:rPr>
          <w:rFonts w:ascii="Times New Roman" w:hAnsi="Times New Roman" w:cs="Times New Roman"/>
          <w:sz w:val="24"/>
          <w:szCs w:val="24"/>
          <w:lang w:val="en-US"/>
        </w:rPr>
      </w:pPr>
    </w:p>
    <w:p w14:paraId="027E5CF6" w14:textId="77777777" w:rsidR="008F5536" w:rsidRPr="002B3E1D" w:rsidRDefault="008F5536" w:rsidP="008F5536">
      <w:pPr>
        <w:spacing w:after="0" w:line="240" w:lineRule="auto"/>
        <w:rPr>
          <w:rFonts w:ascii="Times New Roman" w:hAnsi="Times New Roman" w:cs="Times New Roman"/>
          <w:sz w:val="24"/>
          <w:szCs w:val="24"/>
          <w:lang w:val="en-US"/>
        </w:rPr>
      </w:pPr>
    </w:p>
    <w:p w14:paraId="44C0EEFB" w14:textId="77777777" w:rsidR="008F5536" w:rsidRPr="002B3E1D" w:rsidRDefault="008F5536" w:rsidP="008F5536">
      <w:pPr>
        <w:spacing w:after="0" w:line="240" w:lineRule="auto"/>
        <w:rPr>
          <w:rFonts w:ascii="Times New Roman" w:hAnsi="Times New Roman" w:cs="Times New Roman"/>
          <w:sz w:val="24"/>
          <w:szCs w:val="24"/>
          <w:lang w:val="en-US"/>
        </w:rPr>
      </w:pPr>
    </w:p>
    <w:p w14:paraId="389CF412" w14:textId="77777777" w:rsidR="008F5536" w:rsidRPr="002B3E1D" w:rsidRDefault="008F5536" w:rsidP="008F5536">
      <w:pPr>
        <w:spacing w:after="0" w:line="240" w:lineRule="auto"/>
        <w:rPr>
          <w:rFonts w:ascii="Times New Roman" w:hAnsi="Times New Roman" w:cs="Times New Roman"/>
          <w:sz w:val="24"/>
          <w:szCs w:val="24"/>
          <w:lang w:val="en-US"/>
        </w:rPr>
      </w:pPr>
    </w:p>
    <w:p w14:paraId="784C1BB2" w14:textId="77777777" w:rsidR="008F5536" w:rsidRPr="002B3E1D" w:rsidRDefault="008F5536" w:rsidP="008F5536">
      <w:pPr>
        <w:spacing w:after="0" w:line="240" w:lineRule="auto"/>
        <w:rPr>
          <w:rFonts w:ascii="Times New Roman" w:hAnsi="Times New Roman" w:cs="Times New Roman"/>
          <w:sz w:val="24"/>
          <w:szCs w:val="24"/>
          <w:lang w:val="en-US"/>
        </w:rPr>
      </w:pPr>
    </w:p>
    <w:p w14:paraId="1ACF6E9B" w14:textId="77777777" w:rsidR="008F5536" w:rsidRPr="002B3E1D" w:rsidRDefault="008F5536" w:rsidP="008F5536">
      <w:pPr>
        <w:spacing w:after="0" w:line="240" w:lineRule="auto"/>
        <w:rPr>
          <w:rFonts w:ascii="Times New Roman" w:hAnsi="Times New Roman" w:cs="Times New Roman"/>
          <w:sz w:val="24"/>
          <w:szCs w:val="24"/>
          <w:lang w:val="en-US"/>
        </w:rPr>
      </w:pPr>
    </w:p>
    <w:p w14:paraId="22D2FC5D" w14:textId="77777777" w:rsidR="008F5536" w:rsidRPr="002B3E1D" w:rsidRDefault="008F5536" w:rsidP="008F5536">
      <w:pPr>
        <w:spacing w:after="0" w:line="240" w:lineRule="auto"/>
        <w:rPr>
          <w:rFonts w:ascii="Times New Roman" w:hAnsi="Times New Roman" w:cs="Times New Roman"/>
          <w:sz w:val="24"/>
          <w:szCs w:val="24"/>
          <w:lang w:val="en-US"/>
        </w:rPr>
      </w:pPr>
    </w:p>
    <w:p w14:paraId="13283D47" w14:textId="77777777" w:rsidR="008F5536" w:rsidRPr="002B3E1D" w:rsidRDefault="008F5536" w:rsidP="008F5536">
      <w:pPr>
        <w:spacing w:after="0" w:line="240" w:lineRule="auto"/>
        <w:rPr>
          <w:rFonts w:ascii="Times New Roman" w:hAnsi="Times New Roman" w:cs="Times New Roman"/>
          <w:sz w:val="24"/>
          <w:szCs w:val="24"/>
          <w:lang w:val="en-US"/>
        </w:rPr>
      </w:pPr>
    </w:p>
    <w:p w14:paraId="09C376D5" w14:textId="77777777" w:rsidR="008F5536" w:rsidRPr="002B3E1D" w:rsidRDefault="008F5536" w:rsidP="008F5536">
      <w:pPr>
        <w:spacing w:after="0" w:line="240" w:lineRule="auto"/>
        <w:rPr>
          <w:rFonts w:ascii="Times New Roman" w:hAnsi="Times New Roman" w:cs="Times New Roman"/>
          <w:sz w:val="24"/>
          <w:szCs w:val="24"/>
          <w:lang w:val="en-US"/>
        </w:rPr>
      </w:pPr>
    </w:p>
    <w:p w14:paraId="2AB27909" w14:textId="77777777" w:rsidR="008F5536" w:rsidRPr="002B3E1D" w:rsidRDefault="008F5536" w:rsidP="008F5536">
      <w:pPr>
        <w:spacing w:after="0" w:line="240" w:lineRule="auto"/>
        <w:rPr>
          <w:rFonts w:ascii="Times New Roman" w:hAnsi="Times New Roman" w:cs="Times New Roman"/>
          <w:sz w:val="24"/>
          <w:szCs w:val="24"/>
          <w:lang w:val="en-US"/>
        </w:rPr>
      </w:pPr>
    </w:p>
    <w:p w14:paraId="1BDA15D4" w14:textId="77777777" w:rsidR="008F5536" w:rsidRPr="002B3E1D" w:rsidRDefault="008F5536" w:rsidP="008F5536">
      <w:pPr>
        <w:spacing w:after="0" w:line="240" w:lineRule="auto"/>
        <w:rPr>
          <w:rFonts w:ascii="Times New Roman" w:hAnsi="Times New Roman" w:cs="Times New Roman"/>
          <w:sz w:val="24"/>
          <w:szCs w:val="24"/>
          <w:lang w:val="en-US"/>
        </w:rPr>
      </w:pPr>
    </w:p>
    <w:p w14:paraId="18842B67" w14:textId="77777777" w:rsidR="008F5536" w:rsidRPr="002B3E1D" w:rsidRDefault="008F5536" w:rsidP="008F5536">
      <w:pPr>
        <w:spacing w:after="0" w:line="240" w:lineRule="auto"/>
        <w:rPr>
          <w:rFonts w:ascii="Times New Roman" w:hAnsi="Times New Roman" w:cs="Times New Roman"/>
          <w:sz w:val="24"/>
          <w:szCs w:val="24"/>
          <w:lang w:val="en-US"/>
        </w:rPr>
      </w:pPr>
    </w:p>
    <w:p w14:paraId="2181C98A" w14:textId="77777777" w:rsidR="008F5536" w:rsidRPr="002B3E1D" w:rsidRDefault="008F5536" w:rsidP="008F5536">
      <w:pPr>
        <w:spacing w:after="0" w:line="240" w:lineRule="auto"/>
        <w:rPr>
          <w:rFonts w:ascii="Times New Roman" w:hAnsi="Times New Roman" w:cs="Times New Roman"/>
          <w:sz w:val="24"/>
          <w:szCs w:val="24"/>
          <w:lang w:val="en-US"/>
        </w:rPr>
      </w:pPr>
    </w:p>
    <w:p w14:paraId="0B1D72AD" w14:textId="77777777" w:rsidR="008F5536" w:rsidRPr="002B3E1D" w:rsidRDefault="008F5536" w:rsidP="008F5536">
      <w:pPr>
        <w:spacing w:after="0" w:line="240" w:lineRule="auto"/>
        <w:rPr>
          <w:rFonts w:ascii="Times New Roman" w:hAnsi="Times New Roman" w:cs="Times New Roman"/>
          <w:sz w:val="24"/>
          <w:szCs w:val="24"/>
          <w:lang w:val="en-US"/>
        </w:rPr>
      </w:pPr>
    </w:p>
    <w:p w14:paraId="03C50B87" w14:textId="77777777" w:rsidR="008F5536" w:rsidRPr="002B3E1D" w:rsidRDefault="008F5536" w:rsidP="008F5536">
      <w:pPr>
        <w:spacing w:after="0" w:line="240" w:lineRule="auto"/>
        <w:rPr>
          <w:rFonts w:ascii="Times New Roman" w:hAnsi="Times New Roman" w:cs="Times New Roman"/>
          <w:sz w:val="24"/>
          <w:szCs w:val="24"/>
          <w:lang w:val="en-US"/>
        </w:rPr>
      </w:pPr>
    </w:p>
    <w:p w14:paraId="3957E1C1" w14:textId="77777777" w:rsidR="008F5536" w:rsidRPr="002B3E1D" w:rsidRDefault="008F5536" w:rsidP="008F5536">
      <w:pPr>
        <w:spacing w:after="0" w:line="240" w:lineRule="auto"/>
        <w:rPr>
          <w:rFonts w:ascii="Times New Roman" w:hAnsi="Times New Roman" w:cs="Times New Roman"/>
          <w:sz w:val="24"/>
          <w:szCs w:val="24"/>
          <w:lang w:val="en-US"/>
        </w:rPr>
      </w:pPr>
    </w:p>
    <w:p w14:paraId="7B7C8D4A" w14:textId="77777777" w:rsidR="008F5536" w:rsidRPr="002B3E1D" w:rsidRDefault="008F5536" w:rsidP="008F5536">
      <w:pPr>
        <w:spacing w:after="0" w:line="240" w:lineRule="auto"/>
        <w:rPr>
          <w:rFonts w:ascii="Times New Roman" w:hAnsi="Times New Roman" w:cs="Times New Roman"/>
          <w:sz w:val="24"/>
          <w:szCs w:val="24"/>
          <w:lang w:val="en-US"/>
        </w:rPr>
      </w:pPr>
    </w:p>
    <w:p w14:paraId="74454A76" w14:textId="77777777" w:rsidR="008F5536" w:rsidRPr="002B3E1D" w:rsidRDefault="008F5536" w:rsidP="008F5536">
      <w:pPr>
        <w:spacing w:after="0" w:line="240" w:lineRule="auto"/>
        <w:rPr>
          <w:rFonts w:ascii="Times New Roman" w:hAnsi="Times New Roman" w:cs="Times New Roman"/>
          <w:sz w:val="24"/>
          <w:szCs w:val="24"/>
          <w:lang w:val="en-US"/>
        </w:rPr>
      </w:pPr>
    </w:p>
    <w:p w14:paraId="2146975E" w14:textId="77777777" w:rsidR="008F5536" w:rsidRPr="002B3E1D" w:rsidRDefault="008F5536" w:rsidP="008F5536">
      <w:pPr>
        <w:spacing w:after="0" w:line="240" w:lineRule="auto"/>
        <w:rPr>
          <w:rFonts w:ascii="Times New Roman" w:hAnsi="Times New Roman" w:cs="Times New Roman"/>
          <w:sz w:val="24"/>
          <w:szCs w:val="24"/>
          <w:lang w:val="en-US"/>
        </w:rPr>
      </w:pPr>
    </w:p>
    <w:p w14:paraId="2C29A66D" w14:textId="77777777" w:rsidR="008F5536" w:rsidRPr="002B3E1D" w:rsidRDefault="008F5536" w:rsidP="008F5536">
      <w:pPr>
        <w:spacing w:after="0" w:line="240" w:lineRule="auto"/>
        <w:rPr>
          <w:rFonts w:ascii="Times New Roman" w:hAnsi="Times New Roman" w:cs="Times New Roman"/>
          <w:sz w:val="24"/>
          <w:szCs w:val="24"/>
          <w:lang w:val="en-US"/>
        </w:rPr>
      </w:pPr>
    </w:p>
    <w:p w14:paraId="54E25CB1" w14:textId="77777777" w:rsidR="008F5536" w:rsidRPr="002B3E1D" w:rsidRDefault="008F5536" w:rsidP="008F5536">
      <w:pPr>
        <w:spacing w:after="0" w:line="240" w:lineRule="auto"/>
        <w:rPr>
          <w:rFonts w:ascii="Times New Roman" w:hAnsi="Times New Roman" w:cs="Times New Roman"/>
          <w:sz w:val="24"/>
          <w:szCs w:val="24"/>
          <w:lang w:val="en-US"/>
        </w:rPr>
      </w:pPr>
    </w:p>
    <w:p w14:paraId="0B0ADBE1" w14:textId="77777777" w:rsidR="008F5536" w:rsidRPr="002B3E1D" w:rsidRDefault="008F5536" w:rsidP="008F5536">
      <w:pPr>
        <w:spacing w:after="0" w:line="240" w:lineRule="auto"/>
        <w:rPr>
          <w:rFonts w:ascii="Times New Roman" w:hAnsi="Times New Roman" w:cs="Times New Roman"/>
          <w:sz w:val="24"/>
          <w:szCs w:val="24"/>
          <w:lang w:val="en-US"/>
        </w:rPr>
      </w:pPr>
    </w:p>
    <w:p w14:paraId="3AA1F798" w14:textId="77777777" w:rsidR="008F5536" w:rsidRPr="002B3E1D" w:rsidRDefault="008F5536" w:rsidP="008F5536">
      <w:pPr>
        <w:spacing w:after="0" w:line="240" w:lineRule="auto"/>
        <w:rPr>
          <w:rFonts w:ascii="Times New Roman" w:hAnsi="Times New Roman" w:cs="Times New Roman"/>
          <w:b/>
          <w:sz w:val="24"/>
          <w:szCs w:val="24"/>
          <w:lang w:val="en-US"/>
        </w:rPr>
      </w:pPr>
      <w:r w:rsidRPr="002B3E1D">
        <w:rPr>
          <w:rFonts w:ascii="Times New Roman" w:hAnsi="Times New Roman" w:cs="Times New Roman"/>
          <w:b/>
          <w:sz w:val="24"/>
          <w:szCs w:val="24"/>
          <w:lang w:val="en-US"/>
        </w:rPr>
        <w:t xml:space="preserve">Figure 3: </w:t>
      </w:r>
      <w:r w:rsidRPr="002B3E1D">
        <w:rPr>
          <w:rFonts w:ascii="Times New Roman" w:hAnsi="Times New Roman" w:cs="Times New Roman"/>
          <w:sz w:val="24"/>
          <w:szCs w:val="24"/>
          <w:lang w:val="en-US"/>
        </w:rPr>
        <w:t xml:space="preserve">Moderating effect of </w:t>
      </w:r>
      <w:r w:rsidR="00D252BF" w:rsidRPr="002B3E1D">
        <w:rPr>
          <w:rFonts w:ascii="Times New Roman" w:hAnsi="Times New Roman" w:cs="Times New Roman"/>
          <w:sz w:val="24"/>
          <w:szCs w:val="24"/>
          <w:lang w:val="en-US"/>
        </w:rPr>
        <w:t>corporate entrepreneurship on share capabilities with target</w:t>
      </w:r>
    </w:p>
    <w:p w14:paraId="72A4462D" w14:textId="77777777" w:rsidR="008F5536" w:rsidRPr="002B3E1D" w:rsidRDefault="008F5536" w:rsidP="008F5536">
      <w:pPr>
        <w:rPr>
          <w:lang w:val="en-US"/>
        </w:rPr>
      </w:pPr>
      <w:r w:rsidRPr="002B3E1D">
        <w:rPr>
          <w:noProof/>
          <w:lang w:eastAsia="en-GB"/>
        </w:rPr>
        <w:drawing>
          <wp:inline distT="0" distB="0" distL="0" distR="0" wp14:anchorId="5B3FA3E7" wp14:editId="337FB534">
            <wp:extent cx="5172075" cy="38312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5483" cy="3833755"/>
                    </a:xfrm>
                    <a:prstGeom prst="rect">
                      <a:avLst/>
                    </a:prstGeom>
                    <a:noFill/>
                  </pic:spPr>
                </pic:pic>
              </a:graphicData>
            </a:graphic>
          </wp:inline>
        </w:drawing>
      </w:r>
    </w:p>
    <w:p w14:paraId="232522E3" w14:textId="77777777" w:rsidR="008F5536" w:rsidRPr="002B3E1D" w:rsidRDefault="008F5536" w:rsidP="008F5536">
      <w:pPr>
        <w:spacing w:after="0" w:line="240" w:lineRule="auto"/>
        <w:rPr>
          <w:rFonts w:ascii="Times New Roman" w:hAnsi="Times New Roman" w:cs="Times New Roman"/>
          <w:sz w:val="24"/>
          <w:szCs w:val="24"/>
          <w:lang w:val="en-US"/>
        </w:rPr>
      </w:pPr>
      <w:r w:rsidRPr="002B3E1D">
        <w:rPr>
          <w:rFonts w:ascii="Times New Roman" w:hAnsi="Times New Roman" w:cs="Times New Roman"/>
          <w:b/>
          <w:sz w:val="24"/>
          <w:szCs w:val="24"/>
          <w:lang w:val="en-US"/>
        </w:rPr>
        <w:t xml:space="preserve">Figure 4: </w:t>
      </w:r>
      <w:r w:rsidRPr="002B3E1D">
        <w:rPr>
          <w:rFonts w:ascii="Times New Roman" w:hAnsi="Times New Roman" w:cs="Times New Roman"/>
          <w:sz w:val="24"/>
          <w:szCs w:val="24"/>
          <w:lang w:val="en-US"/>
        </w:rPr>
        <w:t xml:space="preserve">Moderating </w:t>
      </w:r>
      <w:r w:rsidR="00D252BF" w:rsidRPr="002B3E1D">
        <w:rPr>
          <w:rFonts w:ascii="Times New Roman" w:hAnsi="Times New Roman" w:cs="Times New Roman"/>
          <w:sz w:val="24"/>
          <w:szCs w:val="24"/>
          <w:lang w:val="en-US"/>
        </w:rPr>
        <w:t>effect of integration on knowledge sharing</w:t>
      </w:r>
    </w:p>
    <w:p w14:paraId="62B81FBA" w14:textId="77777777" w:rsidR="008F5536" w:rsidRPr="002B3E1D" w:rsidRDefault="008F5536" w:rsidP="008F5536">
      <w:pPr>
        <w:spacing w:after="0" w:line="240" w:lineRule="auto"/>
        <w:rPr>
          <w:lang w:val="en-US"/>
        </w:rPr>
      </w:pPr>
      <w:r w:rsidRPr="002B3E1D">
        <w:rPr>
          <w:noProof/>
          <w:lang w:eastAsia="en-GB"/>
        </w:rPr>
        <w:lastRenderedPageBreak/>
        <w:drawing>
          <wp:inline distT="0" distB="0" distL="0" distR="0" wp14:anchorId="45574F07" wp14:editId="417F8FCB">
            <wp:extent cx="5172075" cy="375285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sectPr w:rsidR="008F5536" w:rsidRPr="002B3E1D" w:rsidSect="00A34261">
      <w:footerReference w:type="even" r:id="rId12"/>
      <w:footerReference w:type="default" r:id="rId13"/>
      <w:pgSz w:w="12242" w:h="15842"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3AEFB" w14:textId="77777777" w:rsidR="002D70D0" w:rsidRDefault="002D70D0" w:rsidP="00F05E0B">
      <w:pPr>
        <w:spacing w:after="0" w:line="240" w:lineRule="auto"/>
      </w:pPr>
      <w:r>
        <w:separator/>
      </w:r>
    </w:p>
  </w:endnote>
  <w:endnote w:type="continuationSeparator" w:id="0">
    <w:p w14:paraId="4CD76440" w14:textId="77777777" w:rsidR="002D70D0" w:rsidRDefault="002D70D0" w:rsidP="00F05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Arial Unicode MS"/>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7BFA4" w14:textId="77777777" w:rsidR="00596052" w:rsidRDefault="00596052" w:rsidP="00A808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CFC0E8" w14:textId="77777777" w:rsidR="00596052" w:rsidRDefault="00596052" w:rsidP="00FC5B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B77C3" w14:textId="77777777" w:rsidR="00596052" w:rsidRDefault="00596052" w:rsidP="00A808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2B28">
      <w:rPr>
        <w:rStyle w:val="PageNumber"/>
        <w:noProof/>
      </w:rPr>
      <w:t>34</w:t>
    </w:r>
    <w:r>
      <w:rPr>
        <w:rStyle w:val="PageNumber"/>
      </w:rPr>
      <w:fldChar w:fldCharType="end"/>
    </w:r>
  </w:p>
  <w:p w14:paraId="685E5698" w14:textId="77777777" w:rsidR="00596052" w:rsidRDefault="00596052" w:rsidP="00FC5B5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1EFD5" w14:textId="77777777" w:rsidR="002D70D0" w:rsidRDefault="002D70D0" w:rsidP="00F05E0B">
      <w:pPr>
        <w:spacing w:after="0" w:line="240" w:lineRule="auto"/>
      </w:pPr>
      <w:r>
        <w:separator/>
      </w:r>
    </w:p>
  </w:footnote>
  <w:footnote w:type="continuationSeparator" w:id="0">
    <w:p w14:paraId="3F87C612" w14:textId="77777777" w:rsidR="002D70D0" w:rsidRDefault="002D70D0" w:rsidP="00F05E0B">
      <w:pPr>
        <w:spacing w:after="0" w:line="240" w:lineRule="auto"/>
      </w:pPr>
      <w:r>
        <w:continuationSeparator/>
      </w:r>
    </w:p>
  </w:footnote>
  <w:footnote w:id="1">
    <w:p w14:paraId="4397F821" w14:textId="4265C32D" w:rsidR="00596052" w:rsidRPr="00972B28" w:rsidRDefault="00596052" w:rsidP="00F05E0B">
      <w:pPr>
        <w:pStyle w:val="FootnoteText"/>
        <w:rPr>
          <w:rFonts w:ascii="Times New Roman" w:hAnsi="Times New Roman" w:cs="Times New Roman"/>
          <w:lang w:val="fi-FI"/>
        </w:rPr>
      </w:pPr>
      <w:r w:rsidRPr="00972B28">
        <w:rPr>
          <w:rStyle w:val="FootnoteReference"/>
          <w:rFonts w:ascii="Times New Roman" w:hAnsi="Times New Roman" w:cs="Times New Roman"/>
        </w:rPr>
        <w:footnoteRef/>
      </w:r>
      <w:r w:rsidRPr="00972B28">
        <w:rPr>
          <w:rFonts w:ascii="Times New Roman" w:hAnsi="Times New Roman" w:cs="Times New Roman"/>
        </w:rPr>
        <w:t xml:space="preserve"> </w:t>
      </w:r>
      <w:r w:rsidR="00972B28" w:rsidRPr="00972B28">
        <w:rPr>
          <w:rFonts w:ascii="Times New Roman" w:hAnsi="Times New Roman" w:cs="Times New Roman"/>
        </w:rPr>
        <w:t>K</w:t>
      </w:r>
      <w:r w:rsidRPr="00972B28">
        <w:rPr>
          <w:rFonts w:ascii="Times New Roman" w:hAnsi="Times New Roman" w:cs="Times New Roman"/>
          <w:lang w:val="fi-FI"/>
        </w:rPr>
        <w:t>nowledge, skill and ability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535B3"/>
    <w:multiLevelType w:val="hybridMultilevel"/>
    <w:tmpl w:val="59C2CB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DQ1MDA1MrMwszQzNTZR0lEKTi0uzszPAykwrQUAn28ilywAAAA="/>
  </w:docVars>
  <w:rsids>
    <w:rsidRoot w:val="00A34261"/>
    <w:rsid w:val="00003ACC"/>
    <w:rsid w:val="0002490D"/>
    <w:rsid w:val="000839D0"/>
    <w:rsid w:val="000851E6"/>
    <w:rsid w:val="00102915"/>
    <w:rsid w:val="00106001"/>
    <w:rsid w:val="001200C9"/>
    <w:rsid w:val="001219C8"/>
    <w:rsid w:val="00127DFB"/>
    <w:rsid w:val="00130504"/>
    <w:rsid w:val="00135516"/>
    <w:rsid w:val="00145E02"/>
    <w:rsid w:val="0016235F"/>
    <w:rsid w:val="0016295A"/>
    <w:rsid w:val="001672D6"/>
    <w:rsid w:val="00181424"/>
    <w:rsid w:val="001A4FE9"/>
    <w:rsid w:val="001B4B85"/>
    <w:rsid w:val="001C314A"/>
    <w:rsid w:val="001F7882"/>
    <w:rsid w:val="0020370E"/>
    <w:rsid w:val="002049F0"/>
    <w:rsid w:val="00233342"/>
    <w:rsid w:val="00234B9E"/>
    <w:rsid w:val="002968CC"/>
    <w:rsid w:val="002B3E1D"/>
    <w:rsid w:val="002B58DD"/>
    <w:rsid w:val="002D70D0"/>
    <w:rsid w:val="00316275"/>
    <w:rsid w:val="0032337A"/>
    <w:rsid w:val="0032408D"/>
    <w:rsid w:val="00363DCA"/>
    <w:rsid w:val="00363EC5"/>
    <w:rsid w:val="00392830"/>
    <w:rsid w:val="003C385E"/>
    <w:rsid w:val="003C3D01"/>
    <w:rsid w:val="003E0074"/>
    <w:rsid w:val="003E7AE4"/>
    <w:rsid w:val="003F19AB"/>
    <w:rsid w:val="003F4AE0"/>
    <w:rsid w:val="004042D8"/>
    <w:rsid w:val="00413327"/>
    <w:rsid w:val="00414AFE"/>
    <w:rsid w:val="00450BAE"/>
    <w:rsid w:val="00461589"/>
    <w:rsid w:val="004809B9"/>
    <w:rsid w:val="00494CE1"/>
    <w:rsid w:val="00496473"/>
    <w:rsid w:val="004A3991"/>
    <w:rsid w:val="004B2958"/>
    <w:rsid w:val="004B62D6"/>
    <w:rsid w:val="004E6C3A"/>
    <w:rsid w:val="00501FB2"/>
    <w:rsid w:val="00525CB6"/>
    <w:rsid w:val="005360C1"/>
    <w:rsid w:val="00562D43"/>
    <w:rsid w:val="00596052"/>
    <w:rsid w:val="005D3363"/>
    <w:rsid w:val="00602CDF"/>
    <w:rsid w:val="0063057D"/>
    <w:rsid w:val="006666B0"/>
    <w:rsid w:val="006C034F"/>
    <w:rsid w:val="006D2F67"/>
    <w:rsid w:val="00701897"/>
    <w:rsid w:val="007240FF"/>
    <w:rsid w:val="00761C7C"/>
    <w:rsid w:val="007801B0"/>
    <w:rsid w:val="00791B61"/>
    <w:rsid w:val="007B3182"/>
    <w:rsid w:val="007C0173"/>
    <w:rsid w:val="007C156D"/>
    <w:rsid w:val="007F270F"/>
    <w:rsid w:val="007F7E22"/>
    <w:rsid w:val="00802D12"/>
    <w:rsid w:val="0081616F"/>
    <w:rsid w:val="00822C1A"/>
    <w:rsid w:val="00826B9D"/>
    <w:rsid w:val="00841301"/>
    <w:rsid w:val="00856ED9"/>
    <w:rsid w:val="00872D15"/>
    <w:rsid w:val="00877161"/>
    <w:rsid w:val="00880707"/>
    <w:rsid w:val="008A696C"/>
    <w:rsid w:val="008B7478"/>
    <w:rsid w:val="008C26FE"/>
    <w:rsid w:val="008D17CF"/>
    <w:rsid w:val="008F5536"/>
    <w:rsid w:val="00922FC4"/>
    <w:rsid w:val="0095639C"/>
    <w:rsid w:val="00956B35"/>
    <w:rsid w:val="00972B28"/>
    <w:rsid w:val="00987EF5"/>
    <w:rsid w:val="009A08DC"/>
    <w:rsid w:val="009B20B5"/>
    <w:rsid w:val="009C36C1"/>
    <w:rsid w:val="009F07F7"/>
    <w:rsid w:val="00A215CE"/>
    <w:rsid w:val="00A34261"/>
    <w:rsid w:val="00A80818"/>
    <w:rsid w:val="00A92433"/>
    <w:rsid w:val="00AC4552"/>
    <w:rsid w:val="00AF1718"/>
    <w:rsid w:val="00B132AC"/>
    <w:rsid w:val="00B16335"/>
    <w:rsid w:val="00B56E7C"/>
    <w:rsid w:val="00B75B34"/>
    <w:rsid w:val="00B775DB"/>
    <w:rsid w:val="00B87199"/>
    <w:rsid w:val="00B92689"/>
    <w:rsid w:val="00B95A56"/>
    <w:rsid w:val="00BA2618"/>
    <w:rsid w:val="00BB517D"/>
    <w:rsid w:val="00BB78C9"/>
    <w:rsid w:val="00BE673D"/>
    <w:rsid w:val="00C10F3C"/>
    <w:rsid w:val="00C44DC3"/>
    <w:rsid w:val="00C95FE0"/>
    <w:rsid w:val="00CA63EA"/>
    <w:rsid w:val="00CB51EE"/>
    <w:rsid w:val="00D252BF"/>
    <w:rsid w:val="00D871E4"/>
    <w:rsid w:val="00D92264"/>
    <w:rsid w:val="00DA72B9"/>
    <w:rsid w:val="00DB0836"/>
    <w:rsid w:val="00DD4530"/>
    <w:rsid w:val="00E13F94"/>
    <w:rsid w:val="00E41564"/>
    <w:rsid w:val="00E56818"/>
    <w:rsid w:val="00E62AA3"/>
    <w:rsid w:val="00E87B62"/>
    <w:rsid w:val="00EA039C"/>
    <w:rsid w:val="00EC0C4D"/>
    <w:rsid w:val="00EC2641"/>
    <w:rsid w:val="00EE5A0E"/>
    <w:rsid w:val="00EF2B92"/>
    <w:rsid w:val="00F010BD"/>
    <w:rsid w:val="00F05E0B"/>
    <w:rsid w:val="00F15E4F"/>
    <w:rsid w:val="00FB1291"/>
    <w:rsid w:val="00FC5B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91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2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34261"/>
    <w:rPr>
      <w:sz w:val="16"/>
      <w:szCs w:val="16"/>
    </w:rPr>
  </w:style>
  <w:style w:type="paragraph" w:styleId="CommentText">
    <w:name w:val="annotation text"/>
    <w:basedOn w:val="Normal"/>
    <w:link w:val="CommentTextChar"/>
    <w:uiPriority w:val="99"/>
    <w:semiHidden/>
    <w:unhideWhenUsed/>
    <w:rsid w:val="00A34261"/>
    <w:pPr>
      <w:spacing w:line="240" w:lineRule="auto"/>
    </w:pPr>
    <w:rPr>
      <w:sz w:val="20"/>
      <w:szCs w:val="20"/>
    </w:rPr>
  </w:style>
  <w:style w:type="character" w:customStyle="1" w:styleId="CommentTextChar">
    <w:name w:val="Comment Text Char"/>
    <w:basedOn w:val="DefaultParagraphFont"/>
    <w:link w:val="CommentText"/>
    <w:uiPriority w:val="99"/>
    <w:semiHidden/>
    <w:rsid w:val="00A34261"/>
    <w:rPr>
      <w:sz w:val="20"/>
      <w:szCs w:val="20"/>
    </w:rPr>
  </w:style>
  <w:style w:type="paragraph" w:styleId="BalloonText">
    <w:name w:val="Balloon Text"/>
    <w:basedOn w:val="Normal"/>
    <w:link w:val="BalloonTextChar"/>
    <w:uiPriority w:val="99"/>
    <w:semiHidden/>
    <w:unhideWhenUsed/>
    <w:rsid w:val="00A34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261"/>
    <w:rPr>
      <w:rFonts w:ascii="Tahoma" w:hAnsi="Tahoma" w:cs="Tahoma"/>
      <w:sz w:val="16"/>
      <w:szCs w:val="16"/>
    </w:rPr>
  </w:style>
  <w:style w:type="paragraph" w:styleId="FootnoteText">
    <w:name w:val="footnote text"/>
    <w:basedOn w:val="Normal"/>
    <w:link w:val="FootnoteTextChar"/>
    <w:uiPriority w:val="99"/>
    <w:semiHidden/>
    <w:unhideWhenUsed/>
    <w:rsid w:val="00F05E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5E0B"/>
    <w:rPr>
      <w:sz w:val="20"/>
      <w:szCs w:val="20"/>
    </w:rPr>
  </w:style>
  <w:style w:type="character" w:styleId="FootnoteReference">
    <w:name w:val="footnote reference"/>
    <w:basedOn w:val="DefaultParagraphFont"/>
    <w:uiPriority w:val="99"/>
    <w:semiHidden/>
    <w:unhideWhenUsed/>
    <w:rsid w:val="00F05E0B"/>
    <w:rPr>
      <w:vertAlign w:val="superscript"/>
    </w:rPr>
  </w:style>
  <w:style w:type="character" w:customStyle="1" w:styleId="apple-converted-space">
    <w:name w:val="apple-converted-space"/>
    <w:basedOn w:val="DefaultParagraphFont"/>
    <w:rsid w:val="008F5536"/>
  </w:style>
  <w:style w:type="paragraph" w:customStyle="1" w:styleId="kuvionotsikko">
    <w:name w:val="kuvion otsikko"/>
    <w:basedOn w:val="Caption"/>
    <w:next w:val="Normal"/>
    <w:link w:val="kuvionotsikkoChar"/>
    <w:rsid w:val="008F5536"/>
    <w:pPr>
      <w:spacing w:before="340" w:after="340" w:line="340" w:lineRule="atLeast"/>
      <w:ind w:left="1418" w:hanging="1418"/>
    </w:pPr>
    <w:rPr>
      <w:rFonts w:ascii="Times New Roman" w:eastAsia="Times New Roman" w:hAnsi="Times New Roman" w:cs="Times New Roman"/>
      <w:b w:val="0"/>
      <w:bCs w:val="0"/>
      <w:color w:val="auto"/>
      <w:sz w:val="24"/>
      <w:szCs w:val="20"/>
      <w:lang w:val="fi-FI" w:eastAsia="x-none"/>
    </w:rPr>
  </w:style>
  <w:style w:type="character" w:customStyle="1" w:styleId="kuvionotsikkoChar">
    <w:name w:val="kuvion otsikko Char"/>
    <w:link w:val="kuvionotsikko"/>
    <w:rsid w:val="008F5536"/>
    <w:rPr>
      <w:rFonts w:ascii="Times New Roman" w:eastAsia="Times New Roman" w:hAnsi="Times New Roman" w:cs="Times New Roman"/>
      <w:sz w:val="24"/>
      <w:szCs w:val="20"/>
      <w:lang w:val="fi-FI" w:eastAsia="x-none"/>
    </w:rPr>
  </w:style>
  <w:style w:type="paragraph" w:styleId="NormalWeb">
    <w:name w:val="Normal (Web)"/>
    <w:basedOn w:val="Normal"/>
    <w:uiPriority w:val="99"/>
    <w:unhideWhenUsed/>
    <w:rsid w:val="008F5536"/>
    <w:pPr>
      <w:spacing w:before="100" w:beforeAutospacing="1" w:after="0" w:line="240" w:lineRule="auto"/>
      <w:ind w:left="75" w:right="75"/>
    </w:pPr>
    <w:rPr>
      <w:rFonts w:ascii="Times New Roman" w:eastAsia="Times New Roman" w:hAnsi="Times New Roman" w:cs="Times New Roman"/>
      <w:sz w:val="24"/>
      <w:szCs w:val="24"/>
      <w:lang w:eastAsia="ko-KR"/>
    </w:rPr>
  </w:style>
  <w:style w:type="paragraph" w:styleId="Caption">
    <w:name w:val="caption"/>
    <w:basedOn w:val="Normal"/>
    <w:next w:val="Normal"/>
    <w:uiPriority w:val="35"/>
    <w:semiHidden/>
    <w:unhideWhenUsed/>
    <w:qFormat/>
    <w:rsid w:val="008F5536"/>
    <w:pPr>
      <w:spacing w:line="240" w:lineRule="auto"/>
    </w:pPr>
    <w:rPr>
      <w:b/>
      <w:bCs/>
      <w:color w:val="4F81BD" w:themeColor="accent1"/>
      <w:sz w:val="18"/>
      <w:szCs w:val="18"/>
    </w:rPr>
  </w:style>
  <w:style w:type="table" w:styleId="TableGrid">
    <w:name w:val="Table Grid"/>
    <w:basedOn w:val="TableNormal"/>
    <w:uiPriority w:val="59"/>
    <w:rsid w:val="008F5536"/>
    <w:pPr>
      <w:spacing w:after="0" w:line="240" w:lineRule="auto"/>
    </w:pPr>
    <w:rPr>
      <w:rFonts w:eastAsiaTheme="minorEastAsia"/>
      <w:kern w:val="2"/>
      <w:sz w:val="20"/>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F55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1301"/>
    <w:rPr>
      <w:b/>
      <w:bCs/>
    </w:rPr>
  </w:style>
  <w:style w:type="paragraph" w:styleId="Footer">
    <w:name w:val="footer"/>
    <w:basedOn w:val="Normal"/>
    <w:link w:val="FooterChar"/>
    <w:uiPriority w:val="99"/>
    <w:unhideWhenUsed/>
    <w:rsid w:val="00FC5B58"/>
    <w:pPr>
      <w:tabs>
        <w:tab w:val="center" w:pos="4320"/>
        <w:tab w:val="right" w:pos="8640"/>
      </w:tabs>
      <w:spacing w:after="0" w:line="240" w:lineRule="auto"/>
    </w:pPr>
  </w:style>
  <w:style w:type="character" w:customStyle="1" w:styleId="FooterChar">
    <w:name w:val="Footer Char"/>
    <w:basedOn w:val="DefaultParagraphFont"/>
    <w:link w:val="Footer"/>
    <w:uiPriority w:val="99"/>
    <w:rsid w:val="00FC5B58"/>
  </w:style>
  <w:style w:type="character" w:styleId="PageNumber">
    <w:name w:val="page number"/>
    <w:basedOn w:val="DefaultParagraphFont"/>
    <w:uiPriority w:val="99"/>
    <w:semiHidden/>
    <w:unhideWhenUsed/>
    <w:rsid w:val="00FC5B58"/>
  </w:style>
  <w:style w:type="paragraph" w:styleId="CommentSubject">
    <w:name w:val="annotation subject"/>
    <w:basedOn w:val="CommentText"/>
    <w:next w:val="CommentText"/>
    <w:link w:val="CommentSubjectChar"/>
    <w:uiPriority w:val="99"/>
    <w:semiHidden/>
    <w:unhideWhenUsed/>
    <w:rsid w:val="00B775DB"/>
    <w:rPr>
      <w:b/>
      <w:bCs/>
    </w:rPr>
  </w:style>
  <w:style w:type="character" w:customStyle="1" w:styleId="CommentSubjectChar">
    <w:name w:val="Comment Subject Char"/>
    <w:basedOn w:val="CommentTextChar"/>
    <w:link w:val="CommentSubject"/>
    <w:uiPriority w:val="99"/>
    <w:semiHidden/>
    <w:rsid w:val="00B775D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2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34261"/>
    <w:rPr>
      <w:sz w:val="16"/>
      <w:szCs w:val="16"/>
    </w:rPr>
  </w:style>
  <w:style w:type="paragraph" w:styleId="CommentText">
    <w:name w:val="annotation text"/>
    <w:basedOn w:val="Normal"/>
    <w:link w:val="CommentTextChar"/>
    <w:uiPriority w:val="99"/>
    <w:semiHidden/>
    <w:unhideWhenUsed/>
    <w:rsid w:val="00A34261"/>
    <w:pPr>
      <w:spacing w:line="240" w:lineRule="auto"/>
    </w:pPr>
    <w:rPr>
      <w:sz w:val="20"/>
      <w:szCs w:val="20"/>
    </w:rPr>
  </w:style>
  <w:style w:type="character" w:customStyle="1" w:styleId="CommentTextChar">
    <w:name w:val="Comment Text Char"/>
    <w:basedOn w:val="DefaultParagraphFont"/>
    <w:link w:val="CommentText"/>
    <w:uiPriority w:val="99"/>
    <w:semiHidden/>
    <w:rsid w:val="00A34261"/>
    <w:rPr>
      <w:sz w:val="20"/>
      <w:szCs w:val="20"/>
    </w:rPr>
  </w:style>
  <w:style w:type="paragraph" w:styleId="BalloonText">
    <w:name w:val="Balloon Text"/>
    <w:basedOn w:val="Normal"/>
    <w:link w:val="BalloonTextChar"/>
    <w:uiPriority w:val="99"/>
    <w:semiHidden/>
    <w:unhideWhenUsed/>
    <w:rsid w:val="00A34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261"/>
    <w:rPr>
      <w:rFonts w:ascii="Tahoma" w:hAnsi="Tahoma" w:cs="Tahoma"/>
      <w:sz w:val="16"/>
      <w:szCs w:val="16"/>
    </w:rPr>
  </w:style>
  <w:style w:type="paragraph" w:styleId="FootnoteText">
    <w:name w:val="footnote text"/>
    <w:basedOn w:val="Normal"/>
    <w:link w:val="FootnoteTextChar"/>
    <w:uiPriority w:val="99"/>
    <w:semiHidden/>
    <w:unhideWhenUsed/>
    <w:rsid w:val="00F05E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5E0B"/>
    <w:rPr>
      <w:sz w:val="20"/>
      <w:szCs w:val="20"/>
    </w:rPr>
  </w:style>
  <w:style w:type="character" w:styleId="FootnoteReference">
    <w:name w:val="footnote reference"/>
    <w:basedOn w:val="DefaultParagraphFont"/>
    <w:uiPriority w:val="99"/>
    <w:semiHidden/>
    <w:unhideWhenUsed/>
    <w:rsid w:val="00F05E0B"/>
    <w:rPr>
      <w:vertAlign w:val="superscript"/>
    </w:rPr>
  </w:style>
  <w:style w:type="character" w:customStyle="1" w:styleId="apple-converted-space">
    <w:name w:val="apple-converted-space"/>
    <w:basedOn w:val="DefaultParagraphFont"/>
    <w:rsid w:val="008F5536"/>
  </w:style>
  <w:style w:type="paragraph" w:customStyle="1" w:styleId="kuvionotsikko">
    <w:name w:val="kuvion otsikko"/>
    <w:basedOn w:val="Caption"/>
    <w:next w:val="Normal"/>
    <w:link w:val="kuvionotsikkoChar"/>
    <w:rsid w:val="008F5536"/>
    <w:pPr>
      <w:spacing w:before="340" w:after="340" w:line="340" w:lineRule="atLeast"/>
      <w:ind w:left="1418" w:hanging="1418"/>
    </w:pPr>
    <w:rPr>
      <w:rFonts w:ascii="Times New Roman" w:eastAsia="Times New Roman" w:hAnsi="Times New Roman" w:cs="Times New Roman"/>
      <w:b w:val="0"/>
      <w:bCs w:val="0"/>
      <w:color w:val="auto"/>
      <w:sz w:val="24"/>
      <w:szCs w:val="20"/>
      <w:lang w:val="fi-FI" w:eastAsia="x-none"/>
    </w:rPr>
  </w:style>
  <w:style w:type="character" w:customStyle="1" w:styleId="kuvionotsikkoChar">
    <w:name w:val="kuvion otsikko Char"/>
    <w:link w:val="kuvionotsikko"/>
    <w:rsid w:val="008F5536"/>
    <w:rPr>
      <w:rFonts w:ascii="Times New Roman" w:eastAsia="Times New Roman" w:hAnsi="Times New Roman" w:cs="Times New Roman"/>
      <w:sz w:val="24"/>
      <w:szCs w:val="20"/>
      <w:lang w:val="fi-FI" w:eastAsia="x-none"/>
    </w:rPr>
  </w:style>
  <w:style w:type="paragraph" w:styleId="NormalWeb">
    <w:name w:val="Normal (Web)"/>
    <w:basedOn w:val="Normal"/>
    <w:uiPriority w:val="99"/>
    <w:unhideWhenUsed/>
    <w:rsid w:val="008F5536"/>
    <w:pPr>
      <w:spacing w:before="100" w:beforeAutospacing="1" w:after="0" w:line="240" w:lineRule="auto"/>
      <w:ind w:left="75" w:right="75"/>
    </w:pPr>
    <w:rPr>
      <w:rFonts w:ascii="Times New Roman" w:eastAsia="Times New Roman" w:hAnsi="Times New Roman" w:cs="Times New Roman"/>
      <w:sz w:val="24"/>
      <w:szCs w:val="24"/>
      <w:lang w:eastAsia="ko-KR"/>
    </w:rPr>
  </w:style>
  <w:style w:type="paragraph" w:styleId="Caption">
    <w:name w:val="caption"/>
    <w:basedOn w:val="Normal"/>
    <w:next w:val="Normal"/>
    <w:uiPriority w:val="35"/>
    <w:semiHidden/>
    <w:unhideWhenUsed/>
    <w:qFormat/>
    <w:rsid w:val="008F5536"/>
    <w:pPr>
      <w:spacing w:line="240" w:lineRule="auto"/>
    </w:pPr>
    <w:rPr>
      <w:b/>
      <w:bCs/>
      <w:color w:val="4F81BD" w:themeColor="accent1"/>
      <w:sz w:val="18"/>
      <w:szCs w:val="18"/>
    </w:rPr>
  </w:style>
  <w:style w:type="table" w:styleId="TableGrid">
    <w:name w:val="Table Grid"/>
    <w:basedOn w:val="TableNormal"/>
    <w:uiPriority w:val="59"/>
    <w:rsid w:val="008F5536"/>
    <w:pPr>
      <w:spacing w:after="0" w:line="240" w:lineRule="auto"/>
    </w:pPr>
    <w:rPr>
      <w:rFonts w:eastAsiaTheme="minorEastAsia"/>
      <w:kern w:val="2"/>
      <w:sz w:val="20"/>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F55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1301"/>
    <w:rPr>
      <w:b/>
      <w:bCs/>
    </w:rPr>
  </w:style>
  <w:style w:type="paragraph" w:styleId="Footer">
    <w:name w:val="footer"/>
    <w:basedOn w:val="Normal"/>
    <w:link w:val="FooterChar"/>
    <w:uiPriority w:val="99"/>
    <w:unhideWhenUsed/>
    <w:rsid w:val="00FC5B58"/>
    <w:pPr>
      <w:tabs>
        <w:tab w:val="center" w:pos="4320"/>
        <w:tab w:val="right" w:pos="8640"/>
      </w:tabs>
      <w:spacing w:after="0" w:line="240" w:lineRule="auto"/>
    </w:pPr>
  </w:style>
  <w:style w:type="character" w:customStyle="1" w:styleId="FooterChar">
    <w:name w:val="Footer Char"/>
    <w:basedOn w:val="DefaultParagraphFont"/>
    <w:link w:val="Footer"/>
    <w:uiPriority w:val="99"/>
    <w:rsid w:val="00FC5B58"/>
  </w:style>
  <w:style w:type="character" w:styleId="PageNumber">
    <w:name w:val="page number"/>
    <w:basedOn w:val="DefaultParagraphFont"/>
    <w:uiPriority w:val="99"/>
    <w:semiHidden/>
    <w:unhideWhenUsed/>
    <w:rsid w:val="00FC5B58"/>
  </w:style>
  <w:style w:type="paragraph" w:styleId="CommentSubject">
    <w:name w:val="annotation subject"/>
    <w:basedOn w:val="CommentText"/>
    <w:next w:val="CommentText"/>
    <w:link w:val="CommentSubjectChar"/>
    <w:uiPriority w:val="99"/>
    <w:semiHidden/>
    <w:unhideWhenUsed/>
    <w:rsid w:val="00B775DB"/>
    <w:rPr>
      <w:b/>
      <w:bCs/>
    </w:rPr>
  </w:style>
  <w:style w:type="character" w:customStyle="1" w:styleId="CommentSubjectChar">
    <w:name w:val="Comment Subject Char"/>
    <w:basedOn w:val="CommentTextChar"/>
    <w:link w:val="CommentSubject"/>
    <w:uiPriority w:val="99"/>
    <w:semiHidden/>
    <w:rsid w:val="00B775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95707">
      <w:bodyDiv w:val="1"/>
      <w:marLeft w:val="0"/>
      <w:marRight w:val="0"/>
      <w:marTop w:val="0"/>
      <w:marBottom w:val="0"/>
      <w:divBdr>
        <w:top w:val="none" w:sz="0" w:space="0" w:color="auto"/>
        <w:left w:val="none" w:sz="0" w:space="0" w:color="auto"/>
        <w:bottom w:val="none" w:sz="0" w:space="0" w:color="auto"/>
        <w:right w:val="none" w:sz="0" w:space="0" w:color="auto"/>
      </w:divBdr>
    </w:div>
    <w:div w:id="295647355">
      <w:bodyDiv w:val="1"/>
      <w:marLeft w:val="0"/>
      <w:marRight w:val="0"/>
      <w:marTop w:val="0"/>
      <w:marBottom w:val="0"/>
      <w:divBdr>
        <w:top w:val="none" w:sz="0" w:space="0" w:color="auto"/>
        <w:left w:val="none" w:sz="0" w:space="0" w:color="auto"/>
        <w:bottom w:val="none" w:sz="0" w:space="0" w:color="auto"/>
        <w:right w:val="none" w:sz="0" w:space="0" w:color="auto"/>
      </w:divBdr>
    </w:div>
    <w:div w:id="328951753">
      <w:bodyDiv w:val="1"/>
      <w:marLeft w:val="0"/>
      <w:marRight w:val="0"/>
      <w:marTop w:val="0"/>
      <w:marBottom w:val="0"/>
      <w:divBdr>
        <w:top w:val="none" w:sz="0" w:space="0" w:color="auto"/>
        <w:left w:val="none" w:sz="0" w:space="0" w:color="auto"/>
        <w:bottom w:val="none" w:sz="0" w:space="0" w:color="auto"/>
        <w:right w:val="none" w:sz="0" w:space="0" w:color="auto"/>
      </w:divBdr>
    </w:div>
    <w:div w:id="865365635">
      <w:bodyDiv w:val="1"/>
      <w:marLeft w:val="0"/>
      <w:marRight w:val="0"/>
      <w:marTop w:val="0"/>
      <w:marBottom w:val="0"/>
      <w:divBdr>
        <w:top w:val="none" w:sz="0" w:space="0" w:color="auto"/>
        <w:left w:val="none" w:sz="0" w:space="0" w:color="auto"/>
        <w:bottom w:val="none" w:sz="0" w:space="0" w:color="auto"/>
        <w:right w:val="none" w:sz="0" w:space="0" w:color="auto"/>
      </w:divBdr>
      <w:divsChild>
        <w:div w:id="383604293">
          <w:marLeft w:val="0"/>
          <w:marRight w:val="0"/>
          <w:marTop w:val="0"/>
          <w:marBottom w:val="0"/>
          <w:divBdr>
            <w:top w:val="none" w:sz="0" w:space="0" w:color="auto"/>
            <w:left w:val="none" w:sz="0" w:space="0" w:color="auto"/>
            <w:bottom w:val="none" w:sz="0" w:space="0" w:color="auto"/>
            <w:right w:val="none" w:sz="0" w:space="0" w:color="auto"/>
          </w:divBdr>
          <w:divsChild>
            <w:div w:id="1227644795">
              <w:marLeft w:val="0"/>
              <w:marRight w:val="0"/>
              <w:marTop w:val="0"/>
              <w:marBottom w:val="0"/>
              <w:divBdr>
                <w:top w:val="none" w:sz="0" w:space="0" w:color="auto"/>
                <w:left w:val="none" w:sz="0" w:space="0" w:color="auto"/>
                <w:bottom w:val="none" w:sz="0" w:space="0" w:color="auto"/>
                <w:right w:val="none" w:sz="0" w:space="0" w:color="auto"/>
              </w:divBdr>
              <w:divsChild>
                <w:div w:id="15139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G:\16GB%20DTL+G3\Journal%20Paper%20Submissions\LRP%20SI%202018\After%20first%20review%20-%20Hanna%20paper\Simple%20slopes%20template%20-%202-way_standardised.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0798711269867"/>
          <c:y val="8.0782498848116294E-2"/>
          <c:w val="0.58611068088016505"/>
          <c:h val="0.77161214416993795"/>
        </c:manualLayout>
      </c:layout>
      <c:lineChart>
        <c:grouping val="standard"/>
        <c:varyColors val="0"/>
        <c:ser>
          <c:idx val="0"/>
          <c:order val="0"/>
          <c:tx>
            <c:strRef>
              <c:f>'2 way interactions'!$B$31</c:f>
              <c:strCache>
                <c:ptCount val="1"/>
                <c:pt idx="0">
                  <c:v>Low Integration</c:v>
                </c:pt>
              </c:strCache>
            </c:strRef>
          </c:tx>
          <c:spPr>
            <a:ln w="12700">
              <a:solidFill>
                <a:srgbClr val="000000"/>
              </a:solidFill>
              <a:prstDash val="solid"/>
            </a:ln>
          </c:spPr>
          <c:marker>
            <c:symbol val="diamond"/>
            <c:size val="5"/>
            <c:spPr>
              <a:solidFill>
                <a:srgbClr val="000000"/>
              </a:solidFill>
              <a:ln>
                <a:solidFill>
                  <a:srgbClr val="000000"/>
                </a:solidFill>
                <a:prstDash val="solid"/>
              </a:ln>
            </c:spPr>
          </c:marker>
          <c:cat>
            <c:strRef>
              <c:f>'2 way interactions'!$C$30:$D$30</c:f>
              <c:strCache>
                <c:ptCount val="2"/>
                <c:pt idx="0">
                  <c:v>Low Knowledge sharing</c:v>
                </c:pt>
                <c:pt idx="1">
                  <c:v>High Knowledge sharing</c:v>
                </c:pt>
              </c:strCache>
            </c:strRef>
          </c:cat>
          <c:val>
            <c:numRef>
              <c:f>'2 way interactions'!$C$31:$D$31</c:f>
              <c:numCache>
                <c:formatCode>General</c:formatCode>
                <c:ptCount val="2"/>
                <c:pt idx="0">
                  <c:v>46.631999999999998</c:v>
                </c:pt>
                <c:pt idx="1">
                  <c:v>46.158000000000001</c:v>
                </c:pt>
              </c:numCache>
            </c:numRef>
          </c:val>
          <c:smooth val="0"/>
          <c:extLst xmlns:c16r2="http://schemas.microsoft.com/office/drawing/2015/06/chart">
            <c:ext xmlns:c16="http://schemas.microsoft.com/office/drawing/2014/chart" uri="{C3380CC4-5D6E-409C-BE32-E72D297353CC}">
              <c16:uniqueId val="{00000000-6344-4BDD-BEB2-7B7DBA14329F}"/>
            </c:ext>
          </c:extLst>
        </c:ser>
        <c:ser>
          <c:idx val="1"/>
          <c:order val="1"/>
          <c:tx>
            <c:strRef>
              <c:f>'2 way interactions'!$B$32</c:f>
              <c:strCache>
                <c:ptCount val="1"/>
                <c:pt idx="0">
                  <c:v>High Integration</c:v>
                </c:pt>
              </c:strCache>
            </c:strRef>
          </c:tx>
          <c:spPr>
            <a:ln w="12700">
              <a:solidFill>
                <a:srgbClr val="000000"/>
              </a:solidFill>
              <a:prstDash val="sysDash"/>
            </a:ln>
          </c:spPr>
          <c:marker>
            <c:symbol val="square"/>
            <c:size val="5"/>
            <c:spPr>
              <a:solidFill>
                <a:srgbClr val="000000"/>
              </a:solidFill>
              <a:ln>
                <a:solidFill>
                  <a:srgbClr val="000000"/>
                </a:solidFill>
                <a:prstDash val="solid"/>
              </a:ln>
            </c:spPr>
          </c:marker>
          <c:cat>
            <c:strRef>
              <c:f>'2 way interactions'!$C$30:$D$30</c:f>
              <c:strCache>
                <c:ptCount val="2"/>
                <c:pt idx="0">
                  <c:v>Low Knowledge sharing</c:v>
                </c:pt>
                <c:pt idx="1">
                  <c:v>High Knowledge sharing</c:v>
                </c:pt>
              </c:strCache>
            </c:strRef>
          </c:cat>
          <c:val>
            <c:numRef>
              <c:f>'2 way interactions'!$C$32:$D$32</c:f>
              <c:numCache>
                <c:formatCode>General</c:formatCode>
                <c:ptCount val="2"/>
                <c:pt idx="0">
                  <c:v>45.86</c:v>
                </c:pt>
                <c:pt idx="1">
                  <c:v>47.074000000000012</c:v>
                </c:pt>
              </c:numCache>
            </c:numRef>
          </c:val>
          <c:smooth val="0"/>
          <c:extLst xmlns:c16r2="http://schemas.microsoft.com/office/drawing/2015/06/chart">
            <c:ext xmlns:c16="http://schemas.microsoft.com/office/drawing/2014/chart" uri="{C3380CC4-5D6E-409C-BE32-E72D297353CC}">
              <c16:uniqueId val="{00000001-6344-4BDD-BEB2-7B7DBA14329F}"/>
            </c:ext>
          </c:extLst>
        </c:ser>
        <c:dLbls>
          <c:showLegendKey val="0"/>
          <c:showVal val="0"/>
          <c:showCatName val="0"/>
          <c:showSerName val="0"/>
          <c:showPercent val="0"/>
          <c:showBubbleSize val="0"/>
        </c:dLbls>
        <c:marker val="1"/>
        <c:smooth val="0"/>
        <c:axId val="224830976"/>
        <c:axId val="482279808"/>
      </c:lineChart>
      <c:catAx>
        <c:axId val="22483097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en-US"/>
          </a:p>
        </c:txPr>
        <c:crossAx val="482279808"/>
        <c:crosses val="autoZero"/>
        <c:auto val="1"/>
        <c:lblAlgn val="ctr"/>
        <c:lblOffset val="100"/>
        <c:tickLblSkip val="1"/>
        <c:tickMarkSkip val="1"/>
        <c:noMultiLvlLbl val="0"/>
      </c:catAx>
      <c:valAx>
        <c:axId val="482279808"/>
        <c:scaling>
          <c:orientation val="minMax"/>
          <c:max val="48"/>
          <c:min val="42"/>
        </c:scaling>
        <c:delete val="0"/>
        <c:axPos val="l"/>
        <c:title>
          <c:tx>
            <c:rich>
              <a:bodyPr/>
              <a:lstStyle/>
              <a:p>
                <a:pPr>
                  <a:defRPr sz="1200" b="1" i="0" u="none" strike="noStrike" baseline="0">
                    <a:solidFill>
                      <a:srgbClr val="000000"/>
                    </a:solidFill>
                    <a:latin typeface="Times New Roman"/>
                    <a:ea typeface="Times New Roman"/>
                    <a:cs typeface="Times New Roman"/>
                  </a:defRPr>
                </a:pPr>
                <a:r>
                  <a:rPr lang="en-GB"/>
                  <a:t>Organizational Ambidexterity</a:t>
                </a:r>
              </a:p>
            </c:rich>
          </c:tx>
          <c:layout>
            <c:manualLayout>
              <c:xMode val="edge"/>
              <c:yMode val="edge"/>
              <c:x val="2.6490924650789699E-2"/>
              <c:y val="0.159748353824193"/>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en-US"/>
          </a:p>
        </c:txPr>
        <c:crossAx val="224830976"/>
        <c:crosses val="autoZero"/>
        <c:crossBetween val="between"/>
        <c:majorUnit val="1"/>
      </c:valAx>
      <c:spPr>
        <a:solidFill>
          <a:srgbClr val="FFFFFF"/>
        </a:solidFill>
        <a:ln w="12700">
          <a:solidFill>
            <a:srgbClr val="808080"/>
          </a:solidFill>
          <a:prstDash val="solid"/>
        </a:ln>
      </c:spPr>
    </c:plotArea>
    <c:legend>
      <c:legendPos val="r"/>
      <c:layout>
        <c:manualLayout>
          <c:xMode val="edge"/>
          <c:yMode val="edge"/>
          <c:x val="0.73512183419091703"/>
          <c:y val="0.39834139153658399"/>
          <c:w val="0.251663282880909"/>
          <c:h val="0.28800962379702499"/>
        </c:manualLayout>
      </c:layout>
      <c:overlay val="0"/>
      <c:spPr>
        <a:solidFill>
          <a:srgbClr val="FFFFFF"/>
        </a:solidFill>
        <a:ln w="3175">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49</Pages>
  <Words>13324</Words>
  <Characters>75951</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Mathew</cp:lastModifiedBy>
  <cp:revision>3</cp:revision>
  <dcterms:created xsi:type="dcterms:W3CDTF">2019-12-19T13:42:00Z</dcterms:created>
  <dcterms:modified xsi:type="dcterms:W3CDTF">2019-12-19T14:05:00Z</dcterms:modified>
</cp:coreProperties>
</file>