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836E5" w14:textId="0BF95C96" w:rsidR="00A07F9C" w:rsidRPr="00003C99" w:rsidRDefault="00D643ED" w:rsidP="00215FA8">
      <w:pPr>
        <w:pStyle w:val="Title"/>
        <w:spacing w:line="480" w:lineRule="auto"/>
        <w:jc w:val="center"/>
        <w:rPr>
          <w:rFonts w:ascii="Times New Roman" w:hAnsi="Times New Roman" w:cs="Times New Roman"/>
          <w:b/>
          <w:bCs/>
          <w:i/>
          <w:iCs/>
          <w:sz w:val="40"/>
          <w:lang w:val="en-GB"/>
        </w:rPr>
      </w:pPr>
      <w:r>
        <w:rPr>
          <w:rFonts w:ascii="Times New Roman" w:hAnsi="Times New Roman" w:cs="Times New Roman"/>
          <w:b/>
          <w:bCs/>
          <w:i/>
          <w:iCs/>
          <w:sz w:val="40"/>
          <w:lang w:val="en-GB"/>
        </w:rPr>
        <w:t xml:space="preserve">Potential Dependence of </w:t>
      </w:r>
      <w:r w:rsidR="00A07F9C" w:rsidRPr="00003C99">
        <w:rPr>
          <w:rFonts w:ascii="Times New Roman" w:hAnsi="Times New Roman" w:cs="Times New Roman"/>
          <w:b/>
          <w:bCs/>
          <w:i/>
          <w:iCs/>
          <w:sz w:val="40"/>
          <w:lang w:val="en-GB"/>
        </w:rPr>
        <w:t>Surfactant Adsor</w:t>
      </w:r>
      <w:r w:rsidR="00215FA8">
        <w:rPr>
          <w:rFonts w:ascii="Times New Roman" w:hAnsi="Times New Roman" w:cs="Times New Roman"/>
          <w:b/>
          <w:bCs/>
          <w:i/>
          <w:iCs/>
          <w:sz w:val="40"/>
          <w:lang w:val="en-GB"/>
        </w:rPr>
        <w:t xml:space="preserve">ption </w:t>
      </w:r>
      <w:r w:rsidR="00A07F9C" w:rsidRPr="00003C99">
        <w:rPr>
          <w:rFonts w:ascii="Times New Roman" w:hAnsi="Times New Roman" w:cs="Times New Roman"/>
          <w:b/>
          <w:bCs/>
          <w:i/>
          <w:iCs/>
          <w:sz w:val="40"/>
          <w:lang w:val="en-GB"/>
        </w:rPr>
        <w:t xml:space="preserve">at </w:t>
      </w:r>
      <w:r>
        <w:rPr>
          <w:rFonts w:ascii="Times New Roman" w:hAnsi="Times New Roman" w:cs="Times New Roman"/>
          <w:b/>
          <w:bCs/>
          <w:i/>
          <w:iCs/>
          <w:sz w:val="40"/>
          <w:lang w:val="en-GB"/>
        </w:rPr>
        <w:t xml:space="preserve">the </w:t>
      </w:r>
      <w:r w:rsidR="00A07F9C" w:rsidRPr="00003C99">
        <w:rPr>
          <w:rFonts w:ascii="Times New Roman" w:hAnsi="Times New Roman" w:cs="Times New Roman"/>
          <w:b/>
          <w:bCs/>
          <w:i/>
          <w:iCs/>
          <w:sz w:val="40"/>
          <w:lang w:val="en-GB"/>
        </w:rPr>
        <w:t>Graphite</w:t>
      </w:r>
      <w:r>
        <w:rPr>
          <w:rFonts w:ascii="Times New Roman" w:hAnsi="Times New Roman" w:cs="Times New Roman"/>
          <w:b/>
          <w:bCs/>
          <w:i/>
          <w:iCs/>
          <w:sz w:val="40"/>
          <w:lang w:val="en-GB"/>
        </w:rPr>
        <w:t xml:space="preserve"> Electrode</w:t>
      </w:r>
      <w:r w:rsidR="00A07F9C" w:rsidRPr="00003C99">
        <w:rPr>
          <w:rFonts w:ascii="Times New Roman" w:hAnsi="Times New Roman" w:cs="Times New Roman"/>
          <w:b/>
          <w:bCs/>
          <w:i/>
          <w:iCs/>
          <w:sz w:val="40"/>
          <w:lang w:val="en-GB"/>
        </w:rPr>
        <w:t xml:space="preserve"> / </w:t>
      </w:r>
      <w:r>
        <w:rPr>
          <w:rFonts w:ascii="Times New Roman" w:hAnsi="Times New Roman" w:cs="Times New Roman"/>
          <w:b/>
          <w:bCs/>
          <w:i/>
          <w:iCs/>
          <w:sz w:val="40"/>
          <w:lang w:val="en-GB"/>
        </w:rPr>
        <w:t xml:space="preserve">Deep Eutectic Solvent Interface </w:t>
      </w:r>
    </w:p>
    <w:p w14:paraId="3C9EBDA4" w14:textId="77777777" w:rsidR="00A07F9C" w:rsidRPr="00003C99" w:rsidRDefault="00A07F9C" w:rsidP="00A07F9C">
      <w:pPr>
        <w:spacing w:line="480" w:lineRule="auto"/>
        <w:rPr>
          <w:rFonts w:ascii="Times New Roman" w:hAnsi="Times New Roman" w:cs="Times New Roman"/>
          <w:lang w:val="en-GB"/>
        </w:rPr>
      </w:pPr>
    </w:p>
    <w:p w14:paraId="30DE1D3D" w14:textId="77777777" w:rsidR="00A07F9C" w:rsidRPr="00003C99" w:rsidRDefault="00A07F9C" w:rsidP="00A07F9C">
      <w:pPr>
        <w:spacing w:line="480" w:lineRule="auto"/>
        <w:rPr>
          <w:rFonts w:ascii="Times New Roman" w:hAnsi="Times New Roman" w:cs="Times New Roman"/>
          <w:lang w:val="en-GB"/>
        </w:rPr>
      </w:pPr>
      <w:r w:rsidRPr="00003C99">
        <w:rPr>
          <w:rFonts w:ascii="Times New Roman" w:hAnsi="Times New Roman" w:cs="Times New Roman"/>
          <w:lang w:val="en-GB"/>
        </w:rPr>
        <w:t>Katharina Häckl</w:t>
      </w:r>
      <w:proofErr w:type="gramStart"/>
      <w:r w:rsidRPr="00003C99">
        <w:rPr>
          <w:rFonts w:ascii="Times New Roman" w:hAnsi="Times New Roman" w:cs="Times New Roman"/>
          <w:lang w:val="en-GB"/>
        </w:rPr>
        <w:t>,</w:t>
      </w:r>
      <w:r w:rsidRPr="00003C99">
        <w:rPr>
          <w:rFonts w:ascii="Times New Roman" w:hAnsi="Times New Roman" w:cs="Times New Roman"/>
          <w:vertAlign w:val="superscript"/>
          <w:lang w:val="en-GB"/>
        </w:rPr>
        <w:t>1</w:t>
      </w:r>
      <w:r>
        <w:rPr>
          <w:rFonts w:ascii="Times New Roman" w:hAnsi="Times New Roman" w:cs="Times New Roman"/>
          <w:vertAlign w:val="superscript"/>
          <w:lang w:val="en-GB"/>
        </w:rPr>
        <w:t>,2</w:t>
      </w:r>
      <w:proofErr w:type="gramEnd"/>
      <w:r w:rsidRPr="00003C99">
        <w:rPr>
          <w:rFonts w:ascii="Times New Roman" w:hAnsi="Times New Roman" w:cs="Times New Roman"/>
          <w:lang w:val="en-GB"/>
        </w:rPr>
        <w:t xml:space="preserve"> Hua Li,</w:t>
      </w:r>
      <w:r w:rsidRPr="00003C99">
        <w:rPr>
          <w:rFonts w:ascii="Times New Roman" w:hAnsi="Times New Roman" w:cs="Times New Roman"/>
          <w:vertAlign w:val="superscript"/>
          <w:lang w:val="en-GB"/>
        </w:rPr>
        <w:t>2</w:t>
      </w:r>
      <w:r w:rsidRPr="00003C99">
        <w:rPr>
          <w:rFonts w:ascii="Times New Roman" w:hAnsi="Times New Roman" w:cs="Times New Roman"/>
          <w:lang w:val="en-GB"/>
        </w:rPr>
        <w:t xml:space="preserve"> Iain Aldous,</w:t>
      </w:r>
      <w:r w:rsidRPr="00003C99">
        <w:rPr>
          <w:rFonts w:ascii="Times New Roman" w:hAnsi="Times New Roman" w:cs="Times New Roman"/>
          <w:vertAlign w:val="superscript"/>
          <w:lang w:val="en-GB"/>
        </w:rPr>
        <w:t>3</w:t>
      </w:r>
      <w:r w:rsidRPr="00003C99">
        <w:rPr>
          <w:rFonts w:ascii="Times New Roman" w:hAnsi="Times New Roman" w:cs="Times New Roman"/>
          <w:lang w:val="en-GB"/>
        </w:rPr>
        <w:t xml:space="preserve"> Terrence Tsui,</w:t>
      </w:r>
      <w:r w:rsidRPr="00003C99">
        <w:rPr>
          <w:rFonts w:ascii="Times New Roman" w:hAnsi="Times New Roman" w:cs="Times New Roman"/>
          <w:vertAlign w:val="superscript"/>
          <w:lang w:val="en-GB"/>
        </w:rPr>
        <w:t>2</w:t>
      </w:r>
      <w:r w:rsidRPr="00003C99">
        <w:rPr>
          <w:rFonts w:ascii="Times New Roman" w:hAnsi="Times New Roman" w:cs="Times New Roman"/>
          <w:lang w:val="en-GB"/>
        </w:rPr>
        <w:t xml:space="preserve"> Werner Kunz,</w:t>
      </w:r>
      <w:r w:rsidRPr="00003C99">
        <w:rPr>
          <w:rFonts w:ascii="Times New Roman" w:hAnsi="Times New Roman" w:cs="Times New Roman"/>
          <w:vertAlign w:val="superscript"/>
          <w:lang w:val="en-GB"/>
        </w:rPr>
        <w:t>1</w:t>
      </w:r>
      <w:r w:rsidRPr="00003C99">
        <w:rPr>
          <w:rFonts w:ascii="Times New Roman" w:hAnsi="Times New Roman" w:cs="Times New Roman"/>
          <w:lang w:val="en-GB"/>
        </w:rPr>
        <w:t xml:space="preserve"> Andrew P. Abbott,</w:t>
      </w:r>
      <w:r w:rsidRPr="00003C99">
        <w:rPr>
          <w:rFonts w:ascii="Times New Roman" w:hAnsi="Times New Roman" w:cs="Times New Roman"/>
          <w:vertAlign w:val="superscript"/>
          <w:lang w:val="en-GB"/>
        </w:rPr>
        <w:t>3</w:t>
      </w:r>
      <w:r w:rsidRPr="00003C99">
        <w:rPr>
          <w:rFonts w:ascii="Times New Roman" w:hAnsi="Times New Roman" w:cs="Times New Roman"/>
          <w:lang w:val="en-GB"/>
        </w:rPr>
        <w:t xml:space="preserve"> Gregory G. Warr,</w:t>
      </w:r>
      <w:r w:rsidRPr="00003C99">
        <w:rPr>
          <w:rFonts w:ascii="Times New Roman" w:hAnsi="Times New Roman" w:cs="Times New Roman"/>
          <w:vertAlign w:val="superscript"/>
          <w:lang w:val="en-GB"/>
        </w:rPr>
        <w:t>4</w:t>
      </w:r>
      <w:r w:rsidRPr="00003C99">
        <w:rPr>
          <w:rFonts w:ascii="Times New Roman" w:hAnsi="Times New Roman" w:cs="Times New Roman"/>
          <w:lang w:val="en-GB"/>
        </w:rPr>
        <w:t xml:space="preserve"> and Rob Atkin</w:t>
      </w:r>
      <w:r w:rsidRPr="00003C99">
        <w:rPr>
          <w:rFonts w:ascii="Times New Roman" w:hAnsi="Times New Roman" w:cs="Times New Roman"/>
          <w:vertAlign w:val="superscript"/>
          <w:lang w:val="en-GB"/>
        </w:rPr>
        <w:t>2,</w:t>
      </w:r>
      <w:r w:rsidRPr="00003C99">
        <w:rPr>
          <w:rFonts w:ascii="Times New Roman" w:hAnsi="Times New Roman" w:cs="Times New Roman"/>
          <w:lang w:val="en-GB"/>
        </w:rPr>
        <w:t>*</w:t>
      </w:r>
    </w:p>
    <w:p w14:paraId="54146CC6" w14:textId="77777777" w:rsidR="00A07F9C" w:rsidRPr="00003C99" w:rsidRDefault="00A07F9C" w:rsidP="00A07F9C">
      <w:pPr>
        <w:spacing w:line="480" w:lineRule="auto"/>
        <w:rPr>
          <w:rFonts w:ascii="Times New Roman" w:hAnsi="Times New Roman" w:cs="Times New Roman"/>
          <w:lang w:val="en-GB"/>
        </w:rPr>
      </w:pPr>
    </w:p>
    <w:p w14:paraId="2E9DC9F0" w14:textId="77777777" w:rsidR="00A07F9C" w:rsidRPr="00003C99" w:rsidRDefault="00A07F9C" w:rsidP="00A07F9C">
      <w:pPr>
        <w:spacing w:after="0" w:line="480" w:lineRule="auto"/>
        <w:rPr>
          <w:rFonts w:ascii="Times New Roman" w:hAnsi="Times New Roman" w:cs="Times New Roman"/>
          <w:i/>
          <w:szCs w:val="24"/>
          <w:lang w:val="en-US"/>
        </w:rPr>
      </w:pPr>
      <w:r w:rsidRPr="00FF5CE1">
        <w:rPr>
          <w:rFonts w:ascii="Times New Roman" w:hAnsi="Times New Roman" w:cs="Times New Roman"/>
          <w:i/>
          <w:szCs w:val="24"/>
          <w:vertAlign w:val="superscript"/>
          <w:lang w:val="fr-FR"/>
        </w:rPr>
        <w:t>1</w:t>
      </w:r>
      <w:r w:rsidRPr="00FF5CE1">
        <w:rPr>
          <w:rFonts w:ascii="Times New Roman" w:hAnsi="Times New Roman" w:cs="Times New Roman"/>
          <w:i/>
          <w:szCs w:val="24"/>
          <w:lang w:val="fr-FR"/>
        </w:rPr>
        <w:t xml:space="preserve"> </w:t>
      </w:r>
      <w:r w:rsidRPr="00003C99">
        <w:rPr>
          <w:rFonts w:ascii="Times New Roman" w:hAnsi="Times New Roman" w:cs="Times New Roman"/>
          <w:i/>
          <w:szCs w:val="24"/>
          <w:lang w:val="en-US"/>
        </w:rPr>
        <w:t xml:space="preserve">Institute of Physical and Theoretical Chemistry, University of Regensburg, </w:t>
      </w:r>
      <w:proofErr w:type="spellStart"/>
      <w:r w:rsidRPr="00003C99">
        <w:rPr>
          <w:rFonts w:ascii="Times New Roman" w:hAnsi="Times New Roman" w:cs="Times New Roman"/>
          <w:i/>
          <w:szCs w:val="24"/>
          <w:lang w:val="en-US"/>
        </w:rPr>
        <w:t>Universitätsstraße</w:t>
      </w:r>
      <w:proofErr w:type="spellEnd"/>
      <w:r w:rsidRPr="00003C99">
        <w:rPr>
          <w:rFonts w:ascii="Times New Roman" w:hAnsi="Times New Roman" w:cs="Times New Roman"/>
          <w:i/>
          <w:szCs w:val="24"/>
          <w:lang w:val="en-US"/>
        </w:rPr>
        <w:t xml:space="preserve"> 31, D-93053 Regensburg, Germany.</w:t>
      </w:r>
    </w:p>
    <w:p w14:paraId="7658C624" w14:textId="2C597895" w:rsidR="00A07F9C" w:rsidRPr="00003C99" w:rsidRDefault="00A07F9C" w:rsidP="00A07F9C">
      <w:pPr>
        <w:spacing w:after="0" w:line="480" w:lineRule="auto"/>
        <w:rPr>
          <w:rFonts w:ascii="Times New Roman" w:eastAsia="Times New Roman" w:hAnsi="Times New Roman" w:cs="Times New Roman"/>
          <w:bCs/>
          <w:i/>
          <w:lang w:val="fr-FR" w:eastAsia="fr-FR"/>
        </w:rPr>
      </w:pPr>
      <w:r w:rsidRPr="00FF5CE1">
        <w:rPr>
          <w:rFonts w:ascii="Times New Roman" w:hAnsi="Times New Roman" w:cs="Times New Roman"/>
          <w:i/>
          <w:szCs w:val="24"/>
          <w:vertAlign w:val="superscript"/>
          <w:lang w:val="fr-FR"/>
        </w:rPr>
        <w:t>2</w:t>
      </w:r>
      <w:r w:rsidRPr="00FF5CE1">
        <w:rPr>
          <w:rFonts w:ascii="Times New Roman" w:hAnsi="Times New Roman" w:cs="Times New Roman"/>
          <w:i/>
          <w:szCs w:val="24"/>
          <w:lang w:val="fr-FR"/>
        </w:rPr>
        <w:t xml:space="preserve"> </w:t>
      </w:r>
      <w:proofErr w:type="spellStart"/>
      <w:r w:rsidRPr="00FF5CE1">
        <w:rPr>
          <w:rFonts w:ascii="Times New Roman" w:eastAsia="Times New Roman" w:hAnsi="Times New Roman" w:cs="Times New Roman"/>
          <w:bCs/>
          <w:i/>
          <w:lang w:val="fr-FR" w:eastAsia="fr-FR"/>
        </w:rPr>
        <w:t>School</w:t>
      </w:r>
      <w:proofErr w:type="spellEnd"/>
      <w:r w:rsidRPr="00FF5CE1">
        <w:rPr>
          <w:rFonts w:ascii="Times New Roman" w:eastAsia="Times New Roman" w:hAnsi="Times New Roman" w:cs="Times New Roman"/>
          <w:bCs/>
          <w:i/>
          <w:lang w:val="fr-FR" w:eastAsia="fr-FR"/>
        </w:rPr>
        <w:t xml:space="preserve"> of </w:t>
      </w:r>
      <w:proofErr w:type="spellStart"/>
      <w:r w:rsidRPr="00FF5CE1">
        <w:rPr>
          <w:rFonts w:ascii="Times New Roman" w:eastAsia="Times New Roman" w:hAnsi="Times New Roman" w:cs="Times New Roman"/>
          <w:bCs/>
          <w:i/>
          <w:lang w:val="fr-FR" w:eastAsia="fr-FR"/>
        </w:rPr>
        <w:t>Molecular</w:t>
      </w:r>
      <w:proofErr w:type="spellEnd"/>
      <w:r w:rsidRPr="00FF5CE1">
        <w:rPr>
          <w:rFonts w:ascii="Times New Roman" w:eastAsia="Times New Roman" w:hAnsi="Times New Roman" w:cs="Times New Roman"/>
          <w:bCs/>
          <w:i/>
          <w:lang w:val="fr-FR" w:eastAsia="fr-FR"/>
        </w:rPr>
        <w:t xml:space="preserve"> Sciences, The </w:t>
      </w:r>
      <w:proofErr w:type="spellStart"/>
      <w:r w:rsidRPr="00FF5CE1">
        <w:rPr>
          <w:rFonts w:ascii="Times New Roman" w:eastAsia="Times New Roman" w:hAnsi="Times New Roman" w:cs="Times New Roman"/>
          <w:bCs/>
          <w:i/>
          <w:lang w:val="fr-FR" w:eastAsia="fr-FR"/>
        </w:rPr>
        <w:t>University</w:t>
      </w:r>
      <w:proofErr w:type="spellEnd"/>
      <w:r w:rsidRPr="00FF5CE1">
        <w:rPr>
          <w:rFonts w:ascii="Times New Roman" w:eastAsia="Times New Roman" w:hAnsi="Times New Roman" w:cs="Times New Roman"/>
          <w:bCs/>
          <w:i/>
          <w:lang w:val="fr-FR" w:eastAsia="fr-FR"/>
        </w:rPr>
        <w:t xml:space="preserve"> of Western </w:t>
      </w:r>
      <w:proofErr w:type="spellStart"/>
      <w:r w:rsidRPr="00FF5CE1">
        <w:rPr>
          <w:rFonts w:ascii="Times New Roman" w:eastAsia="Times New Roman" w:hAnsi="Times New Roman" w:cs="Times New Roman"/>
          <w:bCs/>
          <w:i/>
          <w:lang w:val="fr-FR" w:eastAsia="fr-FR"/>
        </w:rPr>
        <w:t>Australia</w:t>
      </w:r>
      <w:proofErr w:type="spellEnd"/>
      <w:r w:rsidRPr="00FF5CE1">
        <w:rPr>
          <w:rFonts w:ascii="Times New Roman" w:eastAsia="Times New Roman" w:hAnsi="Times New Roman" w:cs="Times New Roman"/>
          <w:bCs/>
          <w:i/>
          <w:lang w:val="fr-FR" w:eastAsia="fr-FR"/>
        </w:rPr>
        <w:t xml:space="preserve">, 35 Stirling </w:t>
      </w:r>
      <w:proofErr w:type="spellStart"/>
      <w:r w:rsidRPr="00FF5CE1">
        <w:rPr>
          <w:rFonts w:ascii="Times New Roman" w:eastAsia="Times New Roman" w:hAnsi="Times New Roman" w:cs="Times New Roman"/>
          <w:bCs/>
          <w:i/>
          <w:lang w:val="fr-FR" w:eastAsia="fr-FR"/>
        </w:rPr>
        <w:t>Highway</w:t>
      </w:r>
      <w:proofErr w:type="spellEnd"/>
      <w:r w:rsidRPr="00FF5CE1">
        <w:rPr>
          <w:rFonts w:ascii="Times New Roman" w:eastAsia="Times New Roman" w:hAnsi="Times New Roman" w:cs="Times New Roman"/>
          <w:bCs/>
          <w:i/>
          <w:lang w:val="fr-FR" w:eastAsia="fr-FR"/>
        </w:rPr>
        <w:t xml:space="preserve">, Perth, WA 6009, </w:t>
      </w:r>
      <w:proofErr w:type="spellStart"/>
      <w:r w:rsidRPr="00FF5CE1">
        <w:rPr>
          <w:rFonts w:ascii="Times New Roman" w:eastAsia="Times New Roman" w:hAnsi="Times New Roman" w:cs="Times New Roman"/>
          <w:bCs/>
          <w:i/>
          <w:lang w:val="fr-FR" w:eastAsia="fr-FR"/>
        </w:rPr>
        <w:t>Australia</w:t>
      </w:r>
      <w:proofErr w:type="spellEnd"/>
      <w:r w:rsidRPr="00FF5CE1">
        <w:rPr>
          <w:rFonts w:ascii="Times New Roman" w:eastAsia="Times New Roman" w:hAnsi="Times New Roman" w:cs="Times New Roman"/>
          <w:bCs/>
          <w:i/>
          <w:lang w:val="fr-FR" w:eastAsia="fr-FR"/>
        </w:rPr>
        <w:t xml:space="preserve">. </w:t>
      </w:r>
      <w:r w:rsidRPr="00003C99">
        <w:rPr>
          <w:rFonts w:ascii="Times New Roman" w:eastAsia="Times New Roman" w:hAnsi="Times New Roman" w:cs="Times New Roman"/>
          <w:bCs/>
          <w:i/>
          <w:lang w:val="fr-FR" w:eastAsia="fr-FR"/>
        </w:rPr>
        <w:t>E-mail:</w:t>
      </w:r>
      <w:r w:rsidRPr="004233A1">
        <w:rPr>
          <w:rFonts w:ascii="Times New Roman" w:eastAsia="Times New Roman" w:hAnsi="Times New Roman" w:cs="Times New Roman"/>
          <w:bCs/>
          <w:i/>
          <w:lang w:val="fr-FR" w:eastAsia="fr-FR"/>
        </w:rPr>
        <w:t xml:space="preserve"> </w:t>
      </w:r>
      <w:hyperlink r:id="rId6" w:history="1">
        <w:r w:rsidR="004233A1" w:rsidRPr="00154BDD">
          <w:rPr>
            <w:rStyle w:val="Hyperlink"/>
            <w:rFonts w:ascii="Times New Roman" w:eastAsia="Times New Roman" w:hAnsi="Times New Roman" w:cs="Times New Roman"/>
            <w:bCs/>
            <w:i/>
            <w:lang w:val="fr-FR" w:eastAsia="fr-FR"/>
          </w:rPr>
          <w:t>rob.atkin@uwa.edu.au</w:t>
        </w:r>
      </w:hyperlink>
    </w:p>
    <w:p w14:paraId="46B637A2" w14:textId="77777777" w:rsidR="00A07F9C" w:rsidRPr="00003C99" w:rsidRDefault="00A07F9C" w:rsidP="00A07F9C">
      <w:pPr>
        <w:spacing w:after="0" w:line="480" w:lineRule="auto"/>
        <w:rPr>
          <w:rFonts w:ascii="Times New Roman" w:hAnsi="Times New Roman" w:cs="Times New Roman"/>
          <w:i/>
          <w:szCs w:val="24"/>
          <w:lang w:val="en-US"/>
        </w:rPr>
      </w:pPr>
      <w:r w:rsidRPr="00003C99">
        <w:rPr>
          <w:rFonts w:ascii="Times New Roman" w:hAnsi="Times New Roman" w:cs="Times New Roman"/>
          <w:i/>
          <w:szCs w:val="24"/>
          <w:vertAlign w:val="superscript"/>
          <w:lang w:val="en-US"/>
        </w:rPr>
        <w:t>3</w:t>
      </w:r>
      <w:r w:rsidRPr="00003C99">
        <w:rPr>
          <w:rFonts w:ascii="Times New Roman" w:hAnsi="Times New Roman" w:cs="Times New Roman"/>
          <w:i/>
          <w:szCs w:val="24"/>
          <w:lang w:val="en-US"/>
        </w:rPr>
        <w:t xml:space="preserve"> Materials Centre, Department of Chemistry, University of Leicester, Leicester LE1 7RH, UK.</w:t>
      </w:r>
    </w:p>
    <w:p w14:paraId="578112B3" w14:textId="77777777" w:rsidR="00A07F9C" w:rsidRPr="00003C99" w:rsidRDefault="00A07F9C" w:rsidP="00A07F9C">
      <w:pPr>
        <w:spacing w:after="0" w:line="480" w:lineRule="auto"/>
        <w:rPr>
          <w:rFonts w:ascii="Times New Roman" w:hAnsi="Times New Roman" w:cs="Times New Roman"/>
          <w:i/>
          <w:szCs w:val="24"/>
          <w:lang w:val="en-US"/>
        </w:rPr>
      </w:pPr>
      <w:r w:rsidRPr="00003C99">
        <w:rPr>
          <w:rFonts w:ascii="Times New Roman" w:hAnsi="Times New Roman" w:cs="Times New Roman"/>
          <w:i/>
          <w:szCs w:val="24"/>
          <w:vertAlign w:val="superscript"/>
          <w:lang w:val="en-US"/>
        </w:rPr>
        <w:t>4</w:t>
      </w:r>
      <w:r w:rsidRPr="00003C99">
        <w:rPr>
          <w:rFonts w:ascii="Times New Roman" w:hAnsi="Times New Roman" w:cs="Times New Roman"/>
          <w:i/>
          <w:szCs w:val="24"/>
          <w:lang w:val="en-US"/>
        </w:rPr>
        <w:t xml:space="preserve"> School of Chemistry and University of Sydney Nano Institute, The University of Sydney, NSW 2006, Australia</w:t>
      </w:r>
    </w:p>
    <w:p w14:paraId="2FBA37F0" w14:textId="77777777" w:rsidR="00805743" w:rsidRDefault="00805743" w:rsidP="00A07F9C">
      <w:pPr>
        <w:spacing w:line="480" w:lineRule="auto"/>
        <w:rPr>
          <w:rFonts w:ascii="Times New Roman" w:hAnsi="Times New Roman" w:cs="Times New Roman"/>
          <w:b/>
          <w:sz w:val="24"/>
          <w:szCs w:val="24"/>
          <w:lang w:val="en-GB"/>
        </w:rPr>
      </w:pPr>
    </w:p>
    <w:p w14:paraId="0DB7367F" w14:textId="5C57CF58" w:rsidR="00A07F9C" w:rsidRDefault="00A07F9C" w:rsidP="00A07F9C">
      <w:pPr>
        <w:spacing w:line="480" w:lineRule="auto"/>
        <w:rPr>
          <w:rFonts w:ascii="Times New Roman" w:hAnsi="Times New Roman" w:cs="Times New Roman"/>
          <w:b/>
          <w:sz w:val="24"/>
          <w:szCs w:val="24"/>
          <w:lang w:val="en-GB"/>
        </w:rPr>
      </w:pPr>
      <w:r w:rsidRPr="00003C99">
        <w:rPr>
          <w:rFonts w:ascii="Times New Roman" w:hAnsi="Times New Roman" w:cs="Times New Roman"/>
          <w:b/>
          <w:sz w:val="24"/>
          <w:szCs w:val="24"/>
          <w:lang w:val="en-GB"/>
        </w:rPr>
        <w:t>TOC graphic</w:t>
      </w:r>
    </w:p>
    <w:p w14:paraId="3451D717" w14:textId="5985E312" w:rsidR="003B0292" w:rsidRDefault="007D63D7" w:rsidP="00A07F9C">
      <w:pPr>
        <w:spacing w:line="480" w:lineRule="auto"/>
        <w:rPr>
          <w:rFonts w:ascii="Times New Roman" w:hAnsi="Times New Roman" w:cs="Times New Roman"/>
          <w:b/>
          <w:sz w:val="24"/>
          <w:szCs w:val="24"/>
          <w:lang w:val="en-GB"/>
        </w:rPr>
      </w:pPr>
      <w:r w:rsidRPr="007D63D7">
        <w:rPr>
          <w:rFonts w:ascii="Times New Roman" w:hAnsi="Times New Roman" w:cs="Times New Roman"/>
          <w:b/>
          <w:noProof/>
          <w:sz w:val="24"/>
          <w:szCs w:val="24"/>
          <w:lang w:val="en-GB" w:eastAsia="en-GB"/>
        </w:rPr>
        <w:drawing>
          <wp:inline distT="0" distB="0" distL="0" distR="0" wp14:anchorId="1794DEB7" wp14:editId="55DADFF2">
            <wp:extent cx="3650732" cy="2724150"/>
            <wp:effectExtent l="0" t="0" r="6985" b="0"/>
            <wp:docPr id="3" name="Picture 3" descr="\\uniwa.uwa.edu.au\userhome\staff1\00095731\Desktop\Working Papers\Katharina DES\ROB T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wa.uwa.edu.au\userhome\staff1\00095731\Desktop\Working Papers\Katharina DES\ROB TO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9510" cy="2730700"/>
                    </a:xfrm>
                    <a:prstGeom prst="rect">
                      <a:avLst/>
                    </a:prstGeom>
                    <a:noFill/>
                    <a:ln>
                      <a:noFill/>
                    </a:ln>
                  </pic:spPr>
                </pic:pic>
              </a:graphicData>
            </a:graphic>
          </wp:inline>
        </w:drawing>
      </w:r>
    </w:p>
    <w:p w14:paraId="612B5760" w14:textId="08BF826A" w:rsidR="00B65EBC" w:rsidRPr="00641359" w:rsidRDefault="00A32478" w:rsidP="00641359">
      <w:pPr>
        <w:spacing w:after="120" w:line="360" w:lineRule="auto"/>
        <w:rPr>
          <w:rFonts w:ascii="Times New Roman" w:hAnsi="Times New Roman" w:cs="Times New Roman"/>
          <w:b/>
          <w:bCs/>
          <w:sz w:val="24"/>
          <w:szCs w:val="24"/>
        </w:rPr>
      </w:pPr>
      <w:r w:rsidRPr="00641359">
        <w:rPr>
          <w:rFonts w:ascii="Times New Roman" w:hAnsi="Times New Roman" w:cs="Times New Roman"/>
          <w:b/>
          <w:bCs/>
          <w:sz w:val="24"/>
          <w:szCs w:val="24"/>
        </w:rPr>
        <w:lastRenderedPageBreak/>
        <w:t>Atomic force microscopy and cyclic voltammetry are used to probe how ionic surfactant adsorbed layer structure affects redox processes at deep eutectic solvent (DES)/graphite interfaces. Unlike its behavior in water, sodium dodecyl sulfate (SDS) in DESs only adsorbs as a complete layer of hemicylindrical hemimicelles far above its critical micelle concentration (CMC). Near the CMC it forms a tail-to-tail monolayer at open-circuit potential (OCP) and positive potentials, and it desorbs at negative potentials. In contrast, cetyltrimethylammonium bromide (CTAB) adsorbs as hemimicelles at low concentrations and remains adsorbed at both positive and negative potentials. The SDS horizontal monolayer has little overall effect on redox processes at the graphite interface, but hemimicelles form an effective and stable barrier. The stronger solvophobic interactions between the C16 versus C12 alkyl chains in the DES allow CTAB to self-assemble into a robust coating at low concentrations and illustrate how the structure of the DES/electrode interface and electrochemical response can be engineered by controlling surfactant structure.</w:t>
      </w:r>
    </w:p>
    <w:p w14:paraId="25D57AD5" w14:textId="77777777" w:rsidR="00A32478" w:rsidRPr="00641359" w:rsidRDefault="00A32478" w:rsidP="00641359">
      <w:pPr>
        <w:spacing w:line="36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Deep eutectic solvents (DESs) are a promising new solvent class prepared by simply mixing an organic salt with a molecular hydrogen-bond donor (HBD). Properties comparable to ionic liquids (ILs) and large melting point depressions of the individual components are realized by exploiting strong H-bond interactions between the components in order to stabilize the liquid state, but with the advantage of utilizing a wide range of inexpensive, environmentally benign constituents. DESs are exemplified by a 1:2 </w:t>
      </w:r>
      <w:proofErr w:type="spellStart"/>
      <w:r w:rsidRPr="00641359">
        <w:rPr>
          <w:rFonts w:ascii="Times New Roman" w:hAnsi="Times New Roman" w:cs="Times New Roman"/>
          <w:sz w:val="24"/>
          <w:szCs w:val="24"/>
          <w:lang w:val="en-GB"/>
        </w:rPr>
        <w:t>mole:mole</w:t>
      </w:r>
      <w:proofErr w:type="spellEnd"/>
      <w:r w:rsidRPr="00641359">
        <w:rPr>
          <w:rFonts w:ascii="Times New Roman" w:hAnsi="Times New Roman" w:cs="Times New Roman"/>
          <w:sz w:val="24"/>
          <w:szCs w:val="24"/>
          <w:lang w:val="en-GB"/>
        </w:rPr>
        <w:t xml:space="preserve"> mixture of choline chloride (</w:t>
      </w:r>
      <w:proofErr w:type="spellStart"/>
      <w:r w:rsidRPr="00641359">
        <w:rPr>
          <w:rFonts w:ascii="Times New Roman" w:hAnsi="Times New Roman" w:cs="Times New Roman"/>
          <w:sz w:val="24"/>
          <w:szCs w:val="24"/>
          <w:lang w:val="en-GB"/>
        </w:rPr>
        <w:t>mp</w:t>
      </w:r>
      <w:proofErr w:type="spellEnd"/>
      <w:r w:rsidRPr="00641359">
        <w:rPr>
          <w:rFonts w:ascii="Times New Roman" w:hAnsi="Times New Roman" w:cs="Times New Roman"/>
          <w:sz w:val="24"/>
          <w:szCs w:val="24"/>
          <w:lang w:val="en-GB"/>
        </w:rPr>
        <w:t xml:space="preserve"> 302 °C) and urea (</w:t>
      </w:r>
      <w:proofErr w:type="spellStart"/>
      <w:r w:rsidRPr="00641359">
        <w:rPr>
          <w:rFonts w:ascii="Times New Roman" w:hAnsi="Times New Roman" w:cs="Times New Roman"/>
          <w:sz w:val="24"/>
          <w:szCs w:val="24"/>
          <w:lang w:val="en-GB"/>
        </w:rPr>
        <w:t>mp</w:t>
      </w:r>
      <w:proofErr w:type="spellEnd"/>
      <w:r w:rsidRPr="00641359">
        <w:rPr>
          <w:rFonts w:ascii="Times New Roman" w:hAnsi="Times New Roman" w:cs="Times New Roman"/>
          <w:sz w:val="24"/>
          <w:szCs w:val="24"/>
          <w:lang w:val="en-GB"/>
        </w:rPr>
        <w:t xml:space="preserve"> 132 °C), which has a melting point below 30 °C and even lower in the presence of small amounts of water.(1,2) Other widely examined DESs use glycerol or ethylene glycol as the HBD. The DES cation has low symmetry but, like the molecular component, the ability to form a range of hydrogen bonds. This wide variety of possible interactions between the liquid constituents produces a high entropy state and low melting points at the eutectic composition</w:t>
      </w:r>
      <w:proofErr w:type="gramStart"/>
      <w:r w:rsidRPr="00641359">
        <w:rPr>
          <w:rFonts w:ascii="Times New Roman" w:hAnsi="Times New Roman" w:cs="Times New Roman"/>
          <w:sz w:val="24"/>
          <w:szCs w:val="24"/>
          <w:lang w:val="en-GB"/>
        </w:rPr>
        <w:t>.(</w:t>
      </w:r>
      <w:proofErr w:type="gramEnd"/>
      <w:r w:rsidRPr="00641359">
        <w:rPr>
          <w:rFonts w:ascii="Times New Roman" w:hAnsi="Times New Roman" w:cs="Times New Roman"/>
          <w:sz w:val="24"/>
          <w:szCs w:val="24"/>
          <w:lang w:val="en-GB"/>
        </w:rPr>
        <w:t xml:space="preserve">3−6) </w:t>
      </w:r>
    </w:p>
    <w:p w14:paraId="1C7C942B" w14:textId="77777777" w:rsidR="00A32478" w:rsidRPr="00641359" w:rsidRDefault="00A32478" w:rsidP="00641359">
      <w:pPr>
        <w:spacing w:line="36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Like ILs, DESs have high ionic strength, low volatility, </w:t>
      </w:r>
      <w:proofErr w:type="spellStart"/>
      <w:r w:rsidRPr="00641359">
        <w:rPr>
          <w:rFonts w:ascii="Times New Roman" w:hAnsi="Times New Roman" w:cs="Times New Roman"/>
          <w:sz w:val="24"/>
          <w:szCs w:val="24"/>
          <w:lang w:val="en-GB"/>
        </w:rPr>
        <w:t>nonflammability</w:t>
      </w:r>
      <w:proofErr w:type="spellEnd"/>
      <w:r w:rsidRPr="00641359">
        <w:rPr>
          <w:rFonts w:ascii="Times New Roman" w:hAnsi="Times New Roman" w:cs="Times New Roman"/>
          <w:sz w:val="24"/>
          <w:szCs w:val="24"/>
          <w:lang w:val="en-GB"/>
        </w:rPr>
        <w:t xml:space="preserve">, and high thermal stability and can be viewed as designer solvents because of the wide range of potential ionic and HBD constituents. DES research is currently focused in six main areas: electrochemistry, material preparation, synthesis, catalysis, separations, and </w:t>
      </w:r>
      <w:proofErr w:type="spellStart"/>
      <w:r w:rsidRPr="00641359">
        <w:rPr>
          <w:rFonts w:ascii="Times New Roman" w:hAnsi="Times New Roman" w:cs="Times New Roman"/>
          <w:sz w:val="24"/>
          <w:szCs w:val="24"/>
          <w:lang w:val="en-GB"/>
        </w:rPr>
        <w:t>bioapplications</w:t>
      </w:r>
      <w:proofErr w:type="spellEnd"/>
      <w:r w:rsidRPr="00641359">
        <w:rPr>
          <w:rFonts w:ascii="Times New Roman" w:hAnsi="Times New Roman" w:cs="Times New Roman"/>
          <w:sz w:val="24"/>
          <w:szCs w:val="24"/>
          <w:lang w:val="en-GB"/>
        </w:rPr>
        <w:t xml:space="preserve">. DESs have been used for electrodeposition, </w:t>
      </w:r>
      <w:proofErr w:type="spellStart"/>
      <w:r w:rsidRPr="00641359">
        <w:rPr>
          <w:rFonts w:ascii="Times New Roman" w:hAnsi="Times New Roman" w:cs="Times New Roman"/>
          <w:sz w:val="24"/>
          <w:szCs w:val="24"/>
          <w:lang w:val="en-GB"/>
        </w:rPr>
        <w:t>electropolishing</w:t>
      </w:r>
      <w:proofErr w:type="spellEnd"/>
      <w:r w:rsidRPr="00641359">
        <w:rPr>
          <w:rFonts w:ascii="Times New Roman" w:hAnsi="Times New Roman" w:cs="Times New Roman"/>
          <w:sz w:val="24"/>
          <w:szCs w:val="24"/>
          <w:lang w:val="en-GB"/>
        </w:rPr>
        <w:t xml:space="preserve">, and electrolyte </w:t>
      </w:r>
      <w:proofErr w:type="gramStart"/>
      <w:r w:rsidRPr="00641359">
        <w:rPr>
          <w:rFonts w:ascii="Times New Roman" w:hAnsi="Times New Roman" w:cs="Times New Roman"/>
          <w:sz w:val="24"/>
          <w:szCs w:val="24"/>
          <w:lang w:val="en-GB"/>
        </w:rPr>
        <w:t>preparation(</w:t>
      </w:r>
      <w:proofErr w:type="gramEnd"/>
      <w:r w:rsidRPr="00641359">
        <w:rPr>
          <w:rFonts w:ascii="Times New Roman" w:hAnsi="Times New Roman" w:cs="Times New Roman"/>
          <w:sz w:val="24"/>
          <w:szCs w:val="24"/>
          <w:lang w:val="en-GB"/>
        </w:rPr>
        <w:t xml:space="preserve">7−15) and to produce well-defined nanoparticles,(16,17) metal–organic frameworks,(18,19) porous </w:t>
      </w:r>
      <w:proofErr w:type="spellStart"/>
      <w:r w:rsidRPr="00641359">
        <w:rPr>
          <w:rFonts w:ascii="Times New Roman" w:hAnsi="Times New Roman" w:cs="Times New Roman"/>
          <w:sz w:val="24"/>
          <w:szCs w:val="24"/>
          <w:lang w:val="en-GB"/>
        </w:rPr>
        <w:t>nanocarbons</w:t>
      </w:r>
      <w:proofErr w:type="spellEnd"/>
      <w:r w:rsidRPr="00641359">
        <w:rPr>
          <w:rFonts w:ascii="Times New Roman" w:hAnsi="Times New Roman" w:cs="Times New Roman"/>
          <w:sz w:val="24"/>
          <w:szCs w:val="24"/>
          <w:lang w:val="en-GB"/>
        </w:rPr>
        <w:t xml:space="preserve">,(20,21) and colloidal materials.(22) The extensive exploration of the use of DESs </w:t>
      </w:r>
      <w:r w:rsidRPr="00641359">
        <w:rPr>
          <w:rFonts w:ascii="Times New Roman" w:hAnsi="Times New Roman" w:cs="Times New Roman"/>
          <w:sz w:val="24"/>
          <w:szCs w:val="24"/>
          <w:lang w:val="en-GB"/>
        </w:rPr>
        <w:lastRenderedPageBreak/>
        <w:t>in electrochemical applications is a consequence of many having a wide electrochemical window. In this context, a deep understanding of the DES liquid nanostructure at electrode interfaces is critical for optimizing electrochemical processes. While the liquid nanostructure of ILs at solid interfaces has attracted much research interest</w:t>
      </w:r>
      <w:proofErr w:type="gramStart"/>
      <w:r w:rsidRPr="00641359">
        <w:rPr>
          <w:rFonts w:ascii="Times New Roman" w:hAnsi="Times New Roman" w:cs="Times New Roman"/>
          <w:sz w:val="24"/>
          <w:szCs w:val="24"/>
          <w:lang w:val="en-GB"/>
        </w:rPr>
        <w:t>,(</w:t>
      </w:r>
      <w:proofErr w:type="gramEnd"/>
      <w:r w:rsidRPr="00641359">
        <w:rPr>
          <w:rFonts w:ascii="Times New Roman" w:hAnsi="Times New Roman" w:cs="Times New Roman"/>
          <w:sz w:val="24"/>
          <w:szCs w:val="24"/>
          <w:lang w:val="en-GB"/>
        </w:rPr>
        <w:t xml:space="preserve">23−32) to date only a few studies of the double-layer structure of DESs have been reported. Our group has used atomic force microscopy (AFM) force–distance curves to probe the structure of DESs at solid and electrode interfaces. Hammond et al. and Chen et al. examined the formation of layered, molecularly segregated DES nanostructures at platinum and graphite interfaces as a function of surface potential.(33−35) At both interfaces a </w:t>
      </w:r>
      <w:proofErr w:type="spellStart"/>
      <w:r w:rsidRPr="00641359">
        <w:rPr>
          <w:rFonts w:ascii="Times New Roman" w:hAnsi="Times New Roman" w:cs="Times New Roman"/>
          <w:sz w:val="24"/>
          <w:szCs w:val="24"/>
          <w:lang w:val="en-GB"/>
        </w:rPr>
        <w:t>counterion</w:t>
      </w:r>
      <w:proofErr w:type="spellEnd"/>
      <w:r w:rsidRPr="00641359">
        <w:rPr>
          <w:rFonts w:ascii="Times New Roman" w:hAnsi="Times New Roman" w:cs="Times New Roman"/>
          <w:sz w:val="24"/>
          <w:szCs w:val="24"/>
          <w:lang w:val="en-GB"/>
        </w:rPr>
        <w:t xml:space="preserve">-rich Stern layer was found in contact with the electrode, followed by a second layer rich in molecular HBD component. For Pt electrodes, the interfacial nanostructure extended further into the bulk DES upon water addition up to </w:t>
      </w:r>
      <w:r w:rsidRPr="00641359">
        <w:rPr>
          <w:rFonts w:ascii="Cambria Math" w:hAnsi="Cambria Math" w:cs="Cambria Math"/>
          <w:sz w:val="24"/>
          <w:szCs w:val="24"/>
          <w:lang w:val="en-GB"/>
        </w:rPr>
        <w:t>∼</w:t>
      </w:r>
      <w:r w:rsidRPr="00641359">
        <w:rPr>
          <w:rFonts w:ascii="Times New Roman" w:hAnsi="Times New Roman" w:cs="Times New Roman"/>
          <w:sz w:val="24"/>
          <w:szCs w:val="24"/>
          <w:lang w:val="en-GB"/>
        </w:rPr>
        <w:t xml:space="preserve">40 </w:t>
      </w:r>
      <w:proofErr w:type="spellStart"/>
      <w:r w:rsidRPr="00641359">
        <w:rPr>
          <w:rFonts w:ascii="Times New Roman" w:hAnsi="Times New Roman" w:cs="Times New Roman"/>
          <w:sz w:val="24"/>
          <w:szCs w:val="24"/>
          <w:lang w:val="en-GB"/>
        </w:rPr>
        <w:t>wt</w:t>
      </w:r>
      <w:proofErr w:type="spellEnd"/>
      <w:r w:rsidRPr="00641359">
        <w:rPr>
          <w:rFonts w:ascii="Times New Roman" w:hAnsi="Times New Roman" w:cs="Times New Roman"/>
          <w:sz w:val="24"/>
          <w:szCs w:val="24"/>
          <w:lang w:val="en-GB"/>
        </w:rPr>
        <w:t xml:space="preserve"> %. This is surprising, as generally addition of even small amounts of water diminishes liquid nanostructure at IL interfaces</w:t>
      </w:r>
      <w:proofErr w:type="gramStart"/>
      <w:r w:rsidRPr="00641359">
        <w:rPr>
          <w:rFonts w:ascii="Times New Roman" w:hAnsi="Times New Roman" w:cs="Times New Roman"/>
          <w:sz w:val="24"/>
          <w:szCs w:val="24"/>
          <w:lang w:val="en-GB"/>
        </w:rPr>
        <w:t>.(</w:t>
      </w:r>
      <w:proofErr w:type="gramEnd"/>
      <w:r w:rsidRPr="00641359">
        <w:rPr>
          <w:rFonts w:ascii="Times New Roman" w:hAnsi="Times New Roman" w:cs="Times New Roman"/>
          <w:sz w:val="24"/>
          <w:szCs w:val="24"/>
          <w:lang w:val="en-GB"/>
        </w:rPr>
        <w:t>36−38)</w:t>
      </w:r>
    </w:p>
    <w:p w14:paraId="5841484B" w14:textId="77777777" w:rsidR="00A32478" w:rsidRPr="00641359" w:rsidRDefault="00A32478" w:rsidP="00641359">
      <w:pPr>
        <w:spacing w:line="36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Recent studies have investigated methods of controlling the morphology of electrodeposited films by optimizing conditions and adding brighteners and levellers.(39−43) Surfactants are commonly employed in conventional electrochemical systems to widen electrochemical windows, control the crystal size of deposited metals, and reduce the surface tension of electroplating solutions to facilitate bubble detachment and prevent pitting.(44) Two studies investigating the use of anionic and cationic surfactants for the electrodeposition of Zn and Ag in DESs found that surfactants had negligible effect on deposition rates and only minor changes in morphology.(45,46) Conversely, compounds known to specifically interact with the surface had a more marked effect on deposit morphology.(47) Surfactant adsorption at solid/liquid interfaces depends on the relative magnitude of solvent–surface, solvent–surfactant, surface–surfactant, and surfactant–surfactant interactions. In aqueous systems, oppositely charged surfactants adsorb and form </w:t>
      </w:r>
      <w:proofErr w:type="spellStart"/>
      <w:r w:rsidRPr="00641359">
        <w:rPr>
          <w:rFonts w:ascii="Times New Roman" w:hAnsi="Times New Roman" w:cs="Times New Roman"/>
          <w:sz w:val="24"/>
          <w:szCs w:val="24"/>
          <w:lang w:val="en-GB"/>
        </w:rPr>
        <w:t>admicelles</w:t>
      </w:r>
      <w:proofErr w:type="spellEnd"/>
      <w:r w:rsidRPr="00641359">
        <w:rPr>
          <w:rFonts w:ascii="Times New Roman" w:hAnsi="Times New Roman" w:cs="Times New Roman"/>
          <w:sz w:val="24"/>
          <w:szCs w:val="24"/>
          <w:lang w:val="en-GB"/>
        </w:rPr>
        <w:t xml:space="preserve"> or bilayers on hydrophilic surfaces, but on hydrophobic surfaces like graphite, surfactant alkyl chain–surface interactions dominate, and </w:t>
      </w:r>
      <w:proofErr w:type="spellStart"/>
      <w:r w:rsidRPr="00641359">
        <w:rPr>
          <w:rFonts w:ascii="Times New Roman" w:hAnsi="Times New Roman" w:cs="Times New Roman"/>
          <w:sz w:val="24"/>
          <w:szCs w:val="24"/>
          <w:lang w:val="en-GB"/>
        </w:rPr>
        <w:t>hemimicelles</w:t>
      </w:r>
      <w:proofErr w:type="spellEnd"/>
      <w:r w:rsidRPr="00641359">
        <w:rPr>
          <w:rFonts w:ascii="Times New Roman" w:hAnsi="Times New Roman" w:cs="Times New Roman"/>
          <w:sz w:val="24"/>
          <w:szCs w:val="24"/>
          <w:lang w:val="en-GB"/>
        </w:rPr>
        <w:t xml:space="preserve"> form.(48) In both cases, the resulting interfacial aggregates can be imaged in situ using AFM.(49−55) Similar </w:t>
      </w:r>
      <w:proofErr w:type="spellStart"/>
      <w:r w:rsidRPr="00641359">
        <w:rPr>
          <w:rFonts w:ascii="Times New Roman" w:hAnsi="Times New Roman" w:cs="Times New Roman"/>
          <w:sz w:val="24"/>
          <w:szCs w:val="24"/>
          <w:lang w:val="en-GB"/>
        </w:rPr>
        <w:t>hemimicellar</w:t>
      </w:r>
      <w:proofErr w:type="spellEnd"/>
      <w:r w:rsidRPr="00641359">
        <w:rPr>
          <w:rFonts w:ascii="Times New Roman" w:hAnsi="Times New Roman" w:cs="Times New Roman"/>
          <w:sz w:val="24"/>
          <w:szCs w:val="24"/>
          <w:lang w:val="en-GB"/>
        </w:rPr>
        <w:t xml:space="preserve"> structures have been reported in </w:t>
      </w:r>
      <w:proofErr w:type="spellStart"/>
      <w:r w:rsidRPr="00641359">
        <w:rPr>
          <w:rFonts w:ascii="Times New Roman" w:hAnsi="Times New Roman" w:cs="Times New Roman"/>
          <w:sz w:val="24"/>
          <w:szCs w:val="24"/>
          <w:lang w:val="en-GB"/>
        </w:rPr>
        <w:t>nonaqueous</w:t>
      </w:r>
      <w:proofErr w:type="spellEnd"/>
      <w:r w:rsidRPr="00641359">
        <w:rPr>
          <w:rFonts w:ascii="Times New Roman" w:hAnsi="Times New Roman" w:cs="Times New Roman"/>
          <w:sz w:val="24"/>
          <w:szCs w:val="24"/>
          <w:lang w:val="en-GB"/>
        </w:rPr>
        <w:t xml:space="preserve"> solvents, including </w:t>
      </w:r>
      <w:proofErr w:type="spellStart"/>
      <w:r w:rsidRPr="00641359">
        <w:rPr>
          <w:rFonts w:ascii="Times New Roman" w:hAnsi="Times New Roman" w:cs="Times New Roman"/>
          <w:sz w:val="24"/>
          <w:szCs w:val="24"/>
          <w:lang w:val="en-GB"/>
        </w:rPr>
        <w:t>formamide</w:t>
      </w:r>
      <w:proofErr w:type="spellEnd"/>
      <w:r w:rsidRPr="00641359">
        <w:rPr>
          <w:rFonts w:ascii="Times New Roman" w:hAnsi="Times New Roman" w:cs="Times New Roman"/>
          <w:sz w:val="24"/>
          <w:szCs w:val="24"/>
          <w:lang w:val="en-GB"/>
        </w:rPr>
        <w:t xml:space="preserve">(56) and the </w:t>
      </w:r>
      <w:proofErr w:type="spellStart"/>
      <w:r w:rsidRPr="00641359">
        <w:rPr>
          <w:rFonts w:ascii="Times New Roman" w:hAnsi="Times New Roman" w:cs="Times New Roman"/>
          <w:sz w:val="24"/>
          <w:szCs w:val="24"/>
          <w:lang w:val="en-GB"/>
        </w:rPr>
        <w:t>protic</w:t>
      </w:r>
      <w:proofErr w:type="spellEnd"/>
      <w:r w:rsidRPr="00641359">
        <w:rPr>
          <w:rFonts w:ascii="Times New Roman" w:hAnsi="Times New Roman" w:cs="Times New Roman"/>
          <w:sz w:val="24"/>
          <w:szCs w:val="24"/>
          <w:lang w:val="en-GB"/>
        </w:rPr>
        <w:t xml:space="preserve"> ionic liquid </w:t>
      </w:r>
      <w:proofErr w:type="spellStart"/>
      <w:r w:rsidRPr="00641359">
        <w:rPr>
          <w:rFonts w:ascii="Times New Roman" w:hAnsi="Times New Roman" w:cs="Times New Roman"/>
          <w:sz w:val="24"/>
          <w:szCs w:val="24"/>
          <w:lang w:val="en-GB"/>
        </w:rPr>
        <w:t>ethylammonium</w:t>
      </w:r>
      <w:proofErr w:type="spellEnd"/>
      <w:r w:rsidRPr="00641359">
        <w:rPr>
          <w:rFonts w:ascii="Times New Roman" w:hAnsi="Times New Roman" w:cs="Times New Roman"/>
          <w:sz w:val="24"/>
          <w:szCs w:val="24"/>
          <w:lang w:val="en-GB"/>
        </w:rPr>
        <w:t xml:space="preserve"> nitrate.(54) To date, surfactant adsorption at DES/solid interfaces has not been studied.</w:t>
      </w:r>
    </w:p>
    <w:p w14:paraId="6BFE01A0" w14:textId="77777777" w:rsidR="00A32478" w:rsidRPr="00641359" w:rsidRDefault="00A32478" w:rsidP="00641359">
      <w:pPr>
        <w:spacing w:line="36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Here we investigate the adsorbed layer structure of sodium dodecyl </w:t>
      </w:r>
      <w:proofErr w:type="spellStart"/>
      <w:r w:rsidRPr="00641359">
        <w:rPr>
          <w:rFonts w:ascii="Times New Roman" w:hAnsi="Times New Roman" w:cs="Times New Roman"/>
          <w:sz w:val="24"/>
          <w:szCs w:val="24"/>
          <w:lang w:val="en-GB"/>
        </w:rPr>
        <w:t>sulfate</w:t>
      </w:r>
      <w:proofErr w:type="spellEnd"/>
      <w:r w:rsidRPr="00641359">
        <w:rPr>
          <w:rFonts w:ascii="Times New Roman" w:hAnsi="Times New Roman" w:cs="Times New Roman"/>
          <w:sz w:val="24"/>
          <w:szCs w:val="24"/>
          <w:lang w:val="en-GB"/>
        </w:rPr>
        <w:t xml:space="preserve"> (SDS) and </w:t>
      </w:r>
      <w:proofErr w:type="spellStart"/>
      <w:r w:rsidRPr="00641359">
        <w:rPr>
          <w:rFonts w:ascii="Times New Roman" w:hAnsi="Times New Roman" w:cs="Times New Roman"/>
          <w:sz w:val="24"/>
          <w:szCs w:val="24"/>
          <w:lang w:val="en-GB"/>
        </w:rPr>
        <w:t>cetyltrimethylammonium</w:t>
      </w:r>
      <w:proofErr w:type="spellEnd"/>
      <w:r w:rsidRPr="00641359">
        <w:rPr>
          <w:rFonts w:ascii="Times New Roman" w:hAnsi="Times New Roman" w:cs="Times New Roman"/>
          <w:sz w:val="24"/>
          <w:szCs w:val="24"/>
          <w:lang w:val="en-GB"/>
        </w:rPr>
        <w:t xml:space="preserve"> bromide (CTAB) at DES–graphite electrode interfaces using AFM soft-contact imaging and cyclic voltammetry (CV). The effect of the DES type, surfactant </w:t>
      </w:r>
      <w:r w:rsidRPr="00641359">
        <w:rPr>
          <w:rFonts w:ascii="Times New Roman" w:hAnsi="Times New Roman" w:cs="Times New Roman"/>
          <w:sz w:val="24"/>
          <w:szCs w:val="24"/>
          <w:lang w:val="en-GB"/>
        </w:rPr>
        <w:lastRenderedPageBreak/>
        <w:t>concentration, and surface potential is probed. Details of the DES preparation and the AFM and CV experiments, are provided in the Supporting Information.</w:t>
      </w:r>
    </w:p>
    <w:p w14:paraId="3C08C613" w14:textId="77777777" w:rsidR="00E15D24" w:rsidRPr="00641359" w:rsidRDefault="00A32478" w:rsidP="00641359">
      <w:pPr>
        <w:spacing w:line="360" w:lineRule="auto"/>
        <w:jc w:val="center"/>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Previously reported CMCs for CTAB in 1:2 choline </w:t>
      </w:r>
      <w:proofErr w:type="spellStart"/>
      <w:r w:rsidRPr="00641359">
        <w:rPr>
          <w:rFonts w:ascii="Times New Roman" w:hAnsi="Times New Roman" w:cs="Times New Roman"/>
          <w:sz w:val="24"/>
          <w:szCs w:val="24"/>
          <w:lang w:val="en-GB"/>
        </w:rPr>
        <w:t>chloride:ethylene</w:t>
      </w:r>
      <w:proofErr w:type="spellEnd"/>
      <w:r w:rsidRPr="00641359">
        <w:rPr>
          <w:rFonts w:ascii="Times New Roman" w:hAnsi="Times New Roman" w:cs="Times New Roman"/>
          <w:sz w:val="24"/>
          <w:szCs w:val="24"/>
          <w:lang w:val="en-GB"/>
        </w:rPr>
        <w:t xml:space="preserve"> glycol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and SDS in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and 1:2 choline </w:t>
      </w:r>
      <w:proofErr w:type="spellStart"/>
      <w:r w:rsidRPr="00641359">
        <w:rPr>
          <w:rFonts w:ascii="Times New Roman" w:hAnsi="Times New Roman" w:cs="Times New Roman"/>
          <w:sz w:val="24"/>
          <w:szCs w:val="24"/>
          <w:lang w:val="en-GB"/>
        </w:rPr>
        <w:t>chloride:glycerol</w:t>
      </w:r>
      <w:proofErr w:type="spellEnd"/>
      <w:r w:rsidRPr="00641359">
        <w:rPr>
          <w:rFonts w:ascii="Times New Roman" w:hAnsi="Times New Roman" w:cs="Times New Roman"/>
          <w:sz w:val="24"/>
          <w:szCs w:val="24"/>
          <w:lang w:val="en-GB"/>
        </w:rPr>
        <w:t xml:space="preserve">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are presented in Table 1, alongside their values in water.(48) The CMC of SDS in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is 9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almost the same as in water, but the CMC for SDS in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is much reduced to 3.8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(57) The CTAB CMC in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is 1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,(58) essentially the same as its aqueous value of 0.9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(59) In water, surfactant aggregation on surfaces usually begins at concentrations from 0.5–0.8 × CMC. In order to provide the best chance of detecting aggregates adsorbed at the DES/graphite interface, we investigated a variety of concentrations greater than the CMC.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22"/>
        <w:gridCol w:w="2639"/>
        <w:gridCol w:w="2670"/>
        <w:gridCol w:w="2195"/>
      </w:tblGrid>
      <w:tr w:rsidR="00E15D24" w:rsidRPr="00E15D24" w14:paraId="6656214D" w14:textId="77777777" w:rsidTr="00E15D24">
        <w:trPr>
          <w:tblHeader/>
          <w:tblCellSpacing w:w="15" w:type="dxa"/>
        </w:trPr>
        <w:tc>
          <w:tcPr>
            <w:tcW w:w="0" w:type="auto"/>
            <w:tcMar>
              <w:top w:w="240" w:type="dxa"/>
              <w:left w:w="240" w:type="dxa"/>
              <w:bottom w:w="240" w:type="dxa"/>
              <w:right w:w="240" w:type="dxa"/>
            </w:tcMar>
            <w:hideMark/>
          </w:tcPr>
          <w:p w14:paraId="1D11154D" w14:textId="7777777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 </w:t>
            </w:r>
          </w:p>
        </w:tc>
        <w:tc>
          <w:tcPr>
            <w:tcW w:w="0" w:type="auto"/>
            <w:tcMar>
              <w:top w:w="240" w:type="dxa"/>
              <w:left w:w="240" w:type="dxa"/>
              <w:bottom w:w="240" w:type="dxa"/>
              <w:right w:w="240" w:type="dxa"/>
            </w:tcMar>
            <w:hideMark/>
          </w:tcPr>
          <w:p w14:paraId="336ADA8E" w14:textId="77777777" w:rsidR="00E15D24" w:rsidRPr="00E15D24" w:rsidRDefault="00E15D24" w:rsidP="00E15D24">
            <w:pPr>
              <w:spacing w:line="240" w:lineRule="auto"/>
              <w:rPr>
                <w:rFonts w:ascii="Times New Roman" w:hAnsi="Times New Roman" w:cs="Times New Roman"/>
                <w:b/>
                <w:bCs/>
                <w:sz w:val="20"/>
                <w:szCs w:val="20"/>
                <w:lang w:val="en-GB"/>
              </w:rPr>
            </w:pPr>
            <w:proofErr w:type="spellStart"/>
            <w:r w:rsidRPr="00E15D24">
              <w:rPr>
                <w:rFonts w:ascii="Times New Roman" w:hAnsi="Times New Roman" w:cs="Times New Roman"/>
                <w:b/>
                <w:bCs/>
                <w:sz w:val="20"/>
                <w:szCs w:val="20"/>
                <w:lang w:val="en-GB"/>
              </w:rPr>
              <w:t>ChCl</w:t>
            </w:r>
            <w:proofErr w:type="spellEnd"/>
            <w:r w:rsidRPr="00E15D24">
              <w:rPr>
                <w:rFonts w:ascii="Times New Roman" w:hAnsi="Times New Roman" w:cs="Times New Roman"/>
                <w:b/>
                <w:bCs/>
                <w:sz w:val="20"/>
                <w:szCs w:val="20"/>
                <w:lang w:val="en-GB"/>
              </w:rPr>
              <w:t>-EG (</w:t>
            </w:r>
            <w:proofErr w:type="spellStart"/>
            <w:r w:rsidRPr="00E15D24">
              <w:rPr>
                <w:rFonts w:ascii="Times New Roman" w:hAnsi="Times New Roman" w:cs="Times New Roman"/>
                <w:b/>
                <w:bCs/>
                <w:sz w:val="20"/>
                <w:szCs w:val="20"/>
                <w:lang w:val="en-GB"/>
              </w:rPr>
              <w:t>mM</w:t>
            </w:r>
            <w:proofErr w:type="spellEnd"/>
            <w:r w:rsidRPr="00E15D24">
              <w:rPr>
                <w:rFonts w:ascii="Times New Roman" w:hAnsi="Times New Roman" w:cs="Times New Roman"/>
                <w:b/>
                <w:bCs/>
                <w:sz w:val="20"/>
                <w:szCs w:val="20"/>
                <w:lang w:val="en-GB"/>
              </w:rPr>
              <w:t>)</w:t>
            </w:r>
          </w:p>
        </w:tc>
        <w:tc>
          <w:tcPr>
            <w:tcW w:w="0" w:type="auto"/>
            <w:tcMar>
              <w:top w:w="240" w:type="dxa"/>
              <w:left w:w="240" w:type="dxa"/>
              <w:bottom w:w="240" w:type="dxa"/>
              <w:right w:w="240" w:type="dxa"/>
            </w:tcMar>
            <w:hideMark/>
          </w:tcPr>
          <w:p w14:paraId="254F3A2D" w14:textId="77777777" w:rsidR="00E15D24" w:rsidRPr="00E15D24" w:rsidRDefault="00E15D24" w:rsidP="00E15D24">
            <w:pPr>
              <w:spacing w:line="240" w:lineRule="auto"/>
              <w:rPr>
                <w:rFonts w:ascii="Times New Roman" w:hAnsi="Times New Roman" w:cs="Times New Roman"/>
                <w:b/>
                <w:bCs/>
                <w:sz w:val="20"/>
                <w:szCs w:val="20"/>
                <w:lang w:val="en-GB"/>
              </w:rPr>
            </w:pPr>
            <w:proofErr w:type="spellStart"/>
            <w:r w:rsidRPr="00E15D24">
              <w:rPr>
                <w:rFonts w:ascii="Times New Roman" w:hAnsi="Times New Roman" w:cs="Times New Roman"/>
                <w:b/>
                <w:bCs/>
                <w:sz w:val="20"/>
                <w:szCs w:val="20"/>
                <w:lang w:val="en-GB"/>
              </w:rPr>
              <w:t>ChCl-Gly</w:t>
            </w:r>
            <w:proofErr w:type="spellEnd"/>
            <w:r w:rsidRPr="00E15D24">
              <w:rPr>
                <w:rFonts w:ascii="Times New Roman" w:hAnsi="Times New Roman" w:cs="Times New Roman"/>
                <w:b/>
                <w:bCs/>
                <w:sz w:val="20"/>
                <w:szCs w:val="20"/>
                <w:lang w:val="en-GB"/>
              </w:rPr>
              <w:t xml:space="preserve"> (</w:t>
            </w:r>
            <w:proofErr w:type="spellStart"/>
            <w:r w:rsidRPr="00E15D24">
              <w:rPr>
                <w:rFonts w:ascii="Times New Roman" w:hAnsi="Times New Roman" w:cs="Times New Roman"/>
                <w:b/>
                <w:bCs/>
                <w:sz w:val="20"/>
                <w:szCs w:val="20"/>
                <w:lang w:val="en-GB"/>
              </w:rPr>
              <w:t>mM</w:t>
            </w:r>
            <w:proofErr w:type="spellEnd"/>
            <w:r w:rsidRPr="00E15D24">
              <w:rPr>
                <w:rFonts w:ascii="Times New Roman" w:hAnsi="Times New Roman" w:cs="Times New Roman"/>
                <w:b/>
                <w:bCs/>
                <w:sz w:val="20"/>
                <w:szCs w:val="20"/>
                <w:lang w:val="en-GB"/>
              </w:rPr>
              <w:t>)</w:t>
            </w:r>
          </w:p>
        </w:tc>
        <w:tc>
          <w:tcPr>
            <w:tcW w:w="0" w:type="auto"/>
            <w:tcMar>
              <w:top w:w="240" w:type="dxa"/>
              <w:left w:w="240" w:type="dxa"/>
              <w:bottom w:w="240" w:type="dxa"/>
              <w:right w:w="240" w:type="dxa"/>
            </w:tcMar>
            <w:hideMark/>
          </w:tcPr>
          <w:p w14:paraId="6B7799DA" w14:textId="7777777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water (</w:t>
            </w:r>
            <w:proofErr w:type="spellStart"/>
            <w:r w:rsidRPr="00E15D24">
              <w:rPr>
                <w:rFonts w:ascii="Times New Roman" w:hAnsi="Times New Roman" w:cs="Times New Roman"/>
                <w:b/>
                <w:bCs/>
                <w:sz w:val="20"/>
                <w:szCs w:val="20"/>
                <w:lang w:val="en-GB"/>
              </w:rPr>
              <w:t>mM</w:t>
            </w:r>
            <w:proofErr w:type="spellEnd"/>
            <w:r w:rsidRPr="00E15D24">
              <w:rPr>
                <w:rFonts w:ascii="Times New Roman" w:hAnsi="Times New Roman" w:cs="Times New Roman"/>
                <w:b/>
                <w:bCs/>
                <w:sz w:val="20"/>
                <w:szCs w:val="20"/>
                <w:lang w:val="en-GB"/>
              </w:rPr>
              <w:t>)</w:t>
            </w:r>
          </w:p>
        </w:tc>
      </w:tr>
      <w:tr w:rsidR="00E15D24" w:rsidRPr="00E15D24" w14:paraId="400E0543" w14:textId="77777777" w:rsidTr="00E15D24">
        <w:trPr>
          <w:tblCellSpacing w:w="15" w:type="dxa"/>
        </w:trPr>
        <w:tc>
          <w:tcPr>
            <w:tcW w:w="0" w:type="auto"/>
            <w:tcMar>
              <w:top w:w="240" w:type="dxa"/>
              <w:left w:w="240" w:type="dxa"/>
              <w:bottom w:w="240" w:type="dxa"/>
              <w:right w:w="240" w:type="dxa"/>
            </w:tcMar>
            <w:hideMark/>
          </w:tcPr>
          <w:p w14:paraId="11487066" w14:textId="7777777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SDS</w:t>
            </w:r>
          </w:p>
        </w:tc>
        <w:tc>
          <w:tcPr>
            <w:tcW w:w="0" w:type="auto"/>
            <w:tcMar>
              <w:top w:w="240" w:type="dxa"/>
              <w:left w:w="240" w:type="dxa"/>
              <w:bottom w:w="240" w:type="dxa"/>
              <w:right w:w="240" w:type="dxa"/>
            </w:tcMar>
            <w:hideMark/>
          </w:tcPr>
          <w:p w14:paraId="230CC256" w14:textId="21FD6360"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9.0(57)</w:t>
            </w:r>
          </w:p>
        </w:tc>
        <w:tc>
          <w:tcPr>
            <w:tcW w:w="0" w:type="auto"/>
            <w:tcMar>
              <w:top w:w="240" w:type="dxa"/>
              <w:left w:w="240" w:type="dxa"/>
              <w:bottom w:w="240" w:type="dxa"/>
              <w:right w:w="240" w:type="dxa"/>
            </w:tcMar>
            <w:hideMark/>
          </w:tcPr>
          <w:p w14:paraId="3B882972" w14:textId="1D832AB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3.8(57)</w:t>
            </w:r>
          </w:p>
        </w:tc>
        <w:tc>
          <w:tcPr>
            <w:tcW w:w="0" w:type="auto"/>
            <w:tcMar>
              <w:top w:w="240" w:type="dxa"/>
              <w:left w:w="240" w:type="dxa"/>
              <w:bottom w:w="240" w:type="dxa"/>
              <w:right w:w="240" w:type="dxa"/>
            </w:tcMar>
            <w:hideMark/>
          </w:tcPr>
          <w:p w14:paraId="71AAC9D6" w14:textId="48DABD75"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8.2(60)</w:t>
            </w:r>
          </w:p>
        </w:tc>
      </w:tr>
      <w:tr w:rsidR="00E15D24" w:rsidRPr="00E15D24" w14:paraId="32A4E846" w14:textId="77777777" w:rsidTr="00E15D24">
        <w:trPr>
          <w:tblCellSpacing w:w="15" w:type="dxa"/>
        </w:trPr>
        <w:tc>
          <w:tcPr>
            <w:tcW w:w="0" w:type="auto"/>
            <w:tcMar>
              <w:top w:w="240" w:type="dxa"/>
              <w:left w:w="240" w:type="dxa"/>
              <w:bottom w:w="240" w:type="dxa"/>
              <w:right w:w="240" w:type="dxa"/>
            </w:tcMar>
            <w:hideMark/>
          </w:tcPr>
          <w:p w14:paraId="74ECB22E" w14:textId="7777777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CTAB</w:t>
            </w:r>
          </w:p>
        </w:tc>
        <w:tc>
          <w:tcPr>
            <w:tcW w:w="0" w:type="auto"/>
            <w:tcMar>
              <w:top w:w="240" w:type="dxa"/>
              <w:left w:w="240" w:type="dxa"/>
              <w:bottom w:w="240" w:type="dxa"/>
              <w:right w:w="240" w:type="dxa"/>
            </w:tcMar>
            <w:hideMark/>
          </w:tcPr>
          <w:p w14:paraId="377C7C8F" w14:textId="7777777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insoluble</w:t>
            </w:r>
          </w:p>
        </w:tc>
        <w:tc>
          <w:tcPr>
            <w:tcW w:w="0" w:type="auto"/>
            <w:tcMar>
              <w:top w:w="240" w:type="dxa"/>
              <w:left w:w="240" w:type="dxa"/>
              <w:bottom w:w="240" w:type="dxa"/>
              <w:right w:w="240" w:type="dxa"/>
            </w:tcMar>
            <w:hideMark/>
          </w:tcPr>
          <w:p w14:paraId="3DC33884" w14:textId="328FE497"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&lt;1(58)</w:t>
            </w:r>
            <w:r w:rsidRPr="00E15D24">
              <w:rPr>
                <w:rFonts w:ascii="Times New Roman" w:hAnsi="Times New Roman" w:cs="Times New Roman"/>
                <w:b/>
                <w:bCs/>
                <w:sz w:val="20"/>
                <w:szCs w:val="20"/>
                <w:vertAlign w:val="superscript"/>
                <w:lang w:val="en-GB"/>
              </w:rPr>
              <w:t>,</w:t>
            </w:r>
            <w:r w:rsidRPr="00E15D24">
              <w:rPr>
                <w:rFonts w:ascii="Times New Roman" w:hAnsi="Times New Roman" w:cs="Times New Roman"/>
                <w:b/>
                <w:bCs/>
                <w:sz w:val="20"/>
                <w:szCs w:val="20"/>
                <w:lang w:val="en-GB"/>
              </w:rPr>
              <w:t>a</w:t>
            </w:r>
          </w:p>
        </w:tc>
        <w:tc>
          <w:tcPr>
            <w:tcW w:w="0" w:type="auto"/>
            <w:tcMar>
              <w:top w:w="240" w:type="dxa"/>
              <w:left w:w="240" w:type="dxa"/>
              <w:bottom w:w="240" w:type="dxa"/>
              <w:right w:w="240" w:type="dxa"/>
            </w:tcMar>
            <w:hideMark/>
          </w:tcPr>
          <w:p w14:paraId="055BED22" w14:textId="20A9D8BA" w:rsidR="00E15D24" w:rsidRPr="00E15D24" w:rsidRDefault="00E15D24" w:rsidP="00E15D24">
            <w:pPr>
              <w:spacing w:line="240" w:lineRule="auto"/>
              <w:rPr>
                <w:rFonts w:ascii="Times New Roman" w:hAnsi="Times New Roman" w:cs="Times New Roman"/>
                <w:b/>
                <w:bCs/>
                <w:sz w:val="20"/>
                <w:szCs w:val="20"/>
                <w:lang w:val="en-GB"/>
              </w:rPr>
            </w:pPr>
            <w:r w:rsidRPr="00E15D24">
              <w:rPr>
                <w:rFonts w:ascii="Times New Roman" w:hAnsi="Times New Roman" w:cs="Times New Roman"/>
                <w:b/>
                <w:bCs/>
                <w:sz w:val="20"/>
                <w:szCs w:val="20"/>
                <w:lang w:val="en-GB"/>
              </w:rPr>
              <w:t>0.9(59)</w:t>
            </w:r>
          </w:p>
        </w:tc>
      </w:tr>
    </w:tbl>
    <w:p w14:paraId="050FC24D" w14:textId="53BA283C" w:rsidR="00E15D24" w:rsidRPr="00E15D24" w:rsidRDefault="00E15D24" w:rsidP="00E15D24">
      <w:pPr>
        <w:spacing w:line="480" w:lineRule="auto"/>
        <w:rPr>
          <w:rFonts w:ascii="Times New Roman" w:hAnsi="Times New Roman" w:cs="Times New Roman"/>
          <w:b/>
          <w:sz w:val="20"/>
          <w:szCs w:val="20"/>
          <w:lang w:val="en"/>
        </w:rPr>
      </w:pPr>
      <w:proofErr w:type="spellStart"/>
      <w:proofErr w:type="gramStart"/>
      <w:r w:rsidRPr="00E15D24">
        <w:rPr>
          <w:rFonts w:ascii="Times New Roman" w:hAnsi="Times New Roman" w:cs="Times New Roman"/>
          <w:b/>
          <w:sz w:val="20"/>
          <w:szCs w:val="20"/>
          <w:vertAlign w:val="superscript"/>
          <w:lang w:val="en"/>
        </w:rPr>
        <w:t>a</w:t>
      </w:r>
      <w:r w:rsidRPr="00E15D24">
        <w:rPr>
          <w:rFonts w:ascii="Times New Roman" w:hAnsi="Times New Roman" w:cs="Times New Roman"/>
          <w:b/>
          <w:sz w:val="20"/>
          <w:szCs w:val="20"/>
          <w:lang w:val="en"/>
        </w:rPr>
        <w:t>In</w:t>
      </w:r>
      <w:proofErr w:type="spellEnd"/>
      <w:proofErr w:type="gramEnd"/>
      <w:r w:rsidRPr="00E15D24">
        <w:rPr>
          <w:rFonts w:ascii="Times New Roman" w:hAnsi="Times New Roman" w:cs="Times New Roman"/>
          <w:b/>
          <w:sz w:val="20"/>
          <w:szCs w:val="20"/>
          <w:lang w:val="en"/>
        </w:rPr>
        <w:t xml:space="preserve"> ref (61) the authors incorrectly report a CMC value of </w:t>
      </w:r>
      <w:r w:rsidRPr="00E15D24">
        <w:rPr>
          <w:rFonts w:ascii="Cambria Math" w:hAnsi="Cambria Math" w:cs="Cambria Math"/>
          <w:b/>
          <w:sz w:val="20"/>
          <w:szCs w:val="20"/>
          <w:lang w:val="en"/>
        </w:rPr>
        <w:t>∼</w:t>
      </w:r>
      <w:r w:rsidRPr="00E15D24">
        <w:rPr>
          <w:rFonts w:ascii="Times New Roman" w:hAnsi="Times New Roman" w:cs="Times New Roman"/>
          <w:b/>
          <w:sz w:val="20"/>
          <w:szCs w:val="20"/>
          <w:lang w:val="en"/>
        </w:rPr>
        <w:t xml:space="preserve">15 </w:t>
      </w:r>
      <w:proofErr w:type="spellStart"/>
      <w:r w:rsidRPr="00E15D24">
        <w:rPr>
          <w:rFonts w:ascii="Times New Roman" w:hAnsi="Times New Roman" w:cs="Times New Roman"/>
          <w:b/>
          <w:sz w:val="20"/>
          <w:szCs w:val="20"/>
          <w:lang w:val="en"/>
        </w:rPr>
        <w:t>mM.</w:t>
      </w:r>
      <w:proofErr w:type="spellEnd"/>
      <w:r w:rsidRPr="00E15D24">
        <w:rPr>
          <w:rFonts w:ascii="Times New Roman" w:hAnsi="Times New Roman" w:cs="Times New Roman"/>
          <w:b/>
          <w:sz w:val="20"/>
          <w:szCs w:val="20"/>
          <w:lang w:val="en"/>
        </w:rPr>
        <w:t xml:space="preserve"> Examination of the fluorescence, conductivity, and surface tension data in the article conclusively shows the CMC is, at most, 1 </w:t>
      </w:r>
      <w:proofErr w:type="spellStart"/>
      <w:r w:rsidRPr="00E15D24">
        <w:rPr>
          <w:rFonts w:ascii="Times New Roman" w:hAnsi="Times New Roman" w:cs="Times New Roman"/>
          <w:b/>
          <w:sz w:val="20"/>
          <w:szCs w:val="20"/>
          <w:lang w:val="en"/>
        </w:rPr>
        <w:t>mM.</w:t>
      </w:r>
      <w:proofErr w:type="spellEnd"/>
    </w:p>
    <w:p w14:paraId="788522FF" w14:textId="605ECEFD" w:rsidR="00E15D24" w:rsidRDefault="00E15D24" w:rsidP="00641359">
      <w:pPr>
        <w:spacing w:line="360" w:lineRule="auto"/>
        <w:rPr>
          <w:rFonts w:ascii="Roboto" w:hAnsi="Roboto" w:cs="Arial"/>
          <w:color w:val="000000"/>
          <w:sz w:val="26"/>
          <w:szCs w:val="26"/>
          <w:lang w:val="en"/>
        </w:rPr>
      </w:pPr>
      <w:r w:rsidRPr="00E15D24">
        <w:rPr>
          <w:rFonts w:ascii="Roboto" w:hAnsi="Roboto" w:cs="Arial"/>
          <w:color w:val="000000"/>
          <w:sz w:val="26"/>
          <w:szCs w:val="26"/>
          <w:lang w:val="en"/>
        </w:rPr>
        <w:t>Figure 1</w:t>
      </w:r>
      <w:r>
        <w:rPr>
          <w:rFonts w:ascii="Roboto" w:hAnsi="Roboto" w:cs="Arial"/>
          <w:color w:val="000000"/>
          <w:sz w:val="26"/>
          <w:szCs w:val="26"/>
          <w:lang w:val="en"/>
        </w:rPr>
        <w:t xml:space="preserve"> presents soft contact AFM images for 25 and 132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SDS at the </w:t>
      </w:r>
      <w:proofErr w:type="spellStart"/>
      <w:r>
        <w:rPr>
          <w:rFonts w:ascii="Roboto" w:hAnsi="Roboto" w:cs="Arial"/>
          <w:color w:val="000000"/>
          <w:sz w:val="26"/>
          <w:szCs w:val="26"/>
          <w:lang w:val="en"/>
        </w:rPr>
        <w:t>ChCl</w:t>
      </w:r>
      <w:proofErr w:type="spellEnd"/>
      <w:r>
        <w:rPr>
          <w:rFonts w:ascii="Roboto" w:hAnsi="Roboto" w:cs="Arial"/>
          <w:color w:val="000000"/>
          <w:sz w:val="26"/>
          <w:szCs w:val="26"/>
          <w:lang w:val="en"/>
        </w:rPr>
        <w:t xml:space="preserve">-EG/graphite interface and for 21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SDS and 2.5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CTAB at the </w:t>
      </w:r>
      <w:proofErr w:type="spellStart"/>
      <w:r>
        <w:rPr>
          <w:rFonts w:ascii="Roboto" w:hAnsi="Roboto" w:cs="Arial"/>
          <w:color w:val="000000"/>
          <w:sz w:val="26"/>
          <w:szCs w:val="26"/>
          <w:lang w:val="en"/>
        </w:rPr>
        <w:t>ChCl-Gly</w:t>
      </w:r>
      <w:proofErr w:type="spellEnd"/>
      <w:r>
        <w:rPr>
          <w:rFonts w:ascii="Roboto" w:hAnsi="Roboto" w:cs="Arial"/>
          <w:color w:val="000000"/>
          <w:sz w:val="26"/>
          <w:szCs w:val="26"/>
          <w:lang w:val="en"/>
        </w:rPr>
        <w:t>/graphite interface. The images consist of straight parallel stripes like those found for SDS and CTAB in water.</w:t>
      </w:r>
      <w:r w:rsidRPr="00E15D24">
        <w:rPr>
          <w:rFonts w:ascii="Roboto" w:hAnsi="Roboto" w:cs="Arial"/>
          <w:color w:val="000000"/>
          <w:sz w:val="26"/>
          <w:szCs w:val="26"/>
          <w:lang w:val="en"/>
        </w:rPr>
        <w:t>(49−53,55)</w:t>
      </w:r>
      <w:r>
        <w:rPr>
          <w:rFonts w:ascii="Roboto" w:hAnsi="Roboto" w:cs="Arial"/>
          <w:color w:val="000000"/>
          <w:sz w:val="26"/>
          <w:szCs w:val="26"/>
          <w:lang w:val="en"/>
        </w:rPr>
        <w:t xml:space="preserve"> This means that at open-circuit potential (OCP), where the graphite is negatively charged,</w:t>
      </w:r>
      <w:r w:rsidRPr="00E15D24">
        <w:rPr>
          <w:rFonts w:ascii="Roboto" w:hAnsi="Roboto" w:cs="Arial"/>
          <w:color w:val="000000"/>
          <w:sz w:val="26"/>
          <w:szCs w:val="26"/>
          <w:lang w:val="en"/>
        </w:rPr>
        <w:t>(34)</w:t>
      </w:r>
      <w:r>
        <w:rPr>
          <w:rFonts w:ascii="Roboto" w:hAnsi="Roboto" w:cs="Arial"/>
          <w:color w:val="000000"/>
          <w:sz w:val="26"/>
          <w:szCs w:val="26"/>
          <w:lang w:val="en"/>
        </w:rPr>
        <w:t xml:space="preserve"> both cationic and anionic surfactants displace the strongly bound choline cation from the surface in order to achieve such a highly ordered adsorbed layer structure.</w:t>
      </w:r>
    </w:p>
    <w:p w14:paraId="53815233" w14:textId="6FD636D2" w:rsidR="00E15D24" w:rsidRDefault="00E15D24" w:rsidP="00641359">
      <w:pPr>
        <w:spacing w:line="360" w:lineRule="auto"/>
        <w:rPr>
          <w:rFonts w:ascii="Roboto" w:hAnsi="Roboto" w:cs="Arial"/>
          <w:color w:val="000000"/>
          <w:sz w:val="26"/>
          <w:szCs w:val="26"/>
          <w:lang w:val="en"/>
        </w:rPr>
      </w:pPr>
      <w:r>
        <w:rPr>
          <w:rFonts w:ascii="Roboto" w:hAnsi="Roboto" w:cs="Arial"/>
          <w:color w:val="000000"/>
          <w:sz w:val="26"/>
          <w:szCs w:val="26"/>
          <w:lang w:val="en"/>
        </w:rPr>
        <w:t xml:space="preserve">In aqueous solution, surfactants first adsorb onto graphite with their alkyl tails parallel with the surface, in a tail-to-tail arrangement, producing a horizontal monolayer at concentrations around 0.1 × CMC. These tails are </w:t>
      </w:r>
      <w:proofErr w:type="spellStart"/>
      <w:r>
        <w:rPr>
          <w:rFonts w:ascii="Roboto" w:hAnsi="Roboto" w:cs="Arial"/>
          <w:color w:val="000000"/>
          <w:sz w:val="26"/>
          <w:szCs w:val="26"/>
          <w:lang w:val="en"/>
        </w:rPr>
        <w:t>epitaxially</w:t>
      </w:r>
      <w:proofErr w:type="spellEnd"/>
      <w:r>
        <w:rPr>
          <w:rFonts w:ascii="Roboto" w:hAnsi="Roboto" w:cs="Arial"/>
          <w:color w:val="000000"/>
          <w:sz w:val="26"/>
          <w:szCs w:val="26"/>
          <w:lang w:val="en"/>
        </w:rPr>
        <w:t xml:space="preserve"> aligned along one of the three graphite symmetry axes. Flat epitaxial adsorption is ascribed to a precise match between surfactant alkyl chain hydrogen atoms and the hexagon centers of the graphene </w:t>
      </w:r>
      <w:r>
        <w:rPr>
          <w:rFonts w:ascii="Roboto" w:hAnsi="Roboto" w:cs="Arial"/>
          <w:color w:val="000000"/>
          <w:sz w:val="26"/>
          <w:szCs w:val="26"/>
          <w:lang w:val="en"/>
        </w:rPr>
        <w:lastRenderedPageBreak/>
        <w:t>lattice.</w:t>
      </w:r>
      <w:r w:rsidRPr="00E15D24">
        <w:rPr>
          <w:rFonts w:ascii="Roboto" w:hAnsi="Roboto" w:cs="Arial"/>
          <w:color w:val="000000"/>
          <w:sz w:val="26"/>
          <w:szCs w:val="26"/>
          <w:lang w:val="en"/>
        </w:rPr>
        <w:t>(62)</w:t>
      </w:r>
      <w:r>
        <w:rPr>
          <w:rFonts w:ascii="Roboto" w:hAnsi="Roboto" w:cs="Arial"/>
          <w:color w:val="000000"/>
          <w:sz w:val="26"/>
          <w:szCs w:val="26"/>
          <w:lang w:val="en"/>
        </w:rPr>
        <w:t xml:space="preserve"> As the surfactant concentration approaches the CMC, hydrophobic interactions lead to additional surfactant adsorption leading to the formation of </w:t>
      </w:r>
      <w:proofErr w:type="spellStart"/>
      <w:r>
        <w:rPr>
          <w:rFonts w:ascii="Roboto" w:hAnsi="Roboto" w:cs="Arial"/>
          <w:color w:val="000000"/>
          <w:sz w:val="26"/>
          <w:szCs w:val="26"/>
          <w:lang w:val="en"/>
        </w:rPr>
        <w:t>hemicylindrical</w:t>
      </w:r>
      <w:proofErr w:type="spellEnd"/>
      <w:r>
        <w:rPr>
          <w:rFonts w:ascii="Roboto" w:hAnsi="Roboto" w:cs="Arial"/>
          <w:color w:val="000000"/>
          <w:sz w:val="26"/>
          <w:szCs w:val="26"/>
          <w:lang w:val="en"/>
        </w:rPr>
        <w:t xml:space="preserve"> </w:t>
      </w:r>
      <w:proofErr w:type="spellStart"/>
      <w:r>
        <w:rPr>
          <w:rFonts w:ascii="Roboto" w:hAnsi="Roboto" w:cs="Arial"/>
          <w:color w:val="000000"/>
          <w:sz w:val="26"/>
          <w:szCs w:val="26"/>
          <w:lang w:val="en"/>
        </w:rPr>
        <w:t>hemimicelles</w:t>
      </w:r>
      <w:proofErr w:type="spellEnd"/>
      <w:r>
        <w:rPr>
          <w:rFonts w:ascii="Roboto" w:hAnsi="Roboto" w:cs="Arial"/>
          <w:color w:val="000000"/>
          <w:sz w:val="26"/>
          <w:szCs w:val="26"/>
          <w:lang w:val="en"/>
        </w:rPr>
        <w:t xml:space="preserve">, </w:t>
      </w:r>
      <w:proofErr w:type="spellStart"/>
      <w:r>
        <w:rPr>
          <w:rFonts w:ascii="Roboto" w:hAnsi="Roboto" w:cs="Arial"/>
          <w:color w:val="000000"/>
          <w:sz w:val="26"/>
          <w:szCs w:val="26"/>
          <w:lang w:val="en"/>
        </w:rPr>
        <w:t>templated</w:t>
      </w:r>
      <w:proofErr w:type="spellEnd"/>
      <w:r>
        <w:rPr>
          <w:rFonts w:ascii="Roboto" w:hAnsi="Roboto" w:cs="Arial"/>
          <w:color w:val="000000"/>
          <w:sz w:val="26"/>
          <w:szCs w:val="26"/>
          <w:lang w:val="en"/>
        </w:rPr>
        <w:t xml:space="preserve"> by the strongly adsorbed monolayer. The image deflection height can be used to discern whether the stripes are due to a tail-to-tail monolayer or </w:t>
      </w:r>
      <w:proofErr w:type="spellStart"/>
      <w:r>
        <w:rPr>
          <w:rFonts w:ascii="Roboto" w:hAnsi="Roboto" w:cs="Arial"/>
          <w:color w:val="000000"/>
          <w:sz w:val="26"/>
          <w:szCs w:val="26"/>
          <w:lang w:val="en"/>
        </w:rPr>
        <w:t>hemicylinders</w:t>
      </w:r>
      <w:proofErr w:type="spellEnd"/>
      <w:r>
        <w:rPr>
          <w:rFonts w:ascii="Roboto" w:hAnsi="Roboto" w:cs="Arial"/>
          <w:color w:val="000000"/>
          <w:sz w:val="26"/>
          <w:szCs w:val="26"/>
          <w:lang w:val="en"/>
        </w:rPr>
        <w:t xml:space="preserve">, as deflections are significantly higher for the larger </w:t>
      </w:r>
      <w:proofErr w:type="spellStart"/>
      <w:r>
        <w:rPr>
          <w:rFonts w:ascii="Roboto" w:hAnsi="Roboto" w:cs="Arial"/>
          <w:color w:val="000000"/>
          <w:sz w:val="26"/>
          <w:szCs w:val="26"/>
          <w:lang w:val="en"/>
        </w:rPr>
        <w:t>hemicylinder</w:t>
      </w:r>
      <w:proofErr w:type="spellEnd"/>
      <w:r>
        <w:rPr>
          <w:rFonts w:ascii="Roboto" w:hAnsi="Roboto" w:cs="Arial"/>
          <w:color w:val="000000"/>
          <w:sz w:val="26"/>
          <w:szCs w:val="26"/>
          <w:lang w:val="en"/>
        </w:rPr>
        <w:t xml:space="preserve"> structures.</w:t>
      </w:r>
    </w:p>
    <w:p w14:paraId="6E9E44D9" w14:textId="258700B1" w:rsidR="00E15D24" w:rsidRDefault="00E15D24" w:rsidP="00641359">
      <w:pPr>
        <w:spacing w:before="240" w:after="240" w:line="360" w:lineRule="auto"/>
        <w:textAlignment w:val="top"/>
        <w:rPr>
          <w:rFonts w:ascii="Roboto" w:hAnsi="Roboto" w:cs="Arial"/>
          <w:color w:val="000000"/>
          <w:sz w:val="26"/>
          <w:szCs w:val="26"/>
          <w:lang w:val="en"/>
        </w:rPr>
      </w:pPr>
      <w:r>
        <w:rPr>
          <w:rFonts w:ascii="Roboto" w:hAnsi="Roboto" w:cs="Arial"/>
          <w:color w:val="000000"/>
          <w:sz w:val="26"/>
          <w:szCs w:val="26"/>
          <w:lang w:val="en"/>
        </w:rPr>
        <w:t xml:space="preserve">The period of the stripes captures the aggregate size plus the </w:t>
      </w:r>
      <w:proofErr w:type="spellStart"/>
      <w:r>
        <w:rPr>
          <w:rFonts w:ascii="Roboto" w:hAnsi="Roboto" w:cs="Arial"/>
          <w:color w:val="000000"/>
          <w:sz w:val="26"/>
          <w:szCs w:val="26"/>
          <w:lang w:val="en"/>
        </w:rPr>
        <w:t>interaggregate</w:t>
      </w:r>
      <w:proofErr w:type="spellEnd"/>
      <w:r>
        <w:rPr>
          <w:rFonts w:ascii="Roboto" w:hAnsi="Roboto" w:cs="Arial"/>
          <w:color w:val="000000"/>
          <w:sz w:val="26"/>
          <w:szCs w:val="26"/>
          <w:lang w:val="en"/>
        </w:rPr>
        <w:t xml:space="preserve"> separation, which results from repulsions between adsorbed surfactant </w:t>
      </w:r>
      <w:proofErr w:type="spellStart"/>
      <w:r>
        <w:rPr>
          <w:rFonts w:ascii="Roboto" w:hAnsi="Roboto" w:cs="Arial"/>
          <w:color w:val="000000"/>
          <w:sz w:val="26"/>
          <w:szCs w:val="26"/>
          <w:lang w:val="en"/>
        </w:rPr>
        <w:t>headgroups</w:t>
      </w:r>
      <w:proofErr w:type="spellEnd"/>
      <w:r>
        <w:rPr>
          <w:rFonts w:ascii="Roboto" w:hAnsi="Roboto" w:cs="Arial"/>
          <w:color w:val="000000"/>
          <w:sz w:val="26"/>
          <w:szCs w:val="26"/>
          <w:lang w:val="en"/>
        </w:rPr>
        <w:t xml:space="preserve">. Aggregate periods were determined via power spectral density analysis of images with aggregates aligned not more than ±5° from perpendicular (the slow scan direction) as this provides the most accurate values. </w:t>
      </w:r>
      <w:r w:rsidRPr="00E15D24">
        <w:rPr>
          <w:rFonts w:ascii="Roboto" w:hAnsi="Roboto" w:cs="Arial"/>
          <w:color w:val="000000"/>
          <w:sz w:val="26"/>
          <w:szCs w:val="26"/>
          <w:lang w:val="en"/>
        </w:rPr>
        <w:t>Table 2</w:t>
      </w:r>
      <w:r>
        <w:rPr>
          <w:rFonts w:ascii="Roboto" w:hAnsi="Roboto" w:cs="Arial"/>
          <w:color w:val="000000"/>
          <w:sz w:val="26"/>
          <w:szCs w:val="26"/>
          <w:lang w:val="en"/>
        </w:rPr>
        <w:t xml:space="preserve"> shows aggregate periods for the systems investigated here, together with literature values. For 25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and 132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SDS solutions, the period was identical at 5.0 ± 0.1 nm, indicating that the </w:t>
      </w:r>
      <w:proofErr w:type="spellStart"/>
      <w:r>
        <w:rPr>
          <w:rFonts w:ascii="Roboto" w:hAnsi="Roboto" w:cs="Arial"/>
          <w:color w:val="000000"/>
          <w:sz w:val="26"/>
          <w:szCs w:val="26"/>
          <w:lang w:val="en"/>
        </w:rPr>
        <w:t>hemicylinders</w:t>
      </w:r>
      <w:proofErr w:type="spellEnd"/>
      <w:r>
        <w:rPr>
          <w:rFonts w:ascii="Roboto" w:hAnsi="Roboto" w:cs="Arial"/>
          <w:color w:val="000000"/>
          <w:sz w:val="26"/>
          <w:szCs w:val="26"/>
          <w:lang w:val="en"/>
        </w:rPr>
        <w:t xml:space="preserve"> assemble over the underlying tail-to-tail monolayer. This spacing is similar to that of SDS in water for concentrations greater than 20 </w:t>
      </w:r>
      <w:proofErr w:type="spellStart"/>
      <w:r>
        <w:rPr>
          <w:rFonts w:ascii="Roboto" w:hAnsi="Roboto" w:cs="Arial"/>
          <w:color w:val="000000"/>
          <w:sz w:val="26"/>
          <w:szCs w:val="26"/>
          <w:lang w:val="en"/>
        </w:rPr>
        <w:t>mM</w:t>
      </w:r>
      <w:proofErr w:type="gramStart"/>
      <w:r>
        <w:rPr>
          <w:rFonts w:ascii="Roboto" w:hAnsi="Roboto" w:cs="Arial"/>
          <w:color w:val="000000"/>
          <w:sz w:val="26"/>
          <w:szCs w:val="26"/>
          <w:lang w:val="en"/>
        </w:rPr>
        <w:t>.</w:t>
      </w:r>
      <w:proofErr w:type="spellEnd"/>
      <w:r w:rsidRPr="00E15D24">
        <w:rPr>
          <w:rFonts w:ascii="Roboto" w:hAnsi="Roboto" w:cs="Arial"/>
          <w:color w:val="000000"/>
          <w:sz w:val="26"/>
          <w:szCs w:val="26"/>
          <w:lang w:val="en"/>
        </w:rPr>
        <w:t>(</w:t>
      </w:r>
      <w:proofErr w:type="gramEnd"/>
      <w:r w:rsidRPr="00E15D24">
        <w:rPr>
          <w:rFonts w:ascii="Roboto" w:hAnsi="Roboto" w:cs="Arial"/>
          <w:color w:val="000000"/>
          <w:sz w:val="26"/>
          <w:szCs w:val="26"/>
          <w:lang w:val="en"/>
        </w:rPr>
        <w:t>51)</w:t>
      </w:r>
    </w:p>
    <w:p w14:paraId="2B5A233A" w14:textId="6AD079DD" w:rsidR="00122D71" w:rsidRPr="00003C99" w:rsidRDefault="00C237F1" w:rsidP="0003543A">
      <w:pPr>
        <w:spacing w:line="480" w:lineRule="auto"/>
        <w:jc w:val="center"/>
        <w:rPr>
          <w:rFonts w:ascii="Times New Roman" w:hAnsi="Times New Roman" w:cs="Times New Roman"/>
          <w:b/>
          <w:sz w:val="24"/>
          <w:szCs w:val="24"/>
          <w:lang w:val="en-GB"/>
        </w:rPr>
      </w:pPr>
      <w:r>
        <w:rPr>
          <w:rFonts w:ascii="Times New Roman" w:hAnsi="Times New Roman" w:cs="Times New Roman"/>
          <w:b/>
          <w:noProof/>
          <w:sz w:val="24"/>
          <w:szCs w:val="24"/>
          <w:lang w:val="en-GB" w:eastAsia="en-GB"/>
        </w:rPr>
        <w:drawing>
          <wp:inline distT="0" distB="0" distL="0" distR="0" wp14:anchorId="789CAC8B" wp14:editId="62C381B9">
            <wp:extent cx="3804592" cy="3959050"/>
            <wp:effectExtent l="0" t="0" r="5715" b="3810"/>
            <wp:docPr id="4" name="Grafik 4" descr="F:\UWA Paper\Figures\Figures prepar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WA Paper\Figures\Figures preparation.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2231" cy="4008623"/>
                    </a:xfrm>
                    <a:prstGeom prst="rect">
                      <a:avLst/>
                    </a:prstGeom>
                    <a:noFill/>
                    <a:ln>
                      <a:noFill/>
                    </a:ln>
                  </pic:spPr>
                </pic:pic>
              </a:graphicData>
            </a:graphic>
          </wp:inline>
        </w:drawing>
      </w:r>
    </w:p>
    <w:p w14:paraId="3C063AA4" w14:textId="4A1D8DA9" w:rsidR="00ED28B4" w:rsidRPr="00003C99" w:rsidRDefault="00ED28B4" w:rsidP="00ED28B4">
      <w:pPr>
        <w:spacing w:line="480" w:lineRule="auto"/>
        <w:jc w:val="left"/>
        <w:rPr>
          <w:rFonts w:ascii="Times New Roman" w:hAnsi="Times New Roman" w:cs="Times New Roman"/>
          <w:sz w:val="20"/>
          <w:szCs w:val="20"/>
          <w:lang w:val="en-GB"/>
        </w:rPr>
      </w:pPr>
      <w:r w:rsidRPr="00003C99">
        <w:rPr>
          <w:rFonts w:ascii="Times New Roman" w:hAnsi="Times New Roman" w:cs="Times New Roman"/>
          <w:b/>
          <w:sz w:val="20"/>
          <w:szCs w:val="20"/>
          <w:lang w:val="en-GB"/>
        </w:rPr>
        <w:lastRenderedPageBreak/>
        <w:t>Figure 1:</w:t>
      </w:r>
      <w:r w:rsidRPr="00003C99">
        <w:rPr>
          <w:rFonts w:ascii="Times New Roman" w:hAnsi="Times New Roman" w:cs="Times New Roman"/>
          <w:sz w:val="20"/>
          <w:szCs w:val="20"/>
          <w:lang w:val="en-GB"/>
        </w:rPr>
        <w:t xml:space="preserve"> </w:t>
      </w:r>
      <w:r w:rsidR="00E15D24" w:rsidRPr="00E15D24">
        <w:rPr>
          <w:rFonts w:ascii="Times New Roman" w:hAnsi="Times New Roman" w:cs="Times New Roman"/>
          <w:sz w:val="20"/>
          <w:szCs w:val="20"/>
          <w:lang w:val="en-GB"/>
        </w:rPr>
        <w:t xml:space="preserve">AFM deflection images for the (A) 25 </w:t>
      </w:r>
      <w:proofErr w:type="spellStart"/>
      <w:r w:rsidR="00E15D24" w:rsidRPr="00E15D24">
        <w:rPr>
          <w:rFonts w:ascii="Times New Roman" w:hAnsi="Times New Roman" w:cs="Times New Roman"/>
          <w:sz w:val="20"/>
          <w:szCs w:val="20"/>
          <w:lang w:val="en-GB"/>
        </w:rPr>
        <w:t>mM</w:t>
      </w:r>
      <w:proofErr w:type="spellEnd"/>
      <w:r w:rsidR="00E15D24" w:rsidRPr="00E15D24">
        <w:rPr>
          <w:rFonts w:ascii="Times New Roman" w:hAnsi="Times New Roman" w:cs="Times New Roman"/>
          <w:sz w:val="20"/>
          <w:szCs w:val="20"/>
          <w:lang w:val="en-GB"/>
        </w:rPr>
        <w:t xml:space="preserve"> and (B) 132 </w:t>
      </w:r>
      <w:proofErr w:type="spellStart"/>
      <w:r w:rsidR="00E15D24" w:rsidRPr="00E15D24">
        <w:rPr>
          <w:rFonts w:ascii="Times New Roman" w:hAnsi="Times New Roman" w:cs="Times New Roman"/>
          <w:sz w:val="20"/>
          <w:szCs w:val="20"/>
          <w:lang w:val="en-GB"/>
        </w:rPr>
        <w:t>mM</w:t>
      </w:r>
      <w:proofErr w:type="spellEnd"/>
      <w:r w:rsidR="00E15D24" w:rsidRPr="00E15D24">
        <w:rPr>
          <w:rFonts w:ascii="Times New Roman" w:hAnsi="Times New Roman" w:cs="Times New Roman"/>
          <w:sz w:val="20"/>
          <w:szCs w:val="20"/>
          <w:lang w:val="en-GB"/>
        </w:rPr>
        <w:t xml:space="preserve"> SDS at the graphite/</w:t>
      </w:r>
      <w:proofErr w:type="spellStart"/>
      <w:r w:rsidR="00E15D24" w:rsidRPr="00E15D24">
        <w:rPr>
          <w:rFonts w:ascii="Times New Roman" w:hAnsi="Times New Roman" w:cs="Times New Roman"/>
          <w:sz w:val="20"/>
          <w:szCs w:val="20"/>
          <w:lang w:val="en-GB"/>
        </w:rPr>
        <w:t>ChCl</w:t>
      </w:r>
      <w:proofErr w:type="spellEnd"/>
      <w:r w:rsidR="00E15D24" w:rsidRPr="00E15D24">
        <w:rPr>
          <w:rFonts w:ascii="Times New Roman" w:hAnsi="Times New Roman" w:cs="Times New Roman"/>
          <w:sz w:val="20"/>
          <w:szCs w:val="20"/>
          <w:lang w:val="en-GB"/>
        </w:rPr>
        <w:t xml:space="preserve">-EG interface, (C) 21 </w:t>
      </w:r>
      <w:proofErr w:type="spellStart"/>
      <w:r w:rsidR="00E15D24" w:rsidRPr="00E15D24">
        <w:rPr>
          <w:rFonts w:ascii="Times New Roman" w:hAnsi="Times New Roman" w:cs="Times New Roman"/>
          <w:sz w:val="20"/>
          <w:szCs w:val="20"/>
          <w:lang w:val="en-GB"/>
        </w:rPr>
        <w:t>mM</w:t>
      </w:r>
      <w:proofErr w:type="spellEnd"/>
      <w:r w:rsidR="00E15D24" w:rsidRPr="00E15D24">
        <w:rPr>
          <w:rFonts w:ascii="Times New Roman" w:hAnsi="Times New Roman" w:cs="Times New Roman"/>
          <w:sz w:val="20"/>
          <w:szCs w:val="20"/>
          <w:lang w:val="en-GB"/>
        </w:rPr>
        <w:t xml:space="preserve"> SDS at the graphite/</w:t>
      </w:r>
      <w:proofErr w:type="spellStart"/>
      <w:r w:rsidR="00E15D24" w:rsidRPr="00E15D24">
        <w:rPr>
          <w:rFonts w:ascii="Times New Roman" w:hAnsi="Times New Roman" w:cs="Times New Roman"/>
          <w:sz w:val="20"/>
          <w:szCs w:val="20"/>
          <w:lang w:val="en-GB"/>
        </w:rPr>
        <w:t>ChCl-Gly</w:t>
      </w:r>
      <w:proofErr w:type="spellEnd"/>
      <w:r w:rsidR="00E15D24" w:rsidRPr="00E15D24">
        <w:rPr>
          <w:rFonts w:ascii="Times New Roman" w:hAnsi="Times New Roman" w:cs="Times New Roman"/>
          <w:sz w:val="20"/>
          <w:szCs w:val="20"/>
          <w:lang w:val="en-GB"/>
        </w:rPr>
        <w:t xml:space="preserve"> interface, and (D) 2.5 </w:t>
      </w:r>
      <w:proofErr w:type="spellStart"/>
      <w:r w:rsidR="00E15D24" w:rsidRPr="00E15D24">
        <w:rPr>
          <w:rFonts w:ascii="Times New Roman" w:hAnsi="Times New Roman" w:cs="Times New Roman"/>
          <w:sz w:val="20"/>
          <w:szCs w:val="20"/>
          <w:lang w:val="en-GB"/>
        </w:rPr>
        <w:t>mM</w:t>
      </w:r>
      <w:proofErr w:type="spellEnd"/>
      <w:r w:rsidR="00E15D24" w:rsidRPr="00E15D24">
        <w:rPr>
          <w:rFonts w:ascii="Times New Roman" w:hAnsi="Times New Roman" w:cs="Times New Roman"/>
          <w:sz w:val="20"/>
          <w:szCs w:val="20"/>
          <w:lang w:val="en-GB"/>
        </w:rPr>
        <w:t xml:space="preserve"> CTAB at the graphite/</w:t>
      </w:r>
      <w:proofErr w:type="spellStart"/>
      <w:r w:rsidR="00E15D24" w:rsidRPr="00E15D24">
        <w:rPr>
          <w:rFonts w:ascii="Times New Roman" w:hAnsi="Times New Roman" w:cs="Times New Roman"/>
          <w:sz w:val="20"/>
          <w:szCs w:val="20"/>
          <w:lang w:val="en-GB"/>
        </w:rPr>
        <w:t>ChCl-Gly</w:t>
      </w:r>
      <w:proofErr w:type="spellEnd"/>
      <w:r w:rsidR="00E15D24" w:rsidRPr="00E15D24">
        <w:rPr>
          <w:rFonts w:ascii="Times New Roman" w:hAnsi="Times New Roman" w:cs="Times New Roman"/>
          <w:sz w:val="20"/>
          <w:szCs w:val="20"/>
          <w:lang w:val="en-GB"/>
        </w:rPr>
        <w:t xml:space="preserve"> interface. The deflection height scales are (A) 0.3 nm, (B) 1 nm, (C) 0.5 nm, and (D) 1 nm. The image insets show the adsorbed surfactant structure in each system: (A and C) a tail-to-tail horizontal monolayer and (B and D) a fully formed </w:t>
      </w:r>
      <w:proofErr w:type="spellStart"/>
      <w:r w:rsidR="00E15D24" w:rsidRPr="00E15D24">
        <w:rPr>
          <w:rFonts w:ascii="Times New Roman" w:hAnsi="Times New Roman" w:cs="Times New Roman"/>
          <w:sz w:val="20"/>
          <w:szCs w:val="20"/>
          <w:lang w:val="en-GB"/>
        </w:rPr>
        <w:t>hemimicelle</w:t>
      </w:r>
      <w:proofErr w:type="spellEnd"/>
      <w:r w:rsidR="00E15D24" w:rsidRPr="00E15D24">
        <w:rPr>
          <w:rFonts w:ascii="Times New Roman" w:hAnsi="Times New Roman" w:cs="Times New Roman"/>
          <w:sz w:val="20"/>
          <w:szCs w:val="20"/>
          <w:lang w:val="en-GB"/>
        </w:rPr>
        <w:t>.</w:t>
      </w:r>
    </w:p>
    <w:p w14:paraId="10F8FE0D" w14:textId="77777777" w:rsidR="00E15D24" w:rsidRDefault="00E15D24" w:rsidP="00ED28B4">
      <w:pPr>
        <w:spacing w:line="480" w:lineRule="auto"/>
        <w:rPr>
          <w:rFonts w:ascii="Times New Roman" w:hAnsi="Times New Roman" w:cs="Times New Roman"/>
          <w:sz w:val="24"/>
          <w:szCs w:val="24"/>
          <w:lang w:val="en-GB"/>
        </w:rPr>
      </w:pPr>
      <w:r w:rsidRPr="00E15D24">
        <w:rPr>
          <w:rFonts w:ascii="Times New Roman" w:hAnsi="Times New Roman" w:cs="Times New Roman"/>
          <w:sz w:val="24"/>
          <w:szCs w:val="24"/>
          <w:lang w:val="en-GB"/>
        </w:rPr>
        <w:t xml:space="preserve">The period of the stripes captures the aggregate size plus the </w:t>
      </w:r>
      <w:proofErr w:type="spellStart"/>
      <w:r w:rsidRPr="00E15D24">
        <w:rPr>
          <w:rFonts w:ascii="Times New Roman" w:hAnsi="Times New Roman" w:cs="Times New Roman"/>
          <w:sz w:val="24"/>
          <w:szCs w:val="24"/>
          <w:lang w:val="en-GB"/>
        </w:rPr>
        <w:t>interaggregate</w:t>
      </w:r>
      <w:proofErr w:type="spellEnd"/>
      <w:r w:rsidRPr="00E15D24">
        <w:rPr>
          <w:rFonts w:ascii="Times New Roman" w:hAnsi="Times New Roman" w:cs="Times New Roman"/>
          <w:sz w:val="24"/>
          <w:szCs w:val="24"/>
          <w:lang w:val="en-GB"/>
        </w:rPr>
        <w:t xml:space="preserve"> separation, which results from repulsions between adsorbed surfactant </w:t>
      </w:r>
      <w:proofErr w:type="spellStart"/>
      <w:r w:rsidRPr="00E15D24">
        <w:rPr>
          <w:rFonts w:ascii="Times New Roman" w:hAnsi="Times New Roman" w:cs="Times New Roman"/>
          <w:sz w:val="24"/>
          <w:szCs w:val="24"/>
          <w:lang w:val="en-GB"/>
        </w:rPr>
        <w:t>headgroups</w:t>
      </w:r>
      <w:proofErr w:type="spellEnd"/>
      <w:r w:rsidRPr="00E15D24">
        <w:rPr>
          <w:rFonts w:ascii="Times New Roman" w:hAnsi="Times New Roman" w:cs="Times New Roman"/>
          <w:sz w:val="24"/>
          <w:szCs w:val="24"/>
          <w:lang w:val="en-GB"/>
        </w:rPr>
        <w:t xml:space="preserve">. Aggregate periods were determined via power spectral density analysis of images with aggregates aligned not more than ±5° from perpendicular (the slow scan direction) as this provides the most accurate values. Table 2 shows aggregate periods for the systems investigated here, together with literature values. For 25 </w:t>
      </w:r>
      <w:proofErr w:type="spellStart"/>
      <w:r w:rsidRPr="00E15D24">
        <w:rPr>
          <w:rFonts w:ascii="Times New Roman" w:hAnsi="Times New Roman" w:cs="Times New Roman"/>
          <w:sz w:val="24"/>
          <w:szCs w:val="24"/>
          <w:lang w:val="en-GB"/>
        </w:rPr>
        <w:t>mM</w:t>
      </w:r>
      <w:proofErr w:type="spellEnd"/>
      <w:r w:rsidRPr="00E15D24">
        <w:rPr>
          <w:rFonts w:ascii="Times New Roman" w:hAnsi="Times New Roman" w:cs="Times New Roman"/>
          <w:sz w:val="24"/>
          <w:szCs w:val="24"/>
          <w:lang w:val="en-GB"/>
        </w:rPr>
        <w:t xml:space="preserve"> and 132 </w:t>
      </w:r>
      <w:proofErr w:type="spellStart"/>
      <w:r w:rsidRPr="00E15D24">
        <w:rPr>
          <w:rFonts w:ascii="Times New Roman" w:hAnsi="Times New Roman" w:cs="Times New Roman"/>
          <w:sz w:val="24"/>
          <w:szCs w:val="24"/>
          <w:lang w:val="en-GB"/>
        </w:rPr>
        <w:t>mM</w:t>
      </w:r>
      <w:proofErr w:type="spellEnd"/>
      <w:r w:rsidRPr="00E15D24">
        <w:rPr>
          <w:rFonts w:ascii="Times New Roman" w:hAnsi="Times New Roman" w:cs="Times New Roman"/>
          <w:sz w:val="24"/>
          <w:szCs w:val="24"/>
          <w:lang w:val="en-GB"/>
        </w:rPr>
        <w:t xml:space="preserve"> SDS solutions, the period was identical at 5.0 ± 0.1 nm, indicating that the </w:t>
      </w:r>
      <w:proofErr w:type="spellStart"/>
      <w:r w:rsidRPr="00E15D24">
        <w:rPr>
          <w:rFonts w:ascii="Times New Roman" w:hAnsi="Times New Roman" w:cs="Times New Roman"/>
          <w:sz w:val="24"/>
          <w:szCs w:val="24"/>
          <w:lang w:val="en-GB"/>
        </w:rPr>
        <w:t>hemicylinders</w:t>
      </w:r>
      <w:proofErr w:type="spellEnd"/>
      <w:r w:rsidRPr="00E15D24">
        <w:rPr>
          <w:rFonts w:ascii="Times New Roman" w:hAnsi="Times New Roman" w:cs="Times New Roman"/>
          <w:sz w:val="24"/>
          <w:szCs w:val="24"/>
          <w:lang w:val="en-GB"/>
        </w:rPr>
        <w:t xml:space="preserve"> assemble over the underlying tail-to-tail monolayer. This spacing is similar to that of SDS in water for concentrations greater than 20 </w:t>
      </w:r>
      <w:proofErr w:type="spellStart"/>
      <w:r w:rsidRPr="00E15D24">
        <w:rPr>
          <w:rFonts w:ascii="Times New Roman" w:hAnsi="Times New Roman" w:cs="Times New Roman"/>
          <w:sz w:val="24"/>
          <w:szCs w:val="24"/>
          <w:lang w:val="en-GB"/>
        </w:rPr>
        <w:t>mM</w:t>
      </w:r>
      <w:proofErr w:type="gramStart"/>
      <w:r w:rsidRPr="00E15D24">
        <w:rPr>
          <w:rFonts w:ascii="Times New Roman" w:hAnsi="Times New Roman" w:cs="Times New Roman"/>
          <w:sz w:val="24"/>
          <w:szCs w:val="24"/>
          <w:lang w:val="en-GB"/>
        </w:rPr>
        <w:t>.</w:t>
      </w:r>
      <w:proofErr w:type="spellEnd"/>
      <w:r w:rsidRPr="00E15D24">
        <w:rPr>
          <w:rFonts w:ascii="Times New Roman" w:hAnsi="Times New Roman" w:cs="Times New Roman"/>
          <w:sz w:val="24"/>
          <w:szCs w:val="24"/>
          <w:lang w:val="en-GB"/>
        </w:rPr>
        <w:t>(</w:t>
      </w:r>
      <w:proofErr w:type="gramEnd"/>
      <w:r w:rsidRPr="00E15D24">
        <w:rPr>
          <w:rFonts w:ascii="Times New Roman" w:hAnsi="Times New Roman" w:cs="Times New Roman"/>
          <w:sz w:val="24"/>
          <w:szCs w:val="24"/>
          <w:lang w:val="en-GB"/>
        </w:rPr>
        <w:t>51)</w:t>
      </w:r>
    </w:p>
    <w:p w14:paraId="0690326D" w14:textId="77777777" w:rsidR="00ED28B4" w:rsidRPr="00003C99" w:rsidRDefault="00ED28B4" w:rsidP="00ED28B4">
      <w:pPr>
        <w:spacing w:line="480" w:lineRule="auto"/>
        <w:jc w:val="center"/>
        <w:rPr>
          <w:rFonts w:ascii="Times New Roman" w:hAnsi="Times New Roman" w:cs="Times New Roman"/>
          <w:sz w:val="20"/>
          <w:szCs w:val="20"/>
          <w:lang w:val="en-GB"/>
        </w:rPr>
      </w:pPr>
      <w:r w:rsidRPr="00003C99">
        <w:rPr>
          <w:rFonts w:ascii="Times New Roman" w:hAnsi="Times New Roman" w:cs="Times New Roman"/>
          <w:b/>
          <w:sz w:val="20"/>
          <w:szCs w:val="20"/>
          <w:lang w:val="en-GB"/>
        </w:rPr>
        <w:t>Table 2</w:t>
      </w:r>
      <w:r w:rsidRPr="00003C99">
        <w:rPr>
          <w:rFonts w:ascii="Times New Roman" w:hAnsi="Times New Roman" w:cs="Times New Roman"/>
          <w:sz w:val="20"/>
          <w:szCs w:val="20"/>
          <w:lang w:val="en-GB"/>
        </w:rPr>
        <w:t>: Concentration (</w:t>
      </w:r>
      <w:proofErr w:type="spellStart"/>
      <w:r w:rsidRPr="00003C99">
        <w:rPr>
          <w:rFonts w:ascii="Times New Roman" w:hAnsi="Times New Roman" w:cs="Times New Roman"/>
          <w:sz w:val="20"/>
          <w:szCs w:val="20"/>
          <w:lang w:val="en-GB"/>
        </w:rPr>
        <w:t>mM</w:t>
      </w:r>
      <w:proofErr w:type="spellEnd"/>
      <w:r w:rsidRPr="00003C99">
        <w:rPr>
          <w:rFonts w:ascii="Times New Roman" w:hAnsi="Times New Roman" w:cs="Times New Roman"/>
          <w:sz w:val="20"/>
          <w:szCs w:val="20"/>
          <w:lang w:val="en-GB"/>
        </w:rPr>
        <w:t xml:space="preserve">), structure type (tail to tail </w:t>
      </w:r>
      <w:r w:rsidRPr="00003C99">
        <w:rPr>
          <w:rFonts w:ascii="Times New Roman" w:hAnsi="Times New Roman" w:cs="Times New Roman"/>
          <w:i/>
          <w:sz w:val="20"/>
          <w:szCs w:val="20"/>
          <w:lang w:val="en-GB"/>
        </w:rPr>
        <w:t>monolayer</w:t>
      </w:r>
      <w:r w:rsidRPr="00003C99">
        <w:rPr>
          <w:rFonts w:ascii="Times New Roman" w:hAnsi="Times New Roman" w:cs="Times New Roman"/>
          <w:sz w:val="20"/>
          <w:szCs w:val="20"/>
          <w:lang w:val="en-GB"/>
        </w:rPr>
        <w:t xml:space="preserve"> or </w:t>
      </w:r>
      <w:r w:rsidRPr="00003C99">
        <w:rPr>
          <w:rFonts w:ascii="Times New Roman" w:hAnsi="Times New Roman" w:cs="Times New Roman"/>
          <w:i/>
          <w:sz w:val="20"/>
          <w:szCs w:val="20"/>
          <w:lang w:val="en-GB"/>
        </w:rPr>
        <w:t>hemimicelle</w:t>
      </w:r>
      <w:r w:rsidRPr="00003C99">
        <w:rPr>
          <w:rFonts w:ascii="Times New Roman" w:hAnsi="Times New Roman" w:cs="Times New Roman"/>
          <w:sz w:val="20"/>
          <w:szCs w:val="20"/>
          <w:lang w:val="en-GB"/>
        </w:rPr>
        <w:t xml:space="preserve">), and structure period (nm ± 0.1 nm) determined from AFM images. </w:t>
      </w:r>
    </w:p>
    <w:tbl>
      <w:tblPr>
        <w:tblStyle w:val="TableGrid"/>
        <w:tblW w:w="0" w:type="auto"/>
        <w:jc w:val="center"/>
        <w:tblLook w:val="04A0" w:firstRow="1" w:lastRow="0" w:firstColumn="1" w:lastColumn="0" w:noHBand="0" w:noVBand="1"/>
      </w:tblPr>
      <w:tblGrid>
        <w:gridCol w:w="787"/>
        <w:gridCol w:w="758"/>
        <w:gridCol w:w="1205"/>
        <w:gridCol w:w="805"/>
        <w:gridCol w:w="722"/>
        <w:gridCol w:w="1209"/>
        <w:gridCol w:w="795"/>
        <w:gridCol w:w="711"/>
        <w:gridCol w:w="1205"/>
        <w:gridCol w:w="824"/>
      </w:tblGrid>
      <w:tr w:rsidR="0059463B" w:rsidRPr="003B0292" w14:paraId="0959F6FB" w14:textId="77777777" w:rsidTr="001440B8">
        <w:trPr>
          <w:jc w:val="center"/>
        </w:trPr>
        <w:tc>
          <w:tcPr>
            <w:tcW w:w="866" w:type="dxa"/>
            <w:vMerge w:val="restart"/>
            <w:tcBorders>
              <w:top w:val="nil"/>
              <w:left w:val="nil"/>
            </w:tcBorders>
            <w:vAlign w:val="center"/>
          </w:tcPr>
          <w:p w14:paraId="64EB297B" w14:textId="77777777" w:rsidR="00ED28B4" w:rsidRPr="00003C99" w:rsidRDefault="00ED28B4" w:rsidP="001440B8">
            <w:pPr>
              <w:spacing w:line="480" w:lineRule="auto"/>
              <w:jc w:val="center"/>
              <w:rPr>
                <w:rFonts w:ascii="Times New Roman" w:hAnsi="Times New Roman" w:cs="Times New Roman"/>
                <w:b/>
                <w:sz w:val="20"/>
                <w:szCs w:val="20"/>
                <w:lang w:val="en-GB"/>
              </w:rPr>
            </w:pPr>
          </w:p>
        </w:tc>
        <w:tc>
          <w:tcPr>
            <w:tcW w:w="3052" w:type="dxa"/>
            <w:gridSpan w:val="3"/>
            <w:vAlign w:val="center"/>
          </w:tcPr>
          <w:p w14:paraId="2CA34221" w14:textId="77777777" w:rsidR="00ED28B4" w:rsidRPr="00003C99" w:rsidRDefault="00ED28B4" w:rsidP="001440B8">
            <w:pPr>
              <w:spacing w:line="480" w:lineRule="auto"/>
              <w:jc w:val="center"/>
              <w:rPr>
                <w:rFonts w:ascii="Times New Roman" w:hAnsi="Times New Roman" w:cs="Times New Roman"/>
                <w:sz w:val="20"/>
                <w:szCs w:val="20"/>
                <w:lang w:val="en-GB"/>
              </w:rPr>
            </w:pPr>
            <w:proofErr w:type="spellStart"/>
            <w:r w:rsidRPr="00003C99">
              <w:rPr>
                <w:rFonts w:ascii="Times New Roman" w:hAnsi="Times New Roman" w:cs="Times New Roman"/>
                <w:b/>
                <w:sz w:val="20"/>
                <w:szCs w:val="20"/>
                <w:lang w:val="en-GB"/>
              </w:rPr>
              <w:t>ChCl</w:t>
            </w:r>
            <w:proofErr w:type="spellEnd"/>
            <w:r w:rsidRPr="00003C99">
              <w:rPr>
                <w:rFonts w:ascii="Times New Roman" w:hAnsi="Times New Roman" w:cs="Times New Roman"/>
                <w:b/>
                <w:sz w:val="20"/>
                <w:szCs w:val="20"/>
                <w:lang w:val="en-GB"/>
              </w:rPr>
              <w:t>-EG</w:t>
            </w:r>
          </w:p>
        </w:tc>
        <w:tc>
          <w:tcPr>
            <w:tcW w:w="2862" w:type="dxa"/>
            <w:gridSpan w:val="3"/>
            <w:vAlign w:val="center"/>
          </w:tcPr>
          <w:p w14:paraId="0E2CBBCA" w14:textId="77777777" w:rsidR="00ED28B4" w:rsidRPr="00003C99" w:rsidRDefault="00ED28B4" w:rsidP="001440B8">
            <w:pPr>
              <w:spacing w:line="480" w:lineRule="auto"/>
              <w:jc w:val="center"/>
              <w:rPr>
                <w:rFonts w:ascii="Times New Roman" w:hAnsi="Times New Roman" w:cs="Times New Roman"/>
                <w:sz w:val="20"/>
                <w:szCs w:val="20"/>
                <w:lang w:val="en-GB"/>
              </w:rPr>
            </w:pPr>
            <w:proofErr w:type="spellStart"/>
            <w:r w:rsidRPr="00003C99">
              <w:rPr>
                <w:rFonts w:ascii="Times New Roman" w:hAnsi="Times New Roman" w:cs="Times New Roman"/>
                <w:b/>
                <w:sz w:val="20"/>
                <w:szCs w:val="20"/>
                <w:lang w:val="en-GB"/>
              </w:rPr>
              <w:t>ChCl-Gly</w:t>
            </w:r>
            <w:proofErr w:type="spellEnd"/>
          </w:p>
        </w:tc>
        <w:tc>
          <w:tcPr>
            <w:tcW w:w="2961" w:type="dxa"/>
            <w:gridSpan w:val="3"/>
            <w:vAlign w:val="center"/>
          </w:tcPr>
          <w:p w14:paraId="652CF904" w14:textId="77777777" w:rsidR="00ED28B4" w:rsidRPr="00003C99" w:rsidRDefault="00ED28B4" w:rsidP="001440B8">
            <w:pPr>
              <w:spacing w:line="480" w:lineRule="auto"/>
              <w:jc w:val="center"/>
              <w:rPr>
                <w:rFonts w:ascii="Times New Roman" w:hAnsi="Times New Roman" w:cs="Times New Roman"/>
                <w:sz w:val="20"/>
                <w:szCs w:val="20"/>
                <w:lang w:val="en-GB"/>
              </w:rPr>
            </w:pPr>
            <w:r w:rsidRPr="00003C99">
              <w:rPr>
                <w:rFonts w:ascii="Times New Roman" w:hAnsi="Times New Roman" w:cs="Times New Roman"/>
                <w:b/>
                <w:sz w:val="20"/>
                <w:szCs w:val="20"/>
                <w:lang w:val="en-GB"/>
              </w:rPr>
              <w:t>Water</w:t>
            </w:r>
          </w:p>
        </w:tc>
      </w:tr>
      <w:tr w:rsidR="0059463B" w:rsidRPr="003B0292" w14:paraId="44C1FEBD" w14:textId="77777777" w:rsidTr="001440B8">
        <w:trPr>
          <w:jc w:val="center"/>
        </w:trPr>
        <w:tc>
          <w:tcPr>
            <w:tcW w:w="873" w:type="dxa"/>
            <w:vMerge/>
            <w:tcBorders>
              <w:left w:val="nil"/>
            </w:tcBorders>
            <w:vAlign w:val="center"/>
          </w:tcPr>
          <w:p w14:paraId="5B64BD92" w14:textId="77777777" w:rsidR="00ED28B4" w:rsidRPr="00003C99" w:rsidRDefault="00ED28B4" w:rsidP="001440B8">
            <w:pPr>
              <w:spacing w:line="480" w:lineRule="auto"/>
              <w:jc w:val="center"/>
              <w:rPr>
                <w:rFonts w:ascii="Times New Roman" w:hAnsi="Times New Roman" w:cs="Times New Roman"/>
                <w:sz w:val="20"/>
                <w:szCs w:val="20"/>
                <w:lang w:val="en-GB"/>
              </w:rPr>
            </w:pPr>
          </w:p>
        </w:tc>
        <w:tc>
          <w:tcPr>
            <w:tcW w:w="1013" w:type="dxa"/>
            <w:vAlign w:val="center"/>
          </w:tcPr>
          <w:p w14:paraId="42C96155"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Conc.</w:t>
            </w:r>
          </w:p>
          <w:p w14:paraId="42A7C4CF"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1114" w:type="dxa"/>
            <w:vAlign w:val="center"/>
          </w:tcPr>
          <w:p w14:paraId="39360541"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Structure</w:t>
            </w:r>
          </w:p>
        </w:tc>
        <w:tc>
          <w:tcPr>
            <w:tcW w:w="862" w:type="dxa"/>
            <w:vAlign w:val="center"/>
          </w:tcPr>
          <w:p w14:paraId="68745019"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Period (nm)</w:t>
            </w:r>
          </w:p>
        </w:tc>
        <w:tc>
          <w:tcPr>
            <w:tcW w:w="784" w:type="dxa"/>
            <w:vAlign w:val="center"/>
          </w:tcPr>
          <w:p w14:paraId="5131C5D8"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Conc.</w:t>
            </w:r>
          </w:p>
          <w:p w14:paraId="7D7FC57C"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1229" w:type="dxa"/>
            <w:vAlign w:val="center"/>
          </w:tcPr>
          <w:p w14:paraId="29C813F8"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Structure</w:t>
            </w:r>
          </w:p>
        </w:tc>
        <w:tc>
          <w:tcPr>
            <w:tcW w:w="862" w:type="dxa"/>
            <w:vAlign w:val="center"/>
          </w:tcPr>
          <w:p w14:paraId="7BB2D68D"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Period</w:t>
            </w:r>
          </w:p>
          <w:p w14:paraId="16DDC7AD"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(nm)</w:t>
            </w:r>
          </w:p>
        </w:tc>
        <w:tc>
          <w:tcPr>
            <w:tcW w:w="711" w:type="dxa"/>
            <w:vAlign w:val="center"/>
          </w:tcPr>
          <w:p w14:paraId="5541F36A"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Conc.</w:t>
            </w:r>
          </w:p>
          <w:p w14:paraId="5E2412DB"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1205" w:type="dxa"/>
            <w:vAlign w:val="center"/>
          </w:tcPr>
          <w:p w14:paraId="28F4443C"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Structure</w:t>
            </w:r>
          </w:p>
        </w:tc>
        <w:tc>
          <w:tcPr>
            <w:tcW w:w="862" w:type="dxa"/>
            <w:vAlign w:val="center"/>
          </w:tcPr>
          <w:p w14:paraId="3DEA821F"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Period</w:t>
            </w:r>
          </w:p>
          <w:p w14:paraId="688EAE4F" w14:textId="77777777" w:rsidR="00ED28B4" w:rsidRPr="00003C99" w:rsidRDefault="00ED28B4" w:rsidP="001440B8">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(nm)</w:t>
            </w:r>
          </w:p>
        </w:tc>
      </w:tr>
      <w:tr w:rsidR="0059463B" w:rsidRPr="00003C99" w14:paraId="2C036CFA" w14:textId="77777777" w:rsidTr="001440B8">
        <w:trPr>
          <w:jc w:val="center"/>
        </w:trPr>
        <w:tc>
          <w:tcPr>
            <w:tcW w:w="873" w:type="dxa"/>
            <w:vMerge w:val="restart"/>
            <w:vAlign w:val="center"/>
          </w:tcPr>
          <w:p w14:paraId="61568408" w14:textId="1AC3A671" w:rsidR="00BD3220" w:rsidRPr="00BD3220" w:rsidRDefault="00ED28B4" w:rsidP="00BD3220">
            <w:pPr>
              <w:spacing w:line="480" w:lineRule="auto"/>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SDS</w:t>
            </w:r>
          </w:p>
        </w:tc>
        <w:tc>
          <w:tcPr>
            <w:tcW w:w="1013" w:type="dxa"/>
            <w:vAlign w:val="center"/>
          </w:tcPr>
          <w:p w14:paraId="4F140BE9"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25</w:t>
            </w:r>
          </w:p>
        </w:tc>
        <w:tc>
          <w:tcPr>
            <w:tcW w:w="1114" w:type="dxa"/>
            <w:vAlign w:val="center"/>
          </w:tcPr>
          <w:p w14:paraId="4F19BDCA"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monolayer</w:t>
            </w:r>
          </w:p>
        </w:tc>
        <w:tc>
          <w:tcPr>
            <w:tcW w:w="862" w:type="dxa"/>
            <w:vAlign w:val="center"/>
          </w:tcPr>
          <w:p w14:paraId="2992C78D"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5.0</w:t>
            </w:r>
          </w:p>
        </w:tc>
        <w:tc>
          <w:tcPr>
            <w:tcW w:w="784" w:type="dxa"/>
            <w:vAlign w:val="center"/>
          </w:tcPr>
          <w:p w14:paraId="7EFE258A"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21</w:t>
            </w:r>
          </w:p>
        </w:tc>
        <w:tc>
          <w:tcPr>
            <w:tcW w:w="1229" w:type="dxa"/>
            <w:vAlign w:val="center"/>
          </w:tcPr>
          <w:p w14:paraId="76F31D9C"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monolayer</w:t>
            </w:r>
          </w:p>
        </w:tc>
        <w:tc>
          <w:tcPr>
            <w:tcW w:w="862" w:type="dxa"/>
            <w:vAlign w:val="center"/>
          </w:tcPr>
          <w:p w14:paraId="67C3DAE3"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5.2</w:t>
            </w:r>
          </w:p>
        </w:tc>
        <w:tc>
          <w:tcPr>
            <w:tcW w:w="711" w:type="dxa"/>
            <w:vAlign w:val="center"/>
          </w:tcPr>
          <w:p w14:paraId="5FB121FC"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2.8</w:t>
            </w:r>
          </w:p>
        </w:tc>
        <w:tc>
          <w:tcPr>
            <w:tcW w:w="1205" w:type="dxa"/>
            <w:vAlign w:val="center"/>
          </w:tcPr>
          <w:p w14:paraId="2971B37D"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862" w:type="dxa"/>
            <w:vAlign w:val="center"/>
          </w:tcPr>
          <w:p w14:paraId="09FF8E51" w14:textId="3B36FC02" w:rsidR="00ED28B4" w:rsidRPr="00003C99" w:rsidRDefault="00ED28B4" w:rsidP="00E15D24">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7</w:t>
            </w:r>
            <w:r w:rsidR="0059463B" w:rsidRPr="00003C99">
              <w:rPr>
                <w:rStyle w:val="CommentReference"/>
              </w:rPr>
              <w:t xml:space="preserve"> </w:t>
            </w:r>
          </w:p>
        </w:tc>
      </w:tr>
      <w:tr w:rsidR="0059463B" w:rsidRPr="00003C99" w14:paraId="1BC593AB" w14:textId="77777777" w:rsidTr="001440B8">
        <w:trPr>
          <w:jc w:val="center"/>
        </w:trPr>
        <w:tc>
          <w:tcPr>
            <w:tcW w:w="873" w:type="dxa"/>
            <w:vMerge/>
            <w:vAlign w:val="center"/>
          </w:tcPr>
          <w:p w14:paraId="1A788B77" w14:textId="77777777" w:rsidR="00ED28B4" w:rsidRPr="00003C99" w:rsidRDefault="00ED28B4" w:rsidP="001440B8">
            <w:pPr>
              <w:spacing w:line="480" w:lineRule="auto"/>
              <w:jc w:val="center"/>
              <w:rPr>
                <w:rFonts w:ascii="Times New Roman" w:hAnsi="Times New Roman" w:cs="Times New Roman"/>
                <w:sz w:val="20"/>
                <w:szCs w:val="20"/>
                <w:lang w:val="en-GB"/>
              </w:rPr>
            </w:pPr>
          </w:p>
        </w:tc>
        <w:tc>
          <w:tcPr>
            <w:tcW w:w="1013" w:type="dxa"/>
            <w:vAlign w:val="center"/>
          </w:tcPr>
          <w:p w14:paraId="1D8B0323"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132</w:t>
            </w:r>
          </w:p>
        </w:tc>
        <w:tc>
          <w:tcPr>
            <w:tcW w:w="1114" w:type="dxa"/>
            <w:vAlign w:val="center"/>
          </w:tcPr>
          <w:p w14:paraId="79042450"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862" w:type="dxa"/>
            <w:vAlign w:val="center"/>
          </w:tcPr>
          <w:p w14:paraId="2EF1FFA8"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5.0</w:t>
            </w:r>
          </w:p>
        </w:tc>
        <w:tc>
          <w:tcPr>
            <w:tcW w:w="784" w:type="dxa"/>
            <w:vAlign w:val="center"/>
          </w:tcPr>
          <w:p w14:paraId="14E9ADC5"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&gt;21</w:t>
            </w:r>
          </w:p>
        </w:tc>
        <w:tc>
          <w:tcPr>
            <w:tcW w:w="2083" w:type="dxa"/>
            <w:gridSpan w:val="2"/>
            <w:vAlign w:val="center"/>
          </w:tcPr>
          <w:p w14:paraId="63BC1AF5" w14:textId="77777777" w:rsidR="00ED28B4" w:rsidRPr="00003C99" w:rsidRDefault="00ED28B4" w:rsidP="001440B8">
            <w:pPr>
              <w:spacing w:before="120" w:line="480" w:lineRule="auto"/>
              <w:jc w:val="center"/>
              <w:rPr>
                <w:rFonts w:ascii="Times New Roman" w:hAnsi="Times New Roman" w:cs="Times New Roman"/>
                <w:i/>
                <w:sz w:val="20"/>
                <w:szCs w:val="20"/>
                <w:lang w:val="en-GB"/>
              </w:rPr>
            </w:pPr>
            <w:r w:rsidRPr="00003C99">
              <w:rPr>
                <w:rFonts w:ascii="Times New Roman" w:hAnsi="Times New Roman" w:cs="Times New Roman"/>
                <w:i/>
                <w:sz w:val="20"/>
                <w:szCs w:val="20"/>
                <w:lang w:val="en-GB"/>
              </w:rPr>
              <w:t>Insoluble</w:t>
            </w:r>
          </w:p>
        </w:tc>
        <w:tc>
          <w:tcPr>
            <w:tcW w:w="711" w:type="dxa"/>
            <w:vAlign w:val="center"/>
          </w:tcPr>
          <w:p w14:paraId="42631247"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&gt;20</w:t>
            </w:r>
          </w:p>
        </w:tc>
        <w:tc>
          <w:tcPr>
            <w:tcW w:w="1205" w:type="dxa"/>
            <w:vAlign w:val="center"/>
          </w:tcPr>
          <w:p w14:paraId="6DC10F7F"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862" w:type="dxa"/>
            <w:vAlign w:val="center"/>
          </w:tcPr>
          <w:p w14:paraId="227C75F2" w14:textId="72985578" w:rsidR="00ED28B4" w:rsidRPr="00003C99" w:rsidRDefault="00ED28B4" w:rsidP="00E15D24">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5.3</w:t>
            </w:r>
            <w:r w:rsidR="0059463B">
              <w:rPr>
                <w:rFonts w:ascii="Times New Roman" w:hAnsi="Times New Roman" w:cs="Times New Roman"/>
                <w:sz w:val="20"/>
                <w:szCs w:val="20"/>
                <w:lang w:val="en-GB"/>
              </w:rPr>
              <w:fldChar w:fldCharType="begin"/>
            </w:r>
            <w:r w:rsidR="00EF3DCB">
              <w:rPr>
                <w:rFonts w:ascii="Times New Roman" w:hAnsi="Times New Roman" w:cs="Times New Roman"/>
                <w:sz w:val="20"/>
                <w:szCs w:val="20"/>
                <w:lang w:val="en-GB"/>
              </w:rPr>
              <w:instrText>ADDIN CITAVI.PLACEHOLDER dda18f35-f202-4fc6-85a9-9b1a197a42af PFBsYWNlaG9sZGVyPg0KICA8QWRkSW5WZXJzaW9uPjUuNy4xLjA8L0FkZEluVmVyc2lvbj4NCiAgPElkPmRkYTE4ZjM1LWYyMDItNGZjNi04NWE5LTliMWExOTdhNDJhZjwvSWQ+DQogIDxFbnRyaWVzPg0KICAgIDxFbnRyeT4NCiAgICAgIDxJZD44ZWI1Njc4Yi1kMmNkLTRkOGItYjlmZi1lODg1ZGE1MzQzODk8L0lkPg0KICAgICAgPFJlZmVyZW5jZUlkPmEyMjdkZTQwLTZmNGQtNDA0NC04NmJkLWVmOGQ3NmIyMWE1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FcmljYTwvRmlyc3ROYW1lPg0KICAgICAgICAgICAgPExhc3ROYW1lPldhbmxlc3M8L0xhc3ROYW1lPg0KICAgICAgICAgICAgPE1pZGRsZU5hbWU+Si48L01pZGRsZU5hbWU+DQogICAgICAgICAgICA8U2V4PkZlbWFsZTwvU2V4Pg0KICAgICAgICAgIDwvUGVyc29uPg0KICAgICAgICAgIDxQZXJzb24+DQogICAgICAgICAgICA8Rmlyc3ROYW1lPldpbGxpYW08L0ZpcnN0TmFtZT4NCiAgICAgICAgICAgIDxMYXN0TmFtZT5EdWNrZXI8L0xhc3ROYW1lPg0KICAgICAgICAgICAgPE1pZGRsZU5hbWU+QS48L01pZGRsZU5hbWU+DQogICAgICAgICAgICA8U2V4Pk1hbGU8L1NleD4NCiAgICAgICAgICA8L1BlcnNvbj4NCiAgICAgICAgPC9BdXRob3JzPg0KICAgICAgICA8RG9pPjEwLjEwMjEvanA5NTI0Mzl4PC9Eb2k+DQogICAgICAgIDxJZD5hMjI3ZGU0MC02ZjRkLTQwNDQtODZiZC1lZjhkNzZiMjFhNTg8L0lkPg0KICAgICAgICA8TG9jYXRpb25zPg0KICAgICAgICAgIDxMb2NhdGlvbj4NCiAgICAgICAgICAgIDxBZGRyZXNzPjEwLjEwMjEvanA5NTI0Mzl4PC9BZGRyZXNzPg0KICAgICAgICAgICAgPExvY2F0aW9uVHlwZT5FbGVjdHJvbmljQWRkcmVzczwvTG9jYXRpb25UeXBlPg0KICAgICAgICAgIDwvTG9jYXRpb24+DQogICAgICAgIDwvTG9jYXRpb25zPg0KICAgICAgICA8TnVtYmVyPjg8L051bWJlcj4NCiAgICAgICAgPFBhZ2VSYW5nZT48IVtDREFUQVs8c3A+DQogIDxuPjMyMDc8L24+DQogIDxpbj50cnVlPC9pbj4NCiAgPG9zPjMyMDc8L29zPg0KICA8cHM+MzIwNzwvcHM+DQo8L3NwPg0KPGVwPg0KICA8bj4zMjE0PC9uPg0KICA8aW4+dHJ1ZTwvaW4+DQogIDxvcz4zMjE0PC9vcz4NCiAgPHBzPjMyMTQ8L3BzPg0KPC9lcD4NCjxvcz4zMjA3LTMyMTQ8L29zPl1dPjwvUGFnZVJhbmdlPg0KICAgICAgICA8RW5kUGFnZT4zMjE0PC9FbmRQYWdlPg0KICAgICAgICA8U3RhcnRQYWdlPjMyMDc8L1N0YXJ0UGFnZT4NCiAgICAgICAgPFBlcmlvZGljYWw+DQogICAgICAgICAgPElzc24+MDAyMi0zNjU0PC9Jc3NuPg0KICAgICAgICAgIDxOYW1lPlRoZSBKb3VybmFsIG9mIFBoeXNpY2FsIENoZW1pc3RyeTwvTmFtZT4NCiAgICAgICAgICA8U3RhbmRhcmRBYmJyZXZpYXRpb24+Si4gUGh5cy4gQ2hlbS48L1N0YW5kYXJkQWJicmV2aWF0aW9uPg0KICAgICAgICA8L1BlcmlvZGljYWw+DQogICAgICAgIDxTZXF1ZW5jZU51bWJlcj4zNjwvU2VxdWVuY2VOdW1iZXI+DQogICAgICAgIDxTaG9ydFRpdGxlPldhbmxlc3MsIER1Y2tlciAxOTk2IOKAkyBPcmdhbml6YXRpb24gb2YgU29kaXVtIERvZGVjeWwgU3VsZmF0ZTwvU2hvcnRUaXRsZT4NCiAgICAgICAgPFNvdXJjZU9mQmlibGlvZ3JhcGhpY0luZm9ybWF0aW9uPkNyb3NzUmVmPC9Tb3VyY2VPZkJpYmxpb2dyYXBoaWNJbmZvcm1hdGlvbj4NCiAgICAgICAgPFRpdGxlPk9yZ2FuaXphdGlvbiBvZiBTb2RpdW0gRG9kZWN5bCBTdWxmYXRlIGF0IHRoZSBHcmFwaGl0ZeKIklNvbHV0aW9uIEludGVyZmFjZTwvVGl0bGU+DQogICAgICAgIDxWb2x1bWU+MTAwPC9Wb2x1bWU+DQogICAgICAgIDxZZWFyPjE5OTY8L1llYXI+DQogICAgICA8L1JlZmVyZW5jZT4NCiAgICA8L0VudHJ5Pg0KICA8L0VudHJpZXM+DQogIDxUZXh0PlsxMl08L1RleHQ+DQogIDxUZXh0VW5pdHM+DQogICAgPFRleHRVbml0Pg0KICAgICAgPEluc2VydFBhcmFncmFwaEFmdGVyPmZhbHNlPC9JbnNlcnRQYXJhZ3JhcGhBZnRlcj4NCiAgICAgIDxGb250TmFtZSAvPg0KICAgICAgPEZvbnRTdHlsZT4NCiAgICAgICAgPFN1cGVyc2NyaXB0PnRydWU8L1N1cGVyc2NyaXB0Pg0KICAgICAgICA8TmFtZSAvPg0KICAgICAgPC9Gb250U3R5bGU+DQogICAgICA8Rm9udFNpemU+MDwvRm9udFNpemU+DQogICAgICA8VGV4dD5bMTJdPC9UZXh0Pg0KICAgIDwvVGV4dFVuaXQ+DQogIDwvVGV4dFVuaXRzPg0KPC9QbGFjZWhvbGRlcj4=</w:instrText>
            </w:r>
            <w:r w:rsidR="0059463B">
              <w:rPr>
                <w:rFonts w:ascii="Times New Roman" w:hAnsi="Times New Roman" w:cs="Times New Roman"/>
                <w:sz w:val="20"/>
                <w:szCs w:val="20"/>
                <w:lang w:val="en-GB"/>
              </w:rPr>
              <w:fldChar w:fldCharType="separate"/>
            </w:r>
            <w:bookmarkStart w:id="0" w:name="_CTVP001dda18f35f2024fc685a99b1a197a42af"/>
            <w:r w:rsidR="00EF3DCB" w:rsidRPr="00EF3DCB">
              <w:rPr>
                <w:rFonts w:ascii="Times New Roman" w:hAnsi="Times New Roman" w:cs="Times New Roman"/>
                <w:sz w:val="20"/>
                <w:szCs w:val="20"/>
                <w:vertAlign w:val="superscript"/>
                <w:lang w:val="en-GB"/>
              </w:rPr>
              <w:t>[</w:t>
            </w:r>
            <w:bookmarkEnd w:id="0"/>
            <w:r w:rsidR="0059463B">
              <w:rPr>
                <w:rFonts w:ascii="Times New Roman" w:hAnsi="Times New Roman" w:cs="Times New Roman"/>
                <w:sz w:val="20"/>
                <w:szCs w:val="20"/>
                <w:lang w:val="en-GB"/>
              </w:rPr>
              <w:fldChar w:fldCharType="end"/>
            </w:r>
          </w:p>
        </w:tc>
      </w:tr>
      <w:tr w:rsidR="0059463B" w:rsidRPr="00003C99" w14:paraId="2B6922C6" w14:textId="77777777" w:rsidTr="001440B8">
        <w:trPr>
          <w:jc w:val="center"/>
        </w:trPr>
        <w:tc>
          <w:tcPr>
            <w:tcW w:w="866" w:type="dxa"/>
            <w:vMerge w:val="restart"/>
            <w:vAlign w:val="center"/>
          </w:tcPr>
          <w:p w14:paraId="007C7798" w14:textId="7BB34AE1" w:rsidR="00ED28B4" w:rsidRPr="00003C99" w:rsidRDefault="00ED28B4" w:rsidP="00BD3220">
            <w:pPr>
              <w:spacing w:line="480" w:lineRule="auto"/>
              <w:jc w:val="center"/>
              <w:rPr>
                <w:rFonts w:ascii="Times New Roman" w:hAnsi="Times New Roman" w:cs="Times New Roman"/>
                <w:sz w:val="20"/>
                <w:szCs w:val="20"/>
                <w:lang w:val="en-GB"/>
              </w:rPr>
            </w:pPr>
            <w:r w:rsidRPr="00003C99">
              <w:rPr>
                <w:rFonts w:ascii="Times New Roman" w:hAnsi="Times New Roman" w:cs="Times New Roman"/>
                <w:b/>
                <w:sz w:val="20"/>
                <w:szCs w:val="20"/>
                <w:lang w:val="en-GB"/>
              </w:rPr>
              <w:t>CTAB</w:t>
            </w:r>
          </w:p>
        </w:tc>
        <w:tc>
          <w:tcPr>
            <w:tcW w:w="3052" w:type="dxa"/>
            <w:gridSpan w:val="3"/>
            <w:vMerge w:val="restart"/>
            <w:vAlign w:val="center"/>
          </w:tcPr>
          <w:p w14:paraId="4204BF5C" w14:textId="77777777" w:rsidR="00ED28B4" w:rsidRPr="00003C99" w:rsidRDefault="00ED28B4" w:rsidP="001440B8">
            <w:pPr>
              <w:spacing w:line="480" w:lineRule="auto"/>
              <w:jc w:val="center"/>
              <w:rPr>
                <w:rFonts w:ascii="Times New Roman" w:hAnsi="Times New Roman" w:cs="Times New Roman"/>
                <w:i/>
                <w:sz w:val="20"/>
                <w:szCs w:val="20"/>
                <w:lang w:val="en-GB"/>
              </w:rPr>
            </w:pPr>
            <w:r w:rsidRPr="00003C99">
              <w:rPr>
                <w:rFonts w:ascii="Times New Roman" w:hAnsi="Times New Roman" w:cs="Times New Roman"/>
                <w:i/>
                <w:sz w:val="20"/>
                <w:szCs w:val="20"/>
                <w:lang w:val="en-GB"/>
              </w:rPr>
              <w:t>Insoluble</w:t>
            </w:r>
          </w:p>
        </w:tc>
        <w:tc>
          <w:tcPr>
            <w:tcW w:w="779" w:type="dxa"/>
            <w:vAlign w:val="center"/>
          </w:tcPr>
          <w:p w14:paraId="4B2E0EA7"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2.5</w:t>
            </w:r>
          </w:p>
        </w:tc>
        <w:tc>
          <w:tcPr>
            <w:tcW w:w="1227" w:type="dxa"/>
            <w:vAlign w:val="center"/>
          </w:tcPr>
          <w:p w14:paraId="40F506FE"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856" w:type="dxa"/>
            <w:vAlign w:val="center"/>
          </w:tcPr>
          <w:p w14:paraId="131A0E73"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5.5</w:t>
            </w:r>
          </w:p>
        </w:tc>
        <w:tc>
          <w:tcPr>
            <w:tcW w:w="711" w:type="dxa"/>
            <w:vAlign w:val="center"/>
          </w:tcPr>
          <w:p w14:paraId="69A912E3"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1.8</w:t>
            </w:r>
          </w:p>
        </w:tc>
        <w:tc>
          <w:tcPr>
            <w:tcW w:w="1205" w:type="dxa"/>
            <w:vAlign w:val="center"/>
          </w:tcPr>
          <w:p w14:paraId="164688C0"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1045" w:type="dxa"/>
            <w:vAlign w:val="center"/>
          </w:tcPr>
          <w:p w14:paraId="2AF8F203" w14:textId="5913C857" w:rsidR="00ED28B4" w:rsidRPr="00003C99" w:rsidRDefault="00ED28B4" w:rsidP="00E15D24">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9.1</w:t>
            </w:r>
            <w:r w:rsidR="0059463B" w:rsidRPr="00003C99">
              <w:rPr>
                <w:rFonts w:ascii="Times New Roman" w:hAnsi="Times New Roman" w:cs="Times New Roman"/>
                <w:sz w:val="20"/>
                <w:szCs w:val="20"/>
                <w:lang w:val="en-GB"/>
              </w:rPr>
              <w:t xml:space="preserve"> </w:t>
            </w:r>
          </w:p>
        </w:tc>
      </w:tr>
      <w:tr w:rsidR="0059463B" w:rsidRPr="003B0292" w14:paraId="3B52134D" w14:textId="77777777" w:rsidTr="001440B8">
        <w:trPr>
          <w:jc w:val="center"/>
        </w:trPr>
        <w:tc>
          <w:tcPr>
            <w:tcW w:w="866" w:type="dxa"/>
            <w:vMerge/>
            <w:vAlign w:val="center"/>
          </w:tcPr>
          <w:p w14:paraId="7B67DCEB" w14:textId="77777777" w:rsidR="00ED28B4" w:rsidRPr="00003C99" w:rsidRDefault="00ED28B4" w:rsidP="001440B8">
            <w:pPr>
              <w:spacing w:line="480" w:lineRule="auto"/>
              <w:jc w:val="center"/>
              <w:rPr>
                <w:rFonts w:ascii="Times New Roman" w:hAnsi="Times New Roman" w:cs="Times New Roman"/>
                <w:sz w:val="20"/>
                <w:szCs w:val="20"/>
                <w:lang w:val="en-GB"/>
              </w:rPr>
            </w:pPr>
          </w:p>
        </w:tc>
        <w:tc>
          <w:tcPr>
            <w:tcW w:w="3052" w:type="dxa"/>
            <w:gridSpan w:val="3"/>
            <w:vMerge/>
            <w:vAlign w:val="center"/>
          </w:tcPr>
          <w:p w14:paraId="5A931F27" w14:textId="77777777" w:rsidR="00ED28B4" w:rsidRPr="00003C99" w:rsidRDefault="00ED28B4" w:rsidP="001440B8">
            <w:pPr>
              <w:spacing w:line="480" w:lineRule="auto"/>
              <w:jc w:val="center"/>
              <w:rPr>
                <w:rFonts w:ascii="Times New Roman" w:hAnsi="Times New Roman" w:cs="Times New Roman"/>
                <w:sz w:val="20"/>
                <w:szCs w:val="20"/>
                <w:lang w:val="en-GB"/>
              </w:rPr>
            </w:pPr>
          </w:p>
        </w:tc>
        <w:tc>
          <w:tcPr>
            <w:tcW w:w="779" w:type="dxa"/>
            <w:vAlign w:val="center"/>
          </w:tcPr>
          <w:p w14:paraId="591EF7B4"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21</w:t>
            </w:r>
          </w:p>
        </w:tc>
        <w:tc>
          <w:tcPr>
            <w:tcW w:w="1227" w:type="dxa"/>
            <w:vAlign w:val="center"/>
          </w:tcPr>
          <w:p w14:paraId="14119ABF"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856" w:type="dxa"/>
            <w:vAlign w:val="center"/>
          </w:tcPr>
          <w:p w14:paraId="026A4983"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5.5</w:t>
            </w:r>
          </w:p>
        </w:tc>
        <w:tc>
          <w:tcPr>
            <w:tcW w:w="711" w:type="dxa"/>
            <w:vAlign w:val="center"/>
          </w:tcPr>
          <w:p w14:paraId="4292DBF0"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5</w:t>
            </w:r>
          </w:p>
        </w:tc>
        <w:tc>
          <w:tcPr>
            <w:tcW w:w="1205" w:type="dxa"/>
            <w:vAlign w:val="center"/>
          </w:tcPr>
          <w:p w14:paraId="170C6C9F" w14:textId="77777777" w:rsidR="00ED28B4" w:rsidRPr="00003C99" w:rsidRDefault="00ED28B4" w:rsidP="001440B8">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hemimicelle</w:t>
            </w:r>
          </w:p>
        </w:tc>
        <w:tc>
          <w:tcPr>
            <w:tcW w:w="1045" w:type="dxa"/>
            <w:vAlign w:val="center"/>
          </w:tcPr>
          <w:p w14:paraId="52AFBF7D" w14:textId="66F9933C" w:rsidR="00ED28B4" w:rsidRPr="00003C99" w:rsidRDefault="00ED28B4" w:rsidP="00E15D24">
            <w:pPr>
              <w:spacing w:before="120"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4.2</w:t>
            </w:r>
          </w:p>
        </w:tc>
      </w:tr>
    </w:tbl>
    <w:p w14:paraId="56BB323C" w14:textId="77777777" w:rsidR="00ED28B4" w:rsidRPr="00003C99" w:rsidRDefault="00ED28B4" w:rsidP="00ED28B4">
      <w:pPr>
        <w:spacing w:line="480" w:lineRule="auto"/>
        <w:jc w:val="center"/>
        <w:rPr>
          <w:rFonts w:ascii="Times New Roman" w:hAnsi="Times New Roman" w:cs="Times New Roman"/>
          <w:sz w:val="20"/>
          <w:szCs w:val="20"/>
          <w:lang w:val="en-GB"/>
        </w:rPr>
      </w:pPr>
      <w:r w:rsidRPr="00003C99">
        <w:rPr>
          <w:rFonts w:ascii="Times New Roman" w:hAnsi="Times New Roman" w:cs="Times New Roman"/>
          <w:sz w:val="20"/>
          <w:szCs w:val="20"/>
          <w:lang w:val="en-GB"/>
        </w:rPr>
        <w:t>* Hemimicelles were not aligned parallel to the scan direction in the image used to calculate this value, so it is likely less than the true aggregate spacing.</w:t>
      </w:r>
    </w:p>
    <w:p w14:paraId="5670A50D" w14:textId="77777777" w:rsidR="00E15D24" w:rsidRDefault="00E15D24" w:rsidP="00DC0CAF">
      <w:pPr>
        <w:spacing w:line="480" w:lineRule="auto"/>
        <w:rPr>
          <w:rFonts w:ascii="Times New Roman" w:hAnsi="Times New Roman" w:cs="Times New Roman"/>
          <w:sz w:val="24"/>
          <w:szCs w:val="24"/>
          <w:lang w:val="en-US"/>
        </w:rPr>
      </w:pPr>
      <w:r w:rsidRPr="00E15D24">
        <w:rPr>
          <w:rFonts w:ascii="Times New Roman" w:hAnsi="Times New Roman" w:cs="Times New Roman"/>
          <w:sz w:val="24"/>
          <w:szCs w:val="24"/>
          <w:lang w:val="en-US"/>
        </w:rPr>
        <w:lastRenderedPageBreak/>
        <w:t xml:space="preserve">In </w:t>
      </w:r>
      <w:proofErr w:type="spellStart"/>
      <w:r w:rsidRPr="00E15D24">
        <w:rPr>
          <w:rFonts w:ascii="Times New Roman" w:hAnsi="Times New Roman" w:cs="Times New Roman"/>
          <w:sz w:val="24"/>
          <w:szCs w:val="24"/>
          <w:lang w:val="en-US"/>
        </w:rPr>
        <w:t>ChCl-Gly</w:t>
      </w:r>
      <w:proofErr w:type="spellEnd"/>
      <w:r w:rsidRPr="00E15D24">
        <w:rPr>
          <w:rFonts w:ascii="Times New Roman" w:hAnsi="Times New Roman" w:cs="Times New Roman"/>
          <w:sz w:val="24"/>
          <w:szCs w:val="24"/>
          <w:lang w:val="en-US"/>
        </w:rPr>
        <w:t xml:space="preserve">, the SDS stripes have a similar period (5.2 ± 0.1 nm) and small imaging deflection range at 21 </w:t>
      </w:r>
      <w:proofErr w:type="spellStart"/>
      <w:r w:rsidRPr="00E15D24">
        <w:rPr>
          <w:rFonts w:ascii="Times New Roman" w:hAnsi="Times New Roman" w:cs="Times New Roman"/>
          <w:sz w:val="24"/>
          <w:szCs w:val="24"/>
          <w:lang w:val="en-US"/>
        </w:rPr>
        <w:t>mM</w:t>
      </w:r>
      <w:proofErr w:type="spellEnd"/>
      <w:r w:rsidRPr="00E15D24">
        <w:rPr>
          <w:rFonts w:ascii="Times New Roman" w:hAnsi="Times New Roman" w:cs="Times New Roman"/>
          <w:sz w:val="24"/>
          <w:szCs w:val="24"/>
          <w:lang w:val="en-US"/>
        </w:rPr>
        <w:t xml:space="preserve">, also consistent with a tail-to-tail monolayer. The CTAB stripe period is also constant at 5.5 ± 0.1 nm as concentration is increased from 2.5 to 21 </w:t>
      </w:r>
      <w:proofErr w:type="spellStart"/>
      <w:r w:rsidRPr="00E15D24">
        <w:rPr>
          <w:rFonts w:ascii="Times New Roman" w:hAnsi="Times New Roman" w:cs="Times New Roman"/>
          <w:sz w:val="24"/>
          <w:szCs w:val="24"/>
          <w:lang w:val="en-US"/>
        </w:rPr>
        <w:t>mM</w:t>
      </w:r>
      <w:proofErr w:type="spellEnd"/>
      <w:r w:rsidRPr="00E15D24">
        <w:rPr>
          <w:rFonts w:ascii="Times New Roman" w:hAnsi="Times New Roman" w:cs="Times New Roman"/>
          <w:sz w:val="24"/>
          <w:szCs w:val="24"/>
          <w:lang w:val="en-US"/>
        </w:rPr>
        <w:t xml:space="preserve"> in </w:t>
      </w:r>
      <w:proofErr w:type="spellStart"/>
      <w:r w:rsidRPr="00E15D24">
        <w:rPr>
          <w:rFonts w:ascii="Times New Roman" w:hAnsi="Times New Roman" w:cs="Times New Roman"/>
          <w:sz w:val="24"/>
          <w:szCs w:val="24"/>
          <w:lang w:val="en-US"/>
        </w:rPr>
        <w:t>ChCl-Gly</w:t>
      </w:r>
      <w:proofErr w:type="spellEnd"/>
      <w:r w:rsidRPr="00E15D24">
        <w:rPr>
          <w:rFonts w:ascii="Times New Roman" w:hAnsi="Times New Roman" w:cs="Times New Roman"/>
          <w:sz w:val="24"/>
          <w:szCs w:val="24"/>
          <w:lang w:val="en-US"/>
        </w:rPr>
        <w:t xml:space="preserve"> (Table 2). This differs from reported behavior in water, where the </w:t>
      </w:r>
      <w:proofErr w:type="spellStart"/>
      <w:r w:rsidRPr="00E15D24">
        <w:rPr>
          <w:rFonts w:ascii="Times New Roman" w:hAnsi="Times New Roman" w:cs="Times New Roman"/>
          <w:sz w:val="24"/>
          <w:szCs w:val="24"/>
          <w:lang w:val="en-US"/>
        </w:rPr>
        <w:t>hemimicelle</w:t>
      </w:r>
      <w:proofErr w:type="spellEnd"/>
      <w:r w:rsidRPr="00E15D24">
        <w:rPr>
          <w:rFonts w:ascii="Times New Roman" w:hAnsi="Times New Roman" w:cs="Times New Roman"/>
          <w:sz w:val="24"/>
          <w:szCs w:val="24"/>
          <w:lang w:val="en-US"/>
        </w:rPr>
        <w:t xml:space="preserve"> period decreases with increasing surfactant concentration, or upon addition of salt. The periodicity of </w:t>
      </w:r>
      <w:r w:rsidRPr="00E15D24">
        <w:rPr>
          <w:rFonts w:ascii="Cambria Math" w:hAnsi="Cambria Math" w:cs="Cambria Math"/>
          <w:sz w:val="24"/>
          <w:szCs w:val="24"/>
          <w:lang w:val="en-US"/>
        </w:rPr>
        <w:t>∼</w:t>
      </w:r>
      <w:r w:rsidRPr="00E15D24">
        <w:rPr>
          <w:rFonts w:ascii="Times New Roman" w:hAnsi="Times New Roman" w:cs="Times New Roman"/>
          <w:sz w:val="24"/>
          <w:szCs w:val="24"/>
          <w:lang w:val="en-US"/>
        </w:rPr>
        <w:t xml:space="preserve">7 nm for 2.8 </w:t>
      </w:r>
      <w:proofErr w:type="spellStart"/>
      <w:r w:rsidRPr="00E15D24">
        <w:rPr>
          <w:rFonts w:ascii="Times New Roman" w:hAnsi="Times New Roman" w:cs="Times New Roman"/>
          <w:sz w:val="24"/>
          <w:szCs w:val="24"/>
          <w:lang w:val="en-US"/>
        </w:rPr>
        <w:t>mM</w:t>
      </w:r>
      <w:proofErr w:type="spellEnd"/>
      <w:r w:rsidRPr="00E15D24">
        <w:rPr>
          <w:rFonts w:ascii="Times New Roman" w:hAnsi="Times New Roman" w:cs="Times New Roman"/>
          <w:sz w:val="24"/>
          <w:szCs w:val="24"/>
          <w:lang w:val="en-US"/>
        </w:rPr>
        <w:t xml:space="preserve"> SDS decreased to </w:t>
      </w:r>
      <w:r w:rsidRPr="00E15D24">
        <w:rPr>
          <w:rFonts w:ascii="Cambria Math" w:hAnsi="Cambria Math" w:cs="Cambria Math"/>
          <w:sz w:val="24"/>
          <w:szCs w:val="24"/>
          <w:lang w:val="en-US"/>
        </w:rPr>
        <w:t>∼</w:t>
      </w:r>
      <w:r w:rsidRPr="00E15D24">
        <w:rPr>
          <w:rFonts w:ascii="Times New Roman" w:hAnsi="Times New Roman" w:cs="Times New Roman"/>
          <w:sz w:val="24"/>
          <w:szCs w:val="24"/>
          <w:lang w:val="en-US"/>
        </w:rPr>
        <w:t xml:space="preserve">5.3 nm at concentrations &gt;20 </w:t>
      </w:r>
      <w:proofErr w:type="spellStart"/>
      <w:r w:rsidRPr="00E15D24">
        <w:rPr>
          <w:rFonts w:ascii="Times New Roman" w:hAnsi="Times New Roman" w:cs="Times New Roman"/>
          <w:sz w:val="24"/>
          <w:szCs w:val="24"/>
          <w:lang w:val="en-US"/>
        </w:rPr>
        <w:t>mM</w:t>
      </w:r>
      <w:proofErr w:type="gramStart"/>
      <w:r w:rsidRPr="00E15D24">
        <w:rPr>
          <w:rFonts w:ascii="Times New Roman" w:hAnsi="Times New Roman" w:cs="Times New Roman"/>
          <w:sz w:val="24"/>
          <w:szCs w:val="24"/>
          <w:lang w:val="en-US"/>
        </w:rPr>
        <w:t>.</w:t>
      </w:r>
      <w:proofErr w:type="spellEnd"/>
      <w:r w:rsidRPr="00E15D24">
        <w:rPr>
          <w:rFonts w:ascii="Times New Roman" w:hAnsi="Times New Roman" w:cs="Times New Roman"/>
          <w:sz w:val="24"/>
          <w:szCs w:val="24"/>
          <w:lang w:val="en-US"/>
        </w:rPr>
        <w:t>(</w:t>
      </w:r>
      <w:proofErr w:type="gramEnd"/>
      <w:r w:rsidRPr="00E15D24">
        <w:rPr>
          <w:rFonts w:ascii="Times New Roman" w:hAnsi="Times New Roman" w:cs="Times New Roman"/>
          <w:sz w:val="24"/>
          <w:szCs w:val="24"/>
          <w:lang w:val="en-US"/>
        </w:rPr>
        <w:t xml:space="preserve">51) Similarly, for CTAB the period decreased from 9.1 nm at 1.8 </w:t>
      </w:r>
      <w:proofErr w:type="spellStart"/>
      <w:r w:rsidRPr="00E15D24">
        <w:rPr>
          <w:rFonts w:ascii="Times New Roman" w:hAnsi="Times New Roman" w:cs="Times New Roman"/>
          <w:sz w:val="24"/>
          <w:szCs w:val="24"/>
          <w:lang w:val="en-US"/>
        </w:rPr>
        <w:t>mM</w:t>
      </w:r>
      <w:proofErr w:type="spellEnd"/>
      <w:r w:rsidRPr="00E15D24">
        <w:rPr>
          <w:rFonts w:ascii="Times New Roman" w:hAnsi="Times New Roman" w:cs="Times New Roman"/>
          <w:sz w:val="24"/>
          <w:szCs w:val="24"/>
          <w:lang w:val="en-US"/>
        </w:rPr>
        <w:t xml:space="preserve"> to 4.2 nm at 5 </w:t>
      </w:r>
      <w:proofErr w:type="spellStart"/>
      <w:r w:rsidRPr="00E15D24">
        <w:rPr>
          <w:rFonts w:ascii="Times New Roman" w:hAnsi="Times New Roman" w:cs="Times New Roman"/>
          <w:sz w:val="24"/>
          <w:szCs w:val="24"/>
          <w:lang w:val="en-US"/>
        </w:rPr>
        <w:t>mM</w:t>
      </w:r>
      <w:proofErr w:type="spellEnd"/>
      <w:r w:rsidRPr="00E15D24">
        <w:rPr>
          <w:rFonts w:ascii="Times New Roman" w:hAnsi="Times New Roman" w:cs="Times New Roman"/>
          <w:sz w:val="24"/>
          <w:szCs w:val="24"/>
          <w:lang w:val="en-US"/>
        </w:rPr>
        <w:t xml:space="preserve"> in water.(49,52) (Note the </w:t>
      </w:r>
      <w:proofErr w:type="spellStart"/>
      <w:r w:rsidRPr="00E15D24">
        <w:rPr>
          <w:rFonts w:ascii="Times New Roman" w:hAnsi="Times New Roman" w:cs="Times New Roman"/>
          <w:sz w:val="24"/>
          <w:szCs w:val="24"/>
          <w:lang w:val="en-US"/>
        </w:rPr>
        <w:t>hemimicelles</w:t>
      </w:r>
      <w:proofErr w:type="spellEnd"/>
      <w:r w:rsidRPr="00E15D24">
        <w:rPr>
          <w:rFonts w:ascii="Times New Roman" w:hAnsi="Times New Roman" w:cs="Times New Roman"/>
          <w:sz w:val="24"/>
          <w:szCs w:val="24"/>
          <w:lang w:val="en-US"/>
        </w:rPr>
        <w:t xml:space="preserve"> were not aligned parallel to the scan direction in the image used to calculate 4.2 nm, so the true aggregate spacing will be larger.) This behavior in </w:t>
      </w:r>
      <w:proofErr w:type="gramStart"/>
      <w:r w:rsidRPr="00E15D24">
        <w:rPr>
          <w:rFonts w:ascii="Times New Roman" w:hAnsi="Times New Roman" w:cs="Times New Roman"/>
          <w:sz w:val="24"/>
          <w:szCs w:val="24"/>
          <w:lang w:val="en-US"/>
        </w:rPr>
        <w:t>water(</w:t>
      </w:r>
      <w:proofErr w:type="gramEnd"/>
      <w:r w:rsidRPr="00E15D24">
        <w:rPr>
          <w:rFonts w:ascii="Times New Roman" w:hAnsi="Times New Roman" w:cs="Times New Roman"/>
          <w:sz w:val="24"/>
          <w:szCs w:val="24"/>
          <w:lang w:val="en-US"/>
        </w:rPr>
        <w:t xml:space="preserve">51) is attributed to the increased ionic strength of the solution (whether due to added electrolyte or the surfactants themselves, which are also salts) screening electrostatic repulsions between </w:t>
      </w:r>
      <w:proofErr w:type="spellStart"/>
      <w:r w:rsidRPr="00E15D24">
        <w:rPr>
          <w:rFonts w:ascii="Times New Roman" w:hAnsi="Times New Roman" w:cs="Times New Roman"/>
          <w:sz w:val="24"/>
          <w:szCs w:val="24"/>
          <w:lang w:val="en-US"/>
        </w:rPr>
        <w:t>headgroups</w:t>
      </w:r>
      <w:proofErr w:type="spellEnd"/>
      <w:r w:rsidRPr="00E15D24">
        <w:rPr>
          <w:rFonts w:ascii="Times New Roman" w:hAnsi="Times New Roman" w:cs="Times New Roman"/>
          <w:sz w:val="24"/>
          <w:szCs w:val="24"/>
          <w:lang w:val="en-US"/>
        </w:rPr>
        <w:t xml:space="preserve"> of adjacent </w:t>
      </w:r>
      <w:proofErr w:type="spellStart"/>
      <w:r w:rsidRPr="00E15D24">
        <w:rPr>
          <w:rFonts w:ascii="Times New Roman" w:hAnsi="Times New Roman" w:cs="Times New Roman"/>
          <w:sz w:val="24"/>
          <w:szCs w:val="24"/>
          <w:lang w:val="en-US"/>
        </w:rPr>
        <w:t>hemimicelles</w:t>
      </w:r>
      <w:proofErr w:type="spellEnd"/>
      <w:r w:rsidRPr="00E15D24">
        <w:rPr>
          <w:rFonts w:ascii="Times New Roman" w:hAnsi="Times New Roman" w:cs="Times New Roman"/>
          <w:sz w:val="24"/>
          <w:szCs w:val="24"/>
          <w:lang w:val="en-US"/>
        </w:rPr>
        <w:t xml:space="preserve">, facilitating their closer packing on the surface. A minimum period is reached when steric interactions prevent closer packing. The absence of any effect of surfactant concentration on </w:t>
      </w:r>
      <w:proofErr w:type="spellStart"/>
      <w:r w:rsidRPr="00E15D24">
        <w:rPr>
          <w:rFonts w:ascii="Times New Roman" w:hAnsi="Times New Roman" w:cs="Times New Roman"/>
          <w:sz w:val="24"/>
          <w:szCs w:val="24"/>
          <w:lang w:val="en-US"/>
        </w:rPr>
        <w:t>hemimicelle</w:t>
      </w:r>
      <w:proofErr w:type="spellEnd"/>
      <w:r w:rsidRPr="00E15D24">
        <w:rPr>
          <w:rFonts w:ascii="Times New Roman" w:hAnsi="Times New Roman" w:cs="Times New Roman"/>
          <w:sz w:val="24"/>
          <w:szCs w:val="24"/>
          <w:lang w:val="en-US"/>
        </w:rPr>
        <w:t xml:space="preserve"> period in DESs is thus due to the very high ionic strength of the DES, so that </w:t>
      </w:r>
      <w:proofErr w:type="spellStart"/>
      <w:r w:rsidRPr="00E15D24">
        <w:rPr>
          <w:rFonts w:ascii="Times New Roman" w:hAnsi="Times New Roman" w:cs="Times New Roman"/>
          <w:sz w:val="24"/>
          <w:szCs w:val="24"/>
          <w:lang w:val="en-US"/>
        </w:rPr>
        <w:t>hemimicelles</w:t>
      </w:r>
      <w:proofErr w:type="spellEnd"/>
      <w:r w:rsidRPr="00E15D24">
        <w:rPr>
          <w:rFonts w:ascii="Times New Roman" w:hAnsi="Times New Roman" w:cs="Times New Roman"/>
          <w:sz w:val="24"/>
          <w:szCs w:val="24"/>
          <w:lang w:val="en-US"/>
        </w:rPr>
        <w:t xml:space="preserve"> form immediately at their minimum spacing, which is close to the limiting values seen in aqueous systems. </w:t>
      </w:r>
    </w:p>
    <w:p w14:paraId="21B93841" w14:textId="77777777" w:rsidR="00E15D24" w:rsidRPr="00E15D24" w:rsidRDefault="00E15D24" w:rsidP="00E15D24">
      <w:pPr>
        <w:spacing w:line="480" w:lineRule="auto"/>
        <w:rPr>
          <w:rFonts w:ascii="Times New Roman" w:hAnsi="Times New Roman" w:cs="Times New Roman"/>
          <w:sz w:val="24"/>
          <w:szCs w:val="24"/>
          <w:lang w:val="en-GB"/>
        </w:rPr>
      </w:pPr>
      <w:r w:rsidRPr="00E15D24">
        <w:rPr>
          <w:rFonts w:ascii="Times New Roman" w:hAnsi="Times New Roman" w:cs="Times New Roman"/>
          <w:sz w:val="24"/>
          <w:szCs w:val="24"/>
          <w:lang w:val="en-GB"/>
        </w:rPr>
        <w:t xml:space="preserve">At OCP, the </w:t>
      </w:r>
      <w:proofErr w:type="spellStart"/>
      <w:r w:rsidRPr="00E15D24">
        <w:rPr>
          <w:rFonts w:ascii="Times New Roman" w:hAnsi="Times New Roman" w:cs="Times New Roman"/>
          <w:sz w:val="24"/>
          <w:szCs w:val="24"/>
          <w:lang w:val="en-GB"/>
        </w:rPr>
        <w:t>hemimicelle</w:t>
      </w:r>
      <w:proofErr w:type="spellEnd"/>
      <w:r w:rsidRPr="00E15D24">
        <w:rPr>
          <w:rFonts w:ascii="Times New Roman" w:hAnsi="Times New Roman" w:cs="Times New Roman"/>
          <w:sz w:val="24"/>
          <w:szCs w:val="24"/>
          <w:lang w:val="en-GB"/>
        </w:rPr>
        <w:t xml:space="preserve"> period for SDS in </w:t>
      </w:r>
      <w:proofErr w:type="spellStart"/>
      <w:r w:rsidRPr="00E15D24">
        <w:rPr>
          <w:rFonts w:ascii="Times New Roman" w:hAnsi="Times New Roman" w:cs="Times New Roman"/>
          <w:sz w:val="24"/>
          <w:szCs w:val="24"/>
          <w:lang w:val="en-GB"/>
        </w:rPr>
        <w:t>ChCl-Gly</w:t>
      </w:r>
      <w:proofErr w:type="spellEnd"/>
      <w:r w:rsidRPr="00E15D24">
        <w:rPr>
          <w:rFonts w:ascii="Times New Roman" w:hAnsi="Times New Roman" w:cs="Times New Roman"/>
          <w:sz w:val="24"/>
          <w:szCs w:val="24"/>
          <w:lang w:val="en-GB"/>
        </w:rPr>
        <w:t xml:space="preserve"> (5.2 nm) is slightly greater than for SDS in </w:t>
      </w:r>
      <w:proofErr w:type="spellStart"/>
      <w:r w:rsidRPr="00E15D24">
        <w:rPr>
          <w:rFonts w:ascii="Times New Roman" w:hAnsi="Times New Roman" w:cs="Times New Roman"/>
          <w:sz w:val="24"/>
          <w:szCs w:val="24"/>
          <w:lang w:val="en-GB"/>
        </w:rPr>
        <w:t>ChCl</w:t>
      </w:r>
      <w:proofErr w:type="spellEnd"/>
      <w:r w:rsidRPr="00E15D24">
        <w:rPr>
          <w:rFonts w:ascii="Times New Roman" w:hAnsi="Times New Roman" w:cs="Times New Roman"/>
          <w:sz w:val="24"/>
          <w:szCs w:val="24"/>
          <w:lang w:val="en-GB"/>
        </w:rPr>
        <w:t xml:space="preserve">-EG (5.0 nm). This is attributed to </w:t>
      </w:r>
      <w:proofErr w:type="spellStart"/>
      <w:r w:rsidRPr="00E15D24">
        <w:rPr>
          <w:rFonts w:ascii="Times New Roman" w:hAnsi="Times New Roman" w:cs="Times New Roman"/>
          <w:sz w:val="24"/>
          <w:szCs w:val="24"/>
          <w:lang w:val="en-GB"/>
        </w:rPr>
        <w:t>ChCl</w:t>
      </w:r>
      <w:proofErr w:type="spellEnd"/>
      <w:r w:rsidRPr="00E15D24">
        <w:rPr>
          <w:rFonts w:ascii="Times New Roman" w:hAnsi="Times New Roman" w:cs="Times New Roman"/>
          <w:sz w:val="24"/>
          <w:szCs w:val="24"/>
          <w:lang w:val="en-GB"/>
        </w:rPr>
        <w:t xml:space="preserve">-EG being more electrolyte-like than </w:t>
      </w:r>
      <w:proofErr w:type="spellStart"/>
      <w:r w:rsidRPr="00E15D24">
        <w:rPr>
          <w:rFonts w:ascii="Times New Roman" w:hAnsi="Times New Roman" w:cs="Times New Roman"/>
          <w:sz w:val="24"/>
          <w:szCs w:val="24"/>
          <w:lang w:val="en-GB"/>
        </w:rPr>
        <w:t>ChCl-</w:t>
      </w:r>
      <w:proofErr w:type="gramStart"/>
      <w:r w:rsidRPr="00E15D24">
        <w:rPr>
          <w:rFonts w:ascii="Times New Roman" w:hAnsi="Times New Roman" w:cs="Times New Roman"/>
          <w:sz w:val="24"/>
          <w:szCs w:val="24"/>
          <w:lang w:val="en-GB"/>
        </w:rPr>
        <w:t>Gly</w:t>
      </w:r>
      <w:proofErr w:type="spellEnd"/>
      <w:r w:rsidRPr="00E15D24">
        <w:rPr>
          <w:rFonts w:ascii="Times New Roman" w:hAnsi="Times New Roman" w:cs="Times New Roman"/>
          <w:sz w:val="24"/>
          <w:szCs w:val="24"/>
          <w:lang w:val="en-GB"/>
        </w:rPr>
        <w:t>;</w:t>
      </w:r>
      <w:proofErr w:type="gramEnd"/>
      <w:r w:rsidRPr="00E15D24">
        <w:rPr>
          <w:rFonts w:ascii="Times New Roman" w:hAnsi="Times New Roman" w:cs="Times New Roman"/>
          <w:sz w:val="24"/>
          <w:szCs w:val="24"/>
          <w:lang w:val="en-GB"/>
        </w:rPr>
        <w:t xml:space="preserve">(35) that is, less free </w:t>
      </w:r>
      <w:proofErr w:type="spellStart"/>
      <w:r w:rsidRPr="00E15D24">
        <w:rPr>
          <w:rFonts w:ascii="Times New Roman" w:hAnsi="Times New Roman" w:cs="Times New Roman"/>
          <w:sz w:val="24"/>
          <w:szCs w:val="24"/>
          <w:lang w:val="en-GB"/>
        </w:rPr>
        <w:t>cholinium</w:t>
      </w:r>
      <w:proofErr w:type="spellEnd"/>
      <w:r w:rsidRPr="00E15D24">
        <w:rPr>
          <w:rFonts w:ascii="Times New Roman" w:hAnsi="Times New Roman" w:cs="Times New Roman"/>
          <w:sz w:val="24"/>
          <w:szCs w:val="24"/>
          <w:lang w:val="en-GB"/>
        </w:rPr>
        <w:t xml:space="preserve"> is present in </w:t>
      </w:r>
      <w:proofErr w:type="spellStart"/>
      <w:r w:rsidRPr="00E15D24">
        <w:rPr>
          <w:rFonts w:ascii="Times New Roman" w:hAnsi="Times New Roman" w:cs="Times New Roman"/>
          <w:sz w:val="24"/>
          <w:szCs w:val="24"/>
          <w:lang w:val="en-GB"/>
        </w:rPr>
        <w:t>ChCl-Gly</w:t>
      </w:r>
      <w:proofErr w:type="spellEnd"/>
      <w:r w:rsidRPr="00E15D24">
        <w:rPr>
          <w:rFonts w:ascii="Times New Roman" w:hAnsi="Times New Roman" w:cs="Times New Roman"/>
          <w:sz w:val="24"/>
          <w:szCs w:val="24"/>
          <w:lang w:val="en-GB"/>
        </w:rPr>
        <w:t xml:space="preserve">. This means the </w:t>
      </w:r>
      <w:proofErr w:type="spellStart"/>
      <w:r w:rsidRPr="00E15D24">
        <w:rPr>
          <w:rFonts w:ascii="Times New Roman" w:hAnsi="Times New Roman" w:cs="Times New Roman"/>
          <w:sz w:val="24"/>
          <w:szCs w:val="24"/>
          <w:lang w:val="en-GB"/>
        </w:rPr>
        <w:t>interhemimicelle</w:t>
      </w:r>
      <w:proofErr w:type="spellEnd"/>
      <w:r w:rsidRPr="00E15D24">
        <w:rPr>
          <w:rFonts w:ascii="Times New Roman" w:hAnsi="Times New Roman" w:cs="Times New Roman"/>
          <w:sz w:val="24"/>
          <w:szCs w:val="24"/>
          <w:lang w:val="en-GB"/>
        </w:rPr>
        <w:t xml:space="preserve"> </w:t>
      </w:r>
      <w:proofErr w:type="spellStart"/>
      <w:r w:rsidRPr="00E15D24">
        <w:rPr>
          <w:rFonts w:ascii="Times New Roman" w:hAnsi="Times New Roman" w:cs="Times New Roman"/>
          <w:sz w:val="24"/>
          <w:szCs w:val="24"/>
          <w:lang w:val="en-GB"/>
        </w:rPr>
        <w:t>cholinium</w:t>
      </w:r>
      <w:proofErr w:type="spellEnd"/>
      <w:r w:rsidRPr="00E15D24">
        <w:rPr>
          <w:rFonts w:ascii="Times New Roman" w:hAnsi="Times New Roman" w:cs="Times New Roman"/>
          <w:sz w:val="24"/>
          <w:szCs w:val="24"/>
          <w:lang w:val="en-GB"/>
        </w:rPr>
        <w:t xml:space="preserve"> concentration is lower in </w:t>
      </w:r>
      <w:proofErr w:type="spellStart"/>
      <w:r w:rsidRPr="00E15D24">
        <w:rPr>
          <w:rFonts w:ascii="Times New Roman" w:hAnsi="Times New Roman" w:cs="Times New Roman"/>
          <w:sz w:val="24"/>
          <w:szCs w:val="24"/>
          <w:lang w:val="en-GB"/>
        </w:rPr>
        <w:t>ChCl-Gly</w:t>
      </w:r>
      <w:proofErr w:type="spellEnd"/>
      <w:r w:rsidRPr="00E15D24">
        <w:rPr>
          <w:rFonts w:ascii="Times New Roman" w:hAnsi="Times New Roman" w:cs="Times New Roman"/>
          <w:sz w:val="24"/>
          <w:szCs w:val="24"/>
          <w:lang w:val="en-GB"/>
        </w:rPr>
        <w:t xml:space="preserve">, leading to less effective screening of </w:t>
      </w:r>
      <w:proofErr w:type="spellStart"/>
      <w:r w:rsidRPr="00E15D24">
        <w:rPr>
          <w:rFonts w:ascii="Times New Roman" w:hAnsi="Times New Roman" w:cs="Times New Roman"/>
          <w:sz w:val="24"/>
          <w:szCs w:val="24"/>
          <w:lang w:val="en-GB"/>
        </w:rPr>
        <w:t>headgroup</w:t>
      </w:r>
      <w:proofErr w:type="spellEnd"/>
      <w:r w:rsidRPr="00E15D24">
        <w:rPr>
          <w:rFonts w:ascii="Times New Roman" w:hAnsi="Times New Roman" w:cs="Times New Roman"/>
          <w:sz w:val="24"/>
          <w:szCs w:val="24"/>
          <w:lang w:val="en-GB"/>
        </w:rPr>
        <w:t xml:space="preserve"> repulsions and larger </w:t>
      </w:r>
      <w:proofErr w:type="spellStart"/>
      <w:r w:rsidRPr="00E15D24">
        <w:rPr>
          <w:rFonts w:ascii="Times New Roman" w:hAnsi="Times New Roman" w:cs="Times New Roman"/>
          <w:sz w:val="24"/>
          <w:szCs w:val="24"/>
          <w:lang w:val="en-GB"/>
        </w:rPr>
        <w:t>interhemimicelle</w:t>
      </w:r>
      <w:proofErr w:type="spellEnd"/>
      <w:r w:rsidRPr="00E15D24">
        <w:rPr>
          <w:rFonts w:ascii="Times New Roman" w:hAnsi="Times New Roman" w:cs="Times New Roman"/>
          <w:sz w:val="24"/>
          <w:szCs w:val="24"/>
          <w:lang w:val="en-GB"/>
        </w:rPr>
        <w:t xml:space="preserve"> distances and </w:t>
      </w:r>
      <w:proofErr w:type="spellStart"/>
      <w:r w:rsidRPr="00E15D24">
        <w:rPr>
          <w:rFonts w:ascii="Times New Roman" w:hAnsi="Times New Roman" w:cs="Times New Roman"/>
          <w:sz w:val="24"/>
          <w:szCs w:val="24"/>
          <w:lang w:val="en-GB"/>
        </w:rPr>
        <w:t>hemimicelle</w:t>
      </w:r>
      <w:proofErr w:type="spellEnd"/>
      <w:r w:rsidRPr="00E15D24">
        <w:rPr>
          <w:rFonts w:ascii="Times New Roman" w:hAnsi="Times New Roman" w:cs="Times New Roman"/>
          <w:sz w:val="24"/>
          <w:szCs w:val="24"/>
          <w:lang w:val="en-GB"/>
        </w:rPr>
        <w:t xml:space="preserve"> periods.</w:t>
      </w:r>
    </w:p>
    <w:p w14:paraId="4858C233" w14:textId="77777777" w:rsidR="00E15D24" w:rsidRDefault="00E15D24" w:rsidP="00E15D24">
      <w:pPr>
        <w:spacing w:line="480" w:lineRule="auto"/>
        <w:rPr>
          <w:rFonts w:ascii="Times New Roman" w:hAnsi="Times New Roman" w:cs="Times New Roman"/>
          <w:sz w:val="24"/>
          <w:szCs w:val="24"/>
          <w:lang w:val="en-GB"/>
        </w:rPr>
      </w:pPr>
      <w:r w:rsidRPr="00E15D24">
        <w:rPr>
          <w:rFonts w:ascii="Times New Roman" w:hAnsi="Times New Roman" w:cs="Times New Roman"/>
          <w:sz w:val="24"/>
          <w:szCs w:val="24"/>
          <w:lang w:val="en-GB"/>
        </w:rPr>
        <w:t xml:space="preserve">The effect of applied potential on surface aggregation was probed for </w:t>
      </w:r>
      <w:proofErr w:type="spellStart"/>
      <w:r w:rsidRPr="00E15D24">
        <w:rPr>
          <w:rFonts w:ascii="Times New Roman" w:hAnsi="Times New Roman" w:cs="Times New Roman"/>
          <w:sz w:val="24"/>
          <w:szCs w:val="24"/>
          <w:lang w:val="en-GB"/>
        </w:rPr>
        <w:t>ChCl</w:t>
      </w:r>
      <w:proofErr w:type="spellEnd"/>
      <w:r w:rsidRPr="00E15D24">
        <w:rPr>
          <w:rFonts w:ascii="Times New Roman" w:hAnsi="Times New Roman" w:cs="Times New Roman"/>
          <w:sz w:val="24"/>
          <w:szCs w:val="24"/>
          <w:lang w:val="en-GB"/>
        </w:rPr>
        <w:t xml:space="preserve">-EG with 25 </w:t>
      </w:r>
      <w:proofErr w:type="spellStart"/>
      <w:r w:rsidRPr="00E15D24">
        <w:rPr>
          <w:rFonts w:ascii="Times New Roman" w:hAnsi="Times New Roman" w:cs="Times New Roman"/>
          <w:sz w:val="24"/>
          <w:szCs w:val="24"/>
          <w:lang w:val="en-GB"/>
        </w:rPr>
        <w:t>mM</w:t>
      </w:r>
      <w:proofErr w:type="spellEnd"/>
      <w:r w:rsidRPr="00E15D24">
        <w:rPr>
          <w:rFonts w:ascii="Times New Roman" w:hAnsi="Times New Roman" w:cs="Times New Roman"/>
          <w:sz w:val="24"/>
          <w:szCs w:val="24"/>
          <w:lang w:val="en-GB"/>
        </w:rPr>
        <w:t xml:space="preserve"> SDS and </w:t>
      </w:r>
      <w:proofErr w:type="spellStart"/>
      <w:r w:rsidRPr="00E15D24">
        <w:rPr>
          <w:rFonts w:ascii="Times New Roman" w:hAnsi="Times New Roman" w:cs="Times New Roman"/>
          <w:sz w:val="24"/>
          <w:szCs w:val="24"/>
          <w:lang w:val="en-GB"/>
        </w:rPr>
        <w:t>ChCl-Gly</w:t>
      </w:r>
      <w:proofErr w:type="spellEnd"/>
      <w:r w:rsidRPr="00E15D24">
        <w:rPr>
          <w:rFonts w:ascii="Times New Roman" w:hAnsi="Times New Roman" w:cs="Times New Roman"/>
          <w:sz w:val="24"/>
          <w:szCs w:val="24"/>
          <w:lang w:val="en-GB"/>
        </w:rPr>
        <w:t xml:space="preserve"> with 10 </w:t>
      </w:r>
      <w:proofErr w:type="spellStart"/>
      <w:r w:rsidRPr="00E15D24">
        <w:rPr>
          <w:rFonts w:ascii="Times New Roman" w:hAnsi="Times New Roman" w:cs="Times New Roman"/>
          <w:sz w:val="24"/>
          <w:szCs w:val="24"/>
          <w:lang w:val="en-GB"/>
        </w:rPr>
        <w:t>mM</w:t>
      </w:r>
      <w:proofErr w:type="spellEnd"/>
      <w:r w:rsidRPr="00E15D24">
        <w:rPr>
          <w:rFonts w:ascii="Times New Roman" w:hAnsi="Times New Roman" w:cs="Times New Roman"/>
          <w:sz w:val="24"/>
          <w:szCs w:val="24"/>
          <w:lang w:val="en-GB"/>
        </w:rPr>
        <w:t xml:space="preserve"> SDS and 2.5 </w:t>
      </w:r>
      <w:proofErr w:type="spellStart"/>
      <w:r w:rsidRPr="00E15D24">
        <w:rPr>
          <w:rFonts w:ascii="Times New Roman" w:hAnsi="Times New Roman" w:cs="Times New Roman"/>
          <w:sz w:val="24"/>
          <w:szCs w:val="24"/>
          <w:lang w:val="en-GB"/>
        </w:rPr>
        <w:t>mM</w:t>
      </w:r>
      <w:proofErr w:type="spellEnd"/>
      <w:r w:rsidRPr="00E15D24">
        <w:rPr>
          <w:rFonts w:ascii="Times New Roman" w:hAnsi="Times New Roman" w:cs="Times New Roman"/>
          <w:sz w:val="24"/>
          <w:szCs w:val="24"/>
          <w:lang w:val="en-GB"/>
        </w:rPr>
        <w:t xml:space="preserve"> CTAB. Experiments were performed at open-circuit potential (OCP), ± 0.5 V and ± 0.75 V. The deflection images are presented in the </w:t>
      </w:r>
      <w:r w:rsidRPr="00E15D24">
        <w:rPr>
          <w:rFonts w:ascii="Times New Roman" w:hAnsi="Times New Roman" w:cs="Times New Roman"/>
          <w:sz w:val="24"/>
          <w:szCs w:val="24"/>
          <w:lang w:val="en-GB"/>
        </w:rPr>
        <w:lastRenderedPageBreak/>
        <w:t>Supporting Information Figures S1–S3, and the aggregate periods obtained from the images are presented in Table 3.</w:t>
      </w:r>
    </w:p>
    <w:p w14:paraId="1AD830A5" w14:textId="77777777" w:rsidR="00641359" w:rsidRPr="00641359" w:rsidRDefault="00641359" w:rsidP="00641359">
      <w:pPr>
        <w:spacing w:line="48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At positive potentials, the SDS adsorbed horizontal monolayer remains intact, with period or deflection scarcely affected. However, at −0.5 V, images of SDS systems were featureless, revealing SDS to be desorbed from the surface. This is attributed to electrostatic repulsion between the negative electrode surface and the dodecyl </w:t>
      </w:r>
      <w:proofErr w:type="spellStart"/>
      <w:r w:rsidRPr="00641359">
        <w:rPr>
          <w:rFonts w:ascii="Times New Roman" w:hAnsi="Times New Roman" w:cs="Times New Roman"/>
          <w:sz w:val="24"/>
          <w:szCs w:val="24"/>
          <w:lang w:val="en-GB"/>
        </w:rPr>
        <w:t>sulfate</w:t>
      </w:r>
      <w:proofErr w:type="spellEnd"/>
      <w:r w:rsidRPr="00641359">
        <w:rPr>
          <w:rFonts w:ascii="Times New Roman" w:hAnsi="Times New Roman" w:cs="Times New Roman"/>
          <w:sz w:val="24"/>
          <w:szCs w:val="24"/>
          <w:lang w:val="en-GB"/>
        </w:rPr>
        <w:t xml:space="preserve"> anion overcoming attractions between the C12 tail and HOPG; SDS is replaced on the surface by the choline cation. In contrast, for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+ 2.5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CTAB, surface </w:t>
      </w:r>
      <w:proofErr w:type="spellStart"/>
      <w:r w:rsidRPr="00641359">
        <w:rPr>
          <w:rFonts w:ascii="Times New Roman" w:hAnsi="Times New Roman" w:cs="Times New Roman"/>
          <w:sz w:val="24"/>
          <w:szCs w:val="24"/>
          <w:lang w:val="en-GB"/>
        </w:rPr>
        <w:t>hemimicelles</w:t>
      </w:r>
      <w:proofErr w:type="spellEnd"/>
      <w:r w:rsidRPr="00641359">
        <w:rPr>
          <w:rFonts w:ascii="Times New Roman" w:hAnsi="Times New Roman" w:cs="Times New Roman"/>
          <w:sz w:val="24"/>
          <w:szCs w:val="24"/>
          <w:lang w:val="en-GB"/>
        </w:rPr>
        <w:t xml:space="preserve"> are present over the entire range of potentials examined. Even at + 0.75 V the attraction between the graphite surface and the C16 tail of CTAB is strong enough to keep it adsorbed. Calculations show that the free energy of adsorption of Cl– to graphite at positive potentials is smaller than that of choline under comparable negative potentials</w:t>
      </w:r>
      <w:proofErr w:type="gramStart"/>
      <w:r w:rsidRPr="00641359">
        <w:rPr>
          <w:rFonts w:ascii="Times New Roman" w:hAnsi="Times New Roman" w:cs="Times New Roman"/>
          <w:sz w:val="24"/>
          <w:szCs w:val="24"/>
          <w:lang w:val="en-GB"/>
        </w:rPr>
        <w:t>,(</w:t>
      </w:r>
      <w:proofErr w:type="gramEnd"/>
      <w:r w:rsidRPr="00641359">
        <w:rPr>
          <w:rFonts w:ascii="Times New Roman" w:hAnsi="Times New Roman" w:cs="Times New Roman"/>
          <w:sz w:val="24"/>
          <w:szCs w:val="24"/>
          <w:lang w:val="en-GB"/>
        </w:rPr>
        <w:t>34) which will also contribute to the retention of the adsorbed surfactant cation.</w:t>
      </w:r>
    </w:p>
    <w:p w14:paraId="72CEDB8B" w14:textId="77777777" w:rsidR="00641359" w:rsidRPr="00641359" w:rsidRDefault="00641359" w:rsidP="00641359">
      <w:pPr>
        <w:spacing w:line="48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At positive potentials the aggregate spacing of SDS increases from 5.2 to 5.5 nm in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and from 5.2 to 6.4 nm in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A similar increase from 5.5 to 6 nm occurs in CTAB at negative potentials. This effect is attributed to the electrode </w:t>
      </w:r>
      <w:proofErr w:type="spellStart"/>
      <w:r w:rsidRPr="00641359">
        <w:rPr>
          <w:rFonts w:ascii="Times New Roman" w:hAnsi="Times New Roman" w:cs="Times New Roman"/>
          <w:sz w:val="24"/>
          <w:szCs w:val="24"/>
          <w:lang w:val="en-GB"/>
        </w:rPr>
        <w:t>counterion</w:t>
      </w:r>
      <w:proofErr w:type="spellEnd"/>
      <w:r w:rsidRPr="00641359">
        <w:rPr>
          <w:rFonts w:ascii="Times New Roman" w:hAnsi="Times New Roman" w:cs="Times New Roman"/>
          <w:sz w:val="24"/>
          <w:szCs w:val="24"/>
          <w:lang w:val="en-GB"/>
        </w:rPr>
        <w:t xml:space="preserve"> from the DES being attracted to the electrode surface between aggregates, repelling the like-charged surfactant </w:t>
      </w:r>
      <w:proofErr w:type="spellStart"/>
      <w:r w:rsidRPr="00641359">
        <w:rPr>
          <w:rFonts w:ascii="Times New Roman" w:hAnsi="Times New Roman" w:cs="Times New Roman"/>
          <w:sz w:val="24"/>
          <w:szCs w:val="24"/>
          <w:lang w:val="en-GB"/>
        </w:rPr>
        <w:t>headgroups</w:t>
      </w:r>
      <w:proofErr w:type="spellEnd"/>
      <w:r w:rsidRPr="00641359">
        <w:rPr>
          <w:rFonts w:ascii="Times New Roman" w:hAnsi="Times New Roman" w:cs="Times New Roman"/>
          <w:sz w:val="24"/>
          <w:szCs w:val="24"/>
          <w:lang w:val="en-GB"/>
        </w:rPr>
        <w:t xml:space="preserve"> and increasing aggregate spacing.</w:t>
      </w:r>
    </w:p>
    <w:p w14:paraId="61F3317D" w14:textId="77777777" w:rsidR="00641359" w:rsidRDefault="00641359" w:rsidP="00641359">
      <w:pPr>
        <w:spacing w:line="48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No corresponding change in the period occurs for CTAB at positive potentials. At OCP, the chloride concentration between aggregates is already high because of the positively charged </w:t>
      </w:r>
      <w:proofErr w:type="spellStart"/>
      <w:r w:rsidRPr="00641359">
        <w:rPr>
          <w:rFonts w:ascii="Times New Roman" w:hAnsi="Times New Roman" w:cs="Times New Roman"/>
          <w:sz w:val="24"/>
          <w:szCs w:val="24"/>
          <w:lang w:val="en-GB"/>
        </w:rPr>
        <w:t>headgroups</w:t>
      </w:r>
      <w:proofErr w:type="spellEnd"/>
      <w:r w:rsidRPr="00641359">
        <w:rPr>
          <w:rFonts w:ascii="Times New Roman" w:hAnsi="Times New Roman" w:cs="Times New Roman"/>
          <w:sz w:val="24"/>
          <w:szCs w:val="24"/>
          <w:lang w:val="en-GB"/>
        </w:rPr>
        <w:t xml:space="preserve">; therefore, a positive applied potential has minimal effect on </w:t>
      </w:r>
      <w:proofErr w:type="spellStart"/>
      <w:r w:rsidRPr="00641359">
        <w:rPr>
          <w:rFonts w:ascii="Times New Roman" w:hAnsi="Times New Roman" w:cs="Times New Roman"/>
          <w:sz w:val="24"/>
          <w:szCs w:val="24"/>
          <w:lang w:val="en-GB"/>
        </w:rPr>
        <w:t>interhemimicelle</w:t>
      </w:r>
      <w:proofErr w:type="spellEnd"/>
      <w:r w:rsidRPr="00641359">
        <w:rPr>
          <w:rFonts w:ascii="Times New Roman" w:hAnsi="Times New Roman" w:cs="Times New Roman"/>
          <w:sz w:val="24"/>
          <w:szCs w:val="24"/>
          <w:lang w:val="en-GB"/>
        </w:rPr>
        <w:t xml:space="preserve"> chloride concentration and hence does not affect spacing.</w:t>
      </w:r>
    </w:p>
    <w:p w14:paraId="2C834C9B" w14:textId="5D817E33" w:rsidR="00641359" w:rsidRDefault="00641359" w:rsidP="00641359">
      <w:pPr>
        <w:spacing w:line="480" w:lineRule="auto"/>
        <w:rPr>
          <w:rFonts w:ascii="Times New Roman" w:hAnsi="Times New Roman" w:cs="Times New Roman"/>
          <w:sz w:val="24"/>
          <w:szCs w:val="24"/>
          <w:lang w:val="en-GB"/>
        </w:rPr>
      </w:pPr>
    </w:p>
    <w:p w14:paraId="4BD33FA5" w14:textId="77777777" w:rsidR="00641359" w:rsidRDefault="00641359" w:rsidP="00641359">
      <w:pPr>
        <w:spacing w:line="480" w:lineRule="auto"/>
        <w:rPr>
          <w:rFonts w:ascii="Times New Roman" w:hAnsi="Times New Roman" w:cs="Times New Roman"/>
          <w:sz w:val="24"/>
          <w:szCs w:val="24"/>
          <w:lang w:val="en-GB"/>
        </w:rPr>
      </w:pPr>
    </w:p>
    <w:p w14:paraId="4F4DF1B1" w14:textId="4488EDDD" w:rsidR="00860AF6" w:rsidRPr="00003C99" w:rsidRDefault="00860AF6" w:rsidP="00C233AB">
      <w:pPr>
        <w:spacing w:line="480" w:lineRule="auto"/>
        <w:jc w:val="center"/>
        <w:rPr>
          <w:rFonts w:ascii="Times New Roman" w:hAnsi="Times New Roman" w:cs="Times New Roman"/>
          <w:sz w:val="20"/>
          <w:szCs w:val="20"/>
          <w:lang w:val="en-GB"/>
        </w:rPr>
      </w:pPr>
      <w:r w:rsidRPr="00003C99">
        <w:rPr>
          <w:rFonts w:ascii="Times New Roman" w:hAnsi="Times New Roman" w:cs="Times New Roman"/>
          <w:b/>
          <w:sz w:val="20"/>
          <w:szCs w:val="20"/>
          <w:lang w:val="en-GB"/>
        </w:rPr>
        <w:lastRenderedPageBreak/>
        <w:t>Table 3</w:t>
      </w:r>
      <w:r w:rsidRPr="00003C99">
        <w:rPr>
          <w:rFonts w:ascii="Times New Roman" w:hAnsi="Times New Roman" w:cs="Times New Roman"/>
          <w:sz w:val="20"/>
          <w:szCs w:val="20"/>
          <w:lang w:val="en-GB"/>
        </w:rPr>
        <w:t xml:space="preserve">. </w:t>
      </w:r>
      <w:r w:rsidR="00CE1154">
        <w:rPr>
          <w:rFonts w:ascii="Times New Roman" w:hAnsi="Times New Roman" w:cs="Times New Roman"/>
          <w:sz w:val="20"/>
          <w:szCs w:val="20"/>
          <w:lang w:val="en-GB"/>
        </w:rPr>
        <w:t>Aggregate</w:t>
      </w:r>
      <w:r w:rsidRPr="00003C99">
        <w:rPr>
          <w:rFonts w:ascii="Times New Roman" w:hAnsi="Times New Roman" w:cs="Times New Roman"/>
          <w:sz w:val="20"/>
          <w:szCs w:val="20"/>
          <w:lang w:val="en-GB"/>
        </w:rPr>
        <w:t xml:space="preserve"> period (nm ±0.1 nm) as a function of potential determined from AFM images.</w:t>
      </w:r>
    </w:p>
    <w:tbl>
      <w:tblPr>
        <w:tblStyle w:val="TableGrid"/>
        <w:tblW w:w="0" w:type="auto"/>
        <w:jc w:val="center"/>
        <w:tblLook w:val="04A0" w:firstRow="1" w:lastRow="0" w:firstColumn="1" w:lastColumn="0" w:noHBand="0" w:noVBand="1"/>
      </w:tblPr>
      <w:tblGrid>
        <w:gridCol w:w="2658"/>
        <w:gridCol w:w="828"/>
        <w:gridCol w:w="728"/>
        <w:gridCol w:w="807"/>
        <w:gridCol w:w="775"/>
        <w:gridCol w:w="875"/>
      </w:tblGrid>
      <w:tr w:rsidR="00860AF6" w:rsidRPr="00003C99" w14:paraId="086E5BEF" w14:textId="77777777" w:rsidTr="001440B8">
        <w:trPr>
          <w:jc w:val="center"/>
        </w:trPr>
        <w:tc>
          <w:tcPr>
            <w:tcW w:w="0" w:type="auto"/>
            <w:tcBorders>
              <w:top w:val="nil"/>
              <w:left w:val="nil"/>
              <w:bottom w:val="single" w:sz="4" w:space="0" w:color="auto"/>
            </w:tcBorders>
            <w:vAlign w:val="center"/>
          </w:tcPr>
          <w:p w14:paraId="7C3DE38C" w14:textId="77777777" w:rsidR="00860AF6" w:rsidRPr="00003C99" w:rsidRDefault="00860AF6" w:rsidP="001440B8">
            <w:pPr>
              <w:jc w:val="center"/>
              <w:rPr>
                <w:rFonts w:ascii="Times New Roman" w:hAnsi="Times New Roman" w:cs="Times New Roman"/>
                <w:b/>
                <w:sz w:val="20"/>
                <w:szCs w:val="20"/>
                <w:lang w:val="en-GB"/>
              </w:rPr>
            </w:pPr>
          </w:p>
        </w:tc>
        <w:tc>
          <w:tcPr>
            <w:tcW w:w="0" w:type="auto"/>
            <w:tcBorders>
              <w:top w:val="single" w:sz="4" w:space="0" w:color="auto"/>
            </w:tcBorders>
            <w:vAlign w:val="center"/>
          </w:tcPr>
          <w:p w14:paraId="6D4F604D" w14:textId="77777777" w:rsidR="00860AF6" w:rsidRPr="00003C99" w:rsidRDefault="00860AF6" w:rsidP="001440B8">
            <w:pPr>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-0.75 V</w:t>
            </w:r>
          </w:p>
        </w:tc>
        <w:tc>
          <w:tcPr>
            <w:tcW w:w="0" w:type="auto"/>
            <w:tcBorders>
              <w:top w:val="single" w:sz="4" w:space="0" w:color="auto"/>
            </w:tcBorders>
            <w:vAlign w:val="center"/>
          </w:tcPr>
          <w:p w14:paraId="192E604A" w14:textId="77777777" w:rsidR="00860AF6" w:rsidRPr="00003C99" w:rsidRDefault="00860AF6" w:rsidP="001440B8">
            <w:pPr>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-0.5 V</w:t>
            </w:r>
          </w:p>
        </w:tc>
        <w:tc>
          <w:tcPr>
            <w:tcW w:w="0" w:type="auto"/>
            <w:tcBorders>
              <w:top w:val="single" w:sz="4" w:space="0" w:color="auto"/>
            </w:tcBorders>
            <w:vAlign w:val="center"/>
          </w:tcPr>
          <w:p w14:paraId="2330A32B" w14:textId="77777777" w:rsidR="00860AF6" w:rsidRPr="00003C99" w:rsidRDefault="00860AF6" w:rsidP="001440B8">
            <w:pPr>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OCP</w:t>
            </w:r>
          </w:p>
        </w:tc>
        <w:tc>
          <w:tcPr>
            <w:tcW w:w="0" w:type="auto"/>
            <w:tcBorders>
              <w:top w:val="single" w:sz="4" w:space="0" w:color="auto"/>
            </w:tcBorders>
            <w:vAlign w:val="center"/>
          </w:tcPr>
          <w:p w14:paraId="1BF06983" w14:textId="77777777" w:rsidR="00860AF6" w:rsidRPr="00003C99" w:rsidRDefault="00860AF6" w:rsidP="001440B8">
            <w:pPr>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+0.5 V</w:t>
            </w:r>
          </w:p>
        </w:tc>
        <w:tc>
          <w:tcPr>
            <w:tcW w:w="0" w:type="auto"/>
            <w:tcBorders>
              <w:top w:val="single" w:sz="4" w:space="0" w:color="auto"/>
              <w:right w:val="single" w:sz="4" w:space="0" w:color="auto"/>
            </w:tcBorders>
            <w:vAlign w:val="center"/>
          </w:tcPr>
          <w:p w14:paraId="710C859A" w14:textId="77777777" w:rsidR="00860AF6" w:rsidRPr="00003C99" w:rsidRDefault="00860AF6" w:rsidP="001440B8">
            <w:pPr>
              <w:jc w:val="center"/>
              <w:rPr>
                <w:rFonts w:ascii="Times New Roman" w:hAnsi="Times New Roman" w:cs="Times New Roman"/>
                <w:b/>
                <w:sz w:val="20"/>
                <w:szCs w:val="20"/>
                <w:lang w:val="en-GB"/>
              </w:rPr>
            </w:pPr>
            <w:r w:rsidRPr="00003C99">
              <w:rPr>
                <w:rFonts w:ascii="Times New Roman" w:hAnsi="Times New Roman" w:cs="Times New Roman"/>
                <w:b/>
                <w:sz w:val="20"/>
                <w:szCs w:val="20"/>
                <w:lang w:val="en-GB"/>
              </w:rPr>
              <w:t>+0.75 V</w:t>
            </w:r>
          </w:p>
        </w:tc>
      </w:tr>
      <w:tr w:rsidR="00860AF6" w:rsidRPr="00003C99" w14:paraId="34AD1DFB" w14:textId="77777777" w:rsidTr="001440B8">
        <w:trPr>
          <w:trHeight w:val="283"/>
          <w:jc w:val="center"/>
        </w:trPr>
        <w:tc>
          <w:tcPr>
            <w:tcW w:w="0" w:type="auto"/>
            <w:tcBorders>
              <w:left w:val="single" w:sz="4" w:space="0" w:color="auto"/>
              <w:bottom w:val="single" w:sz="4" w:space="0" w:color="auto"/>
            </w:tcBorders>
            <w:vAlign w:val="center"/>
          </w:tcPr>
          <w:p w14:paraId="0CC9A463" w14:textId="77777777" w:rsidR="00860AF6" w:rsidRPr="00003C99" w:rsidRDefault="00860AF6" w:rsidP="001440B8">
            <w:pPr>
              <w:jc w:val="center"/>
              <w:rPr>
                <w:rFonts w:ascii="Times New Roman" w:hAnsi="Times New Roman" w:cs="Times New Roman"/>
                <w:b/>
                <w:sz w:val="20"/>
                <w:szCs w:val="20"/>
                <w:lang w:val="en-GB"/>
              </w:rPr>
            </w:pPr>
            <w:proofErr w:type="spellStart"/>
            <w:r w:rsidRPr="00003C99">
              <w:rPr>
                <w:rFonts w:ascii="Times New Roman" w:hAnsi="Times New Roman" w:cs="Times New Roman"/>
                <w:b/>
                <w:sz w:val="20"/>
                <w:szCs w:val="20"/>
                <w:lang w:val="en-GB"/>
              </w:rPr>
              <w:t>ChCl</w:t>
            </w:r>
            <w:proofErr w:type="spellEnd"/>
            <w:r w:rsidRPr="00003C99">
              <w:rPr>
                <w:rFonts w:ascii="Times New Roman" w:hAnsi="Times New Roman" w:cs="Times New Roman"/>
                <w:b/>
                <w:sz w:val="20"/>
                <w:szCs w:val="20"/>
                <w:lang w:val="en-GB"/>
              </w:rPr>
              <w:t xml:space="preserve">-EG + SDS (25 </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0" w:type="auto"/>
            <w:tcBorders>
              <w:bottom w:val="single" w:sz="4" w:space="0" w:color="auto"/>
            </w:tcBorders>
            <w:vAlign w:val="center"/>
          </w:tcPr>
          <w:p w14:paraId="2EB42529"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w:t>
            </w:r>
          </w:p>
        </w:tc>
        <w:tc>
          <w:tcPr>
            <w:tcW w:w="0" w:type="auto"/>
            <w:tcBorders>
              <w:bottom w:val="single" w:sz="4" w:space="0" w:color="auto"/>
            </w:tcBorders>
            <w:vAlign w:val="center"/>
          </w:tcPr>
          <w:p w14:paraId="50025C67"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w:t>
            </w:r>
          </w:p>
        </w:tc>
        <w:tc>
          <w:tcPr>
            <w:tcW w:w="0" w:type="auto"/>
            <w:tcBorders>
              <w:bottom w:val="single" w:sz="4" w:space="0" w:color="auto"/>
            </w:tcBorders>
            <w:vAlign w:val="center"/>
          </w:tcPr>
          <w:p w14:paraId="059FB257"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5.0 nm</w:t>
            </w:r>
          </w:p>
        </w:tc>
        <w:tc>
          <w:tcPr>
            <w:tcW w:w="0" w:type="auto"/>
            <w:tcBorders>
              <w:bottom w:val="single" w:sz="4" w:space="0" w:color="auto"/>
            </w:tcBorders>
            <w:vAlign w:val="center"/>
          </w:tcPr>
          <w:p w14:paraId="5A895BB1"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5.5 nm</w:t>
            </w:r>
          </w:p>
        </w:tc>
        <w:tc>
          <w:tcPr>
            <w:tcW w:w="0" w:type="auto"/>
            <w:tcBorders>
              <w:bottom w:val="single" w:sz="4" w:space="0" w:color="auto"/>
              <w:right w:val="single" w:sz="4" w:space="0" w:color="auto"/>
            </w:tcBorders>
            <w:vAlign w:val="center"/>
          </w:tcPr>
          <w:p w14:paraId="628F75F5"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5.5 nm</w:t>
            </w:r>
          </w:p>
        </w:tc>
      </w:tr>
      <w:tr w:rsidR="00860AF6" w:rsidRPr="00003C99" w14:paraId="7BBD64F7" w14:textId="77777777" w:rsidTr="001440B8">
        <w:trPr>
          <w:trHeight w:val="283"/>
          <w:jc w:val="center"/>
        </w:trPr>
        <w:tc>
          <w:tcPr>
            <w:tcW w:w="0" w:type="auto"/>
            <w:tcBorders>
              <w:left w:val="single" w:sz="4" w:space="0" w:color="auto"/>
              <w:bottom w:val="single" w:sz="4" w:space="0" w:color="auto"/>
            </w:tcBorders>
            <w:vAlign w:val="center"/>
          </w:tcPr>
          <w:p w14:paraId="70640830" w14:textId="39FCC2B3" w:rsidR="00860AF6" w:rsidRPr="00003C99" w:rsidRDefault="00860AF6" w:rsidP="00C233AB">
            <w:pPr>
              <w:jc w:val="center"/>
              <w:rPr>
                <w:rFonts w:ascii="Times New Roman" w:hAnsi="Times New Roman" w:cs="Times New Roman"/>
                <w:b/>
                <w:sz w:val="20"/>
                <w:szCs w:val="20"/>
                <w:lang w:val="en-GB"/>
              </w:rPr>
            </w:pPr>
            <w:proofErr w:type="spellStart"/>
            <w:r w:rsidRPr="00003C99">
              <w:rPr>
                <w:rFonts w:ascii="Times New Roman" w:hAnsi="Times New Roman" w:cs="Times New Roman"/>
                <w:b/>
                <w:sz w:val="20"/>
                <w:szCs w:val="20"/>
                <w:lang w:val="en-GB"/>
              </w:rPr>
              <w:t>ChCl-Gly</w:t>
            </w:r>
            <w:proofErr w:type="spellEnd"/>
            <w:r w:rsidRPr="00003C99">
              <w:rPr>
                <w:rFonts w:ascii="Times New Roman" w:hAnsi="Times New Roman" w:cs="Times New Roman"/>
                <w:b/>
                <w:sz w:val="20"/>
                <w:szCs w:val="20"/>
                <w:lang w:val="en-GB"/>
              </w:rPr>
              <w:t xml:space="preserve"> + SDS (</w:t>
            </w:r>
            <w:r w:rsidR="00C233AB">
              <w:rPr>
                <w:rFonts w:ascii="Times New Roman" w:hAnsi="Times New Roman" w:cs="Times New Roman"/>
                <w:b/>
                <w:sz w:val="20"/>
                <w:szCs w:val="20"/>
                <w:lang w:val="en-GB"/>
              </w:rPr>
              <w:t>10</w:t>
            </w:r>
            <w:r w:rsidRPr="00003C99">
              <w:rPr>
                <w:rFonts w:ascii="Times New Roman" w:hAnsi="Times New Roman" w:cs="Times New Roman"/>
                <w:b/>
                <w:sz w:val="20"/>
                <w:szCs w:val="20"/>
                <w:lang w:val="en-GB"/>
              </w:rPr>
              <w:t xml:space="preserve"> </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0" w:type="auto"/>
            <w:tcBorders>
              <w:bottom w:val="single" w:sz="4" w:space="0" w:color="auto"/>
            </w:tcBorders>
            <w:vAlign w:val="center"/>
          </w:tcPr>
          <w:p w14:paraId="489B09C1"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w:t>
            </w:r>
          </w:p>
        </w:tc>
        <w:tc>
          <w:tcPr>
            <w:tcW w:w="0" w:type="auto"/>
            <w:tcBorders>
              <w:bottom w:val="single" w:sz="4" w:space="0" w:color="auto"/>
            </w:tcBorders>
            <w:vAlign w:val="center"/>
          </w:tcPr>
          <w:p w14:paraId="7ED215BD"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w:t>
            </w:r>
          </w:p>
        </w:tc>
        <w:tc>
          <w:tcPr>
            <w:tcW w:w="0" w:type="auto"/>
            <w:tcBorders>
              <w:bottom w:val="single" w:sz="4" w:space="0" w:color="auto"/>
            </w:tcBorders>
            <w:vAlign w:val="center"/>
          </w:tcPr>
          <w:p w14:paraId="5C98F1B0" w14:textId="30C6254B"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5.2 nm</w:t>
            </w:r>
            <w:r w:rsidR="00C233AB">
              <w:rPr>
                <w:rFonts w:ascii="Times New Roman" w:hAnsi="Times New Roman" w:cs="Times New Roman"/>
                <w:sz w:val="18"/>
                <w:szCs w:val="18"/>
                <w:lang w:val="en-GB"/>
              </w:rPr>
              <w:t>*</w:t>
            </w:r>
          </w:p>
        </w:tc>
        <w:tc>
          <w:tcPr>
            <w:tcW w:w="0" w:type="auto"/>
            <w:tcBorders>
              <w:bottom w:val="single" w:sz="4" w:space="0" w:color="auto"/>
            </w:tcBorders>
            <w:vAlign w:val="center"/>
          </w:tcPr>
          <w:p w14:paraId="727CDADB" w14:textId="68BD6F24" w:rsidR="00860AF6" w:rsidRPr="00003C99" w:rsidRDefault="006407AD" w:rsidP="001440B8">
            <w:pPr>
              <w:jc w:val="center"/>
              <w:rPr>
                <w:rFonts w:ascii="Times New Roman" w:hAnsi="Times New Roman" w:cs="Times New Roman"/>
                <w:sz w:val="18"/>
                <w:szCs w:val="18"/>
                <w:lang w:val="en-GB"/>
              </w:rPr>
            </w:pPr>
            <w:r>
              <w:rPr>
                <w:rFonts w:ascii="Times New Roman" w:hAnsi="Times New Roman" w:cs="Times New Roman"/>
                <w:sz w:val="18"/>
                <w:szCs w:val="18"/>
                <w:lang w:val="en-GB"/>
              </w:rPr>
              <w:t>6.5 nm</w:t>
            </w:r>
          </w:p>
        </w:tc>
        <w:tc>
          <w:tcPr>
            <w:tcW w:w="0" w:type="auto"/>
            <w:tcBorders>
              <w:bottom w:val="single" w:sz="4" w:space="0" w:color="auto"/>
              <w:right w:val="single" w:sz="4" w:space="0" w:color="auto"/>
            </w:tcBorders>
            <w:vAlign w:val="center"/>
          </w:tcPr>
          <w:p w14:paraId="3AE4EF4E" w14:textId="07A24D5B" w:rsidR="00860AF6" w:rsidRPr="00003C99" w:rsidRDefault="006407AD" w:rsidP="001440B8">
            <w:pPr>
              <w:jc w:val="center"/>
              <w:rPr>
                <w:rFonts w:ascii="Times New Roman" w:hAnsi="Times New Roman" w:cs="Times New Roman"/>
                <w:sz w:val="18"/>
                <w:szCs w:val="18"/>
                <w:lang w:val="en-GB"/>
              </w:rPr>
            </w:pPr>
            <w:r>
              <w:rPr>
                <w:rFonts w:ascii="Times New Roman" w:hAnsi="Times New Roman" w:cs="Times New Roman"/>
                <w:sz w:val="18"/>
                <w:szCs w:val="18"/>
                <w:lang w:val="en-GB"/>
              </w:rPr>
              <w:t>6.3 nm</w:t>
            </w:r>
          </w:p>
        </w:tc>
      </w:tr>
      <w:tr w:rsidR="00860AF6" w:rsidRPr="00003C99" w14:paraId="3FC38536" w14:textId="77777777" w:rsidTr="001440B8">
        <w:trPr>
          <w:trHeight w:val="283"/>
          <w:jc w:val="center"/>
        </w:trPr>
        <w:tc>
          <w:tcPr>
            <w:tcW w:w="0" w:type="auto"/>
            <w:tcBorders>
              <w:left w:val="single" w:sz="4" w:space="0" w:color="auto"/>
              <w:bottom w:val="single" w:sz="4" w:space="0" w:color="auto"/>
            </w:tcBorders>
            <w:vAlign w:val="center"/>
          </w:tcPr>
          <w:p w14:paraId="2BD74B92" w14:textId="77777777" w:rsidR="00860AF6" w:rsidRPr="00003C99" w:rsidRDefault="00860AF6" w:rsidP="001440B8">
            <w:pPr>
              <w:jc w:val="center"/>
              <w:rPr>
                <w:rFonts w:ascii="Times New Roman" w:hAnsi="Times New Roman" w:cs="Times New Roman"/>
                <w:b/>
                <w:sz w:val="20"/>
                <w:szCs w:val="20"/>
                <w:lang w:val="en-GB"/>
              </w:rPr>
            </w:pPr>
            <w:proofErr w:type="spellStart"/>
            <w:r w:rsidRPr="00003C99">
              <w:rPr>
                <w:rFonts w:ascii="Times New Roman" w:hAnsi="Times New Roman" w:cs="Times New Roman"/>
                <w:b/>
                <w:sz w:val="20"/>
                <w:szCs w:val="20"/>
                <w:lang w:val="en-GB"/>
              </w:rPr>
              <w:t>ChCl-Gly</w:t>
            </w:r>
            <w:proofErr w:type="spellEnd"/>
            <w:r w:rsidRPr="00003C99">
              <w:rPr>
                <w:rFonts w:ascii="Times New Roman" w:hAnsi="Times New Roman" w:cs="Times New Roman"/>
                <w:b/>
                <w:sz w:val="20"/>
                <w:szCs w:val="20"/>
                <w:lang w:val="en-GB"/>
              </w:rPr>
              <w:t xml:space="preserve"> + CTAB (2.5 </w:t>
            </w:r>
            <w:proofErr w:type="spellStart"/>
            <w:r w:rsidRPr="00003C99">
              <w:rPr>
                <w:rFonts w:ascii="Times New Roman" w:hAnsi="Times New Roman" w:cs="Times New Roman"/>
                <w:b/>
                <w:sz w:val="20"/>
                <w:szCs w:val="20"/>
                <w:lang w:val="en-GB"/>
              </w:rPr>
              <w:t>mM</w:t>
            </w:r>
            <w:proofErr w:type="spellEnd"/>
            <w:r w:rsidRPr="00003C99">
              <w:rPr>
                <w:rFonts w:ascii="Times New Roman" w:hAnsi="Times New Roman" w:cs="Times New Roman"/>
                <w:b/>
                <w:sz w:val="20"/>
                <w:szCs w:val="20"/>
                <w:lang w:val="en-GB"/>
              </w:rPr>
              <w:t>)</w:t>
            </w:r>
          </w:p>
        </w:tc>
        <w:tc>
          <w:tcPr>
            <w:tcW w:w="0" w:type="auto"/>
            <w:tcBorders>
              <w:bottom w:val="single" w:sz="4" w:space="0" w:color="auto"/>
            </w:tcBorders>
            <w:vAlign w:val="center"/>
          </w:tcPr>
          <w:p w14:paraId="7D7AF2FB"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5.9 nm</w:t>
            </w:r>
          </w:p>
        </w:tc>
        <w:tc>
          <w:tcPr>
            <w:tcW w:w="0" w:type="auto"/>
            <w:tcBorders>
              <w:bottom w:val="single" w:sz="4" w:space="0" w:color="auto"/>
            </w:tcBorders>
            <w:vAlign w:val="center"/>
          </w:tcPr>
          <w:p w14:paraId="70C88A4E"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6.0 nm</w:t>
            </w:r>
          </w:p>
        </w:tc>
        <w:tc>
          <w:tcPr>
            <w:tcW w:w="0" w:type="auto"/>
            <w:tcBorders>
              <w:bottom w:val="single" w:sz="4" w:space="0" w:color="auto"/>
            </w:tcBorders>
            <w:vAlign w:val="center"/>
          </w:tcPr>
          <w:p w14:paraId="586ECDBE"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5.5 nm</w:t>
            </w:r>
          </w:p>
        </w:tc>
        <w:tc>
          <w:tcPr>
            <w:tcW w:w="0" w:type="auto"/>
            <w:tcBorders>
              <w:bottom w:val="single" w:sz="4" w:space="0" w:color="auto"/>
            </w:tcBorders>
            <w:vAlign w:val="center"/>
          </w:tcPr>
          <w:p w14:paraId="2DD7D228"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5.6 nm</w:t>
            </w:r>
          </w:p>
        </w:tc>
        <w:tc>
          <w:tcPr>
            <w:tcW w:w="0" w:type="auto"/>
            <w:tcBorders>
              <w:bottom w:val="single" w:sz="4" w:space="0" w:color="auto"/>
              <w:right w:val="single" w:sz="4" w:space="0" w:color="auto"/>
            </w:tcBorders>
            <w:vAlign w:val="center"/>
          </w:tcPr>
          <w:p w14:paraId="4BA62418" w14:textId="77777777" w:rsidR="00860AF6" w:rsidRPr="00003C99" w:rsidRDefault="00860AF6" w:rsidP="001440B8">
            <w:pPr>
              <w:jc w:val="center"/>
              <w:rPr>
                <w:rFonts w:ascii="Times New Roman" w:hAnsi="Times New Roman" w:cs="Times New Roman"/>
                <w:sz w:val="18"/>
                <w:szCs w:val="18"/>
                <w:lang w:val="en-GB"/>
              </w:rPr>
            </w:pPr>
            <w:r w:rsidRPr="00003C99">
              <w:rPr>
                <w:rFonts w:ascii="Times New Roman" w:hAnsi="Times New Roman" w:cs="Times New Roman"/>
                <w:sz w:val="18"/>
                <w:szCs w:val="18"/>
                <w:lang w:val="en-GB"/>
              </w:rPr>
              <w:t>5.6 nm</w:t>
            </w:r>
          </w:p>
        </w:tc>
      </w:tr>
    </w:tbl>
    <w:p w14:paraId="4ADA2FF3" w14:textId="282466AF" w:rsidR="00860AF6" w:rsidRPr="000E0A28" w:rsidRDefault="00C233AB" w:rsidP="000E0A28">
      <w:pPr>
        <w:spacing w:line="480" w:lineRule="auto"/>
        <w:jc w:val="center"/>
        <w:rPr>
          <w:rFonts w:ascii="Times New Roman" w:hAnsi="Times New Roman" w:cs="Times New Roman"/>
          <w:sz w:val="20"/>
          <w:szCs w:val="20"/>
          <w:lang w:val="en-GB"/>
        </w:rPr>
      </w:pPr>
      <w:r w:rsidRPr="000E0A28">
        <w:rPr>
          <w:rFonts w:ascii="Times New Roman" w:hAnsi="Times New Roman" w:cs="Times New Roman"/>
          <w:sz w:val="20"/>
          <w:szCs w:val="20"/>
          <w:lang w:val="en-GB"/>
        </w:rPr>
        <w:t xml:space="preserve">* </w:t>
      </w:r>
      <w:r w:rsidR="000E0A28" w:rsidRPr="000E0A28">
        <w:rPr>
          <w:rFonts w:ascii="Times New Roman" w:hAnsi="Times New Roman" w:cs="Times New Roman"/>
          <w:sz w:val="20"/>
          <w:szCs w:val="20"/>
          <w:lang w:val="en-GB"/>
        </w:rPr>
        <w:t xml:space="preserve">This spacing was determined from an image of </w:t>
      </w:r>
      <w:proofErr w:type="spellStart"/>
      <w:r w:rsidR="000E0A28" w:rsidRPr="000E0A28">
        <w:rPr>
          <w:rFonts w:ascii="Times New Roman" w:hAnsi="Times New Roman" w:cs="Times New Roman"/>
          <w:sz w:val="20"/>
          <w:szCs w:val="20"/>
          <w:lang w:val="en-GB"/>
        </w:rPr>
        <w:t>ChCl-Gly</w:t>
      </w:r>
      <w:proofErr w:type="spellEnd"/>
      <w:r w:rsidR="000E0A28" w:rsidRPr="000E0A28">
        <w:rPr>
          <w:rFonts w:ascii="Times New Roman" w:hAnsi="Times New Roman" w:cs="Times New Roman"/>
          <w:sz w:val="20"/>
          <w:szCs w:val="20"/>
          <w:lang w:val="en-GB"/>
        </w:rPr>
        <w:t xml:space="preserve"> + SDS (21 </w:t>
      </w:r>
      <w:proofErr w:type="spellStart"/>
      <w:r w:rsidR="000E0A28" w:rsidRPr="000E0A28">
        <w:rPr>
          <w:rFonts w:ascii="Times New Roman" w:hAnsi="Times New Roman" w:cs="Times New Roman"/>
          <w:sz w:val="20"/>
          <w:szCs w:val="20"/>
          <w:lang w:val="en-GB"/>
        </w:rPr>
        <w:t>mM</w:t>
      </w:r>
      <w:proofErr w:type="spellEnd"/>
      <w:r w:rsidR="000E0A28" w:rsidRPr="000E0A28">
        <w:rPr>
          <w:rFonts w:ascii="Times New Roman" w:hAnsi="Times New Roman" w:cs="Times New Roman"/>
          <w:sz w:val="20"/>
          <w:szCs w:val="20"/>
          <w:lang w:val="en-GB"/>
        </w:rPr>
        <w:t>).</w:t>
      </w:r>
    </w:p>
    <w:p w14:paraId="6D724FAE" w14:textId="0F969D89" w:rsidR="004D30F8" w:rsidRDefault="00641359" w:rsidP="00A07F9C">
      <w:pPr>
        <w:spacing w:line="480" w:lineRule="auto"/>
        <w:rPr>
          <w:rFonts w:ascii="Times New Roman" w:hAnsi="Times New Roman" w:cs="Times New Roman"/>
          <w:sz w:val="24"/>
          <w:szCs w:val="24"/>
          <w:lang w:val="en-GB"/>
        </w:rPr>
      </w:pPr>
      <w:r w:rsidRPr="00641359">
        <w:rPr>
          <w:rFonts w:ascii="Times New Roman" w:hAnsi="Times New Roman" w:cs="Times New Roman"/>
          <w:sz w:val="24"/>
          <w:szCs w:val="24"/>
          <w:lang w:val="en-GB"/>
        </w:rPr>
        <w:t xml:space="preserve">Cyclic voltammograms for a graphite electrode and the pure DESs,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+ 25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SDS,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+ 10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SDS, and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+ 2.5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CTAB are presented in Figure 2. The electrochemical windows of the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and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are almost identical, but current densities are higher in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which is also attributed to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being more electrolyte-like than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.(35) The voltammogram for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+ 25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SDS is almost the same as for pure </w:t>
      </w:r>
      <w:proofErr w:type="spellStart"/>
      <w:r w:rsidRPr="00641359">
        <w:rPr>
          <w:rFonts w:ascii="Times New Roman" w:hAnsi="Times New Roman" w:cs="Times New Roman"/>
          <w:sz w:val="24"/>
          <w:szCs w:val="24"/>
          <w:lang w:val="en-GB"/>
        </w:rPr>
        <w:t>ChCl</w:t>
      </w:r>
      <w:proofErr w:type="spellEnd"/>
      <w:r w:rsidRPr="00641359">
        <w:rPr>
          <w:rFonts w:ascii="Times New Roman" w:hAnsi="Times New Roman" w:cs="Times New Roman"/>
          <w:sz w:val="24"/>
          <w:szCs w:val="24"/>
          <w:lang w:val="en-GB"/>
        </w:rPr>
        <w:t xml:space="preserve">-EG (Figure 2A). In contrast, for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+ 10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SDS above 1 V vs Ag/</w:t>
      </w:r>
      <w:proofErr w:type="spellStart"/>
      <w:r w:rsidRPr="00641359">
        <w:rPr>
          <w:rFonts w:ascii="Times New Roman" w:hAnsi="Times New Roman" w:cs="Times New Roman"/>
          <w:sz w:val="24"/>
          <w:szCs w:val="24"/>
          <w:lang w:val="en-GB"/>
        </w:rPr>
        <w:t>AgCl</w:t>
      </w:r>
      <w:proofErr w:type="spellEnd"/>
      <w:r w:rsidRPr="00641359">
        <w:rPr>
          <w:rFonts w:ascii="Times New Roman" w:hAnsi="Times New Roman" w:cs="Times New Roman"/>
          <w:sz w:val="24"/>
          <w:szCs w:val="24"/>
          <w:lang w:val="en-GB"/>
        </w:rPr>
        <w:t xml:space="preserve"> and below 1.75 V vs Ag/</w:t>
      </w:r>
      <w:proofErr w:type="spellStart"/>
      <w:r w:rsidRPr="00641359">
        <w:rPr>
          <w:rFonts w:ascii="Times New Roman" w:hAnsi="Times New Roman" w:cs="Times New Roman"/>
          <w:sz w:val="24"/>
          <w:szCs w:val="24"/>
          <w:lang w:val="en-GB"/>
        </w:rPr>
        <w:t>AgCl</w:t>
      </w:r>
      <w:proofErr w:type="spellEnd"/>
      <w:r w:rsidRPr="00641359">
        <w:rPr>
          <w:rFonts w:ascii="Times New Roman" w:hAnsi="Times New Roman" w:cs="Times New Roman"/>
          <w:sz w:val="24"/>
          <w:szCs w:val="24"/>
          <w:lang w:val="en-GB"/>
        </w:rPr>
        <w:t xml:space="preserve">, current densities are significantly reduced compared to pure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xml:space="preserve">, but little effect is noted at intermediate potentials. The 2.5 </w:t>
      </w:r>
      <w:proofErr w:type="spellStart"/>
      <w:r w:rsidRPr="00641359">
        <w:rPr>
          <w:rFonts w:ascii="Times New Roman" w:hAnsi="Times New Roman" w:cs="Times New Roman"/>
          <w:sz w:val="24"/>
          <w:szCs w:val="24"/>
          <w:lang w:val="en-GB"/>
        </w:rPr>
        <w:t>mM</w:t>
      </w:r>
      <w:proofErr w:type="spellEnd"/>
      <w:r w:rsidRPr="00641359">
        <w:rPr>
          <w:rFonts w:ascii="Times New Roman" w:hAnsi="Times New Roman" w:cs="Times New Roman"/>
          <w:sz w:val="24"/>
          <w:szCs w:val="24"/>
          <w:lang w:val="en-GB"/>
        </w:rPr>
        <w:t xml:space="preserve"> CTAB has a much stronger influence on the electrochemical </w:t>
      </w:r>
      <w:proofErr w:type="spellStart"/>
      <w:r w:rsidRPr="00641359">
        <w:rPr>
          <w:rFonts w:ascii="Times New Roman" w:hAnsi="Times New Roman" w:cs="Times New Roman"/>
          <w:sz w:val="24"/>
          <w:szCs w:val="24"/>
          <w:lang w:val="en-GB"/>
        </w:rPr>
        <w:t>behavior</w:t>
      </w:r>
      <w:proofErr w:type="spellEnd"/>
      <w:r w:rsidRPr="00641359">
        <w:rPr>
          <w:rFonts w:ascii="Times New Roman" w:hAnsi="Times New Roman" w:cs="Times New Roman"/>
          <w:sz w:val="24"/>
          <w:szCs w:val="24"/>
          <w:lang w:val="en-GB"/>
        </w:rPr>
        <w:t xml:space="preserve"> of </w:t>
      </w:r>
      <w:proofErr w:type="spellStart"/>
      <w:r w:rsidRPr="00641359">
        <w:rPr>
          <w:rFonts w:ascii="Times New Roman" w:hAnsi="Times New Roman" w:cs="Times New Roman"/>
          <w:sz w:val="24"/>
          <w:szCs w:val="24"/>
          <w:lang w:val="en-GB"/>
        </w:rPr>
        <w:t>ChCl-Gly</w:t>
      </w:r>
      <w:proofErr w:type="spellEnd"/>
      <w:r w:rsidRPr="00641359">
        <w:rPr>
          <w:rFonts w:ascii="Times New Roman" w:hAnsi="Times New Roman" w:cs="Times New Roman"/>
          <w:sz w:val="24"/>
          <w:szCs w:val="24"/>
          <w:lang w:val="en-GB"/>
        </w:rPr>
        <w:t>. When CTAB is present, the voltammogram plateau, or capacitive current, at intermediate potentials is closer to horizontal, and the current density at high and low potentials is substantially reduced. This might indicate an enhancement of the electrolyte stability window due to the presence of CTAB at the interface.</w:t>
      </w:r>
      <w:r w:rsidR="00860AF6" w:rsidRPr="00003C99">
        <w:rPr>
          <w:rFonts w:ascii="Times New Roman" w:hAnsi="Times New Roman" w:cs="Times New Roman"/>
          <w:noProof/>
          <w:lang w:val="en-GB" w:eastAsia="en-GB"/>
        </w:rPr>
        <w:drawing>
          <wp:inline distT="0" distB="0" distL="0" distR="0" wp14:anchorId="2E47906F" wp14:editId="0A7CB6D0">
            <wp:extent cx="5731510" cy="1443169"/>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43169"/>
                    </a:xfrm>
                    <a:prstGeom prst="rect">
                      <a:avLst/>
                    </a:prstGeom>
                    <a:noFill/>
                    <a:ln>
                      <a:noFill/>
                    </a:ln>
                  </pic:spPr>
                </pic:pic>
              </a:graphicData>
            </a:graphic>
          </wp:inline>
        </w:drawing>
      </w:r>
    </w:p>
    <w:p w14:paraId="5567CA29" w14:textId="4DABCE40" w:rsidR="00860AF6" w:rsidRPr="00003C99" w:rsidRDefault="00860AF6" w:rsidP="00860AF6">
      <w:pPr>
        <w:spacing w:line="480" w:lineRule="auto"/>
        <w:jc w:val="center"/>
        <w:rPr>
          <w:rFonts w:ascii="Times New Roman" w:hAnsi="Times New Roman" w:cs="Times New Roman"/>
          <w:sz w:val="18"/>
          <w:lang w:val="en-GB"/>
        </w:rPr>
      </w:pPr>
      <w:r w:rsidRPr="00003C99">
        <w:rPr>
          <w:rFonts w:ascii="Times New Roman" w:hAnsi="Times New Roman" w:cs="Times New Roman"/>
          <w:b/>
          <w:sz w:val="18"/>
          <w:lang w:val="en-GB"/>
        </w:rPr>
        <w:t xml:space="preserve">Figure </w:t>
      </w:r>
      <w:r w:rsidR="00DF5B9B">
        <w:rPr>
          <w:rFonts w:ascii="Times New Roman" w:hAnsi="Times New Roman" w:cs="Times New Roman"/>
          <w:b/>
          <w:sz w:val="18"/>
          <w:lang w:val="en-GB"/>
        </w:rPr>
        <w:t>2</w:t>
      </w:r>
      <w:r w:rsidRPr="00003C99">
        <w:rPr>
          <w:rFonts w:ascii="Times New Roman" w:hAnsi="Times New Roman" w:cs="Times New Roman"/>
          <w:b/>
          <w:sz w:val="18"/>
          <w:lang w:val="en-GB"/>
        </w:rPr>
        <w:t>.</w:t>
      </w:r>
      <w:r w:rsidRPr="00003C99">
        <w:rPr>
          <w:rFonts w:ascii="Times New Roman" w:hAnsi="Times New Roman" w:cs="Times New Roman"/>
          <w:sz w:val="18"/>
          <w:lang w:val="en-GB"/>
        </w:rPr>
        <w:t xml:space="preserve"> Cyclic voltammograms (green lines) for (A) </w:t>
      </w:r>
      <w:proofErr w:type="spellStart"/>
      <w:r w:rsidRPr="00003C99">
        <w:rPr>
          <w:rFonts w:ascii="Times New Roman" w:hAnsi="Times New Roman" w:cs="Times New Roman"/>
          <w:sz w:val="18"/>
          <w:lang w:val="en-GB"/>
        </w:rPr>
        <w:t>ChCl</w:t>
      </w:r>
      <w:proofErr w:type="spellEnd"/>
      <w:r w:rsidRPr="00003C99">
        <w:rPr>
          <w:rFonts w:ascii="Times New Roman" w:hAnsi="Times New Roman" w:cs="Times New Roman"/>
          <w:sz w:val="18"/>
          <w:lang w:val="en-GB"/>
        </w:rPr>
        <w:t xml:space="preserve">-EG + 25 </w:t>
      </w:r>
      <w:proofErr w:type="spellStart"/>
      <w:r w:rsidRPr="00003C99">
        <w:rPr>
          <w:rFonts w:ascii="Times New Roman" w:hAnsi="Times New Roman" w:cs="Times New Roman"/>
          <w:sz w:val="18"/>
          <w:lang w:val="en-GB"/>
        </w:rPr>
        <w:t>mM</w:t>
      </w:r>
      <w:proofErr w:type="spellEnd"/>
      <w:r w:rsidRPr="00003C99">
        <w:rPr>
          <w:rFonts w:ascii="Times New Roman" w:hAnsi="Times New Roman" w:cs="Times New Roman"/>
          <w:sz w:val="18"/>
          <w:lang w:val="en-GB"/>
        </w:rPr>
        <w:t xml:space="preserve"> SDS, (B) </w:t>
      </w:r>
      <w:proofErr w:type="spellStart"/>
      <w:r w:rsidRPr="00003C99">
        <w:rPr>
          <w:rFonts w:ascii="Times New Roman" w:hAnsi="Times New Roman" w:cs="Times New Roman"/>
          <w:sz w:val="18"/>
          <w:lang w:val="en-GB"/>
        </w:rPr>
        <w:t>ChCl-Gly</w:t>
      </w:r>
      <w:proofErr w:type="spellEnd"/>
      <w:r w:rsidRPr="00003C99">
        <w:rPr>
          <w:rFonts w:ascii="Times New Roman" w:hAnsi="Times New Roman" w:cs="Times New Roman"/>
          <w:sz w:val="18"/>
          <w:lang w:val="en-GB"/>
        </w:rPr>
        <w:t xml:space="preserve"> + 10 </w:t>
      </w:r>
      <w:proofErr w:type="spellStart"/>
      <w:r w:rsidRPr="00003C99">
        <w:rPr>
          <w:rFonts w:ascii="Times New Roman" w:hAnsi="Times New Roman" w:cs="Times New Roman"/>
          <w:sz w:val="18"/>
          <w:lang w:val="en-GB"/>
        </w:rPr>
        <w:t>mM</w:t>
      </w:r>
      <w:proofErr w:type="spellEnd"/>
      <w:r w:rsidRPr="00003C99">
        <w:rPr>
          <w:rFonts w:ascii="Times New Roman" w:hAnsi="Times New Roman" w:cs="Times New Roman"/>
          <w:sz w:val="18"/>
          <w:lang w:val="en-GB"/>
        </w:rPr>
        <w:t xml:space="preserve"> SDS  and (C) </w:t>
      </w:r>
      <w:proofErr w:type="spellStart"/>
      <w:r w:rsidRPr="00003C99">
        <w:rPr>
          <w:rFonts w:ascii="Times New Roman" w:hAnsi="Times New Roman" w:cs="Times New Roman"/>
          <w:sz w:val="18"/>
          <w:lang w:val="en-GB"/>
        </w:rPr>
        <w:t>ChCl-Gly</w:t>
      </w:r>
      <w:proofErr w:type="spellEnd"/>
      <w:r w:rsidRPr="00003C99">
        <w:rPr>
          <w:rFonts w:ascii="Times New Roman" w:hAnsi="Times New Roman" w:cs="Times New Roman"/>
          <w:sz w:val="18"/>
          <w:lang w:val="en-GB"/>
        </w:rPr>
        <w:t xml:space="preserve"> + 2.5 </w:t>
      </w:r>
      <w:proofErr w:type="spellStart"/>
      <w:r w:rsidRPr="00003C99">
        <w:rPr>
          <w:rFonts w:ascii="Times New Roman" w:hAnsi="Times New Roman" w:cs="Times New Roman"/>
          <w:sz w:val="18"/>
          <w:lang w:val="en-GB"/>
        </w:rPr>
        <w:t>mM</w:t>
      </w:r>
      <w:proofErr w:type="spellEnd"/>
      <w:r w:rsidRPr="00003C99">
        <w:rPr>
          <w:rFonts w:ascii="Times New Roman" w:hAnsi="Times New Roman" w:cs="Times New Roman"/>
          <w:sz w:val="18"/>
          <w:lang w:val="en-GB"/>
        </w:rPr>
        <w:t xml:space="preserve"> CTAB (2.5 </w:t>
      </w:r>
      <w:proofErr w:type="spellStart"/>
      <w:r w:rsidRPr="00003C99">
        <w:rPr>
          <w:rFonts w:ascii="Times New Roman" w:hAnsi="Times New Roman" w:cs="Times New Roman"/>
          <w:sz w:val="18"/>
          <w:lang w:val="en-GB"/>
        </w:rPr>
        <w:t>mM</w:t>
      </w:r>
      <w:proofErr w:type="spellEnd"/>
      <w:r w:rsidRPr="00003C99">
        <w:rPr>
          <w:rFonts w:ascii="Times New Roman" w:hAnsi="Times New Roman" w:cs="Times New Roman"/>
          <w:sz w:val="18"/>
          <w:lang w:val="en-GB"/>
        </w:rPr>
        <w:t xml:space="preserve">). Cyclic voltammograms (black lines) of the pure DES is presented for comparison. Note the y-axis scale in (A) is different to (B) and (C). </w:t>
      </w:r>
    </w:p>
    <w:p w14:paraId="09C35BCB" w14:textId="77777777" w:rsidR="00860AF6" w:rsidRDefault="00860AF6" w:rsidP="00860AF6">
      <w:pPr>
        <w:spacing w:line="480" w:lineRule="auto"/>
        <w:rPr>
          <w:rFonts w:ascii="Times New Roman" w:hAnsi="Times New Roman" w:cs="Times New Roman"/>
          <w:sz w:val="24"/>
          <w:szCs w:val="24"/>
          <w:lang w:val="en-GB"/>
        </w:rPr>
      </w:pPr>
    </w:p>
    <w:p w14:paraId="28C2FFB4" w14:textId="2F6BD187" w:rsidR="00860AF6" w:rsidRPr="00003C99" w:rsidRDefault="008C01F7" w:rsidP="008C01F7">
      <w:pPr>
        <w:spacing w:line="360" w:lineRule="auto"/>
        <w:rPr>
          <w:lang w:val="en-GB"/>
        </w:rPr>
      </w:pPr>
      <w:r w:rsidRPr="008C01F7">
        <w:rPr>
          <w:rFonts w:ascii="Times New Roman" w:hAnsi="Times New Roman" w:cs="Times New Roman"/>
          <w:sz w:val="24"/>
          <w:szCs w:val="24"/>
          <w:lang w:val="en-GB"/>
        </w:rPr>
        <w:t xml:space="preserve">Figure 2 reveals CTAB adsorbed as </w:t>
      </w:r>
      <w:proofErr w:type="spellStart"/>
      <w:r w:rsidRPr="008C01F7">
        <w:rPr>
          <w:rFonts w:ascii="Times New Roman" w:hAnsi="Times New Roman" w:cs="Times New Roman"/>
          <w:sz w:val="24"/>
          <w:szCs w:val="24"/>
          <w:lang w:val="en-GB"/>
        </w:rPr>
        <w:t>hemimicelles</w:t>
      </w:r>
      <w:proofErr w:type="spellEnd"/>
      <w:r w:rsidRPr="008C01F7">
        <w:rPr>
          <w:rFonts w:ascii="Times New Roman" w:hAnsi="Times New Roman" w:cs="Times New Roman"/>
          <w:sz w:val="24"/>
          <w:szCs w:val="24"/>
          <w:lang w:val="en-GB"/>
        </w:rPr>
        <w:t xml:space="preserve"> significantly affects the voltammogram for </w:t>
      </w:r>
      <w:proofErr w:type="spellStart"/>
      <w:r w:rsidRPr="008C01F7">
        <w:rPr>
          <w:rFonts w:ascii="Times New Roman" w:hAnsi="Times New Roman" w:cs="Times New Roman"/>
          <w:sz w:val="24"/>
          <w:szCs w:val="24"/>
          <w:lang w:val="en-GB"/>
        </w:rPr>
        <w:t>ChCl-Gly</w:t>
      </w:r>
      <w:proofErr w:type="spellEnd"/>
      <w:r w:rsidRPr="008C01F7">
        <w:rPr>
          <w:rFonts w:ascii="Times New Roman" w:hAnsi="Times New Roman" w:cs="Times New Roman"/>
          <w:sz w:val="24"/>
          <w:szCs w:val="24"/>
          <w:lang w:val="en-GB"/>
        </w:rPr>
        <w:t xml:space="preserve">, but SDS adsorbed in a tail-to-tail monolayer weakly affects the </w:t>
      </w:r>
      <w:proofErr w:type="spellStart"/>
      <w:r w:rsidRPr="008C01F7">
        <w:rPr>
          <w:rFonts w:ascii="Times New Roman" w:hAnsi="Times New Roman" w:cs="Times New Roman"/>
          <w:sz w:val="24"/>
          <w:szCs w:val="24"/>
          <w:lang w:val="en-GB"/>
        </w:rPr>
        <w:t>volatammograms</w:t>
      </w:r>
      <w:proofErr w:type="spellEnd"/>
      <w:r w:rsidRPr="008C01F7">
        <w:rPr>
          <w:rFonts w:ascii="Times New Roman" w:hAnsi="Times New Roman" w:cs="Times New Roman"/>
          <w:sz w:val="24"/>
          <w:szCs w:val="24"/>
          <w:lang w:val="en-GB"/>
        </w:rPr>
        <w:t xml:space="preserve"> for </w:t>
      </w:r>
      <w:proofErr w:type="spellStart"/>
      <w:r w:rsidRPr="008C01F7">
        <w:rPr>
          <w:rFonts w:ascii="Times New Roman" w:hAnsi="Times New Roman" w:cs="Times New Roman"/>
          <w:sz w:val="24"/>
          <w:szCs w:val="24"/>
          <w:lang w:val="en-GB"/>
        </w:rPr>
        <w:t>ChCl</w:t>
      </w:r>
      <w:proofErr w:type="spellEnd"/>
      <w:r w:rsidRPr="008C01F7">
        <w:rPr>
          <w:rFonts w:ascii="Times New Roman" w:hAnsi="Times New Roman" w:cs="Times New Roman"/>
          <w:sz w:val="24"/>
          <w:szCs w:val="24"/>
          <w:lang w:val="en-GB"/>
        </w:rPr>
        <w:t xml:space="preserve">-EG/graphite interface and </w:t>
      </w:r>
      <w:proofErr w:type="spellStart"/>
      <w:r w:rsidRPr="008C01F7">
        <w:rPr>
          <w:rFonts w:ascii="Times New Roman" w:hAnsi="Times New Roman" w:cs="Times New Roman"/>
          <w:sz w:val="24"/>
          <w:szCs w:val="24"/>
          <w:lang w:val="en-GB"/>
        </w:rPr>
        <w:t>ChCl-Gly</w:t>
      </w:r>
      <w:proofErr w:type="spellEnd"/>
      <w:r w:rsidRPr="008C01F7">
        <w:rPr>
          <w:rFonts w:ascii="Times New Roman" w:hAnsi="Times New Roman" w:cs="Times New Roman"/>
          <w:sz w:val="24"/>
          <w:szCs w:val="24"/>
          <w:lang w:val="en-GB"/>
        </w:rPr>
        <w:t xml:space="preserve">/graphite interface. As AFM images as a function of potential revealed that SDS is less strongly bound to the surface than CTAB, the voltammogram data show that the DESs components are able to access the surface in the presence of a relatively weakly bound SDS monolayer, but not for the more strongly bound, </w:t>
      </w:r>
      <w:proofErr w:type="spellStart"/>
      <w:r w:rsidRPr="008C01F7">
        <w:rPr>
          <w:rFonts w:ascii="Times New Roman" w:hAnsi="Times New Roman" w:cs="Times New Roman"/>
          <w:sz w:val="24"/>
          <w:szCs w:val="24"/>
          <w:lang w:val="en-GB"/>
        </w:rPr>
        <w:t>hemimicellar</w:t>
      </w:r>
      <w:proofErr w:type="spellEnd"/>
      <w:r w:rsidRPr="008C01F7">
        <w:rPr>
          <w:rFonts w:ascii="Times New Roman" w:hAnsi="Times New Roman" w:cs="Times New Roman"/>
          <w:sz w:val="24"/>
          <w:szCs w:val="24"/>
          <w:lang w:val="en-GB"/>
        </w:rPr>
        <w:t>, CTAB system. That is, the CTAB aggregates block the electrode surface and inhibit oxidation–reduction processes.</w:t>
      </w:r>
    </w:p>
    <w:p w14:paraId="53153283" w14:textId="67CCE12D" w:rsidR="008B3802" w:rsidRDefault="008C01F7" w:rsidP="00A07F9C">
      <w:pPr>
        <w:spacing w:line="480" w:lineRule="auto"/>
        <w:rPr>
          <w:rFonts w:ascii="Times New Roman" w:hAnsi="Times New Roman" w:cs="Times New Roman"/>
          <w:sz w:val="24"/>
          <w:szCs w:val="24"/>
          <w:lang w:val="en-GB"/>
        </w:rPr>
      </w:pPr>
      <w:r w:rsidRPr="008C01F7">
        <w:rPr>
          <w:rFonts w:ascii="Times New Roman" w:hAnsi="Times New Roman" w:cs="Times New Roman"/>
          <w:sz w:val="24"/>
          <w:szCs w:val="24"/>
          <w:lang w:val="en-GB"/>
        </w:rPr>
        <w:t xml:space="preserve">To more carefully probe the impact of horizontal monolayers versus </w:t>
      </w:r>
      <w:proofErr w:type="spellStart"/>
      <w:r w:rsidRPr="008C01F7">
        <w:rPr>
          <w:rFonts w:ascii="Times New Roman" w:hAnsi="Times New Roman" w:cs="Times New Roman"/>
          <w:sz w:val="24"/>
          <w:szCs w:val="24"/>
          <w:lang w:val="en-GB"/>
        </w:rPr>
        <w:t>hemimicelles</w:t>
      </w:r>
      <w:proofErr w:type="spellEnd"/>
      <w:r w:rsidRPr="008C01F7">
        <w:rPr>
          <w:rFonts w:ascii="Times New Roman" w:hAnsi="Times New Roman" w:cs="Times New Roman"/>
          <w:sz w:val="24"/>
          <w:szCs w:val="24"/>
          <w:lang w:val="en-GB"/>
        </w:rPr>
        <w:t xml:space="preserve"> adsorbed to the electrode surface, more sensitive experiments were performed using SDS. Figure 3 probes electron transfer via the redox properties of FeCl2 in </w:t>
      </w:r>
      <w:proofErr w:type="spellStart"/>
      <w:r w:rsidRPr="008C01F7">
        <w:rPr>
          <w:rFonts w:ascii="Times New Roman" w:hAnsi="Times New Roman" w:cs="Times New Roman"/>
          <w:sz w:val="24"/>
          <w:szCs w:val="24"/>
          <w:lang w:val="en-GB"/>
        </w:rPr>
        <w:t>ChCl</w:t>
      </w:r>
      <w:proofErr w:type="spellEnd"/>
      <w:r w:rsidRPr="008C01F7">
        <w:rPr>
          <w:rFonts w:ascii="Times New Roman" w:hAnsi="Times New Roman" w:cs="Times New Roman"/>
          <w:sz w:val="24"/>
          <w:szCs w:val="24"/>
          <w:lang w:val="en-GB"/>
        </w:rPr>
        <w:t xml:space="preserve">-EG with no surfactant and 25 </w:t>
      </w:r>
      <w:proofErr w:type="spellStart"/>
      <w:r w:rsidRPr="008C01F7">
        <w:rPr>
          <w:rFonts w:ascii="Times New Roman" w:hAnsi="Times New Roman" w:cs="Times New Roman"/>
          <w:sz w:val="24"/>
          <w:szCs w:val="24"/>
          <w:lang w:val="en-GB"/>
        </w:rPr>
        <w:t>mM</w:t>
      </w:r>
      <w:proofErr w:type="spellEnd"/>
      <w:r w:rsidRPr="008C01F7">
        <w:rPr>
          <w:rFonts w:ascii="Times New Roman" w:hAnsi="Times New Roman" w:cs="Times New Roman"/>
          <w:sz w:val="24"/>
          <w:szCs w:val="24"/>
          <w:lang w:val="en-GB"/>
        </w:rPr>
        <w:t xml:space="preserve"> SDS (horizontal monolayer) and 132 </w:t>
      </w:r>
      <w:proofErr w:type="spellStart"/>
      <w:r w:rsidRPr="008C01F7">
        <w:rPr>
          <w:rFonts w:ascii="Times New Roman" w:hAnsi="Times New Roman" w:cs="Times New Roman"/>
          <w:sz w:val="24"/>
          <w:szCs w:val="24"/>
          <w:lang w:val="en-GB"/>
        </w:rPr>
        <w:t>mM</w:t>
      </w:r>
      <w:proofErr w:type="spellEnd"/>
      <w:r w:rsidRPr="008C01F7">
        <w:rPr>
          <w:rFonts w:ascii="Times New Roman" w:hAnsi="Times New Roman" w:cs="Times New Roman"/>
          <w:sz w:val="24"/>
          <w:szCs w:val="24"/>
          <w:lang w:val="en-GB"/>
        </w:rPr>
        <w:t xml:space="preserve"> SDS (</w:t>
      </w:r>
      <w:proofErr w:type="spellStart"/>
      <w:r w:rsidRPr="008C01F7">
        <w:rPr>
          <w:rFonts w:ascii="Times New Roman" w:hAnsi="Times New Roman" w:cs="Times New Roman"/>
          <w:sz w:val="24"/>
          <w:szCs w:val="24"/>
          <w:lang w:val="en-GB"/>
        </w:rPr>
        <w:t>hemimicelles</w:t>
      </w:r>
      <w:proofErr w:type="spellEnd"/>
      <w:r w:rsidRPr="008C01F7">
        <w:rPr>
          <w:rFonts w:ascii="Times New Roman" w:hAnsi="Times New Roman" w:cs="Times New Roman"/>
          <w:sz w:val="24"/>
          <w:szCs w:val="24"/>
          <w:lang w:val="en-GB"/>
        </w:rPr>
        <w:t xml:space="preserve">). In the absence of SDS, the voltammetry of the </w:t>
      </w:r>
      <w:proofErr w:type="spellStart"/>
      <w:r w:rsidRPr="008C01F7">
        <w:rPr>
          <w:rFonts w:ascii="Times New Roman" w:hAnsi="Times New Roman" w:cs="Times New Roman"/>
          <w:sz w:val="24"/>
          <w:szCs w:val="24"/>
          <w:lang w:val="en-GB"/>
        </w:rPr>
        <w:t>FeIII</w:t>
      </w:r>
      <w:proofErr w:type="spellEnd"/>
      <w:r w:rsidRPr="008C01F7">
        <w:rPr>
          <w:rFonts w:ascii="Times New Roman" w:hAnsi="Times New Roman" w:cs="Times New Roman"/>
          <w:sz w:val="24"/>
          <w:szCs w:val="24"/>
          <w:lang w:val="en-GB"/>
        </w:rPr>
        <w:t xml:space="preserve">/II redox couple is reversible (Figure 3a) and the peak potential is only slightly affected by the sweep rate because of an uncompensated </w:t>
      </w:r>
      <w:proofErr w:type="spellStart"/>
      <w:r w:rsidRPr="008C01F7">
        <w:rPr>
          <w:rFonts w:ascii="Times New Roman" w:hAnsi="Times New Roman" w:cs="Times New Roman"/>
          <w:sz w:val="24"/>
          <w:szCs w:val="24"/>
          <w:lang w:val="en-GB"/>
        </w:rPr>
        <w:t>iR</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artifact</w:t>
      </w:r>
      <w:proofErr w:type="spellEnd"/>
      <w:r w:rsidRPr="008C01F7">
        <w:rPr>
          <w:rFonts w:ascii="Times New Roman" w:hAnsi="Times New Roman" w:cs="Times New Roman"/>
          <w:sz w:val="24"/>
          <w:szCs w:val="24"/>
          <w:lang w:val="en-GB"/>
        </w:rPr>
        <w:t xml:space="preserve"> (Figure 3b). The same experiments repeated in </w:t>
      </w:r>
      <w:proofErr w:type="spellStart"/>
      <w:r w:rsidRPr="008C01F7">
        <w:rPr>
          <w:rFonts w:ascii="Times New Roman" w:hAnsi="Times New Roman" w:cs="Times New Roman"/>
          <w:sz w:val="24"/>
          <w:szCs w:val="24"/>
          <w:lang w:val="en-GB"/>
        </w:rPr>
        <w:t>ChCl</w:t>
      </w:r>
      <w:proofErr w:type="spellEnd"/>
      <w:r w:rsidRPr="008C01F7">
        <w:rPr>
          <w:rFonts w:ascii="Times New Roman" w:hAnsi="Times New Roman" w:cs="Times New Roman"/>
          <w:sz w:val="24"/>
          <w:szCs w:val="24"/>
          <w:lang w:val="en-GB"/>
        </w:rPr>
        <w:t xml:space="preserve">-EG with 25 </w:t>
      </w:r>
      <w:proofErr w:type="spellStart"/>
      <w:r w:rsidRPr="008C01F7">
        <w:rPr>
          <w:rFonts w:ascii="Times New Roman" w:hAnsi="Times New Roman" w:cs="Times New Roman"/>
          <w:sz w:val="24"/>
          <w:szCs w:val="24"/>
          <w:lang w:val="en-GB"/>
        </w:rPr>
        <w:t>mM</w:t>
      </w:r>
      <w:proofErr w:type="spellEnd"/>
      <w:r w:rsidRPr="008C01F7">
        <w:rPr>
          <w:rFonts w:ascii="Times New Roman" w:hAnsi="Times New Roman" w:cs="Times New Roman"/>
          <w:sz w:val="24"/>
          <w:szCs w:val="24"/>
          <w:lang w:val="en-GB"/>
        </w:rPr>
        <w:t xml:space="preserve"> SDS caused a slight decrease in the peak current, but the redox potentials of the peaks are moved further apart (Figure 3b). This is due to extended electron transfer occurring across a horizontal monolayer of adsorbed surfactant. A study by Abbott et al. tethered a </w:t>
      </w:r>
      <w:proofErr w:type="spellStart"/>
      <w:r w:rsidRPr="008C01F7">
        <w:rPr>
          <w:rFonts w:ascii="Times New Roman" w:hAnsi="Times New Roman" w:cs="Times New Roman"/>
          <w:sz w:val="24"/>
          <w:szCs w:val="24"/>
          <w:lang w:val="en-GB"/>
        </w:rPr>
        <w:t>ferrocene</w:t>
      </w:r>
      <w:proofErr w:type="spellEnd"/>
      <w:r w:rsidRPr="008C01F7">
        <w:rPr>
          <w:rFonts w:ascii="Times New Roman" w:hAnsi="Times New Roman" w:cs="Times New Roman"/>
          <w:sz w:val="24"/>
          <w:szCs w:val="24"/>
          <w:lang w:val="en-GB"/>
        </w:rPr>
        <w:t xml:space="preserve"> moiety to a CTAB chain in different positions, and it was found that as the redox moiety was further from the electrode the redox </w:t>
      </w:r>
      <w:proofErr w:type="spellStart"/>
      <w:r w:rsidRPr="008C01F7">
        <w:rPr>
          <w:rFonts w:ascii="Times New Roman" w:hAnsi="Times New Roman" w:cs="Times New Roman"/>
          <w:sz w:val="24"/>
          <w:szCs w:val="24"/>
          <w:lang w:val="en-GB"/>
        </w:rPr>
        <w:t>behavior</w:t>
      </w:r>
      <w:proofErr w:type="spellEnd"/>
      <w:r w:rsidRPr="008C01F7">
        <w:rPr>
          <w:rFonts w:ascii="Times New Roman" w:hAnsi="Times New Roman" w:cs="Times New Roman"/>
          <w:sz w:val="24"/>
          <w:szCs w:val="24"/>
          <w:lang w:val="en-GB"/>
        </w:rPr>
        <w:t xml:space="preserve"> became less reversible in aqueous surfactant solutions. This was not the case in the absence of unmodified CTAB</w:t>
      </w:r>
      <w:proofErr w:type="gramStart"/>
      <w:r w:rsidRPr="008C01F7">
        <w:rPr>
          <w:rFonts w:ascii="Times New Roman" w:hAnsi="Times New Roman" w:cs="Times New Roman"/>
          <w:sz w:val="24"/>
          <w:szCs w:val="24"/>
          <w:lang w:val="en-GB"/>
        </w:rPr>
        <w:t>.(</w:t>
      </w:r>
      <w:proofErr w:type="gramEnd"/>
      <w:r w:rsidRPr="008C01F7">
        <w:rPr>
          <w:rFonts w:ascii="Times New Roman" w:hAnsi="Times New Roman" w:cs="Times New Roman"/>
          <w:sz w:val="24"/>
          <w:szCs w:val="24"/>
          <w:lang w:val="en-GB"/>
        </w:rPr>
        <w:t>63)</w:t>
      </w:r>
    </w:p>
    <w:p w14:paraId="7E0EC98C" w14:textId="4F787BDF" w:rsidR="008C01F7" w:rsidRDefault="008C01F7" w:rsidP="00641359">
      <w:pPr>
        <w:jc w:val="center"/>
        <w:textAlignment w:val="top"/>
        <w:rPr>
          <w:rFonts w:ascii="Roboto" w:hAnsi="Roboto" w:cs="Arial"/>
          <w:color w:val="000000"/>
          <w:sz w:val="26"/>
          <w:szCs w:val="26"/>
          <w:lang w:val="en"/>
        </w:rPr>
      </w:pPr>
      <w:r>
        <w:rPr>
          <w:rFonts w:ascii="Roboto" w:hAnsi="Roboto" w:cs="Arial"/>
          <w:noProof/>
          <w:color w:val="000000"/>
          <w:sz w:val="26"/>
          <w:szCs w:val="26"/>
          <w:lang w:val="en-GB" w:eastAsia="en-GB"/>
        </w:rPr>
        <w:lastRenderedPageBreak/>
        <w:drawing>
          <wp:inline distT="0" distB="0" distL="0" distR="0" wp14:anchorId="345A0F6E" wp14:editId="6109C932">
            <wp:extent cx="4763135" cy="1868805"/>
            <wp:effectExtent l="0" t="0" r="0" b="0"/>
            <wp:docPr id="2" name="Picture 2" descr="https://pubs.acs.org/na101/home/literatum/publisher/achs/journals/content/jpclcd/2019/jpclcd.2019.10.issue-18/acs.jpclett.9b01968/20190912/images/medium/jz9b01968_0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3" descr="https://pubs.acs.org/na101/home/literatum/publisher/achs/journals/content/jpclcd/2019/jpclcd.2019.10.issue-18/acs.jpclett.9b01968/20190912/images/medium/jz9b01968_000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3135" cy="1868805"/>
                    </a:xfrm>
                    <a:prstGeom prst="rect">
                      <a:avLst/>
                    </a:prstGeom>
                    <a:noFill/>
                    <a:ln>
                      <a:noFill/>
                    </a:ln>
                  </pic:spPr>
                </pic:pic>
              </a:graphicData>
            </a:graphic>
          </wp:inline>
        </w:drawing>
      </w:r>
    </w:p>
    <w:p w14:paraId="1856F0DB" w14:textId="77777777" w:rsidR="008C01F7" w:rsidRPr="00641359" w:rsidRDefault="008C01F7" w:rsidP="00641359">
      <w:pPr>
        <w:spacing w:before="240" w:after="240"/>
        <w:jc w:val="center"/>
        <w:textAlignment w:val="top"/>
        <w:rPr>
          <w:rFonts w:ascii="Times New Roman" w:hAnsi="Times New Roman" w:cs="Times New Roman"/>
          <w:color w:val="000000"/>
          <w:sz w:val="24"/>
          <w:szCs w:val="26"/>
          <w:lang w:val="en"/>
        </w:rPr>
      </w:pPr>
      <w:r w:rsidRPr="00641359">
        <w:rPr>
          <w:rFonts w:ascii="Times New Roman" w:hAnsi="Times New Roman" w:cs="Times New Roman"/>
          <w:color w:val="000000"/>
          <w:sz w:val="24"/>
          <w:szCs w:val="26"/>
          <w:lang w:val="en"/>
        </w:rPr>
        <w:t xml:space="preserve">Figure 3. (A) Cyclic voltammetry curves of differing concentrations of SDS at 20 mV/s within a 20 </w:t>
      </w:r>
      <w:proofErr w:type="spellStart"/>
      <w:r w:rsidRPr="00641359">
        <w:rPr>
          <w:rFonts w:ascii="Times New Roman" w:hAnsi="Times New Roman" w:cs="Times New Roman"/>
          <w:color w:val="000000"/>
          <w:sz w:val="24"/>
          <w:szCs w:val="26"/>
          <w:lang w:val="en"/>
        </w:rPr>
        <w:t>mM</w:t>
      </w:r>
      <w:proofErr w:type="spellEnd"/>
      <w:r w:rsidRPr="00641359">
        <w:rPr>
          <w:rFonts w:ascii="Times New Roman" w:hAnsi="Times New Roman" w:cs="Times New Roman"/>
          <w:color w:val="000000"/>
          <w:sz w:val="24"/>
          <w:szCs w:val="26"/>
          <w:lang w:val="en"/>
        </w:rPr>
        <w:t xml:space="preserve"> FeCl</w:t>
      </w:r>
      <w:r w:rsidRPr="00641359">
        <w:rPr>
          <w:rFonts w:ascii="Times New Roman" w:hAnsi="Times New Roman" w:cs="Times New Roman"/>
          <w:color w:val="000000"/>
          <w:sz w:val="18"/>
          <w:szCs w:val="20"/>
          <w:vertAlign w:val="subscript"/>
          <w:lang w:val="en"/>
        </w:rPr>
        <w:t>2</w:t>
      </w:r>
      <w:r w:rsidRPr="00641359">
        <w:rPr>
          <w:rFonts w:ascii="Times New Roman" w:hAnsi="Times New Roman" w:cs="Times New Roman"/>
          <w:color w:val="000000"/>
          <w:sz w:val="24"/>
          <w:szCs w:val="26"/>
          <w:lang w:val="en"/>
        </w:rPr>
        <w:t xml:space="preserve"> ethaline electrolyte at 25 °C on a HOPG electrode and (B) peak-to-peak separation (</w:t>
      </w:r>
      <w:proofErr w:type="spellStart"/>
      <w:r w:rsidRPr="00641359">
        <w:rPr>
          <w:rFonts w:ascii="Times New Roman" w:hAnsi="Times New Roman" w:cs="Times New Roman"/>
          <w:i/>
          <w:iCs/>
          <w:color w:val="000000"/>
          <w:sz w:val="24"/>
          <w:szCs w:val="26"/>
          <w:lang w:val="en"/>
        </w:rPr>
        <w:t>E</w:t>
      </w:r>
      <w:r w:rsidRPr="00641359">
        <w:rPr>
          <w:rFonts w:ascii="Times New Roman" w:hAnsi="Times New Roman" w:cs="Times New Roman"/>
          <w:color w:val="000000"/>
          <w:sz w:val="18"/>
          <w:szCs w:val="20"/>
          <w:vertAlign w:val="subscript"/>
          <w:lang w:val="en"/>
        </w:rPr>
        <w:t>pc</w:t>
      </w:r>
      <w:proofErr w:type="spellEnd"/>
      <w:r w:rsidRPr="00641359">
        <w:rPr>
          <w:rFonts w:ascii="Times New Roman" w:hAnsi="Times New Roman" w:cs="Times New Roman"/>
          <w:color w:val="000000"/>
          <w:sz w:val="24"/>
          <w:szCs w:val="26"/>
          <w:lang w:val="en"/>
        </w:rPr>
        <w:t xml:space="preserve"> – </w:t>
      </w:r>
      <w:proofErr w:type="spellStart"/>
      <w:proofErr w:type="gramStart"/>
      <w:r w:rsidRPr="00641359">
        <w:rPr>
          <w:rFonts w:ascii="Times New Roman" w:hAnsi="Times New Roman" w:cs="Times New Roman"/>
          <w:i/>
          <w:iCs/>
          <w:color w:val="000000"/>
          <w:sz w:val="24"/>
          <w:szCs w:val="26"/>
          <w:lang w:val="en"/>
        </w:rPr>
        <w:t>E</w:t>
      </w:r>
      <w:r w:rsidRPr="00641359">
        <w:rPr>
          <w:rFonts w:ascii="Times New Roman" w:hAnsi="Times New Roman" w:cs="Times New Roman"/>
          <w:color w:val="000000"/>
          <w:sz w:val="18"/>
          <w:szCs w:val="20"/>
          <w:vertAlign w:val="subscript"/>
          <w:lang w:val="en"/>
        </w:rPr>
        <w:t>pa</w:t>
      </w:r>
      <w:proofErr w:type="spellEnd"/>
      <w:proofErr w:type="gramEnd"/>
      <w:r w:rsidRPr="00641359">
        <w:rPr>
          <w:rFonts w:ascii="Times New Roman" w:hAnsi="Times New Roman" w:cs="Times New Roman"/>
          <w:color w:val="000000"/>
          <w:sz w:val="24"/>
          <w:szCs w:val="26"/>
          <w:lang w:val="en"/>
        </w:rPr>
        <w:t>) vs scan rate in a similar electrolyte.</w:t>
      </w:r>
    </w:p>
    <w:p w14:paraId="779922BF" w14:textId="245D3F0A" w:rsidR="008C01F7" w:rsidRDefault="008C01F7" w:rsidP="00641359">
      <w:pPr>
        <w:spacing w:before="240" w:after="240" w:line="360" w:lineRule="auto"/>
        <w:textAlignment w:val="top"/>
        <w:rPr>
          <w:rFonts w:ascii="Roboto" w:hAnsi="Roboto" w:cs="Arial"/>
          <w:color w:val="000000"/>
          <w:sz w:val="26"/>
          <w:szCs w:val="26"/>
          <w:lang w:val="en"/>
        </w:rPr>
      </w:pPr>
      <w:r w:rsidRPr="008C01F7">
        <w:rPr>
          <w:rFonts w:ascii="Roboto" w:hAnsi="Roboto" w:cs="Arial"/>
          <w:color w:val="000000"/>
          <w:sz w:val="26"/>
          <w:szCs w:val="26"/>
          <w:lang w:val="en"/>
        </w:rPr>
        <w:t>Figure 3</w:t>
      </w:r>
      <w:r>
        <w:rPr>
          <w:rFonts w:ascii="Roboto" w:hAnsi="Roboto" w:cs="Arial"/>
          <w:color w:val="000000"/>
          <w:sz w:val="26"/>
          <w:szCs w:val="26"/>
          <w:lang w:val="en"/>
        </w:rPr>
        <w:t xml:space="preserve">a shows that increasing the SDS concentration in </w:t>
      </w:r>
      <w:proofErr w:type="spellStart"/>
      <w:r>
        <w:rPr>
          <w:rFonts w:ascii="Roboto" w:hAnsi="Roboto" w:cs="Arial"/>
          <w:color w:val="000000"/>
          <w:sz w:val="26"/>
          <w:szCs w:val="26"/>
          <w:lang w:val="en"/>
        </w:rPr>
        <w:t>ChCl</w:t>
      </w:r>
      <w:proofErr w:type="spellEnd"/>
      <w:r>
        <w:rPr>
          <w:rFonts w:ascii="Roboto" w:hAnsi="Roboto" w:cs="Arial"/>
          <w:color w:val="000000"/>
          <w:sz w:val="26"/>
          <w:szCs w:val="26"/>
          <w:lang w:val="en"/>
        </w:rPr>
        <w:t xml:space="preserve">-EG to 132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makes the voltammogram even less reversible, and the peak separation increases with increased sweep rate (</w:t>
      </w:r>
      <w:r w:rsidRPr="008C01F7">
        <w:rPr>
          <w:rFonts w:ascii="Roboto" w:hAnsi="Roboto" w:cs="Arial"/>
          <w:color w:val="000000"/>
          <w:sz w:val="26"/>
          <w:szCs w:val="26"/>
          <w:lang w:val="en"/>
        </w:rPr>
        <w:t>Figure 3</w:t>
      </w:r>
      <w:r>
        <w:rPr>
          <w:rFonts w:ascii="Roboto" w:hAnsi="Roboto" w:cs="Arial"/>
          <w:color w:val="000000"/>
          <w:sz w:val="26"/>
          <w:szCs w:val="26"/>
          <w:lang w:val="en"/>
        </w:rPr>
        <w:t>b). This shows the redox-active species are further separated from the electrode surface, consistent with the presence of adsorbed structures.</w:t>
      </w:r>
    </w:p>
    <w:p w14:paraId="48D703DB" w14:textId="77777777" w:rsidR="008C01F7" w:rsidRDefault="008C01F7" w:rsidP="00641359">
      <w:pPr>
        <w:spacing w:before="240" w:after="240" w:line="360" w:lineRule="auto"/>
        <w:textAlignment w:val="top"/>
        <w:rPr>
          <w:rFonts w:ascii="Roboto" w:hAnsi="Roboto" w:cs="Arial"/>
          <w:color w:val="000000"/>
          <w:sz w:val="26"/>
          <w:szCs w:val="26"/>
          <w:lang w:val="en"/>
        </w:rPr>
      </w:pPr>
      <w:r>
        <w:rPr>
          <w:rFonts w:ascii="Roboto" w:hAnsi="Roboto" w:cs="Arial"/>
          <w:color w:val="000000"/>
          <w:sz w:val="26"/>
          <w:szCs w:val="26"/>
          <w:lang w:val="en"/>
        </w:rPr>
        <w:t xml:space="preserve">AFM images reveal striking differences between the structures of the anionic surfactant SDS and cationic surfactant CTAB adsorbed at the interface of </w:t>
      </w:r>
      <w:proofErr w:type="spellStart"/>
      <w:r>
        <w:rPr>
          <w:rFonts w:ascii="Roboto" w:hAnsi="Roboto" w:cs="Arial"/>
          <w:color w:val="000000"/>
          <w:sz w:val="26"/>
          <w:szCs w:val="26"/>
          <w:lang w:val="en"/>
        </w:rPr>
        <w:t>ChCl</w:t>
      </w:r>
      <w:proofErr w:type="spellEnd"/>
      <w:r>
        <w:rPr>
          <w:rFonts w:ascii="Roboto" w:hAnsi="Roboto" w:cs="Arial"/>
          <w:color w:val="000000"/>
          <w:sz w:val="26"/>
          <w:szCs w:val="26"/>
          <w:lang w:val="en"/>
        </w:rPr>
        <w:t xml:space="preserve">-EG and </w:t>
      </w:r>
      <w:proofErr w:type="spellStart"/>
      <w:r>
        <w:rPr>
          <w:rFonts w:ascii="Roboto" w:hAnsi="Roboto" w:cs="Arial"/>
          <w:color w:val="000000"/>
          <w:sz w:val="26"/>
          <w:szCs w:val="26"/>
          <w:lang w:val="en"/>
        </w:rPr>
        <w:t>ChCl-Gly</w:t>
      </w:r>
      <w:proofErr w:type="spellEnd"/>
      <w:r>
        <w:rPr>
          <w:rFonts w:ascii="Roboto" w:hAnsi="Roboto" w:cs="Arial"/>
          <w:color w:val="000000"/>
          <w:sz w:val="26"/>
          <w:szCs w:val="26"/>
          <w:lang w:val="en"/>
        </w:rPr>
        <w:t xml:space="preserve"> deep eutectics with graphite. SDS only adsorbs as a horizontal monolayer, with surfactants in a tail-to-tail arrangement at around 20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which is far above its critical micelle concentration in both DESs. Only upon increasing the SDS concentration (to 132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almost 15 × CMC in </w:t>
      </w:r>
      <w:proofErr w:type="spellStart"/>
      <w:r>
        <w:rPr>
          <w:rFonts w:ascii="Roboto" w:hAnsi="Roboto" w:cs="Arial"/>
          <w:color w:val="000000"/>
          <w:sz w:val="26"/>
          <w:szCs w:val="26"/>
          <w:lang w:val="en"/>
        </w:rPr>
        <w:t>ChCl</w:t>
      </w:r>
      <w:proofErr w:type="spellEnd"/>
      <w:r>
        <w:rPr>
          <w:rFonts w:ascii="Roboto" w:hAnsi="Roboto" w:cs="Arial"/>
          <w:color w:val="000000"/>
          <w:sz w:val="26"/>
          <w:szCs w:val="26"/>
          <w:lang w:val="en"/>
        </w:rPr>
        <w:t xml:space="preserve">-EG) are fully formed cylindrical </w:t>
      </w:r>
      <w:proofErr w:type="spellStart"/>
      <w:r>
        <w:rPr>
          <w:rFonts w:ascii="Roboto" w:hAnsi="Roboto" w:cs="Arial"/>
          <w:color w:val="000000"/>
          <w:sz w:val="26"/>
          <w:szCs w:val="26"/>
          <w:lang w:val="en"/>
        </w:rPr>
        <w:t>hemimicelles</w:t>
      </w:r>
      <w:proofErr w:type="spellEnd"/>
      <w:r>
        <w:rPr>
          <w:rFonts w:ascii="Roboto" w:hAnsi="Roboto" w:cs="Arial"/>
          <w:color w:val="000000"/>
          <w:sz w:val="26"/>
          <w:szCs w:val="26"/>
          <w:lang w:val="en"/>
        </w:rPr>
        <w:t xml:space="preserve"> observed. In contrast, CTAB exhibits a fully developed adsorbed layer of cylindrical </w:t>
      </w:r>
      <w:proofErr w:type="spellStart"/>
      <w:r>
        <w:rPr>
          <w:rFonts w:ascii="Roboto" w:hAnsi="Roboto" w:cs="Arial"/>
          <w:color w:val="000000"/>
          <w:sz w:val="26"/>
          <w:szCs w:val="26"/>
          <w:lang w:val="en"/>
        </w:rPr>
        <w:t>hemimicelles</w:t>
      </w:r>
      <w:proofErr w:type="spellEnd"/>
      <w:r>
        <w:rPr>
          <w:rFonts w:ascii="Roboto" w:hAnsi="Roboto" w:cs="Arial"/>
          <w:color w:val="000000"/>
          <w:sz w:val="26"/>
          <w:szCs w:val="26"/>
          <w:lang w:val="en"/>
        </w:rPr>
        <w:t xml:space="preserve"> on graphite at 2.5 </w:t>
      </w:r>
      <w:proofErr w:type="spellStart"/>
      <w:r>
        <w:rPr>
          <w:rFonts w:ascii="Roboto" w:hAnsi="Roboto" w:cs="Arial"/>
          <w:color w:val="000000"/>
          <w:sz w:val="26"/>
          <w:szCs w:val="26"/>
          <w:lang w:val="en"/>
        </w:rPr>
        <w:t>mM</w:t>
      </w:r>
      <w:proofErr w:type="spellEnd"/>
      <w:r>
        <w:rPr>
          <w:rFonts w:ascii="Roboto" w:hAnsi="Roboto" w:cs="Arial"/>
          <w:color w:val="000000"/>
          <w:sz w:val="26"/>
          <w:szCs w:val="26"/>
          <w:lang w:val="en"/>
        </w:rPr>
        <w:t xml:space="preserve">, which is only slightly above its CMC in </w:t>
      </w:r>
      <w:proofErr w:type="spellStart"/>
      <w:r>
        <w:rPr>
          <w:rFonts w:ascii="Roboto" w:hAnsi="Roboto" w:cs="Arial"/>
          <w:color w:val="000000"/>
          <w:sz w:val="26"/>
          <w:szCs w:val="26"/>
          <w:lang w:val="en"/>
        </w:rPr>
        <w:t>ChCl-Gly</w:t>
      </w:r>
      <w:proofErr w:type="spellEnd"/>
      <w:r>
        <w:rPr>
          <w:rFonts w:ascii="Roboto" w:hAnsi="Roboto" w:cs="Arial"/>
          <w:color w:val="000000"/>
          <w:sz w:val="26"/>
          <w:szCs w:val="26"/>
          <w:lang w:val="en"/>
        </w:rPr>
        <w:t xml:space="preserve"> (CTAB is insoluble in </w:t>
      </w:r>
      <w:proofErr w:type="spellStart"/>
      <w:r>
        <w:rPr>
          <w:rFonts w:ascii="Roboto" w:hAnsi="Roboto" w:cs="Arial"/>
          <w:color w:val="000000"/>
          <w:sz w:val="26"/>
          <w:szCs w:val="26"/>
          <w:lang w:val="en"/>
        </w:rPr>
        <w:t>ChCl</w:t>
      </w:r>
      <w:proofErr w:type="spellEnd"/>
      <w:r>
        <w:rPr>
          <w:rFonts w:ascii="Roboto" w:hAnsi="Roboto" w:cs="Arial"/>
          <w:color w:val="000000"/>
          <w:sz w:val="26"/>
          <w:szCs w:val="26"/>
          <w:lang w:val="en"/>
        </w:rPr>
        <w:t>-EG). Although the epitaxial monolayer formation on the graphite substrate is always favorable, the subsequent amphiphilic association step is strongly system-dependent.</w:t>
      </w:r>
    </w:p>
    <w:p w14:paraId="7BBBB5CE" w14:textId="77777777" w:rsidR="008C01F7" w:rsidRDefault="008C01F7" w:rsidP="00641359">
      <w:pPr>
        <w:spacing w:before="240" w:after="240" w:line="360" w:lineRule="auto"/>
        <w:textAlignment w:val="top"/>
        <w:rPr>
          <w:rFonts w:ascii="Roboto" w:hAnsi="Roboto" w:cs="Arial"/>
          <w:color w:val="000000"/>
          <w:sz w:val="26"/>
          <w:szCs w:val="26"/>
          <w:lang w:val="en"/>
        </w:rPr>
      </w:pPr>
      <w:r>
        <w:rPr>
          <w:rFonts w:ascii="Roboto" w:hAnsi="Roboto" w:cs="Arial"/>
          <w:color w:val="000000"/>
          <w:sz w:val="26"/>
          <w:szCs w:val="26"/>
          <w:lang w:val="en"/>
        </w:rPr>
        <w:t xml:space="preserve">The SDS and CTAB adsorbed structures also respond very differently to applied potential. In both DESs, SDS is completely desorbed from the interface at negative potentials beyond −0.5 V, while CTAB remains adsorbed at corresponding positive potentials up to + 0.75 V. This arises primarily from the stronger attractions between </w:t>
      </w:r>
      <w:r>
        <w:rPr>
          <w:rFonts w:ascii="Roboto" w:hAnsi="Roboto" w:cs="Arial"/>
          <w:color w:val="000000"/>
          <w:sz w:val="26"/>
          <w:szCs w:val="26"/>
          <w:lang w:val="en"/>
        </w:rPr>
        <w:lastRenderedPageBreak/>
        <w:t xml:space="preserve">the CTAB </w:t>
      </w:r>
      <w:proofErr w:type="spellStart"/>
      <w:r>
        <w:rPr>
          <w:rFonts w:ascii="Roboto" w:hAnsi="Roboto" w:cs="Arial"/>
          <w:color w:val="000000"/>
          <w:sz w:val="26"/>
          <w:szCs w:val="26"/>
          <w:lang w:val="en"/>
        </w:rPr>
        <w:t>hexadecyl</w:t>
      </w:r>
      <w:proofErr w:type="spellEnd"/>
      <w:r>
        <w:rPr>
          <w:rFonts w:ascii="Roboto" w:hAnsi="Roboto" w:cs="Arial"/>
          <w:color w:val="000000"/>
          <w:sz w:val="26"/>
          <w:szCs w:val="26"/>
          <w:lang w:val="en"/>
        </w:rPr>
        <w:t xml:space="preserve"> tail and graphite compared with the dodecyl tail of SDS, but this is also likely to be affected by the weaker attraction of chloride compared to choline at the polarized graphite surface.</w:t>
      </w:r>
    </w:p>
    <w:p w14:paraId="6B3AAA73" w14:textId="77777777" w:rsidR="008C01F7" w:rsidRDefault="008C01F7" w:rsidP="00641359">
      <w:pPr>
        <w:spacing w:before="240" w:after="240" w:line="360" w:lineRule="auto"/>
        <w:textAlignment w:val="top"/>
        <w:rPr>
          <w:rFonts w:ascii="Roboto" w:hAnsi="Roboto" w:cs="Arial"/>
          <w:color w:val="000000"/>
          <w:sz w:val="26"/>
          <w:szCs w:val="26"/>
          <w:lang w:val="en"/>
        </w:rPr>
      </w:pPr>
      <w:r>
        <w:rPr>
          <w:rFonts w:ascii="Roboto" w:hAnsi="Roboto" w:cs="Arial"/>
          <w:color w:val="000000"/>
          <w:sz w:val="26"/>
          <w:szCs w:val="26"/>
          <w:lang w:val="en"/>
        </w:rPr>
        <w:t xml:space="preserve">This explains the different effects of these surfactants on the electrochemical behavior of graphite electrodes in DESs. Cyclic voltammograms and electron-transfer experiments show that, for both CTAB and SDS, respectively, adsorbed surfactant </w:t>
      </w:r>
      <w:proofErr w:type="spellStart"/>
      <w:r>
        <w:rPr>
          <w:rFonts w:ascii="Roboto" w:hAnsi="Roboto" w:cs="Arial"/>
          <w:color w:val="000000"/>
          <w:sz w:val="26"/>
          <w:szCs w:val="26"/>
          <w:lang w:val="en"/>
        </w:rPr>
        <w:t>hemimicelles</w:t>
      </w:r>
      <w:proofErr w:type="spellEnd"/>
      <w:r>
        <w:rPr>
          <w:rFonts w:ascii="Roboto" w:hAnsi="Roboto" w:cs="Arial"/>
          <w:color w:val="000000"/>
          <w:sz w:val="26"/>
          <w:szCs w:val="26"/>
          <w:lang w:val="en"/>
        </w:rPr>
        <w:t xml:space="preserve"> influence electrochemical behavior more strongly than a surfactant horizontal monolayer. For CTAB, </w:t>
      </w:r>
      <w:proofErr w:type="spellStart"/>
      <w:r>
        <w:rPr>
          <w:rFonts w:ascii="Roboto" w:hAnsi="Roboto" w:cs="Arial"/>
          <w:color w:val="000000"/>
          <w:sz w:val="26"/>
          <w:szCs w:val="26"/>
          <w:lang w:val="en"/>
        </w:rPr>
        <w:t>hemimicelles</w:t>
      </w:r>
      <w:proofErr w:type="spellEnd"/>
      <w:r>
        <w:rPr>
          <w:rFonts w:ascii="Roboto" w:hAnsi="Roboto" w:cs="Arial"/>
          <w:color w:val="000000"/>
          <w:sz w:val="26"/>
          <w:szCs w:val="26"/>
          <w:lang w:val="en"/>
        </w:rPr>
        <w:t xml:space="preserve"> remain intact across the electrochemical window, forming a more effective barrier at the electrode surface.</w:t>
      </w:r>
    </w:p>
    <w:p w14:paraId="44A9FF7A" w14:textId="77777777" w:rsidR="008C01F7" w:rsidRDefault="008C01F7" w:rsidP="00641359">
      <w:pPr>
        <w:spacing w:before="240" w:after="240" w:line="360" w:lineRule="auto"/>
        <w:textAlignment w:val="top"/>
        <w:rPr>
          <w:rFonts w:ascii="Roboto" w:hAnsi="Roboto" w:cs="Arial"/>
          <w:color w:val="000000"/>
          <w:sz w:val="26"/>
          <w:szCs w:val="26"/>
          <w:lang w:val="en"/>
        </w:rPr>
      </w:pPr>
      <w:r>
        <w:rPr>
          <w:rFonts w:ascii="Roboto" w:hAnsi="Roboto" w:cs="Arial"/>
          <w:color w:val="000000"/>
          <w:sz w:val="26"/>
          <w:szCs w:val="26"/>
          <w:lang w:val="en"/>
        </w:rPr>
        <w:t>Combined, these results show that to effectively modify electrochemical behavior in DESs, care must be taken in the choice of surfactant to ensure that its adsorbed layer forms an effective barrier but also is one that resists desorption when the electrode polarization leads to electrostatic repulsions.</w:t>
      </w:r>
    </w:p>
    <w:p w14:paraId="33B1533A" w14:textId="6DF109E3" w:rsidR="004D30F8" w:rsidRPr="008B3802" w:rsidRDefault="00B1326B" w:rsidP="00A07F9C">
      <w:pPr>
        <w:spacing w:line="480" w:lineRule="auto"/>
        <w:rPr>
          <w:rFonts w:ascii="Times New Roman" w:hAnsi="Times New Roman" w:cs="Times New Roman"/>
          <w:b/>
          <w:sz w:val="24"/>
          <w:szCs w:val="24"/>
          <w:lang w:val="en-GB"/>
        </w:rPr>
      </w:pPr>
      <w:bookmarkStart w:id="1" w:name="_GoBack"/>
      <w:bookmarkEnd w:id="1"/>
      <w:r w:rsidRPr="008B3802">
        <w:rPr>
          <w:rFonts w:ascii="Times New Roman" w:hAnsi="Times New Roman" w:cs="Times New Roman"/>
          <w:b/>
          <w:sz w:val="24"/>
          <w:szCs w:val="24"/>
          <w:lang w:val="en-GB"/>
        </w:rPr>
        <w:t>References</w:t>
      </w:r>
    </w:p>
    <w:p w14:paraId="597C37F9" w14:textId="06B7AB69"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Abbott, A. P.; Capper, G.; Davies, D. L.; Rasheed, R. K.; </w:t>
      </w:r>
      <w:proofErr w:type="spellStart"/>
      <w:r w:rsidRPr="008C01F7">
        <w:rPr>
          <w:rFonts w:ascii="Times New Roman" w:hAnsi="Times New Roman" w:cs="Times New Roman"/>
          <w:sz w:val="24"/>
          <w:szCs w:val="24"/>
          <w:lang w:val="en-GB"/>
        </w:rPr>
        <w:t>Tambyrajah</w:t>
      </w:r>
      <w:proofErr w:type="spellEnd"/>
      <w:r w:rsidRPr="008C01F7">
        <w:rPr>
          <w:rFonts w:ascii="Times New Roman" w:hAnsi="Times New Roman" w:cs="Times New Roman"/>
          <w:sz w:val="24"/>
          <w:szCs w:val="24"/>
          <w:lang w:val="en-GB"/>
        </w:rPr>
        <w:t xml:space="preserve">, V. Novel solvent properties of choline chloride/urea mixtures. Chem. </w:t>
      </w:r>
      <w:proofErr w:type="spellStart"/>
      <w:r w:rsidRPr="008C01F7">
        <w:rPr>
          <w:rFonts w:ascii="Times New Roman" w:hAnsi="Times New Roman" w:cs="Times New Roman"/>
          <w:sz w:val="24"/>
          <w:szCs w:val="24"/>
          <w:lang w:val="en-GB"/>
        </w:rPr>
        <w:t>Commun</w:t>
      </w:r>
      <w:proofErr w:type="spellEnd"/>
      <w:r w:rsidRPr="008C01F7">
        <w:rPr>
          <w:rFonts w:ascii="Times New Roman" w:hAnsi="Times New Roman" w:cs="Times New Roman"/>
          <w:sz w:val="24"/>
          <w:szCs w:val="24"/>
          <w:lang w:val="en-GB"/>
        </w:rPr>
        <w:t>. 2003, 70– 71</w:t>
      </w:r>
    </w:p>
    <w:p w14:paraId="0D7C2598" w14:textId="4F3793CA"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Meng</w:t>
      </w:r>
      <w:proofErr w:type="spellEnd"/>
      <w:r w:rsidRPr="008C01F7">
        <w:rPr>
          <w:rFonts w:ascii="Times New Roman" w:hAnsi="Times New Roman" w:cs="Times New Roman"/>
          <w:sz w:val="24"/>
          <w:szCs w:val="24"/>
          <w:lang w:val="en-GB"/>
        </w:rPr>
        <w:t xml:space="preserve">, X.; </w:t>
      </w:r>
      <w:proofErr w:type="spellStart"/>
      <w:r w:rsidRPr="008C01F7">
        <w:rPr>
          <w:rFonts w:ascii="Times New Roman" w:hAnsi="Times New Roman" w:cs="Times New Roman"/>
          <w:sz w:val="24"/>
          <w:szCs w:val="24"/>
          <w:lang w:val="en-GB"/>
        </w:rPr>
        <w:t>Ballerat-Busserolles</w:t>
      </w:r>
      <w:proofErr w:type="spellEnd"/>
      <w:r w:rsidRPr="008C01F7">
        <w:rPr>
          <w:rFonts w:ascii="Times New Roman" w:hAnsi="Times New Roman" w:cs="Times New Roman"/>
          <w:sz w:val="24"/>
          <w:szCs w:val="24"/>
          <w:lang w:val="en-GB"/>
        </w:rPr>
        <w:t xml:space="preserve">, K.; </w:t>
      </w:r>
      <w:proofErr w:type="spellStart"/>
      <w:r w:rsidRPr="008C01F7">
        <w:rPr>
          <w:rFonts w:ascii="Times New Roman" w:hAnsi="Times New Roman" w:cs="Times New Roman"/>
          <w:sz w:val="24"/>
          <w:szCs w:val="24"/>
          <w:lang w:val="en-GB"/>
        </w:rPr>
        <w:t>Husson</w:t>
      </w:r>
      <w:proofErr w:type="spellEnd"/>
      <w:r w:rsidRPr="008C01F7">
        <w:rPr>
          <w:rFonts w:ascii="Times New Roman" w:hAnsi="Times New Roman" w:cs="Times New Roman"/>
          <w:sz w:val="24"/>
          <w:szCs w:val="24"/>
          <w:lang w:val="en-GB"/>
        </w:rPr>
        <w:t xml:space="preserve">, P.; </w:t>
      </w:r>
      <w:proofErr w:type="spellStart"/>
      <w:r w:rsidRPr="008C01F7">
        <w:rPr>
          <w:rFonts w:ascii="Times New Roman" w:hAnsi="Times New Roman" w:cs="Times New Roman"/>
          <w:sz w:val="24"/>
          <w:szCs w:val="24"/>
          <w:lang w:val="en-GB"/>
        </w:rPr>
        <w:t>Andanson</w:t>
      </w:r>
      <w:proofErr w:type="spellEnd"/>
      <w:r w:rsidRPr="008C01F7">
        <w:rPr>
          <w:rFonts w:ascii="Times New Roman" w:hAnsi="Times New Roman" w:cs="Times New Roman"/>
          <w:sz w:val="24"/>
          <w:szCs w:val="24"/>
          <w:lang w:val="en-GB"/>
        </w:rPr>
        <w:t>, J.-M. Impact of water on the melting temperature of urea + choline chloride deep eutectic solvent. New J. Chem. 2016, 40, 4492– 4499</w:t>
      </w:r>
    </w:p>
    <w:p w14:paraId="6EBAEC4B" w14:textId="27FF42F0"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Hammond, O. S.; </w:t>
      </w:r>
      <w:proofErr w:type="spellStart"/>
      <w:r w:rsidRPr="008C01F7">
        <w:rPr>
          <w:rFonts w:ascii="Times New Roman" w:hAnsi="Times New Roman" w:cs="Times New Roman"/>
          <w:sz w:val="24"/>
          <w:szCs w:val="24"/>
          <w:lang w:val="en-GB"/>
        </w:rPr>
        <w:t>Bowron</w:t>
      </w:r>
      <w:proofErr w:type="spellEnd"/>
      <w:r w:rsidRPr="008C01F7">
        <w:rPr>
          <w:rFonts w:ascii="Times New Roman" w:hAnsi="Times New Roman" w:cs="Times New Roman"/>
          <w:sz w:val="24"/>
          <w:szCs w:val="24"/>
          <w:lang w:val="en-GB"/>
        </w:rPr>
        <w:t xml:space="preserve">, D. T.; Jackson, A. J.; Arnold, T.; Sanchez-Fernandez, A.; </w:t>
      </w:r>
      <w:proofErr w:type="spellStart"/>
      <w:r w:rsidRPr="008C01F7">
        <w:rPr>
          <w:rFonts w:ascii="Times New Roman" w:hAnsi="Times New Roman" w:cs="Times New Roman"/>
          <w:sz w:val="24"/>
          <w:szCs w:val="24"/>
          <w:lang w:val="en-GB"/>
        </w:rPr>
        <w:t>Tsapatsaris</w:t>
      </w:r>
      <w:proofErr w:type="spellEnd"/>
      <w:r w:rsidRPr="008C01F7">
        <w:rPr>
          <w:rFonts w:ascii="Times New Roman" w:hAnsi="Times New Roman" w:cs="Times New Roman"/>
          <w:sz w:val="24"/>
          <w:szCs w:val="24"/>
          <w:lang w:val="en-GB"/>
        </w:rPr>
        <w:t xml:space="preserve">, N.; Garcia Sakai, V.; </w:t>
      </w:r>
      <w:proofErr w:type="spellStart"/>
      <w:r w:rsidRPr="008C01F7">
        <w:rPr>
          <w:rFonts w:ascii="Times New Roman" w:hAnsi="Times New Roman" w:cs="Times New Roman"/>
          <w:sz w:val="24"/>
          <w:szCs w:val="24"/>
          <w:lang w:val="en-GB"/>
        </w:rPr>
        <w:t>Edler</w:t>
      </w:r>
      <w:proofErr w:type="spellEnd"/>
      <w:r w:rsidRPr="008C01F7">
        <w:rPr>
          <w:rFonts w:ascii="Times New Roman" w:hAnsi="Times New Roman" w:cs="Times New Roman"/>
          <w:sz w:val="24"/>
          <w:szCs w:val="24"/>
          <w:lang w:val="en-GB"/>
        </w:rPr>
        <w:t xml:space="preserve">, K. J. Resilience of Malic Acid Natural Deep Eutectic Solvent Nanostructure to Solidification and Hydration. J. Phys. Chem. B 2017, 121, 7473– 7483, </w:t>
      </w:r>
    </w:p>
    <w:p w14:paraId="1407DC4E" w14:textId="222D928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Hammond, O. S.; </w:t>
      </w:r>
      <w:proofErr w:type="spellStart"/>
      <w:r w:rsidRPr="008C01F7">
        <w:rPr>
          <w:rFonts w:ascii="Times New Roman" w:hAnsi="Times New Roman" w:cs="Times New Roman"/>
          <w:sz w:val="24"/>
          <w:szCs w:val="24"/>
          <w:lang w:val="en-GB"/>
        </w:rPr>
        <w:t>Bowron</w:t>
      </w:r>
      <w:proofErr w:type="spellEnd"/>
      <w:r w:rsidRPr="008C01F7">
        <w:rPr>
          <w:rFonts w:ascii="Times New Roman" w:hAnsi="Times New Roman" w:cs="Times New Roman"/>
          <w:sz w:val="24"/>
          <w:szCs w:val="24"/>
          <w:lang w:val="en-GB"/>
        </w:rPr>
        <w:t xml:space="preserve">, D. T.; </w:t>
      </w:r>
      <w:proofErr w:type="spellStart"/>
      <w:r w:rsidRPr="008C01F7">
        <w:rPr>
          <w:rFonts w:ascii="Times New Roman" w:hAnsi="Times New Roman" w:cs="Times New Roman"/>
          <w:sz w:val="24"/>
          <w:szCs w:val="24"/>
          <w:lang w:val="en-GB"/>
        </w:rPr>
        <w:t>Edler</w:t>
      </w:r>
      <w:proofErr w:type="spellEnd"/>
      <w:r w:rsidRPr="008C01F7">
        <w:rPr>
          <w:rFonts w:ascii="Times New Roman" w:hAnsi="Times New Roman" w:cs="Times New Roman"/>
          <w:sz w:val="24"/>
          <w:szCs w:val="24"/>
          <w:lang w:val="en-GB"/>
        </w:rPr>
        <w:t xml:space="preserve">, K. J. Liquid structure of the choline chloride-urea deep eutectic solvent (reline) from neutron diffraction and atomistic modelling. Green Chem. 2016, 18, 2736– 2744, </w:t>
      </w:r>
    </w:p>
    <w:p w14:paraId="0C9B54E9" w14:textId="2E4DDAB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Ashworth, C. R.; Matthews, R. P.; </w:t>
      </w:r>
      <w:proofErr w:type="spellStart"/>
      <w:r w:rsidRPr="008C01F7">
        <w:rPr>
          <w:rFonts w:ascii="Times New Roman" w:hAnsi="Times New Roman" w:cs="Times New Roman"/>
          <w:sz w:val="24"/>
          <w:szCs w:val="24"/>
          <w:lang w:val="en-GB"/>
        </w:rPr>
        <w:t>Welton</w:t>
      </w:r>
      <w:proofErr w:type="spellEnd"/>
      <w:r w:rsidRPr="008C01F7">
        <w:rPr>
          <w:rFonts w:ascii="Times New Roman" w:hAnsi="Times New Roman" w:cs="Times New Roman"/>
          <w:sz w:val="24"/>
          <w:szCs w:val="24"/>
          <w:lang w:val="en-GB"/>
        </w:rPr>
        <w:t xml:space="preserve">, T.; Hunt, P. A. Doubly ionic hydrogen bond interactions within the choline chloride-urea deep eutectic solvent. Phys. Chem. Chem. Phys. 2016, 18, 18145– 18160, </w:t>
      </w:r>
    </w:p>
    <w:p w14:paraId="3E152771" w14:textId="5329CABF"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6</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Araujo, C. F.; </w:t>
      </w:r>
      <w:proofErr w:type="spellStart"/>
      <w:r w:rsidRPr="008C01F7">
        <w:rPr>
          <w:rFonts w:ascii="Times New Roman" w:hAnsi="Times New Roman" w:cs="Times New Roman"/>
          <w:sz w:val="24"/>
          <w:szCs w:val="24"/>
          <w:lang w:val="en-GB"/>
        </w:rPr>
        <w:t>Coutinho</w:t>
      </w:r>
      <w:proofErr w:type="spellEnd"/>
      <w:r w:rsidRPr="008C01F7">
        <w:rPr>
          <w:rFonts w:ascii="Times New Roman" w:hAnsi="Times New Roman" w:cs="Times New Roman"/>
          <w:sz w:val="24"/>
          <w:szCs w:val="24"/>
          <w:lang w:val="en-GB"/>
        </w:rPr>
        <w:t xml:space="preserve">, J. A. P.; </w:t>
      </w:r>
      <w:proofErr w:type="spellStart"/>
      <w:r w:rsidRPr="008C01F7">
        <w:rPr>
          <w:rFonts w:ascii="Times New Roman" w:hAnsi="Times New Roman" w:cs="Times New Roman"/>
          <w:sz w:val="24"/>
          <w:szCs w:val="24"/>
          <w:lang w:val="en-GB"/>
        </w:rPr>
        <w:t>Nolasco</w:t>
      </w:r>
      <w:proofErr w:type="spellEnd"/>
      <w:r w:rsidRPr="008C01F7">
        <w:rPr>
          <w:rFonts w:ascii="Times New Roman" w:hAnsi="Times New Roman" w:cs="Times New Roman"/>
          <w:sz w:val="24"/>
          <w:szCs w:val="24"/>
          <w:lang w:val="en-GB"/>
        </w:rPr>
        <w:t xml:space="preserve">, M. M.; Parker, S. F.; Ribeiro-Claro, P. J. A.; </w:t>
      </w:r>
      <w:proofErr w:type="spellStart"/>
      <w:r w:rsidRPr="008C01F7">
        <w:rPr>
          <w:rFonts w:ascii="Times New Roman" w:hAnsi="Times New Roman" w:cs="Times New Roman"/>
          <w:sz w:val="24"/>
          <w:szCs w:val="24"/>
          <w:lang w:val="en-GB"/>
        </w:rPr>
        <w:t>Rudić</w:t>
      </w:r>
      <w:proofErr w:type="spellEnd"/>
      <w:r w:rsidRPr="008C01F7">
        <w:rPr>
          <w:rFonts w:ascii="Times New Roman" w:hAnsi="Times New Roman" w:cs="Times New Roman"/>
          <w:sz w:val="24"/>
          <w:szCs w:val="24"/>
          <w:lang w:val="en-GB"/>
        </w:rPr>
        <w:t xml:space="preserve">, S.; </w:t>
      </w:r>
      <w:proofErr w:type="spellStart"/>
      <w:r w:rsidRPr="008C01F7">
        <w:rPr>
          <w:rFonts w:ascii="Times New Roman" w:hAnsi="Times New Roman" w:cs="Times New Roman"/>
          <w:sz w:val="24"/>
          <w:szCs w:val="24"/>
          <w:lang w:val="en-GB"/>
        </w:rPr>
        <w:t>Soares</w:t>
      </w:r>
      <w:proofErr w:type="spellEnd"/>
      <w:r w:rsidRPr="008C01F7">
        <w:rPr>
          <w:rFonts w:ascii="Times New Roman" w:hAnsi="Times New Roman" w:cs="Times New Roman"/>
          <w:sz w:val="24"/>
          <w:szCs w:val="24"/>
          <w:lang w:val="en-GB"/>
        </w:rPr>
        <w:t xml:space="preserve">, B. I. G.; </w:t>
      </w:r>
      <w:proofErr w:type="spellStart"/>
      <w:r w:rsidRPr="008C01F7">
        <w:rPr>
          <w:rFonts w:ascii="Times New Roman" w:hAnsi="Times New Roman" w:cs="Times New Roman"/>
          <w:sz w:val="24"/>
          <w:szCs w:val="24"/>
          <w:lang w:val="en-GB"/>
        </w:rPr>
        <w:t>Vaz</w:t>
      </w:r>
      <w:proofErr w:type="spellEnd"/>
      <w:r w:rsidRPr="008C01F7">
        <w:rPr>
          <w:rFonts w:ascii="Times New Roman" w:hAnsi="Times New Roman" w:cs="Times New Roman"/>
          <w:sz w:val="24"/>
          <w:szCs w:val="24"/>
          <w:lang w:val="en-GB"/>
        </w:rPr>
        <w:t>, P. D. Inelastic neutron scattering study of reline: Shedding light on the hydrogen bonding network of deep eutectic solvents. Phys. Chem. Chem. Phys. 2017, 19, 17998– 18009</w:t>
      </w:r>
    </w:p>
    <w:p w14:paraId="4C96E7C0" w14:textId="003E6D05"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7</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Wei, L.; Zhou, Z.-Y.; Chen, S.-P.; Xu, C.-D.; Su, D.; Schuster, M. E.; Sun, S.-G. Electrochemically shape-controlled synthesis in deep eutectic solvents: </w:t>
      </w:r>
      <w:proofErr w:type="spellStart"/>
      <w:r w:rsidRPr="008C01F7">
        <w:rPr>
          <w:rFonts w:ascii="Times New Roman" w:hAnsi="Times New Roman" w:cs="Times New Roman"/>
          <w:sz w:val="24"/>
          <w:szCs w:val="24"/>
          <w:lang w:val="en-GB"/>
        </w:rPr>
        <w:t>Triambic</w:t>
      </w:r>
      <w:proofErr w:type="spellEnd"/>
      <w:r w:rsidRPr="008C01F7">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lastRenderedPageBreak/>
        <w:t xml:space="preserve">icosahedral platinum nanocrystals with high-index facets and their enhanced catalytic activity. Chem. </w:t>
      </w:r>
      <w:proofErr w:type="spellStart"/>
      <w:r w:rsidRPr="008C01F7">
        <w:rPr>
          <w:rFonts w:ascii="Times New Roman" w:hAnsi="Times New Roman" w:cs="Times New Roman"/>
          <w:sz w:val="24"/>
          <w:szCs w:val="24"/>
          <w:lang w:val="en-GB"/>
        </w:rPr>
        <w:t>Commun</w:t>
      </w:r>
      <w:proofErr w:type="spellEnd"/>
      <w:r w:rsidRPr="008C01F7">
        <w:rPr>
          <w:rFonts w:ascii="Times New Roman" w:hAnsi="Times New Roman" w:cs="Times New Roman"/>
          <w:sz w:val="24"/>
          <w:szCs w:val="24"/>
          <w:lang w:val="en-GB"/>
        </w:rPr>
        <w:t xml:space="preserve">. 2013, 49, 11152– 11154, </w:t>
      </w:r>
    </w:p>
    <w:p w14:paraId="54459873" w14:textId="058CCD5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8</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Wei, L.; Fan, Y.-J.; Wang, H.-H.; Tian, N.; Zhou, Z.-Y.; Sun, S.-G. Electrochemically shape-controlled synthesis in deep eutectic solvents of Pt </w:t>
      </w:r>
      <w:proofErr w:type="spellStart"/>
      <w:r w:rsidRPr="008C01F7">
        <w:rPr>
          <w:rFonts w:ascii="Times New Roman" w:hAnsi="Times New Roman" w:cs="Times New Roman"/>
          <w:sz w:val="24"/>
          <w:szCs w:val="24"/>
          <w:lang w:val="en-GB"/>
        </w:rPr>
        <w:t>nanoflowers</w:t>
      </w:r>
      <w:proofErr w:type="spellEnd"/>
      <w:r w:rsidRPr="008C01F7">
        <w:rPr>
          <w:rFonts w:ascii="Times New Roman" w:hAnsi="Times New Roman" w:cs="Times New Roman"/>
          <w:sz w:val="24"/>
          <w:szCs w:val="24"/>
          <w:lang w:val="en-GB"/>
        </w:rPr>
        <w:t xml:space="preserve"> with enhanced activity for ethanol oxidation. </w:t>
      </w:r>
      <w:proofErr w:type="spellStart"/>
      <w:r w:rsidRPr="008C01F7">
        <w:rPr>
          <w:rFonts w:ascii="Times New Roman" w:hAnsi="Times New Roman" w:cs="Times New Roman"/>
          <w:sz w:val="24"/>
          <w:szCs w:val="24"/>
          <w:lang w:val="en-GB"/>
        </w:rPr>
        <w:t>Electrochim</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Acta</w:t>
      </w:r>
      <w:proofErr w:type="spellEnd"/>
      <w:r w:rsidRPr="008C01F7">
        <w:rPr>
          <w:rFonts w:ascii="Times New Roman" w:hAnsi="Times New Roman" w:cs="Times New Roman"/>
          <w:sz w:val="24"/>
          <w:szCs w:val="24"/>
          <w:lang w:val="en-GB"/>
        </w:rPr>
        <w:t xml:space="preserve"> 2012, 76, 468– 474</w:t>
      </w:r>
    </w:p>
    <w:p w14:paraId="0CF65C9B" w14:textId="7002A24C"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9</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Goddard, A. J.; Harris, R. C.; </w:t>
      </w:r>
      <w:proofErr w:type="spellStart"/>
      <w:r w:rsidRPr="008C01F7">
        <w:rPr>
          <w:rFonts w:ascii="Times New Roman" w:hAnsi="Times New Roman" w:cs="Times New Roman"/>
          <w:sz w:val="24"/>
          <w:szCs w:val="24"/>
          <w:lang w:val="en-GB"/>
        </w:rPr>
        <w:t>Saleem</w:t>
      </w:r>
      <w:proofErr w:type="spellEnd"/>
      <w:r w:rsidRPr="008C01F7">
        <w:rPr>
          <w:rFonts w:ascii="Times New Roman" w:hAnsi="Times New Roman" w:cs="Times New Roman"/>
          <w:sz w:val="24"/>
          <w:szCs w:val="24"/>
          <w:lang w:val="en-GB"/>
        </w:rPr>
        <w:t xml:space="preserve">, S.; </w:t>
      </w:r>
      <w:proofErr w:type="spellStart"/>
      <w:r w:rsidRPr="008C01F7">
        <w:rPr>
          <w:rFonts w:ascii="Times New Roman" w:hAnsi="Times New Roman" w:cs="Times New Roman"/>
          <w:sz w:val="24"/>
          <w:szCs w:val="24"/>
          <w:lang w:val="en-GB"/>
        </w:rPr>
        <w:t>Azam</w:t>
      </w:r>
      <w:proofErr w:type="spellEnd"/>
      <w:r w:rsidRPr="008C01F7">
        <w:rPr>
          <w:rFonts w:ascii="Times New Roman" w:hAnsi="Times New Roman" w:cs="Times New Roman"/>
          <w:sz w:val="24"/>
          <w:szCs w:val="24"/>
          <w:lang w:val="en-GB"/>
        </w:rPr>
        <w:t xml:space="preserve">, M.; Hood, C.; Clark, D.; </w:t>
      </w:r>
      <w:proofErr w:type="spellStart"/>
      <w:r w:rsidRPr="008C01F7">
        <w:rPr>
          <w:rFonts w:ascii="Times New Roman" w:hAnsi="Times New Roman" w:cs="Times New Roman"/>
          <w:sz w:val="24"/>
          <w:szCs w:val="24"/>
          <w:lang w:val="en-GB"/>
        </w:rPr>
        <w:t>Satchwell</w:t>
      </w:r>
      <w:proofErr w:type="spellEnd"/>
      <w:r w:rsidRPr="008C01F7">
        <w:rPr>
          <w:rFonts w:ascii="Times New Roman" w:hAnsi="Times New Roman" w:cs="Times New Roman"/>
          <w:sz w:val="24"/>
          <w:szCs w:val="24"/>
          <w:lang w:val="en-GB"/>
        </w:rPr>
        <w:t xml:space="preserve">, J.; Ryder, K. S. </w:t>
      </w:r>
      <w:proofErr w:type="spellStart"/>
      <w:r w:rsidRPr="008C01F7">
        <w:rPr>
          <w:rFonts w:ascii="Times New Roman" w:hAnsi="Times New Roman" w:cs="Times New Roman"/>
          <w:sz w:val="24"/>
          <w:szCs w:val="24"/>
          <w:lang w:val="en-GB"/>
        </w:rPr>
        <w:t>Electropolishing</w:t>
      </w:r>
      <w:proofErr w:type="spellEnd"/>
      <w:r w:rsidRPr="008C01F7">
        <w:rPr>
          <w:rFonts w:ascii="Times New Roman" w:hAnsi="Times New Roman" w:cs="Times New Roman"/>
          <w:sz w:val="24"/>
          <w:szCs w:val="24"/>
          <w:lang w:val="en-GB"/>
        </w:rPr>
        <w:t xml:space="preserve"> and electrolytic etching of Ni-based HIP consolidated aerospace forms: A comparison between deep eutectic solvents and aqueous electrolytes. Trans. Inst. Met. Finish. 2017, 95, 137– 146, </w:t>
      </w:r>
    </w:p>
    <w:p w14:paraId="624B5E34" w14:textId="3C5ABB5C"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10</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Abbott, A. P.; Ryder, K. S.; </w:t>
      </w:r>
      <w:proofErr w:type="spellStart"/>
      <w:r w:rsidRPr="008C01F7">
        <w:rPr>
          <w:rFonts w:ascii="Times New Roman" w:hAnsi="Times New Roman" w:cs="Times New Roman"/>
          <w:sz w:val="24"/>
          <w:szCs w:val="24"/>
          <w:lang w:val="en-GB"/>
        </w:rPr>
        <w:t>König</w:t>
      </w:r>
      <w:proofErr w:type="spellEnd"/>
      <w:r w:rsidRPr="008C01F7">
        <w:rPr>
          <w:rFonts w:ascii="Times New Roman" w:hAnsi="Times New Roman" w:cs="Times New Roman"/>
          <w:sz w:val="24"/>
          <w:szCs w:val="24"/>
          <w:lang w:val="en-GB"/>
        </w:rPr>
        <w:t xml:space="preserve">, U. </w:t>
      </w:r>
      <w:proofErr w:type="spellStart"/>
      <w:r w:rsidRPr="008C01F7">
        <w:rPr>
          <w:rFonts w:ascii="Times New Roman" w:hAnsi="Times New Roman" w:cs="Times New Roman"/>
          <w:sz w:val="24"/>
          <w:szCs w:val="24"/>
          <w:lang w:val="en-GB"/>
        </w:rPr>
        <w:t>Electrofinishing</w:t>
      </w:r>
      <w:proofErr w:type="spellEnd"/>
      <w:r w:rsidRPr="008C01F7">
        <w:rPr>
          <w:rFonts w:ascii="Times New Roman" w:hAnsi="Times New Roman" w:cs="Times New Roman"/>
          <w:sz w:val="24"/>
          <w:szCs w:val="24"/>
          <w:lang w:val="en-GB"/>
        </w:rPr>
        <w:t xml:space="preserve"> of metals using eutectic based ionic liquids. Trans. Inst. Met. Finish. 2008, 86, 196– 204, </w:t>
      </w:r>
    </w:p>
    <w:p w14:paraId="0069DE11" w14:textId="53BAB265"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11</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Abbott, A. P.; El </w:t>
      </w:r>
      <w:proofErr w:type="spellStart"/>
      <w:r w:rsidRPr="008C01F7">
        <w:rPr>
          <w:rFonts w:ascii="Times New Roman" w:hAnsi="Times New Roman" w:cs="Times New Roman"/>
          <w:sz w:val="24"/>
          <w:szCs w:val="24"/>
          <w:lang w:val="en-GB"/>
        </w:rPr>
        <w:t>Ttaib</w:t>
      </w:r>
      <w:proofErr w:type="spellEnd"/>
      <w:r w:rsidRPr="008C01F7">
        <w:rPr>
          <w:rFonts w:ascii="Times New Roman" w:hAnsi="Times New Roman" w:cs="Times New Roman"/>
          <w:sz w:val="24"/>
          <w:szCs w:val="24"/>
          <w:lang w:val="en-GB"/>
        </w:rPr>
        <w:t xml:space="preserve">, K.; Frisch, G.; McKenzie, K. J.; Ryder, K. S. Electrodeposition of copper composites from deep eutectic solvents based on choline chloride. Phys. Chem. Chem. Phys. 2009, 11, 4269– 4277, </w:t>
      </w:r>
    </w:p>
    <w:p w14:paraId="7878D83C" w14:textId="59880F2A"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12</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Jenkin, G. R.T.; Al-Bassam, A. Z.M.; Harris, R. C.; Abbott, A. P.; Smith, D. J.; Holwell, D. A.; Chapman, R. J.; Stanley, C. J. The application of deep eutectic solvent ionic liquids for environmentally-friendly dissolution and recovery of precious metals. Miner. Eng. 2016, 87, 18– 24, </w:t>
      </w:r>
    </w:p>
    <w:p w14:paraId="4F0C807D" w14:textId="1F429CDA"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13</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Karim, W. O.; Abbott, A. P.; </w:t>
      </w:r>
      <w:proofErr w:type="spellStart"/>
      <w:r w:rsidRPr="008C01F7">
        <w:rPr>
          <w:rFonts w:ascii="Times New Roman" w:hAnsi="Times New Roman" w:cs="Times New Roman"/>
          <w:sz w:val="24"/>
          <w:szCs w:val="24"/>
          <w:lang w:val="en-GB"/>
        </w:rPr>
        <w:t>Cihangir</w:t>
      </w:r>
      <w:proofErr w:type="spellEnd"/>
      <w:r w:rsidRPr="008C01F7">
        <w:rPr>
          <w:rFonts w:ascii="Times New Roman" w:hAnsi="Times New Roman" w:cs="Times New Roman"/>
          <w:sz w:val="24"/>
          <w:szCs w:val="24"/>
          <w:lang w:val="en-GB"/>
        </w:rPr>
        <w:t xml:space="preserve">, S.; Ryder, K. S. </w:t>
      </w:r>
      <w:proofErr w:type="spellStart"/>
      <w:r w:rsidRPr="008C01F7">
        <w:rPr>
          <w:rFonts w:ascii="Times New Roman" w:hAnsi="Times New Roman" w:cs="Times New Roman"/>
          <w:sz w:val="24"/>
          <w:szCs w:val="24"/>
          <w:lang w:val="en-GB"/>
        </w:rPr>
        <w:t>Electropolishing</w:t>
      </w:r>
      <w:proofErr w:type="spellEnd"/>
      <w:r w:rsidRPr="008C01F7">
        <w:rPr>
          <w:rFonts w:ascii="Times New Roman" w:hAnsi="Times New Roman" w:cs="Times New Roman"/>
          <w:sz w:val="24"/>
          <w:szCs w:val="24"/>
          <w:lang w:val="en-GB"/>
        </w:rPr>
        <w:t xml:space="preserve"> of nickel and cobalt in deep eutectic solvents. Trans. Inst. Met. Finish. 2018, 96, 200– 205, </w:t>
      </w:r>
    </w:p>
    <w:p w14:paraId="2DAA2C07" w14:textId="6BEA86CF"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14</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Smith, E. L.; Abbott, A. P.; Ryder, K. S. Deep eutectic solvents (DESs) and their applications. Chem. Rev. 2014, 114, 11060– 11082, </w:t>
      </w:r>
    </w:p>
    <w:p w14:paraId="7467E29B" w14:textId="24DDCC1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15</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Zhang, Q.; Wang, Q.; Zhang, S.; Lu, X.; Zhang, X. Electrodeposition in Ionic Liquids. </w:t>
      </w:r>
      <w:proofErr w:type="spellStart"/>
      <w:r w:rsidRPr="008C01F7">
        <w:rPr>
          <w:rFonts w:ascii="Times New Roman" w:hAnsi="Times New Roman" w:cs="Times New Roman"/>
          <w:sz w:val="24"/>
          <w:szCs w:val="24"/>
          <w:lang w:val="en-GB"/>
        </w:rPr>
        <w:t>ChemPhysChem</w:t>
      </w:r>
      <w:proofErr w:type="spellEnd"/>
      <w:r w:rsidRPr="008C01F7">
        <w:rPr>
          <w:rFonts w:ascii="Times New Roman" w:hAnsi="Times New Roman" w:cs="Times New Roman"/>
          <w:sz w:val="24"/>
          <w:szCs w:val="24"/>
          <w:lang w:val="en-GB"/>
        </w:rPr>
        <w:t xml:space="preserve"> 2016, 17, 335– 351, </w:t>
      </w:r>
    </w:p>
    <w:p w14:paraId="506D3AE2" w14:textId="3C65B501"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16</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Huang, Y.; Shen, F.; La, J.; Luo, G.; Lai, J.; Liu, C.; Chu, G. Synthesis and Characterization of </w:t>
      </w:r>
      <w:proofErr w:type="spellStart"/>
      <w:r w:rsidRPr="008C01F7">
        <w:rPr>
          <w:rFonts w:ascii="Times New Roman" w:hAnsi="Times New Roman" w:cs="Times New Roman"/>
          <w:sz w:val="24"/>
          <w:szCs w:val="24"/>
          <w:lang w:val="en-GB"/>
        </w:rPr>
        <w:t>CuCl</w:t>
      </w:r>
      <w:proofErr w:type="spellEnd"/>
      <w:r w:rsidRPr="008C01F7">
        <w:rPr>
          <w:rFonts w:ascii="Times New Roman" w:hAnsi="Times New Roman" w:cs="Times New Roman"/>
          <w:sz w:val="24"/>
          <w:szCs w:val="24"/>
          <w:lang w:val="en-GB"/>
        </w:rPr>
        <w:t xml:space="preserve"> Nanoparticles in Deep Eutectic Solvents. Part. Sci. Technol. 2013, 31, 81– 84, </w:t>
      </w:r>
    </w:p>
    <w:p w14:paraId="0978E392" w14:textId="40C40E4F"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17</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Sirviö</w:t>
      </w:r>
      <w:proofErr w:type="spellEnd"/>
      <w:r w:rsidRPr="008C01F7">
        <w:rPr>
          <w:rFonts w:ascii="Times New Roman" w:hAnsi="Times New Roman" w:cs="Times New Roman"/>
          <w:sz w:val="24"/>
          <w:szCs w:val="24"/>
          <w:lang w:val="en-GB"/>
        </w:rPr>
        <w:t xml:space="preserve">, J. A. Fabrication of regenerated cellulose nanoparticles by mechanical disintegration of cellulose after dissolution and regeneration from a deep eutectic solvent. J. Mater. Chem. A 2019, 7, 755– 763, </w:t>
      </w:r>
    </w:p>
    <w:p w14:paraId="7DBF07FD" w14:textId="77743938"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18</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Chen, S.; Zhang, J.; Wu, T.; Feng, P.; Bu, X. </w:t>
      </w:r>
      <w:proofErr w:type="spellStart"/>
      <w:r w:rsidRPr="008C01F7">
        <w:rPr>
          <w:rFonts w:ascii="Times New Roman" w:hAnsi="Times New Roman" w:cs="Times New Roman"/>
          <w:sz w:val="24"/>
          <w:szCs w:val="24"/>
          <w:lang w:val="en-GB"/>
        </w:rPr>
        <w:t>Multiroute</w:t>
      </w:r>
      <w:proofErr w:type="spellEnd"/>
      <w:r w:rsidRPr="008C01F7">
        <w:rPr>
          <w:rFonts w:ascii="Times New Roman" w:hAnsi="Times New Roman" w:cs="Times New Roman"/>
          <w:sz w:val="24"/>
          <w:szCs w:val="24"/>
          <w:lang w:val="en-GB"/>
        </w:rPr>
        <w:t xml:space="preserve"> synthesis of porous anionic frameworks and size-</w:t>
      </w:r>
      <w:proofErr w:type="spellStart"/>
      <w:r w:rsidRPr="008C01F7">
        <w:rPr>
          <w:rFonts w:ascii="Times New Roman" w:hAnsi="Times New Roman" w:cs="Times New Roman"/>
          <w:sz w:val="24"/>
          <w:szCs w:val="24"/>
          <w:lang w:val="en-GB"/>
        </w:rPr>
        <w:t>tunable</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extraframework</w:t>
      </w:r>
      <w:proofErr w:type="spellEnd"/>
      <w:r w:rsidRPr="008C01F7">
        <w:rPr>
          <w:rFonts w:ascii="Times New Roman" w:hAnsi="Times New Roman" w:cs="Times New Roman"/>
          <w:sz w:val="24"/>
          <w:szCs w:val="24"/>
          <w:lang w:val="en-GB"/>
        </w:rPr>
        <w:t xml:space="preserve"> organic cation-controlled gas sorption properties. J. Am. Chem. Soc. 2009, 131, 16027– 16029, </w:t>
      </w:r>
    </w:p>
    <w:p w14:paraId="24A27EB5" w14:textId="7A645DED"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19</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Dong, J.-Y.; Lin, W.-H.; Hsu, Y.-J.; Wong, D. S.-H.; Lu, S.-Y. Ultrafast formation of </w:t>
      </w:r>
      <w:proofErr w:type="spellStart"/>
      <w:r w:rsidRPr="008C01F7">
        <w:rPr>
          <w:rFonts w:ascii="Times New Roman" w:hAnsi="Times New Roman" w:cs="Times New Roman"/>
          <w:sz w:val="24"/>
          <w:szCs w:val="24"/>
          <w:lang w:val="en-GB"/>
        </w:rPr>
        <w:t>ZnO</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mesocrystals</w:t>
      </w:r>
      <w:proofErr w:type="spellEnd"/>
      <w:r w:rsidRPr="008C01F7">
        <w:rPr>
          <w:rFonts w:ascii="Times New Roman" w:hAnsi="Times New Roman" w:cs="Times New Roman"/>
          <w:sz w:val="24"/>
          <w:szCs w:val="24"/>
          <w:lang w:val="en-GB"/>
        </w:rPr>
        <w:t xml:space="preserve"> with excellent photocatalytic activities by a facile </w:t>
      </w:r>
      <w:proofErr w:type="spellStart"/>
      <w:r w:rsidRPr="008C01F7">
        <w:rPr>
          <w:rFonts w:ascii="Times New Roman" w:hAnsi="Times New Roman" w:cs="Times New Roman"/>
          <w:sz w:val="24"/>
          <w:szCs w:val="24"/>
          <w:lang w:val="en-GB"/>
        </w:rPr>
        <w:t>Tris</w:t>
      </w:r>
      <w:proofErr w:type="spellEnd"/>
      <w:r w:rsidRPr="008C01F7">
        <w:rPr>
          <w:rFonts w:ascii="Times New Roman" w:hAnsi="Times New Roman" w:cs="Times New Roman"/>
          <w:sz w:val="24"/>
          <w:szCs w:val="24"/>
          <w:lang w:val="en-GB"/>
        </w:rPr>
        <w:t xml:space="preserve">-assisted </w:t>
      </w:r>
      <w:proofErr w:type="spellStart"/>
      <w:r w:rsidRPr="008C01F7">
        <w:rPr>
          <w:rFonts w:ascii="Times New Roman" w:hAnsi="Times New Roman" w:cs="Times New Roman"/>
          <w:sz w:val="24"/>
          <w:szCs w:val="24"/>
          <w:lang w:val="en-GB"/>
        </w:rPr>
        <w:t>antisolvent</w:t>
      </w:r>
      <w:proofErr w:type="spellEnd"/>
      <w:r w:rsidRPr="008C01F7">
        <w:rPr>
          <w:rFonts w:ascii="Times New Roman" w:hAnsi="Times New Roman" w:cs="Times New Roman"/>
          <w:sz w:val="24"/>
          <w:szCs w:val="24"/>
          <w:lang w:val="en-GB"/>
        </w:rPr>
        <w:t xml:space="preserve"> process. </w:t>
      </w:r>
      <w:proofErr w:type="spellStart"/>
      <w:r w:rsidRPr="008C01F7">
        <w:rPr>
          <w:rFonts w:ascii="Times New Roman" w:hAnsi="Times New Roman" w:cs="Times New Roman"/>
          <w:sz w:val="24"/>
          <w:szCs w:val="24"/>
          <w:lang w:val="en-GB"/>
        </w:rPr>
        <w:t>CrystEngComm</w:t>
      </w:r>
      <w:proofErr w:type="spellEnd"/>
      <w:r w:rsidRPr="008C01F7">
        <w:rPr>
          <w:rFonts w:ascii="Times New Roman" w:hAnsi="Times New Roman" w:cs="Times New Roman"/>
          <w:sz w:val="24"/>
          <w:szCs w:val="24"/>
          <w:lang w:val="en-GB"/>
        </w:rPr>
        <w:t xml:space="preserve"> 2011, 13, 6218, </w:t>
      </w:r>
    </w:p>
    <w:p w14:paraId="08E39ABB" w14:textId="01F3A096"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20</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Carriazo</w:t>
      </w:r>
      <w:proofErr w:type="spellEnd"/>
      <w:r w:rsidRPr="008C01F7">
        <w:rPr>
          <w:rFonts w:ascii="Times New Roman" w:hAnsi="Times New Roman" w:cs="Times New Roman"/>
          <w:sz w:val="24"/>
          <w:szCs w:val="24"/>
          <w:lang w:val="en-GB"/>
        </w:rPr>
        <w:t xml:space="preserve">, D.; Gutiérrez, M. C.; Ferrer, M. L.; </w:t>
      </w:r>
      <w:proofErr w:type="gramStart"/>
      <w:r w:rsidRPr="008C01F7">
        <w:rPr>
          <w:rFonts w:ascii="Times New Roman" w:hAnsi="Times New Roman" w:cs="Times New Roman"/>
          <w:sz w:val="24"/>
          <w:szCs w:val="24"/>
          <w:lang w:val="en-GB"/>
        </w:rPr>
        <w:t>del</w:t>
      </w:r>
      <w:proofErr w:type="gramEnd"/>
      <w:r w:rsidRPr="008C01F7">
        <w:rPr>
          <w:rFonts w:ascii="Times New Roman" w:hAnsi="Times New Roman" w:cs="Times New Roman"/>
          <w:sz w:val="24"/>
          <w:szCs w:val="24"/>
          <w:lang w:val="en-GB"/>
        </w:rPr>
        <w:t xml:space="preserve"> Monte, F. Resorcinol-Based Deep Eutectic Solvents as Both Carbonaceous Precursors and </w:t>
      </w:r>
      <w:proofErr w:type="spellStart"/>
      <w:r w:rsidRPr="008C01F7">
        <w:rPr>
          <w:rFonts w:ascii="Times New Roman" w:hAnsi="Times New Roman" w:cs="Times New Roman"/>
          <w:sz w:val="24"/>
          <w:szCs w:val="24"/>
          <w:lang w:val="en-GB"/>
        </w:rPr>
        <w:t>Templating</w:t>
      </w:r>
      <w:proofErr w:type="spellEnd"/>
      <w:r w:rsidRPr="008C01F7">
        <w:rPr>
          <w:rFonts w:ascii="Times New Roman" w:hAnsi="Times New Roman" w:cs="Times New Roman"/>
          <w:sz w:val="24"/>
          <w:szCs w:val="24"/>
          <w:lang w:val="en-GB"/>
        </w:rPr>
        <w:t xml:space="preserve"> Agents in the Synthesis of Hierarchical Porous Carbon Monoliths. Chem. Mater. 2010, 22, 6146– 6152, </w:t>
      </w:r>
    </w:p>
    <w:p w14:paraId="1EB3BB85" w14:textId="362D466D"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21</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Hao</w:t>
      </w:r>
      <w:proofErr w:type="spellEnd"/>
      <w:r w:rsidRPr="008C01F7">
        <w:rPr>
          <w:rFonts w:ascii="Times New Roman" w:hAnsi="Times New Roman" w:cs="Times New Roman"/>
          <w:sz w:val="24"/>
          <w:szCs w:val="24"/>
          <w:lang w:val="en-GB"/>
        </w:rPr>
        <w:t xml:space="preserve">, G.-P.; </w:t>
      </w:r>
      <w:proofErr w:type="spellStart"/>
      <w:r w:rsidRPr="008C01F7">
        <w:rPr>
          <w:rFonts w:ascii="Times New Roman" w:hAnsi="Times New Roman" w:cs="Times New Roman"/>
          <w:sz w:val="24"/>
          <w:szCs w:val="24"/>
          <w:lang w:val="en-GB"/>
        </w:rPr>
        <w:t>Jin</w:t>
      </w:r>
      <w:proofErr w:type="spellEnd"/>
      <w:r w:rsidRPr="008C01F7">
        <w:rPr>
          <w:rFonts w:ascii="Times New Roman" w:hAnsi="Times New Roman" w:cs="Times New Roman"/>
          <w:sz w:val="24"/>
          <w:szCs w:val="24"/>
          <w:lang w:val="en-GB"/>
        </w:rPr>
        <w:t xml:space="preserve">, Z.-Y.; Sun, Q.; Zhang, X.-Q.; Zhang, J.-T.; Lu, A.-H. Porous carbon </w:t>
      </w:r>
      <w:proofErr w:type="spellStart"/>
      <w:r w:rsidRPr="008C01F7">
        <w:rPr>
          <w:rFonts w:ascii="Times New Roman" w:hAnsi="Times New Roman" w:cs="Times New Roman"/>
          <w:sz w:val="24"/>
          <w:szCs w:val="24"/>
          <w:lang w:val="en-GB"/>
        </w:rPr>
        <w:t>nanosheets</w:t>
      </w:r>
      <w:proofErr w:type="spellEnd"/>
      <w:r w:rsidRPr="008C01F7">
        <w:rPr>
          <w:rFonts w:ascii="Times New Roman" w:hAnsi="Times New Roman" w:cs="Times New Roman"/>
          <w:sz w:val="24"/>
          <w:szCs w:val="24"/>
          <w:lang w:val="en-GB"/>
        </w:rPr>
        <w:t xml:space="preserve"> with precisely </w:t>
      </w:r>
      <w:proofErr w:type="spellStart"/>
      <w:r w:rsidRPr="008C01F7">
        <w:rPr>
          <w:rFonts w:ascii="Times New Roman" w:hAnsi="Times New Roman" w:cs="Times New Roman"/>
          <w:sz w:val="24"/>
          <w:szCs w:val="24"/>
          <w:lang w:val="en-GB"/>
        </w:rPr>
        <w:t>tunable</w:t>
      </w:r>
      <w:proofErr w:type="spellEnd"/>
      <w:r w:rsidRPr="008C01F7">
        <w:rPr>
          <w:rFonts w:ascii="Times New Roman" w:hAnsi="Times New Roman" w:cs="Times New Roman"/>
          <w:sz w:val="24"/>
          <w:szCs w:val="24"/>
          <w:lang w:val="en-GB"/>
        </w:rPr>
        <w:t xml:space="preserve"> thickness and selective CO2 adsorption properties. Energy Environ. Sci. 2013, 6, 3740, </w:t>
      </w:r>
    </w:p>
    <w:p w14:paraId="702DB102" w14:textId="43588684"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22</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Adhikari</w:t>
      </w:r>
      <w:proofErr w:type="spellEnd"/>
      <w:r w:rsidRPr="008C01F7">
        <w:rPr>
          <w:rFonts w:ascii="Times New Roman" w:hAnsi="Times New Roman" w:cs="Times New Roman"/>
          <w:sz w:val="24"/>
          <w:szCs w:val="24"/>
          <w:lang w:val="en-GB"/>
        </w:rPr>
        <w:t xml:space="preserve">, L.; </w:t>
      </w:r>
      <w:proofErr w:type="spellStart"/>
      <w:r w:rsidRPr="008C01F7">
        <w:rPr>
          <w:rFonts w:ascii="Times New Roman" w:hAnsi="Times New Roman" w:cs="Times New Roman"/>
          <w:sz w:val="24"/>
          <w:szCs w:val="24"/>
          <w:lang w:val="en-GB"/>
        </w:rPr>
        <w:t>Larm</w:t>
      </w:r>
      <w:proofErr w:type="spellEnd"/>
      <w:r w:rsidRPr="008C01F7">
        <w:rPr>
          <w:rFonts w:ascii="Times New Roman" w:hAnsi="Times New Roman" w:cs="Times New Roman"/>
          <w:sz w:val="24"/>
          <w:szCs w:val="24"/>
          <w:lang w:val="en-GB"/>
        </w:rPr>
        <w:t xml:space="preserve">, N. E.; Baker, G. A. Argentous Deep Eutectic Solvent Approach for Scaling Up the Production of Colloidal Silver Nanocrystals. ACS Sustainable Chem. Eng. 2019, 7, 11036– 11043, </w:t>
      </w:r>
    </w:p>
    <w:p w14:paraId="23EC95CF" w14:textId="0CEB8BA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lastRenderedPageBreak/>
        <w:t>23</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Elbourne</w:t>
      </w:r>
      <w:proofErr w:type="spellEnd"/>
      <w:r w:rsidRPr="008C01F7">
        <w:rPr>
          <w:rFonts w:ascii="Times New Roman" w:hAnsi="Times New Roman" w:cs="Times New Roman"/>
          <w:sz w:val="24"/>
          <w:szCs w:val="24"/>
          <w:lang w:val="en-GB"/>
        </w:rPr>
        <w:t xml:space="preserve">, A.; Sweeney, J.; Webber, G. B.; </w:t>
      </w:r>
      <w:proofErr w:type="spellStart"/>
      <w:r w:rsidRPr="008C01F7">
        <w:rPr>
          <w:rFonts w:ascii="Times New Roman" w:hAnsi="Times New Roman" w:cs="Times New Roman"/>
          <w:sz w:val="24"/>
          <w:szCs w:val="24"/>
          <w:lang w:val="en-GB"/>
        </w:rPr>
        <w:t>Wanless</w:t>
      </w:r>
      <w:proofErr w:type="spellEnd"/>
      <w:r w:rsidRPr="008C01F7">
        <w:rPr>
          <w:rFonts w:ascii="Times New Roman" w:hAnsi="Times New Roman" w:cs="Times New Roman"/>
          <w:sz w:val="24"/>
          <w:szCs w:val="24"/>
          <w:lang w:val="en-GB"/>
        </w:rPr>
        <w:t xml:space="preserve">, E. J.; Warr, G. G.; Rutland, M. W.; Atkin, R. Adsorbed and near-surface structure of ionic liquids determines nanoscale friction. Chem. </w:t>
      </w:r>
      <w:proofErr w:type="spellStart"/>
      <w:r w:rsidRPr="008C01F7">
        <w:rPr>
          <w:rFonts w:ascii="Times New Roman" w:hAnsi="Times New Roman" w:cs="Times New Roman"/>
          <w:sz w:val="24"/>
          <w:szCs w:val="24"/>
          <w:lang w:val="en-GB"/>
        </w:rPr>
        <w:t>Commun</w:t>
      </w:r>
      <w:proofErr w:type="spellEnd"/>
      <w:r w:rsidRPr="008C01F7">
        <w:rPr>
          <w:rFonts w:ascii="Times New Roman" w:hAnsi="Times New Roman" w:cs="Times New Roman"/>
          <w:sz w:val="24"/>
          <w:szCs w:val="24"/>
          <w:lang w:val="en-GB"/>
        </w:rPr>
        <w:t xml:space="preserve">. 2013, 49, 6797– 6799, </w:t>
      </w:r>
    </w:p>
    <w:p w14:paraId="463BF83F" w14:textId="7CACD16F"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24</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Endres</w:t>
      </w:r>
      <w:proofErr w:type="spellEnd"/>
      <w:r w:rsidRPr="008C01F7">
        <w:rPr>
          <w:rFonts w:ascii="Times New Roman" w:hAnsi="Times New Roman" w:cs="Times New Roman"/>
          <w:sz w:val="24"/>
          <w:szCs w:val="24"/>
          <w:lang w:val="en-GB"/>
        </w:rPr>
        <w:t xml:space="preserve">, F.; </w:t>
      </w:r>
      <w:proofErr w:type="spellStart"/>
      <w:r w:rsidRPr="008C01F7">
        <w:rPr>
          <w:rFonts w:ascii="Times New Roman" w:hAnsi="Times New Roman" w:cs="Times New Roman"/>
          <w:sz w:val="24"/>
          <w:szCs w:val="24"/>
          <w:lang w:val="en-GB"/>
        </w:rPr>
        <w:t>Borisenko</w:t>
      </w:r>
      <w:proofErr w:type="spellEnd"/>
      <w:r w:rsidRPr="008C01F7">
        <w:rPr>
          <w:rFonts w:ascii="Times New Roman" w:hAnsi="Times New Roman" w:cs="Times New Roman"/>
          <w:sz w:val="24"/>
          <w:szCs w:val="24"/>
          <w:lang w:val="en-GB"/>
        </w:rPr>
        <w:t xml:space="preserve">, N.; El Abedin, S. Z.; Hayes, R.; Atkin, R. The interface ionic liquid(s)/electrode(s): In </w:t>
      </w:r>
      <w:proofErr w:type="spellStart"/>
      <w:r w:rsidRPr="008C01F7">
        <w:rPr>
          <w:rFonts w:ascii="Times New Roman" w:hAnsi="Times New Roman" w:cs="Times New Roman"/>
          <w:sz w:val="24"/>
          <w:szCs w:val="24"/>
          <w:lang w:val="en-GB"/>
        </w:rPr>
        <w:t>situSTM</w:t>
      </w:r>
      <w:proofErr w:type="spellEnd"/>
      <w:r w:rsidRPr="008C01F7">
        <w:rPr>
          <w:rFonts w:ascii="Times New Roman" w:hAnsi="Times New Roman" w:cs="Times New Roman"/>
          <w:sz w:val="24"/>
          <w:szCs w:val="24"/>
          <w:lang w:val="en-GB"/>
        </w:rPr>
        <w:t xml:space="preserve"> and AFM measurements. Faraday Discuss. 2012, 154, 221– 233, </w:t>
      </w:r>
    </w:p>
    <w:p w14:paraId="05AF5EC2" w14:textId="59B7852C"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25</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Hayes, R.; </w:t>
      </w:r>
      <w:proofErr w:type="spellStart"/>
      <w:r w:rsidRPr="008C01F7">
        <w:rPr>
          <w:rFonts w:ascii="Times New Roman" w:hAnsi="Times New Roman" w:cs="Times New Roman"/>
          <w:sz w:val="24"/>
          <w:szCs w:val="24"/>
          <w:lang w:val="en-GB"/>
        </w:rPr>
        <w:t>Borisenko</w:t>
      </w:r>
      <w:proofErr w:type="spellEnd"/>
      <w:r w:rsidRPr="008C01F7">
        <w:rPr>
          <w:rFonts w:ascii="Times New Roman" w:hAnsi="Times New Roman" w:cs="Times New Roman"/>
          <w:sz w:val="24"/>
          <w:szCs w:val="24"/>
          <w:lang w:val="en-GB"/>
        </w:rPr>
        <w:t xml:space="preserve">, N.; </w:t>
      </w:r>
      <w:proofErr w:type="spellStart"/>
      <w:r w:rsidRPr="008C01F7">
        <w:rPr>
          <w:rFonts w:ascii="Times New Roman" w:hAnsi="Times New Roman" w:cs="Times New Roman"/>
          <w:sz w:val="24"/>
          <w:szCs w:val="24"/>
          <w:lang w:val="en-GB"/>
        </w:rPr>
        <w:t>Corr</w:t>
      </w:r>
      <w:proofErr w:type="spellEnd"/>
      <w:r w:rsidRPr="008C01F7">
        <w:rPr>
          <w:rFonts w:ascii="Times New Roman" w:hAnsi="Times New Roman" w:cs="Times New Roman"/>
          <w:sz w:val="24"/>
          <w:szCs w:val="24"/>
          <w:lang w:val="en-GB"/>
        </w:rPr>
        <w:t xml:space="preserve">, B.; Webber, G. B.; </w:t>
      </w:r>
      <w:proofErr w:type="spellStart"/>
      <w:r w:rsidRPr="008C01F7">
        <w:rPr>
          <w:rFonts w:ascii="Times New Roman" w:hAnsi="Times New Roman" w:cs="Times New Roman"/>
          <w:sz w:val="24"/>
          <w:szCs w:val="24"/>
          <w:lang w:val="en-GB"/>
        </w:rPr>
        <w:t>Endres</w:t>
      </w:r>
      <w:proofErr w:type="spellEnd"/>
      <w:r w:rsidRPr="008C01F7">
        <w:rPr>
          <w:rFonts w:ascii="Times New Roman" w:hAnsi="Times New Roman" w:cs="Times New Roman"/>
          <w:sz w:val="24"/>
          <w:szCs w:val="24"/>
          <w:lang w:val="en-GB"/>
        </w:rPr>
        <w:t xml:space="preserve">, F.; Atkin, R. Effect of dissolved </w:t>
      </w:r>
      <w:proofErr w:type="spellStart"/>
      <w:r w:rsidRPr="008C01F7">
        <w:rPr>
          <w:rFonts w:ascii="Times New Roman" w:hAnsi="Times New Roman" w:cs="Times New Roman"/>
          <w:sz w:val="24"/>
          <w:szCs w:val="24"/>
          <w:lang w:val="en-GB"/>
        </w:rPr>
        <w:t>LiCl</w:t>
      </w:r>
      <w:proofErr w:type="spellEnd"/>
      <w:r w:rsidRPr="008C01F7">
        <w:rPr>
          <w:rFonts w:ascii="Times New Roman" w:hAnsi="Times New Roman" w:cs="Times New Roman"/>
          <w:sz w:val="24"/>
          <w:szCs w:val="24"/>
          <w:lang w:val="en-GB"/>
        </w:rPr>
        <w:t xml:space="preserve"> on the ionic liquid-Au(111) electrical double layer structure. Chem. </w:t>
      </w:r>
      <w:proofErr w:type="spellStart"/>
      <w:r w:rsidRPr="008C01F7">
        <w:rPr>
          <w:rFonts w:ascii="Times New Roman" w:hAnsi="Times New Roman" w:cs="Times New Roman"/>
          <w:sz w:val="24"/>
          <w:szCs w:val="24"/>
          <w:lang w:val="en-GB"/>
        </w:rPr>
        <w:t>Commun</w:t>
      </w:r>
      <w:proofErr w:type="spellEnd"/>
      <w:r w:rsidRPr="008C01F7">
        <w:rPr>
          <w:rFonts w:ascii="Times New Roman" w:hAnsi="Times New Roman" w:cs="Times New Roman"/>
          <w:sz w:val="24"/>
          <w:szCs w:val="24"/>
          <w:lang w:val="en-GB"/>
        </w:rPr>
        <w:t xml:space="preserve">. 2012, 48, 10246– 10248, </w:t>
      </w:r>
    </w:p>
    <w:p w14:paraId="33D2F219" w14:textId="5ECC2BC1"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26</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Hayes, R.; </w:t>
      </w:r>
      <w:proofErr w:type="spellStart"/>
      <w:r w:rsidRPr="008C01F7">
        <w:rPr>
          <w:rFonts w:ascii="Times New Roman" w:hAnsi="Times New Roman" w:cs="Times New Roman"/>
          <w:sz w:val="24"/>
          <w:szCs w:val="24"/>
          <w:lang w:val="en-GB"/>
        </w:rPr>
        <w:t>Borisenko</w:t>
      </w:r>
      <w:proofErr w:type="spellEnd"/>
      <w:r w:rsidRPr="008C01F7">
        <w:rPr>
          <w:rFonts w:ascii="Times New Roman" w:hAnsi="Times New Roman" w:cs="Times New Roman"/>
          <w:sz w:val="24"/>
          <w:szCs w:val="24"/>
          <w:lang w:val="en-GB"/>
        </w:rPr>
        <w:t xml:space="preserve">, N.; Tam, M. K.; </w:t>
      </w:r>
      <w:proofErr w:type="spellStart"/>
      <w:r w:rsidRPr="008C01F7">
        <w:rPr>
          <w:rFonts w:ascii="Times New Roman" w:hAnsi="Times New Roman" w:cs="Times New Roman"/>
          <w:sz w:val="24"/>
          <w:szCs w:val="24"/>
          <w:lang w:val="en-GB"/>
        </w:rPr>
        <w:t>Howlett</w:t>
      </w:r>
      <w:proofErr w:type="spellEnd"/>
      <w:r w:rsidRPr="008C01F7">
        <w:rPr>
          <w:rFonts w:ascii="Times New Roman" w:hAnsi="Times New Roman" w:cs="Times New Roman"/>
          <w:sz w:val="24"/>
          <w:szCs w:val="24"/>
          <w:lang w:val="en-GB"/>
        </w:rPr>
        <w:t xml:space="preserve">, P. C.; </w:t>
      </w:r>
      <w:proofErr w:type="spellStart"/>
      <w:r w:rsidRPr="008C01F7">
        <w:rPr>
          <w:rFonts w:ascii="Times New Roman" w:hAnsi="Times New Roman" w:cs="Times New Roman"/>
          <w:sz w:val="24"/>
          <w:szCs w:val="24"/>
          <w:lang w:val="en-GB"/>
        </w:rPr>
        <w:t>Endres</w:t>
      </w:r>
      <w:proofErr w:type="spellEnd"/>
      <w:r w:rsidRPr="008C01F7">
        <w:rPr>
          <w:rFonts w:ascii="Times New Roman" w:hAnsi="Times New Roman" w:cs="Times New Roman"/>
          <w:sz w:val="24"/>
          <w:szCs w:val="24"/>
          <w:lang w:val="en-GB"/>
        </w:rPr>
        <w:t xml:space="preserve">, F.; Atkin, R. Double Layer Structure of Ionic Liquids at the Au(111) Electrode Interface: An Atomic Force Microscopy Investigation. J. Phys. Chem. C 2011, 115, 6855– 6863, </w:t>
      </w:r>
    </w:p>
    <w:p w14:paraId="3E9E76B5" w14:textId="580552CC"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27</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Li, H.; </w:t>
      </w:r>
      <w:proofErr w:type="spellStart"/>
      <w:r w:rsidRPr="008C01F7">
        <w:rPr>
          <w:rFonts w:ascii="Times New Roman" w:hAnsi="Times New Roman" w:cs="Times New Roman"/>
          <w:sz w:val="24"/>
          <w:szCs w:val="24"/>
          <w:lang w:val="en-GB"/>
        </w:rPr>
        <w:t>Endres</w:t>
      </w:r>
      <w:proofErr w:type="spellEnd"/>
      <w:r w:rsidRPr="008C01F7">
        <w:rPr>
          <w:rFonts w:ascii="Times New Roman" w:hAnsi="Times New Roman" w:cs="Times New Roman"/>
          <w:sz w:val="24"/>
          <w:szCs w:val="24"/>
          <w:lang w:val="en-GB"/>
        </w:rPr>
        <w:t xml:space="preserve">, F.; Atkin, R. Effect of alkyl chain length and anion species on the interfacial nanostructure of ionic liquids at the </w:t>
      </w:r>
      <w:proofErr w:type="gramStart"/>
      <w:r w:rsidRPr="008C01F7">
        <w:rPr>
          <w:rFonts w:ascii="Times New Roman" w:hAnsi="Times New Roman" w:cs="Times New Roman"/>
          <w:sz w:val="24"/>
          <w:szCs w:val="24"/>
          <w:lang w:val="en-GB"/>
        </w:rPr>
        <w:t>Au(</w:t>
      </w:r>
      <w:proofErr w:type="gramEnd"/>
      <w:r w:rsidRPr="008C01F7">
        <w:rPr>
          <w:rFonts w:ascii="Times New Roman" w:hAnsi="Times New Roman" w:cs="Times New Roman"/>
          <w:sz w:val="24"/>
          <w:szCs w:val="24"/>
          <w:lang w:val="en-GB"/>
        </w:rPr>
        <w:t>111)-ionic liquid interface as a function of potential. Phys. Chem. Chem. Phys. 2013, 15, 14624– 14633, DOI: 10.1039/c3cp52421c [</w:t>
      </w:r>
      <w:proofErr w:type="spellStart"/>
      <w:r w:rsidRPr="008C01F7">
        <w:rPr>
          <w:rFonts w:ascii="Times New Roman" w:hAnsi="Times New Roman" w:cs="Times New Roman"/>
          <w:sz w:val="24"/>
          <w:szCs w:val="24"/>
          <w:lang w:val="en-GB"/>
        </w:rPr>
        <w:t>Crossref</w:t>
      </w:r>
      <w:proofErr w:type="spellEnd"/>
      <w:r w:rsidRPr="008C01F7">
        <w:rPr>
          <w:rFonts w:ascii="Times New Roman" w:hAnsi="Times New Roman" w:cs="Times New Roman"/>
          <w:sz w:val="24"/>
          <w:szCs w:val="24"/>
          <w:lang w:val="en-GB"/>
        </w:rPr>
        <w:t>], [PubMed], [CAS], Google Scholar</w:t>
      </w:r>
    </w:p>
    <w:p w14:paraId="603CDE7C" w14:textId="707CBEB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28</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Maolin</w:t>
      </w:r>
      <w:proofErr w:type="spellEnd"/>
      <w:r w:rsidRPr="008C01F7">
        <w:rPr>
          <w:rFonts w:ascii="Times New Roman" w:hAnsi="Times New Roman" w:cs="Times New Roman"/>
          <w:sz w:val="24"/>
          <w:szCs w:val="24"/>
          <w:lang w:val="en-GB"/>
        </w:rPr>
        <w:t xml:space="preserve">, S.; </w:t>
      </w:r>
      <w:proofErr w:type="spellStart"/>
      <w:r w:rsidRPr="008C01F7">
        <w:rPr>
          <w:rFonts w:ascii="Times New Roman" w:hAnsi="Times New Roman" w:cs="Times New Roman"/>
          <w:sz w:val="24"/>
          <w:szCs w:val="24"/>
          <w:lang w:val="en-GB"/>
        </w:rPr>
        <w:t>Fuchun</w:t>
      </w:r>
      <w:proofErr w:type="spellEnd"/>
      <w:r w:rsidRPr="008C01F7">
        <w:rPr>
          <w:rFonts w:ascii="Times New Roman" w:hAnsi="Times New Roman" w:cs="Times New Roman"/>
          <w:sz w:val="24"/>
          <w:szCs w:val="24"/>
          <w:lang w:val="en-GB"/>
        </w:rPr>
        <w:t xml:space="preserve">, Z.; </w:t>
      </w:r>
      <w:proofErr w:type="spellStart"/>
      <w:r w:rsidRPr="008C01F7">
        <w:rPr>
          <w:rFonts w:ascii="Times New Roman" w:hAnsi="Times New Roman" w:cs="Times New Roman"/>
          <w:sz w:val="24"/>
          <w:szCs w:val="24"/>
          <w:lang w:val="en-GB"/>
        </w:rPr>
        <w:t>Guozhong</w:t>
      </w:r>
      <w:proofErr w:type="spellEnd"/>
      <w:r w:rsidRPr="008C01F7">
        <w:rPr>
          <w:rFonts w:ascii="Times New Roman" w:hAnsi="Times New Roman" w:cs="Times New Roman"/>
          <w:sz w:val="24"/>
          <w:szCs w:val="24"/>
          <w:lang w:val="en-GB"/>
        </w:rPr>
        <w:t xml:space="preserve">, W.; </w:t>
      </w:r>
      <w:proofErr w:type="spellStart"/>
      <w:r w:rsidRPr="008C01F7">
        <w:rPr>
          <w:rFonts w:ascii="Times New Roman" w:hAnsi="Times New Roman" w:cs="Times New Roman"/>
          <w:sz w:val="24"/>
          <w:szCs w:val="24"/>
          <w:lang w:val="en-GB"/>
        </w:rPr>
        <w:t>Haiping</w:t>
      </w:r>
      <w:proofErr w:type="spellEnd"/>
      <w:r w:rsidRPr="008C01F7">
        <w:rPr>
          <w:rFonts w:ascii="Times New Roman" w:hAnsi="Times New Roman" w:cs="Times New Roman"/>
          <w:sz w:val="24"/>
          <w:szCs w:val="24"/>
          <w:lang w:val="en-GB"/>
        </w:rPr>
        <w:t xml:space="preserve">, F.; </w:t>
      </w:r>
      <w:proofErr w:type="spellStart"/>
      <w:r w:rsidRPr="008C01F7">
        <w:rPr>
          <w:rFonts w:ascii="Times New Roman" w:hAnsi="Times New Roman" w:cs="Times New Roman"/>
          <w:sz w:val="24"/>
          <w:szCs w:val="24"/>
          <w:lang w:val="en-GB"/>
        </w:rPr>
        <w:t>Chunlei</w:t>
      </w:r>
      <w:proofErr w:type="spellEnd"/>
      <w:r w:rsidRPr="008C01F7">
        <w:rPr>
          <w:rFonts w:ascii="Times New Roman" w:hAnsi="Times New Roman" w:cs="Times New Roman"/>
          <w:sz w:val="24"/>
          <w:szCs w:val="24"/>
          <w:lang w:val="en-GB"/>
        </w:rPr>
        <w:t xml:space="preserve">, W.; </w:t>
      </w:r>
      <w:proofErr w:type="spellStart"/>
      <w:r w:rsidRPr="008C01F7">
        <w:rPr>
          <w:rFonts w:ascii="Times New Roman" w:hAnsi="Times New Roman" w:cs="Times New Roman"/>
          <w:sz w:val="24"/>
          <w:szCs w:val="24"/>
          <w:lang w:val="en-GB"/>
        </w:rPr>
        <w:t>Shimou</w:t>
      </w:r>
      <w:proofErr w:type="spellEnd"/>
      <w:r w:rsidRPr="008C01F7">
        <w:rPr>
          <w:rFonts w:ascii="Times New Roman" w:hAnsi="Times New Roman" w:cs="Times New Roman"/>
          <w:sz w:val="24"/>
          <w:szCs w:val="24"/>
          <w:lang w:val="en-GB"/>
        </w:rPr>
        <w:t xml:space="preserve">, C.; Yi, Z.; Jun, H. Ordering layers of bmimPF6 ionic liquid on graphite surfaces: Molecular dynamics simulation. J. Chem. Phys. 2008, 128, 134504, </w:t>
      </w:r>
    </w:p>
    <w:p w14:paraId="1A3027FF" w14:textId="65C8AE1B"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29</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McLean, B.; Li, H.; </w:t>
      </w:r>
      <w:proofErr w:type="spellStart"/>
      <w:r w:rsidRPr="008C01F7">
        <w:rPr>
          <w:rFonts w:ascii="Times New Roman" w:hAnsi="Times New Roman" w:cs="Times New Roman"/>
          <w:sz w:val="24"/>
          <w:szCs w:val="24"/>
          <w:lang w:val="en-GB"/>
        </w:rPr>
        <w:t>Stefanovic</w:t>
      </w:r>
      <w:proofErr w:type="spellEnd"/>
      <w:r w:rsidRPr="008C01F7">
        <w:rPr>
          <w:rFonts w:ascii="Times New Roman" w:hAnsi="Times New Roman" w:cs="Times New Roman"/>
          <w:sz w:val="24"/>
          <w:szCs w:val="24"/>
          <w:lang w:val="en-GB"/>
        </w:rPr>
        <w:t xml:space="preserve">, R.; Wood, R. J.; Webber, G. B.; Ueno, K.; Watanabe, M.; Warr, G. G.; Page, A.; Atkin, R. Nanostructure of Li(G4) TFSI and Li(G4) NO3 solvate ionic liquids at HOPG and Au(111) electrode interfaces as a function of potential. Phys. Chem. Chem. Phys. 2015, 17, 325– 333, </w:t>
      </w:r>
    </w:p>
    <w:p w14:paraId="447B1929" w14:textId="48D9C789"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30</w:t>
      </w:r>
      <w:r>
        <w:rPr>
          <w:rFonts w:ascii="Times New Roman" w:hAnsi="Times New Roman" w:cs="Times New Roman"/>
          <w:sz w:val="24"/>
          <w:szCs w:val="24"/>
          <w:lang w:val="en-GB"/>
        </w:rPr>
        <w:tab/>
      </w:r>
      <w:proofErr w:type="spellStart"/>
      <w:r w:rsidRPr="008C01F7">
        <w:rPr>
          <w:rFonts w:ascii="Times New Roman" w:hAnsi="Times New Roman" w:cs="Times New Roman"/>
          <w:sz w:val="24"/>
          <w:szCs w:val="24"/>
          <w:lang w:val="en-GB"/>
        </w:rPr>
        <w:t>Mezger</w:t>
      </w:r>
      <w:proofErr w:type="spellEnd"/>
      <w:r w:rsidRPr="008C01F7">
        <w:rPr>
          <w:rFonts w:ascii="Times New Roman" w:hAnsi="Times New Roman" w:cs="Times New Roman"/>
          <w:sz w:val="24"/>
          <w:szCs w:val="24"/>
          <w:lang w:val="en-GB"/>
        </w:rPr>
        <w:t xml:space="preserve">, M.; </w:t>
      </w:r>
      <w:proofErr w:type="spellStart"/>
      <w:r w:rsidRPr="008C01F7">
        <w:rPr>
          <w:rFonts w:ascii="Times New Roman" w:hAnsi="Times New Roman" w:cs="Times New Roman"/>
          <w:sz w:val="24"/>
          <w:szCs w:val="24"/>
          <w:lang w:val="en-GB"/>
        </w:rPr>
        <w:t>Schröder</w:t>
      </w:r>
      <w:proofErr w:type="spellEnd"/>
      <w:r w:rsidRPr="008C01F7">
        <w:rPr>
          <w:rFonts w:ascii="Times New Roman" w:hAnsi="Times New Roman" w:cs="Times New Roman"/>
          <w:sz w:val="24"/>
          <w:szCs w:val="24"/>
          <w:lang w:val="en-GB"/>
        </w:rPr>
        <w:t xml:space="preserve">, H.; Reichert, H.; Schramm, S.; </w:t>
      </w:r>
      <w:proofErr w:type="spellStart"/>
      <w:r w:rsidRPr="008C01F7">
        <w:rPr>
          <w:rFonts w:ascii="Times New Roman" w:hAnsi="Times New Roman" w:cs="Times New Roman"/>
          <w:sz w:val="24"/>
          <w:szCs w:val="24"/>
          <w:lang w:val="en-GB"/>
        </w:rPr>
        <w:t>Okasinski</w:t>
      </w:r>
      <w:proofErr w:type="spellEnd"/>
      <w:r w:rsidRPr="008C01F7">
        <w:rPr>
          <w:rFonts w:ascii="Times New Roman" w:hAnsi="Times New Roman" w:cs="Times New Roman"/>
          <w:sz w:val="24"/>
          <w:szCs w:val="24"/>
          <w:lang w:val="en-GB"/>
        </w:rPr>
        <w:t xml:space="preserve">, J. S.; </w:t>
      </w:r>
      <w:proofErr w:type="spellStart"/>
      <w:r w:rsidRPr="008C01F7">
        <w:rPr>
          <w:rFonts w:ascii="Times New Roman" w:hAnsi="Times New Roman" w:cs="Times New Roman"/>
          <w:sz w:val="24"/>
          <w:szCs w:val="24"/>
          <w:lang w:val="en-GB"/>
        </w:rPr>
        <w:t>Schöder</w:t>
      </w:r>
      <w:proofErr w:type="spellEnd"/>
      <w:r w:rsidRPr="008C01F7">
        <w:rPr>
          <w:rFonts w:ascii="Times New Roman" w:hAnsi="Times New Roman" w:cs="Times New Roman"/>
          <w:sz w:val="24"/>
          <w:szCs w:val="24"/>
          <w:lang w:val="en-GB"/>
        </w:rPr>
        <w:t xml:space="preserve">, S.; </w:t>
      </w:r>
      <w:proofErr w:type="spellStart"/>
      <w:r w:rsidRPr="008C01F7">
        <w:rPr>
          <w:rFonts w:ascii="Times New Roman" w:hAnsi="Times New Roman" w:cs="Times New Roman"/>
          <w:sz w:val="24"/>
          <w:szCs w:val="24"/>
          <w:lang w:val="en-GB"/>
        </w:rPr>
        <w:t>Honkimäki</w:t>
      </w:r>
      <w:proofErr w:type="spellEnd"/>
      <w:r w:rsidRPr="008C01F7">
        <w:rPr>
          <w:rFonts w:ascii="Times New Roman" w:hAnsi="Times New Roman" w:cs="Times New Roman"/>
          <w:sz w:val="24"/>
          <w:szCs w:val="24"/>
          <w:lang w:val="en-GB"/>
        </w:rPr>
        <w:t xml:space="preserve">, V.; Deutsch, M.; </w:t>
      </w:r>
      <w:proofErr w:type="spellStart"/>
      <w:r w:rsidRPr="008C01F7">
        <w:rPr>
          <w:rFonts w:ascii="Times New Roman" w:hAnsi="Times New Roman" w:cs="Times New Roman"/>
          <w:sz w:val="24"/>
          <w:szCs w:val="24"/>
          <w:lang w:val="en-GB"/>
        </w:rPr>
        <w:t>Ocko</w:t>
      </w:r>
      <w:proofErr w:type="spellEnd"/>
      <w:r w:rsidRPr="008C01F7">
        <w:rPr>
          <w:rFonts w:ascii="Times New Roman" w:hAnsi="Times New Roman" w:cs="Times New Roman"/>
          <w:sz w:val="24"/>
          <w:szCs w:val="24"/>
          <w:lang w:val="en-GB"/>
        </w:rPr>
        <w:t xml:space="preserve">, B. M.; Ralston, </w:t>
      </w:r>
      <w:proofErr w:type="spellStart"/>
      <w:r w:rsidRPr="008C01F7">
        <w:rPr>
          <w:rFonts w:ascii="Times New Roman" w:hAnsi="Times New Roman" w:cs="Times New Roman"/>
          <w:sz w:val="24"/>
          <w:szCs w:val="24"/>
          <w:lang w:val="en-GB"/>
        </w:rPr>
        <w:t>J.Molecular</w:t>
      </w:r>
      <w:proofErr w:type="spellEnd"/>
      <w:r w:rsidRPr="008C01F7">
        <w:rPr>
          <w:rFonts w:ascii="Times New Roman" w:hAnsi="Times New Roman" w:cs="Times New Roman"/>
          <w:sz w:val="24"/>
          <w:szCs w:val="24"/>
          <w:lang w:val="en-GB"/>
        </w:rPr>
        <w:t xml:space="preserve"> layering of fluorinated ionic liquids at a charged sapphire (0001) surface. Science 2008, 322, 424– 428, </w:t>
      </w:r>
    </w:p>
    <w:p w14:paraId="41810439" w14:textId="7066BE5B"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31</w:t>
      </w:r>
      <w:r>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Page, A. J.; </w:t>
      </w:r>
      <w:proofErr w:type="spellStart"/>
      <w:r w:rsidRPr="008C01F7">
        <w:rPr>
          <w:rFonts w:ascii="Times New Roman" w:hAnsi="Times New Roman" w:cs="Times New Roman"/>
          <w:sz w:val="24"/>
          <w:szCs w:val="24"/>
          <w:lang w:val="en-GB"/>
        </w:rPr>
        <w:t>Elbourne</w:t>
      </w:r>
      <w:proofErr w:type="spellEnd"/>
      <w:r w:rsidRPr="008C01F7">
        <w:rPr>
          <w:rFonts w:ascii="Times New Roman" w:hAnsi="Times New Roman" w:cs="Times New Roman"/>
          <w:sz w:val="24"/>
          <w:szCs w:val="24"/>
          <w:lang w:val="en-GB"/>
        </w:rPr>
        <w:t xml:space="preserve">, A.; </w:t>
      </w:r>
      <w:proofErr w:type="spellStart"/>
      <w:r w:rsidRPr="008C01F7">
        <w:rPr>
          <w:rFonts w:ascii="Times New Roman" w:hAnsi="Times New Roman" w:cs="Times New Roman"/>
          <w:sz w:val="24"/>
          <w:szCs w:val="24"/>
          <w:lang w:val="en-GB"/>
        </w:rPr>
        <w:t>Stefanovic</w:t>
      </w:r>
      <w:proofErr w:type="spellEnd"/>
      <w:r w:rsidRPr="008C01F7">
        <w:rPr>
          <w:rFonts w:ascii="Times New Roman" w:hAnsi="Times New Roman" w:cs="Times New Roman"/>
          <w:sz w:val="24"/>
          <w:szCs w:val="24"/>
          <w:lang w:val="en-GB"/>
        </w:rPr>
        <w:t xml:space="preserve">, R.; </w:t>
      </w:r>
      <w:proofErr w:type="spellStart"/>
      <w:r w:rsidRPr="008C01F7">
        <w:rPr>
          <w:rFonts w:ascii="Times New Roman" w:hAnsi="Times New Roman" w:cs="Times New Roman"/>
          <w:sz w:val="24"/>
          <w:szCs w:val="24"/>
          <w:lang w:val="en-GB"/>
        </w:rPr>
        <w:t>Addicoat</w:t>
      </w:r>
      <w:proofErr w:type="spellEnd"/>
      <w:r w:rsidRPr="008C01F7">
        <w:rPr>
          <w:rFonts w:ascii="Times New Roman" w:hAnsi="Times New Roman" w:cs="Times New Roman"/>
          <w:sz w:val="24"/>
          <w:szCs w:val="24"/>
          <w:lang w:val="en-GB"/>
        </w:rPr>
        <w:t xml:space="preserve">, M. A.; Warr, G. G.; </w:t>
      </w:r>
      <w:proofErr w:type="spellStart"/>
      <w:r w:rsidRPr="008C01F7">
        <w:rPr>
          <w:rFonts w:ascii="Times New Roman" w:hAnsi="Times New Roman" w:cs="Times New Roman"/>
          <w:sz w:val="24"/>
          <w:szCs w:val="24"/>
          <w:lang w:val="en-GB"/>
        </w:rPr>
        <w:t>Voïtchovsky</w:t>
      </w:r>
      <w:proofErr w:type="spellEnd"/>
      <w:r w:rsidRPr="008C01F7">
        <w:rPr>
          <w:rFonts w:ascii="Times New Roman" w:hAnsi="Times New Roman" w:cs="Times New Roman"/>
          <w:sz w:val="24"/>
          <w:szCs w:val="24"/>
          <w:lang w:val="en-GB"/>
        </w:rPr>
        <w:t xml:space="preserve">, K.; Atkin, R. 3-Dimensional atomic scale structure of the ionic liquid-graphite interface elucidated by AM-AFM and quantum chemical simulations. Nanoscale 2014, 6, 8100– 8106, </w:t>
      </w:r>
    </w:p>
    <w:p w14:paraId="0D8BDFBE" w14:textId="72BC9CD7"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32</w:t>
      </w:r>
      <w:r>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Werzer</w:t>
      </w:r>
      <w:proofErr w:type="spellEnd"/>
      <w:r w:rsidRPr="008C01F7">
        <w:rPr>
          <w:rFonts w:ascii="Times New Roman" w:hAnsi="Times New Roman" w:cs="Times New Roman"/>
          <w:sz w:val="24"/>
          <w:szCs w:val="24"/>
          <w:lang w:val="en-GB"/>
        </w:rPr>
        <w:t xml:space="preserve">, O.; Cranston, E. D.; Warr, G. G.; Atkin, R.; Rutland, M. W. Ionic liquid </w:t>
      </w:r>
      <w:proofErr w:type="spellStart"/>
      <w:r w:rsidRPr="008C01F7">
        <w:rPr>
          <w:rFonts w:ascii="Times New Roman" w:hAnsi="Times New Roman" w:cs="Times New Roman"/>
          <w:sz w:val="24"/>
          <w:szCs w:val="24"/>
          <w:lang w:val="en-GB"/>
        </w:rPr>
        <w:t>nanotribology</w:t>
      </w:r>
      <w:proofErr w:type="spellEnd"/>
      <w:r w:rsidRPr="008C01F7">
        <w:rPr>
          <w:rFonts w:ascii="Times New Roman" w:hAnsi="Times New Roman" w:cs="Times New Roman"/>
          <w:sz w:val="24"/>
          <w:szCs w:val="24"/>
          <w:lang w:val="en-GB"/>
        </w:rPr>
        <w:t xml:space="preserve">: Mica-silica interactions in </w:t>
      </w:r>
      <w:proofErr w:type="spellStart"/>
      <w:r w:rsidRPr="008C01F7">
        <w:rPr>
          <w:rFonts w:ascii="Times New Roman" w:hAnsi="Times New Roman" w:cs="Times New Roman"/>
          <w:sz w:val="24"/>
          <w:szCs w:val="24"/>
          <w:lang w:val="en-GB"/>
        </w:rPr>
        <w:t>ethylammonium</w:t>
      </w:r>
      <w:proofErr w:type="spellEnd"/>
      <w:r w:rsidRPr="008C01F7">
        <w:rPr>
          <w:rFonts w:ascii="Times New Roman" w:hAnsi="Times New Roman" w:cs="Times New Roman"/>
          <w:sz w:val="24"/>
          <w:szCs w:val="24"/>
          <w:lang w:val="en-GB"/>
        </w:rPr>
        <w:t xml:space="preserve"> nitrate. Phys. Chem. Chem. Phys. 2012, 14, 5147– 5152, </w:t>
      </w:r>
    </w:p>
    <w:p w14:paraId="4A13381E" w14:textId="7436BB4E"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33</w:t>
      </w:r>
      <w:r>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Chen, Z.; Ludwig, M.; Warr, G. G.; Atkin, R. Effect of cation alkyl chain length on surface forces and physical properties in deep eutectic solvents. J. Colloid Interface Sci. 2017, 494, 373– 379, </w:t>
      </w:r>
    </w:p>
    <w:p w14:paraId="5E5CA44C" w14:textId="6E906D6E"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34</w:t>
      </w:r>
      <w:r>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Chen, Z.; McLean, B.; Ludwig, M.; </w:t>
      </w:r>
      <w:proofErr w:type="spellStart"/>
      <w:r w:rsidRPr="008C01F7">
        <w:rPr>
          <w:rFonts w:ascii="Times New Roman" w:hAnsi="Times New Roman" w:cs="Times New Roman"/>
          <w:sz w:val="24"/>
          <w:szCs w:val="24"/>
          <w:lang w:val="en-GB"/>
        </w:rPr>
        <w:t>Stefanovic</w:t>
      </w:r>
      <w:proofErr w:type="spellEnd"/>
      <w:r w:rsidRPr="008C01F7">
        <w:rPr>
          <w:rFonts w:ascii="Times New Roman" w:hAnsi="Times New Roman" w:cs="Times New Roman"/>
          <w:sz w:val="24"/>
          <w:szCs w:val="24"/>
          <w:lang w:val="en-GB"/>
        </w:rPr>
        <w:t xml:space="preserve">, R.; Warr, G. G.; Webber, G. B.; Page, A. J.; Atkin, R. Nanostructure of Deep Eutectic Solvents at Graphite Electrode Interfaces as a Function of Potential. J. Phys. Chem. C 2016, 120, 2225– 2233, </w:t>
      </w:r>
    </w:p>
    <w:p w14:paraId="2317E9CD" w14:textId="1D19B07F"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35</w:t>
      </w:r>
      <w:r>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Hammond, O. S.; Li, H.; </w:t>
      </w:r>
      <w:proofErr w:type="spellStart"/>
      <w:r w:rsidRPr="008C01F7">
        <w:rPr>
          <w:rFonts w:ascii="Times New Roman" w:hAnsi="Times New Roman" w:cs="Times New Roman"/>
          <w:sz w:val="24"/>
          <w:szCs w:val="24"/>
          <w:lang w:val="en-GB"/>
        </w:rPr>
        <w:t>Westermann</w:t>
      </w:r>
      <w:proofErr w:type="spellEnd"/>
      <w:r w:rsidRPr="008C01F7">
        <w:rPr>
          <w:rFonts w:ascii="Times New Roman" w:hAnsi="Times New Roman" w:cs="Times New Roman"/>
          <w:sz w:val="24"/>
          <w:szCs w:val="24"/>
          <w:lang w:val="en-GB"/>
        </w:rPr>
        <w:t xml:space="preserve">, C.; Al-Murshedi, A. Y. M.; </w:t>
      </w:r>
      <w:proofErr w:type="spellStart"/>
      <w:r w:rsidRPr="008C01F7">
        <w:rPr>
          <w:rFonts w:ascii="Times New Roman" w:hAnsi="Times New Roman" w:cs="Times New Roman"/>
          <w:sz w:val="24"/>
          <w:szCs w:val="24"/>
          <w:lang w:val="en-GB"/>
        </w:rPr>
        <w:t>Endres</w:t>
      </w:r>
      <w:proofErr w:type="spellEnd"/>
      <w:r w:rsidRPr="008C01F7">
        <w:rPr>
          <w:rFonts w:ascii="Times New Roman" w:hAnsi="Times New Roman" w:cs="Times New Roman"/>
          <w:sz w:val="24"/>
          <w:szCs w:val="24"/>
          <w:lang w:val="en-GB"/>
        </w:rPr>
        <w:t xml:space="preserve">, F.; Abbott, A. P.; Warr, G. G.; </w:t>
      </w:r>
      <w:proofErr w:type="spellStart"/>
      <w:r w:rsidRPr="008C01F7">
        <w:rPr>
          <w:rFonts w:ascii="Times New Roman" w:hAnsi="Times New Roman" w:cs="Times New Roman"/>
          <w:sz w:val="24"/>
          <w:szCs w:val="24"/>
          <w:lang w:val="en-GB"/>
        </w:rPr>
        <w:t>Edler</w:t>
      </w:r>
      <w:proofErr w:type="spellEnd"/>
      <w:r w:rsidRPr="008C01F7">
        <w:rPr>
          <w:rFonts w:ascii="Times New Roman" w:hAnsi="Times New Roman" w:cs="Times New Roman"/>
          <w:sz w:val="24"/>
          <w:szCs w:val="24"/>
          <w:lang w:val="en-GB"/>
        </w:rPr>
        <w:t xml:space="preserve">, K. J.; Atkin, R. Nanostructure of the deep eutectic solvent/platinum electrode interface as a function of potential and water content. Nanoscale </w:t>
      </w:r>
      <w:proofErr w:type="spellStart"/>
      <w:r w:rsidRPr="008C01F7">
        <w:rPr>
          <w:rFonts w:ascii="Times New Roman" w:hAnsi="Times New Roman" w:cs="Times New Roman"/>
          <w:sz w:val="24"/>
          <w:szCs w:val="24"/>
          <w:lang w:val="en-GB"/>
        </w:rPr>
        <w:t>Horiz</w:t>
      </w:r>
      <w:proofErr w:type="spellEnd"/>
      <w:r w:rsidRPr="008C01F7">
        <w:rPr>
          <w:rFonts w:ascii="Times New Roman" w:hAnsi="Times New Roman" w:cs="Times New Roman"/>
          <w:sz w:val="24"/>
          <w:szCs w:val="24"/>
          <w:lang w:val="en-GB"/>
        </w:rPr>
        <w:t xml:space="preserve"> 2019, 4, 158– 168, </w:t>
      </w:r>
    </w:p>
    <w:p w14:paraId="6771306B" w14:textId="4BE9B075"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36</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Horn, R. G.; Evans, D. F.; Ninham, B. W. Double-layer and solvation forces measured in a molten salt and its mixtures with water. J. Phys. Chem. 1988, 92, 3531– 3537, </w:t>
      </w:r>
    </w:p>
    <w:p w14:paraId="7C5B55A1" w14:textId="5F23489A"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lastRenderedPageBreak/>
        <w:t>37</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Smith, J. A.; </w:t>
      </w:r>
      <w:proofErr w:type="spellStart"/>
      <w:r w:rsidRPr="008C01F7">
        <w:rPr>
          <w:rFonts w:ascii="Times New Roman" w:hAnsi="Times New Roman" w:cs="Times New Roman"/>
          <w:sz w:val="24"/>
          <w:szCs w:val="24"/>
          <w:lang w:val="en-GB"/>
        </w:rPr>
        <w:t>Werzer</w:t>
      </w:r>
      <w:proofErr w:type="spellEnd"/>
      <w:r w:rsidRPr="008C01F7">
        <w:rPr>
          <w:rFonts w:ascii="Times New Roman" w:hAnsi="Times New Roman" w:cs="Times New Roman"/>
          <w:sz w:val="24"/>
          <w:szCs w:val="24"/>
          <w:lang w:val="en-GB"/>
        </w:rPr>
        <w:t xml:space="preserve">, O.; Webber, G. B.; Warr, G. G.; Atkin, R. Surprising Particle Stability and Rapid Sedimentation Rates in an Ionic Liquid. J. Phys. Chem. Lett. 2010, 1, 64– 68, </w:t>
      </w:r>
    </w:p>
    <w:p w14:paraId="56F0FCBF" w14:textId="67A51C7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38</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Wang, Z.; Li, H.; Atkin, R.; Priest, C. Influence of Water on the Interfacial Nanostructure and Wetting of RmimNTf2 Ionic Liquids at Mica Surfaces. Langmuir 2016, 32, 8818– 8825, </w:t>
      </w:r>
    </w:p>
    <w:p w14:paraId="761CFD95" w14:textId="7FC61E96"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39</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Abbott, A. P.; Barron, J. C.; Ryder, K. S. Electrolytic deposition of Zn coatings from ionic liquids based on choline chloride. Trans. Inst. Met. Finish. 2009, 87, 201– 207, </w:t>
      </w:r>
    </w:p>
    <w:p w14:paraId="513920EF" w14:textId="5B9E929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40</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Abbott, A. P.; Al-</w:t>
      </w:r>
      <w:proofErr w:type="spellStart"/>
      <w:r w:rsidRPr="008C01F7">
        <w:rPr>
          <w:rFonts w:ascii="Times New Roman" w:hAnsi="Times New Roman" w:cs="Times New Roman"/>
          <w:sz w:val="24"/>
          <w:szCs w:val="24"/>
          <w:lang w:val="en-GB"/>
        </w:rPr>
        <w:t>Barzinjy</w:t>
      </w:r>
      <w:proofErr w:type="spellEnd"/>
      <w:r w:rsidRPr="008C01F7">
        <w:rPr>
          <w:rFonts w:ascii="Times New Roman" w:hAnsi="Times New Roman" w:cs="Times New Roman"/>
          <w:sz w:val="24"/>
          <w:szCs w:val="24"/>
          <w:lang w:val="en-GB"/>
        </w:rPr>
        <w:t xml:space="preserve">, A. A.; Abbott, P. D.; Frisch, G.; Harris, R. C.; Hartley, J.; Ryder, K. S. Speciation, physical and electrolytic properties of eutectic mixtures based on CrCl3·6H2O and urea. Phys. Chem. Chem. Phys. 2014, 16, 9047– 9055, </w:t>
      </w:r>
    </w:p>
    <w:p w14:paraId="17B14891" w14:textId="551E2033"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41</w:t>
      </w:r>
      <w:r w:rsidR="00A32478">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Abbott, A. P.; Ballantyne, A.; Harris, R. C.; </w:t>
      </w:r>
      <w:proofErr w:type="spellStart"/>
      <w:r w:rsidRPr="008C01F7">
        <w:rPr>
          <w:rFonts w:ascii="Times New Roman" w:hAnsi="Times New Roman" w:cs="Times New Roman"/>
          <w:sz w:val="24"/>
          <w:szCs w:val="24"/>
          <w:lang w:val="en-GB"/>
        </w:rPr>
        <w:t>Juma</w:t>
      </w:r>
      <w:proofErr w:type="spellEnd"/>
      <w:r w:rsidRPr="008C01F7">
        <w:rPr>
          <w:rFonts w:ascii="Times New Roman" w:hAnsi="Times New Roman" w:cs="Times New Roman"/>
          <w:sz w:val="24"/>
          <w:szCs w:val="24"/>
          <w:lang w:val="en-GB"/>
        </w:rPr>
        <w:t xml:space="preserve">, J. A.; Ryder, K. S.; Forrest, G. A Comparative Study of Nickel Electrodeposition Using Deep Eutectic Solvents and Aqueous Solutions. </w:t>
      </w:r>
      <w:proofErr w:type="spellStart"/>
      <w:r w:rsidRPr="008C01F7">
        <w:rPr>
          <w:rFonts w:ascii="Times New Roman" w:hAnsi="Times New Roman" w:cs="Times New Roman"/>
          <w:sz w:val="24"/>
          <w:szCs w:val="24"/>
          <w:lang w:val="en-GB"/>
        </w:rPr>
        <w:t>Electrochim</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Acta</w:t>
      </w:r>
      <w:proofErr w:type="spellEnd"/>
      <w:r w:rsidRPr="008C01F7">
        <w:rPr>
          <w:rFonts w:ascii="Times New Roman" w:hAnsi="Times New Roman" w:cs="Times New Roman"/>
          <w:sz w:val="24"/>
          <w:szCs w:val="24"/>
          <w:lang w:val="en-GB"/>
        </w:rPr>
        <w:t xml:space="preserve"> 2015, 176, 718– 726, </w:t>
      </w:r>
    </w:p>
    <w:p w14:paraId="0739B10E" w14:textId="344946B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42</w:t>
      </w:r>
      <w:r w:rsidR="00A32478">
        <w:rPr>
          <w:rFonts w:ascii="Times New Roman" w:hAnsi="Times New Roman" w:cs="Times New Roman"/>
          <w:sz w:val="24"/>
          <w:szCs w:val="24"/>
          <w:lang w:val="en-GB"/>
        </w:rPr>
        <w:tab/>
      </w:r>
      <w:r w:rsidRPr="008C01F7">
        <w:rPr>
          <w:rFonts w:ascii="Times New Roman" w:hAnsi="Times New Roman" w:cs="Times New Roman"/>
          <w:sz w:val="24"/>
          <w:szCs w:val="24"/>
          <w:lang w:val="en-GB"/>
        </w:rPr>
        <w:t xml:space="preserve">Abbott, A. P.; Barron, J. C.; Frisch, G.; </w:t>
      </w:r>
      <w:proofErr w:type="spellStart"/>
      <w:r w:rsidRPr="008C01F7">
        <w:rPr>
          <w:rFonts w:ascii="Times New Roman" w:hAnsi="Times New Roman" w:cs="Times New Roman"/>
          <w:sz w:val="24"/>
          <w:szCs w:val="24"/>
          <w:lang w:val="en-GB"/>
        </w:rPr>
        <w:t>Gurman</w:t>
      </w:r>
      <w:proofErr w:type="spellEnd"/>
      <w:r w:rsidRPr="008C01F7">
        <w:rPr>
          <w:rFonts w:ascii="Times New Roman" w:hAnsi="Times New Roman" w:cs="Times New Roman"/>
          <w:sz w:val="24"/>
          <w:szCs w:val="24"/>
          <w:lang w:val="en-GB"/>
        </w:rPr>
        <w:t xml:space="preserve">, S.; Ryder, K. S.; Fernando Silva, A. Double layer effects on metal nucleation in deep eutectic solvents. Phys. Chem. Chem. Phys. 2011, 13, 10224– 10231, </w:t>
      </w:r>
    </w:p>
    <w:p w14:paraId="4B4A1969" w14:textId="37B25DBC"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43</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Abbott, A. P.; Barron, J. C.; Frisch, G.; Ryder, K. S.; Silva, A. F. The effect of additives on zinc electrodeposition from deep eutectic solvents. </w:t>
      </w:r>
      <w:proofErr w:type="spellStart"/>
      <w:r w:rsidRPr="008C01F7">
        <w:rPr>
          <w:rFonts w:ascii="Times New Roman" w:hAnsi="Times New Roman" w:cs="Times New Roman"/>
          <w:sz w:val="24"/>
          <w:szCs w:val="24"/>
          <w:lang w:val="en-GB"/>
        </w:rPr>
        <w:t>Electrochim</w:t>
      </w:r>
      <w:proofErr w:type="spellEnd"/>
      <w:r w:rsidRPr="008C01F7">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Acta</w:t>
      </w:r>
      <w:proofErr w:type="spellEnd"/>
      <w:r w:rsidRPr="008C01F7">
        <w:rPr>
          <w:rFonts w:ascii="Times New Roman" w:hAnsi="Times New Roman" w:cs="Times New Roman"/>
          <w:sz w:val="24"/>
          <w:szCs w:val="24"/>
          <w:lang w:val="en-GB"/>
        </w:rPr>
        <w:t xml:space="preserve"> 2011, 56, 5272– 5279, </w:t>
      </w:r>
    </w:p>
    <w:p w14:paraId="74BDBB3D" w14:textId="097B2A9B"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44</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Vittal</w:t>
      </w:r>
      <w:proofErr w:type="spellEnd"/>
      <w:r w:rsidRPr="008C01F7">
        <w:rPr>
          <w:rFonts w:ascii="Times New Roman" w:hAnsi="Times New Roman" w:cs="Times New Roman"/>
          <w:sz w:val="24"/>
          <w:szCs w:val="24"/>
          <w:lang w:val="en-GB"/>
        </w:rPr>
        <w:t xml:space="preserve">, R.; </w:t>
      </w:r>
      <w:proofErr w:type="spellStart"/>
      <w:r w:rsidRPr="008C01F7">
        <w:rPr>
          <w:rFonts w:ascii="Times New Roman" w:hAnsi="Times New Roman" w:cs="Times New Roman"/>
          <w:sz w:val="24"/>
          <w:szCs w:val="24"/>
          <w:lang w:val="en-GB"/>
        </w:rPr>
        <w:t>Gomathi</w:t>
      </w:r>
      <w:proofErr w:type="spellEnd"/>
      <w:r w:rsidRPr="008C01F7">
        <w:rPr>
          <w:rFonts w:ascii="Times New Roman" w:hAnsi="Times New Roman" w:cs="Times New Roman"/>
          <w:sz w:val="24"/>
          <w:szCs w:val="24"/>
          <w:lang w:val="en-GB"/>
        </w:rPr>
        <w:t xml:space="preserve">, H.; Kim, K.-J. Beneficial role of surfactants in electrochemistry and in the modification of electrodes. Adv. Colloid Interface Sci. 2006, 119, 55– 68, </w:t>
      </w:r>
    </w:p>
    <w:p w14:paraId="2DC51B28" w14:textId="06767535"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45</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Barron, J. C. The electrochemistry of Zn in deep eutectic solvents; Ph.D. Thesis, University of Leicester, Leicester, 2010.</w:t>
      </w:r>
    </w:p>
    <w:p w14:paraId="7DAF9B14" w14:textId="116FBB70"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46</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Azam</w:t>
      </w:r>
      <w:proofErr w:type="spellEnd"/>
      <w:r w:rsidRPr="008C01F7">
        <w:rPr>
          <w:rFonts w:ascii="Times New Roman" w:hAnsi="Times New Roman" w:cs="Times New Roman"/>
          <w:sz w:val="24"/>
          <w:szCs w:val="24"/>
          <w:lang w:val="en-GB"/>
        </w:rPr>
        <w:t>, M. The electrochemistry of Ag in deep eutectic solvents; Ph.D. Thesis, University of Leicester, Leicester, 2012.</w:t>
      </w:r>
    </w:p>
    <w:p w14:paraId="54DD4E64" w14:textId="18C9D150"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47</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Abbott, A. P.; Ballantyne, A.; Harris, R. C.; </w:t>
      </w:r>
      <w:proofErr w:type="spellStart"/>
      <w:r w:rsidRPr="008C01F7">
        <w:rPr>
          <w:rFonts w:ascii="Times New Roman" w:hAnsi="Times New Roman" w:cs="Times New Roman"/>
          <w:sz w:val="24"/>
          <w:szCs w:val="24"/>
          <w:lang w:val="en-GB"/>
        </w:rPr>
        <w:t>Juma</w:t>
      </w:r>
      <w:proofErr w:type="spellEnd"/>
      <w:r w:rsidRPr="008C01F7">
        <w:rPr>
          <w:rFonts w:ascii="Times New Roman" w:hAnsi="Times New Roman" w:cs="Times New Roman"/>
          <w:sz w:val="24"/>
          <w:szCs w:val="24"/>
          <w:lang w:val="en-GB"/>
        </w:rPr>
        <w:t xml:space="preserve">, J. A.; Ryder, K. S. Bright metal coatings from sustainable electrolytes: The effect of molecular additives on electrodeposition of nickel from a deep eutectic solvent. Phys. Chem. Chem. Phys. 2017, 19, 3219– 3231, </w:t>
      </w:r>
    </w:p>
    <w:p w14:paraId="4915438B" w14:textId="272D881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48</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Atkin, R.; Craig, V. S. J.; </w:t>
      </w:r>
      <w:proofErr w:type="spellStart"/>
      <w:r w:rsidRPr="008C01F7">
        <w:rPr>
          <w:rFonts w:ascii="Times New Roman" w:hAnsi="Times New Roman" w:cs="Times New Roman"/>
          <w:sz w:val="24"/>
          <w:szCs w:val="24"/>
          <w:lang w:val="en-GB"/>
        </w:rPr>
        <w:t>Wanless</w:t>
      </w:r>
      <w:proofErr w:type="spellEnd"/>
      <w:r w:rsidRPr="008C01F7">
        <w:rPr>
          <w:rFonts w:ascii="Times New Roman" w:hAnsi="Times New Roman" w:cs="Times New Roman"/>
          <w:sz w:val="24"/>
          <w:szCs w:val="24"/>
          <w:lang w:val="en-GB"/>
        </w:rPr>
        <w:t xml:space="preserve">, E. J.; Biggs, S. Mechanism of cationic surfactant adsorption at the solid–aqueous interface. Adv. Colloid Interface Sci. 2003, 103, 219– 304, </w:t>
      </w:r>
    </w:p>
    <w:p w14:paraId="4FCD16F1" w14:textId="2F94FFB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49</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Manne, S.; Cleveland, J. P.; </w:t>
      </w:r>
      <w:proofErr w:type="spellStart"/>
      <w:r w:rsidRPr="008C01F7">
        <w:rPr>
          <w:rFonts w:ascii="Times New Roman" w:hAnsi="Times New Roman" w:cs="Times New Roman"/>
          <w:sz w:val="24"/>
          <w:szCs w:val="24"/>
          <w:lang w:val="en-GB"/>
        </w:rPr>
        <w:t>Gaub</w:t>
      </w:r>
      <w:proofErr w:type="spellEnd"/>
      <w:r w:rsidRPr="008C01F7">
        <w:rPr>
          <w:rFonts w:ascii="Times New Roman" w:hAnsi="Times New Roman" w:cs="Times New Roman"/>
          <w:sz w:val="24"/>
          <w:szCs w:val="24"/>
          <w:lang w:val="en-GB"/>
        </w:rPr>
        <w:t xml:space="preserve">, H. E.; </w:t>
      </w:r>
      <w:proofErr w:type="spellStart"/>
      <w:r w:rsidRPr="008C01F7">
        <w:rPr>
          <w:rFonts w:ascii="Times New Roman" w:hAnsi="Times New Roman" w:cs="Times New Roman"/>
          <w:sz w:val="24"/>
          <w:szCs w:val="24"/>
          <w:lang w:val="en-GB"/>
        </w:rPr>
        <w:t>Stucky</w:t>
      </w:r>
      <w:proofErr w:type="spellEnd"/>
      <w:r w:rsidRPr="008C01F7">
        <w:rPr>
          <w:rFonts w:ascii="Times New Roman" w:hAnsi="Times New Roman" w:cs="Times New Roman"/>
          <w:sz w:val="24"/>
          <w:szCs w:val="24"/>
          <w:lang w:val="en-GB"/>
        </w:rPr>
        <w:t xml:space="preserve">, G. D.; </w:t>
      </w:r>
      <w:proofErr w:type="spellStart"/>
      <w:r w:rsidRPr="008C01F7">
        <w:rPr>
          <w:rFonts w:ascii="Times New Roman" w:hAnsi="Times New Roman" w:cs="Times New Roman"/>
          <w:sz w:val="24"/>
          <w:szCs w:val="24"/>
          <w:lang w:val="en-GB"/>
        </w:rPr>
        <w:t>Hansma</w:t>
      </w:r>
      <w:proofErr w:type="spellEnd"/>
      <w:r w:rsidRPr="008C01F7">
        <w:rPr>
          <w:rFonts w:ascii="Times New Roman" w:hAnsi="Times New Roman" w:cs="Times New Roman"/>
          <w:sz w:val="24"/>
          <w:szCs w:val="24"/>
          <w:lang w:val="en-GB"/>
        </w:rPr>
        <w:t xml:space="preserve">, P. K. Direct Visualization of Surfactant </w:t>
      </w:r>
      <w:proofErr w:type="spellStart"/>
      <w:r w:rsidRPr="008C01F7">
        <w:rPr>
          <w:rFonts w:ascii="Times New Roman" w:hAnsi="Times New Roman" w:cs="Times New Roman"/>
          <w:sz w:val="24"/>
          <w:szCs w:val="24"/>
          <w:lang w:val="en-GB"/>
        </w:rPr>
        <w:t>Hemimicelles</w:t>
      </w:r>
      <w:proofErr w:type="spellEnd"/>
      <w:r w:rsidRPr="008C01F7">
        <w:rPr>
          <w:rFonts w:ascii="Times New Roman" w:hAnsi="Times New Roman" w:cs="Times New Roman"/>
          <w:sz w:val="24"/>
          <w:szCs w:val="24"/>
          <w:lang w:val="en-GB"/>
        </w:rPr>
        <w:t xml:space="preserve"> by Force Microscopy of the Electrical Double Layer. Langmuir 1994, 10, 4409– 4413, </w:t>
      </w:r>
    </w:p>
    <w:p w14:paraId="09F60787" w14:textId="6FBF5826"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50</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Manne, S.; </w:t>
      </w:r>
      <w:proofErr w:type="spellStart"/>
      <w:r w:rsidRPr="008C01F7">
        <w:rPr>
          <w:rFonts w:ascii="Times New Roman" w:hAnsi="Times New Roman" w:cs="Times New Roman"/>
          <w:sz w:val="24"/>
          <w:szCs w:val="24"/>
          <w:lang w:val="en-GB"/>
        </w:rPr>
        <w:t>Gaub</w:t>
      </w:r>
      <w:proofErr w:type="spellEnd"/>
      <w:r w:rsidRPr="008C01F7">
        <w:rPr>
          <w:rFonts w:ascii="Times New Roman" w:hAnsi="Times New Roman" w:cs="Times New Roman"/>
          <w:sz w:val="24"/>
          <w:szCs w:val="24"/>
          <w:lang w:val="en-GB"/>
        </w:rPr>
        <w:t xml:space="preserve">, H. E. Molecular Organization of Surfactants at Solid-Liquid Interfaces. Science 1995, 270, 1480– 1482, </w:t>
      </w:r>
    </w:p>
    <w:p w14:paraId="3E8B6FB4" w14:textId="3A3E31E1"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51</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Wanless</w:t>
      </w:r>
      <w:proofErr w:type="spellEnd"/>
      <w:r w:rsidRPr="008C01F7">
        <w:rPr>
          <w:rFonts w:ascii="Times New Roman" w:hAnsi="Times New Roman" w:cs="Times New Roman"/>
          <w:sz w:val="24"/>
          <w:szCs w:val="24"/>
          <w:lang w:val="en-GB"/>
        </w:rPr>
        <w:t xml:space="preserve">, E. J.; Ducker, W. A. Organization of Sodium Dodecyl </w:t>
      </w:r>
      <w:proofErr w:type="spellStart"/>
      <w:r w:rsidRPr="008C01F7">
        <w:rPr>
          <w:rFonts w:ascii="Times New Roman" w:hAnsi="Times New Roman" w:cs="Times New Roman"/>
          <w:sz w:val="24"/>
          <w:szCs w:val="24"/>
          <w:lang w:val="en-GB"/>
        </w:rPr>
        <w:t>Sulfate</w:t>
      </w:r>
      <w:proofErr w:type="spellEnd"/>
      <w:r w:rsidRPr="008C01F7">
        <w:rPr>
          <w:rFonts w:ascii="Times New Roman" w:hAnsi="Times New Roman" w:cs="Times New Roman"/>
          <w:sz w:val="24"/>
          <w:szCs w:val="24"/>
          <w:lang w:val="en-GB"/>
        </w:rPr>
        <w:t xml:space="preserve"> at the Graphite–Solution Interface. J. Phys. Chem. 1996, 100, 3207– 3214, </w:t>
      </w:r>
    </w:p>
    <w:p w14:paraId="064925EF" w14:textId="7E65EC77"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52</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Liu, J.-F.; Ducker, W. A. Surface-Induced Phase </w:t>
      </w:r>
      <w:proofErr w:type="spellStart"/>
      <w:r w:rsidRPr="008C01F7">
        <w:rPr>
          <w:rFonts w:ascii="Times New Roman" w:hAnsi="Times New Roman" w:cs="Times New Roman"/>
          <w:sz w:val="24"/>
          <w:szCs w:val="24"/>
          <w:lang w:val="en-GB"/>
        </w:rPr>
        <w:t>Behavior</w:t>
      </w:r>
      <w:proofErr w:type="spellEnd"/>
      <w:r w:rsidRPr="008C01F7">
        <w:rPr>
          <w:rFonts w:ascii="Times New Roman" w:hAnsi="Times New Roman" w:cs="Times New Roman"/>
          <w:sz w:val="24"/>
          <w:szCs w:val="24"/>
          <w:lang w:val="en-GB"/>
        </w:rPr>
        <w:t xml:space="preserve"> of </w:t>
      </w:r>
      <w:proofErr w:type="spellStart"/>
      <w:r w:rsidRPr="008C01F7">
        <w:rPr>
          <w:rFonts w:ascii="Times New Roman" w:hAnsi="Times New Roman" w:cs="Times New Roman"/>
          <w:sz w:val="24"/>
          <w:szCs w:val="24"/>
          <w:lang w:val="en-GB"/>
        </w:rPr>
        <w:t>Alkyltrimethylammonium</w:t>
      </w:r>
      <w:proofErr w:type="spellEnd"/>
      <w:r w:rsidRPr="008C01F7">
        <w:rPr>
          <w:rFonts w:ascii="Times New Roman" w:hAnsi="Times New Roman" w:cs="Times New Roman"/>
          <w:sz w:val="24"/>
          <w:szCs w:val="24"/>
          <w:lang w:val="en-GB"/>
        </w:rPr>
        <w:t xml:space="preserve"> Bromide Surfactants Adsorbed to Mica, Silica, and Graphite. J. Phys. Chem. B 1999, 103, 8558– 8567, </w:t>
      </w:r>
    </w:p>
    <w:p w14:paraId="3F40F7A0" w14:textId="5935C225"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53</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Wanless</w:t>
      </w:r>
      <w:proofErr w:type="spellEnd"/>
      <w:r w:rsidRPr="008C01F7">
        <w:rPr>
          <w:rFonts w:ascii="Times New Roman" w:hAnsi="Times New Roman" w:cs="Times New Roman"/>
          <w:sz w:val="24"/>
          <w:szCs w:val="24"/>
          <w:lang w:val="en-GB"/>
        </w:rPr>
        <w:t xml:space="preserve">, E. J.; Ducker, W. A. Weak Influence of Divalent Ions on Anionic Surfactant Surface-Aggregation. Langmuir 1997, 13, 1463– 1474, </w:t>
      </w:r>
    </w:p>
    <w:p w14:paraId="3A6878A3" w14:textId="69F0E2B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lastRenderedPageBreak/>
        <w:t>54</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Atkin, R.; Warr, G. G. Self-assembly of a </w:t>
      </w:r>
      <w:proofErr w:type="spellStart"/>
      <w:r w:rsidRPr="008C01F7">
        <w:rPr>
          <w:rFonts w:ascii="Times New Roman" w:hAnsi="Times New Roman" w:cs="Times New Roman"/>
          <w:sz w:val="24"/>
          <w:szCs w:val="24"/>
          <w:lang w:val="en-GB"/>
        </w:rPr>
        <w:t>nonionic</w:t>
      </w:r>
      <w:proofErr w:type="spellEnd"/>
      <w:r w:rsidRPr="008C01F7">
        <w:rPr>
          <w:rFonts w:ascii="Times New Roman" w:hAnsi="Times New Roman" w:cs="Times New Roman"/>
          <w:sz w:val="24"/>
          <w:szCs w:val="24"/>
          <w:lang w:val="en-GB"/>
        </w:rPr>
        <w:t xml:space="preserve"> surfactant at the graphite/ionic liquid interface. J. Am. Chem. Soc. 2005, 127, 11940– 11941, </w:t>
      </w:r>
    </w:p>
    <w:p w14:paraId="54E8D1F1" w14:textId="4AC7B17D"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55</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Patrick, H. N.; Warr, G. G.; Manne, S.; </w:t>
      </w:r>
      <w:proofErr w:type="spellStart"/>
      <w:r w:rsidRPr="008C01F7">
        <w:rPr>
          <w:rFonts w:ascii="Times New Roman" w:hAnsi="Times New Roman" w:cs="Times New Roman"/>
          <w:sz w:val="24"/>
          <w:szCs w:val="24"/>
          <w:lang w:val="en-GB"/>
        </w:rPr>
        <w:t>Aksay</w:t>
      </w:r>
      <w:proofErr w:type="spellEnd"/>
      <w:r w:rsidRPr="008C01F7">
        <w:rPr>
          <w:rFonts w:ascii="Times New Roman" w:hAnsi="Times New Roman" w:cs="Times New Roman"/>
          <w:sz w:val="24"/>
          <w:szCs w:val="24"/>
          <w:lang w:val="en-GB"/>
        </w:rPr>
        <w:t xml:space="preserve">, I. A. Self-Assembly Structures of </w:t>
      </w:r>
      <w:proofErr w:type="spellStart"/>
      <w:r w:rsidRPr="008C01F7">
        <w:rPr>
          <w:rFonts w:ascii="Times New Roman" w:hAnsi="Times New Roman" w:cs="Times New Roman"/>
          <w:sz w:val="24"/>
          <w:szCs w:val="24"/>
          <w:lang w:val="en-GB"/>
        </w:rPr>
        <w:t>Nonionic</w:t>
      </w:r>
      <w:proofErr w:type="spellEnd"/>
      <w:r w:rsidRPr="008C01F7">
        <w:rPr>
          <w:rFonts w:ascii="Times New Roman" w:hAnsi="Times New Roman" w:cs="Times New Roman"/>
          <w:sz w:val="24"/>
          <w:szCs w:val="24"/>
          <w:lang w:val="en-GB"/>
        </w:rPr>
        <w:t xml:space="preserve"> Surfactants at Graphite/Solution Interfaces. Langmuir 1997, 13, 4349– 4356, </w:t>
      </w:r>
    </w:p>
    <w:p w14:paraId="02CAE465" w14:textId="20B7EB39"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56</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Duval, F. P.; Warr, G. G. Shape of </w:t>
      </w:r>
      <w:proofErr w:type="spellStart"/>
      <w:r w:rsidRPr="008C01F7">
        <w:rPr>
          <w:rFonts w:ascii="Times New Roman" w:hAnsi="Times New Roman" w:cs="Times New Roman"/>
          <w:sz w:val="24"/>
          <w:szCs w:val="24"/>
          <w:lang w:val="en-GB"/>
        </w:rPr>
        <w:t>tetradecyltrimethylammonium</w:t>
      </w:r>
      <w:proofErr w:type="spellEnd"/>
      <w:r w:rsidRPr="008C01F7">
        <w:rPr>
          <w:rFonts w:ascii="Times New Roman" w:hAnsi="Times New Roman" w:cs="Times New Roman"/>
          <w:sz w:val="24"/>
          <w:szCs w:val="24"/>
          <w:lang w:val="en-GB"/>
        </w:rPr>
        <w:t xml:space="preserve"> chloride aggregates at liquid/solid interfaces in mixtures of water and </w:t>
      </w:r>
      <w:proofErr w:type="spellStart"/>
      <w:r w:rsidRPr="008C01F7">
        <w:rPr>
          <w:rFonts w:ascii="Times New Roman" w:hAnsi="Times New Roman" w:cs="Times New Roman"/>
          <w:sz w:val="24"/>
          <w:szCs w:val="24"/>
          <w:lang w:val="en-GB"/>
        </w:rPr>
        <w:t>formamide</w:t>
      </w:r>
      <w:proofErr w:type="spellEnd"/>
      <w:r w:rsidRPr="008C01F7">
        <w:rPr>
          <w:rFonts w:ascii="Times New Roman" w:hAnsi="Times New Roman" w:cs="Times New Roman"/>
          <w:sz w:val="24"/>
          <w:szCs w:val="24"/>
          <w:lang w:val="en-GB"/>
        </w:rPr>
        <w:t xml:space="preserve">. Chem. </w:t>
      </w:r>
      <w:proofErr w:type="spellStart"/>
      <w:r w:rsidRPr="008C01F7">
        <w:rPr>
          <w:rFonts w:ascii="Times New Roman" w:hAnsi="Times New Roman" w:cs="Times New Roman"/>
          <w:sz w:val="24"/>
          <w:szCs w:val="24"/>
          <w:lang w:val="en-GB"/>
        </w:rPr>
        <w:t>Commun</w:t>
      </w:r>
      <w:proofErr w:type="spellEnd"/>
      <w:r w:rsidRPr="008C01F7">
        <w:rPr>
          <w:rFonts w:ascii="Times New Roman" w:hAnsi="Times New Roman" w:cs="Times New Roman"/>
          <w:sz w:val="24"/>
          <w:szCs w:val="24"/>
          <w:lang w:val="en-GB"/>
        </w:rPr>
        <w:t xml:space="preserve">. 2002, 2268– 2269, </w:t>
      </w:r>
    </w:p>
    <w:p w14:paraId="3CA8A200" w14:textId="657CD038"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57</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Azaga</w:t>
      </w:r>
      <w:proofErr w:type="spellEnd"/>
      <w:r w:rsidRPr="008C01F7">
        <w:rPr>
          <w:rFonts w:ascii="Times New Roman" w:hAnsi="Times New Roman" w:cs="Times New Roman"/>
          <w:sz w:val="24"/>
          <w:szCs w:val="24"/>
          <w:lang w:val="en-GB"/>
        </w:rPr>
        <w:t xml:space="preserve">, R. M. M. Surfactant Aggregation in DESs; Ph.D. </w:t>
      </w:r>
      <w:proofErr w:type="spellStart"/>
      <w:r w:rsidRPr="008C01F7">
        <w:rPr>
          <w:rFonts w:ascii="Times New Roman" w:hAnsi="Times New Roman" w:cs="Times New Roman"/>
          <w:sz w:val="24"/>
          <w:szCs w:val="24"/>
          <w:lang w:val="en-GB"/>
        </w:rPr>
        <w:t>Thesis</w:t>
      </w:r>
      <w:proofErr w:type="gramStart"/>
      <w:r w:rsidRPr="008C01F7">
        <w:rPr>
          <w:rFonts w:ascii="Times New Roman" w:hAnsi="Times New Roman" w:cs="Times New Roman"/>
          <w:sz w:val="24"/>
          <w:szCs w:val="24"/>
          <w:lang w:val="en-GB"/>
        </w:rPr>
        <w:t>,University</w:t>
      </w:r>
      <w:proofErr w:type="spellEnd"/>
      <w:proofErr w:type="gramEnd"/>
      <w:r w:rsidRPr="008C01F7">
        <w:rPr>
          <w:rFonts w:ascii="Times New Roman" w:hAnsi="Times New Roman" w:cs="Times New Roman"/>
          <w:sz w:val="24"/>
          <w:szCs w:val="24"/>
          <w:lang w:val="en-GB"/>
        </w:rPr>
        <w:t xml:space="preserve"> of Leicester, Leicester, 2018.Google Scholar</w:t>
      </w:r>
    </w:p>
    <w:p w14:paraId="2C5BB365" w14:textId="50E20921"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58</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Sanchez-Fernandez, A.; Arnold, T.; Jackson, A. J.; </w:t>
      </w:r>
      <w:proofErr w:type="spellStart"/>
      <w:r w:rsidRPr="008C01F7">
        <w:rPr>
          <w:rFonts w:ascii="Times New Roman" w:hAnsi="Times New Roman" w:cs="Times New Roman"/>
          <w:sz w:val="24"/>
          <w:szCs w:val="24"/>
          <w:lang w:val="en-GB"/>
        </w:rPr>
        <w:t>Fussell</w:t>
      </w:r>
      <w:proofErr w:type="spellEnd"/>
      <w:r w:rsidRPr="008C01F7">
        <w:rPr>
          <w:rFonts w:ascii="Times New Roman" w:hAnsi="Times New Roman" w:cs="Times New Roman"/>
          <w:sz w:val="24"/>
          <w:szCs w:val="24"/>
          <w:lang w:val="en-GB"/>
        </w:rPr>
        <w:t xml:space="preserve">, S. L.; </w:t>
      </w:r>
      <w:proofErr w:type="spellStart"/>
      <w:r w:rsidRPr="008C01F7">
        <w:rPr>
          <w:rFonts w:ascii="Times New Roman" w:hAnsi="Times New Roman" w:cs="Times New Roman"/>
          <w:sz w:val="24"/>
          <w:szCs w:val="24"/>
          <w:lang w:val="en-GB"/>
        </w:rPr>
        <w:t>Heenan</w:t>
      </w:r>
      <w:proofErr w:type="spellEnd"/>
      <w:r w:rsidRPr="008C01F7">
        <w:rPr>
          <w:rFonts w:ascii="Times New Roman" w:hAnsi="Times New Roman" w:cs="Times New Roman"/>
          <w:sz w:val="24"/>
          <w:szCs w:val="24"/>
          <w:lang w:val="en-GB"/>
        </w:rPr>
        <w:t xml:space="preserve">, R. K.; Campbell, R. A.; </w:t>
      </w:r>
      <w:proofErr w:type="spellStart"/>
      <w:r w:rsidRPr="008C01F7">
        <w:rPr>
          <w:rFonts w:ascii="Times New Roman" w:hAnsi="Times New Roman" w:cs="Times New Roman"/>
          <w:sz w:val="24"/>
          <w:szCs w:val="24"/>
          <w:lang w:val="en-GB"/>
        </w:rPr>
        <w:t>Edler</w:t>
      </w:r>
      <w:proofErr w:type="spellEnd"/>
      <w:r w:rsidRPr="008C01F7">
        <w:rPr>
          <w:rFonts w:ascii="Times New Roman" w:hAnsi="Times New Roman" w:cs="Times New Roman"/>
          <w:sz w:val="24"/>
          <w:szCs w:val="24"/>
          <w:lang w:val="en-GB"/>
        </w:rPr>
        <w:t xml:space="preserve">, K. J. </w:t>
      </w:r>
      <w:proofErr w:type="spellStart"/>
      <w:r w:rsidRPr="008C01F7">
        <w:rPr>
          <w:rFonts w:ascii="Times New Roman" w:hAnsi="Times New Roman" w:cs="Times New Roman"/>
          <w:sz w:val="24"/>
          <w:szCs w:val="24"/>
          <w:lang w:val="en-GB"/>
        </w:rPr>
        <w:t>Micellization</w:t>
      </w:r>
      <w:proofErr w:type="spellEnd"/>
      <w:r w:rsidRPr="008C01F7">
        <w:rPr>
          <w:rFonts w:ascii="Times New Roman" w:hAnsi="Times New Roman" w:cs="Times New Roman"/>
          <w:sz w:val="24"/>
          <w:szCs w:val="24"/>
          <w:lang w:val="en-GB"/>
        </w:rPr>
        <w:t xml:space="preserve"> of </w:t>
      </w:r>
      <w:proofErr w:type="spellStart"/>
      <w:r w:rsidRPr="008C01F7">
        <w:rPr>
          <w:rFonts w:ascii="Times New Roman" w:hAnsi="Times New Roman" w:cs="Times New Roman"/>
          <w:sz w:val="24"/>
          <w:szCs w:val="24"/>
          <w:lang w:val="en-GB"/>
        </w:rPr>
        <w:t>alkyltrimethylammonium</w:t>
      </w:r>
      <w:proofErr w:type="spellEnd"/>
      <w:r w:rsidRPr="008C01F7">
        <w:rPr>
          <w:rFonts w:ascii="Times New Roman" w:hAnsi="Times New Roman" w:cs="Times New Roman"/>
          <w:sz w:val="24"/>
          <w:szCs w:val="24"/>
          <w:lang w:val="en-GB"/>
        </w:rPr>
        <w:t xml:space="preserve"> bromide surfactants in choline </w:t>
      </w:r>
      <w:proofErr w:type="spellStart"/>
      <w:r w:rsidRPr="008C01F7">
        <w:rPr>
          <w:rFonts w:ascii="Times New Roman" w:hAnsi="Times New Roman" w:cs="Times New Roman"/>
          <w:sz w:val="24"/>
          <w:szCs w:val="24"/>
          <w:lang w:val="en-GB"/>
        </w:rPr>
        <w:t>chloride:glycerol</w:t>
      </w:r>
      <w:proofErr w:type="spellEnd"/>
      <w:r w:rsidRPr="008C01F7">
        <w:rPr>
          <w:rFonts w:ascii="Times New Roman" w:hAnsi="Times New Roman" w:cs="Times New Roman"/>
          <w:sz w:val="24"/>
          <w:szCs w:val="24"/>
          <w:lang w:val="en-GB"/>
        </w:rPr>
        <w:t xml:space="preserve"> deep eutectic solvent. Phys. Chem. Chem. Phys. 2016, 18, 33240– 33249, </w:t>
      </w:r>
    </w:p>
    <w:p w14:paraId="54FDE88E" w14:textId="063B0192"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59</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Okuda, H.; </w:t>
      </w:r>
      <w:proofErr w:type="spellStart"/>
      <w:r w:rsidRPr="008C01F7">
        <w:rPr>
          <w:rFonts w:ascii="Times New Roman" w:hAnsi="Times New Roman" w:cs="Times New Roman"/>
          <w:sz w:val="24"/>
          <w:szCs w:val="24"/>
          <w:lang w:val="en-GB"/>
        </w:rPr>
        <w:t>Imae</w:t>
      </w:r>
      <w:proofErr w:type="spellEnd"/>
      <w:r w:rsidRPr="008C01F7">
        <w:rPr>
          <w:rFonts w:ascii="Times New Roman" w:hAnsi="Times New Roman" w:cs="Times New Roman"/>
          <w:sz w:val="24"/>
          <w:szCs w:val="24"/>
          <w:lang w:val="en-GB"/>
        </w:rPr>
        <w:t xml:space="preserve">, T.; Ikeda, S. The adsorption of </w:t>
      </w:r>
      <w:proofErr w:type="spellStart"/>
      <w:r w:rsidRPr="008C01F7">
        <w:rPr>
          <w:rFonts w:ascii="Times New Roman" w:hAnsi="Times New Roman" w:cs="Times New Roman"/>
          <w:sz w:val="24"/>
          <w:szCs w:val="24"/>
          <w:lang w:val="en-GB"/>
        </w:rPr>
        <w:t>cetyltrimethylammonium</w:t>
      </w:r>
      <w:proofErr w:type="spellEnd"/>
      <w:r w:rsidRPr="008C01F7">
        <w:rPr>
          <w:rFonts w:ascii="Times New Roman" w:hAnsi="Times New Roman" w:cs="Times New Roman"/>
          <w:sz w:val="24"/>
          <w:szCs w:val="24"/>
          <w:lang w:val="en-GB"/>
        </w:rPr>
        <w:t xml:space="preserve"> bromide on aqueous surfaces of sodium bromide solutions. Colloids Surf. 1987, 27, 187– 200, </w:t>
      </w:r>
    </w:p>
    <w:p w14:paraId="2BCF78A3" w14:textId="2DEC064D"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60</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Elworthy</w:t>
      </w:r>
      <w:proofErr w:type="spellEnd"/>
      <w:r w:rsidRPr="008C01F7">
        <w:rPr>
          <w:rFonts w:ascii="Times New Roman" w:hAnsi="Times New Roman" w:cs="Times New Roman"/>
          <w:sz w:val="24"/>
          <w:szCs w:val="24"/>
          <w:lang w:val="en-GB"/>
        </w:rPr>
        <w:t xml:space="preserve">, P. H.; </w:t>
      </w:r>
      <w:proofErr w:type="spellStart"/>
      <w:r w:rsidRPr="008C01F7">
        <w:rPr>
          <w:rFonts w:ascii="Times New Roman" w:hAnsi="Times New Roman" w:cs="Times New Roman"/>
          <w:sz w:val="24"/>
          <w:szCs w:val="24"/>
          <w:lang w:val="en-GB"/>
        </w:rPr>
        <w:t>Mysels</w:t>
      </w:r>
      <w:proofErr w:type="spellEnd"/>
      <w:r w:rsidRPr="008C01F7">
        <w:rPr>
          <w:rFonts w:ascii="Times New Roman" w:hAnsi="Times New Roman" w:cs="Times New Roman"/>
          <w:sz w:val="24"/>
          <w:szCs w:val="24"/>
          <w:lang w:val="en-GB"/>
        </w:rPr>
        <w:t xml:space="preserve">, K. J. The surface tension of sodium </w:t>
      </w:r>
      <w:proofErr w:type="spellStart"/>
      <w:r w:rsidRPr="008C01F7">
        <w:rPr>
          <w:rFonts w:ascii="Times New Roman" w:hAnsi="Times New Roman" w:cs="Times New Roman"/>
          <w:sz w:val="24"/>
          <w:szCs w:val="24"/>
          <w:lang w:val="en-GB"/>
        </w:rPr>
        <w:t>dodecylsulfate</w:t>
      </w:r>
      <w:proofErr w:type="spellEnd"/>
      <w:r w:rsidRPr="008C01F7">
        <w:rPr>
          <w:rFonts w:ascii="Times New Roman" w:hAnsi="Times New Roman" w:cs="Times New Roman"/>
          <w:sz w:val="24"/>
          <w:szCs w:val="24"/>
          <w:lang w:val="en-GB"/>
        </w:rPr>
        <w:t xml:space="preserve"> solutions and the phase separation model of micelle formation. J. Colloid Interface Sci. 1966, 21, 331– 347, </w:t>
      </w:r>
    </w:p>
    <w:p w14:paraId="5153D204" w14:textId="588D2059"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61</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Pal, M.; Singh, R. K.; Pandey, S. Evidence of self-aggregation of cationic surfactants in a choline </w:t>
      </w:r>
      <w:proofErr w:type="spellStart"/>
      <w:r w:rsidRPr="008C01F7">
        <w:rPr>
          <w:rFonts w:ascii="Times New Roman" w:hAnsi="Times New Roman" w:cs="Times New Roman"/>
          <w:sz w:val="24"/>
          <w:szCs w:val="24"/>
          <w:lang w:val="en-GB"/>
        </w:rPr>
        <w:t>chloride+glycerol</w:t>
      </w:r>
      <w:proofErr w:type="spellEnd"/>
      <w:r w:rsidRPr="008C01F7">
        <w:rPr>
          <w:rFonts w:ascii="Times New Roman" w:hAnsi="Times New Roman" w:cs="Times New Roman"/>
          <w:sz w:val="24"/>
          <w:szCs w:val="24"/>
          <w:lang w:val="en-GB"/>
        </w:rPr>
        <w:t xml:space="preserve"> deep eutectic solvent. </w:t>
      </w:r>
      <w:proofErr w:type="spellStart"/>
      <w:r w:rsidRPr="008C01F7">
        <w:rPr>
          <w:rFonts w:ascii="Times New Roman" w:hAnsi="Times New Roman" w:cs="Times New Roman"/>
          <w:sz w:val="24"/>
          <w:szCs w:val="24"/>
          <w:lang w:val="en-GB"/>
        </w:rPr>
        <w:t>ChemPhysChem</w:t>
      </w:r>
      <w:proofErr w:type="spellEnd"/>
      <w:r w:rsidRPr="008C01F7">
        <w:rPr>
          <w:rFonts w:ascii="Times New Roman" w:hAnsi="Times New Roman" w:cs="Times New Roman"/>
          <w:sz w:val="24"/>
          <w:szCs w:val="24"/>
          <w:lang w:val="en-GB"/>
        </w:rPr>
        <w:t xml:space="preserve"> 2015, 16, 2538– 2542, </w:t>
      </w:r>
    </w:p>
    <w:p w14:paraId="17ACC443" w14:textId="6FE02D69" w:rsidR="008C01F7" w:rsidRPr="008C01F7"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62</w:t>
      </w:r>
      <w:r w:rsidR="00A32478">
        <w:rPr>
          <w:rFonts w:ascii="Times New Roman" w:hAnsi="Times New Roman" w:cs="Times New Roman"/>
          <w:sz w:val="24"/>
          <w:szCs w:val="24"/>
          <w:lang w:val="en-GB"/>
        </w:rPr>
        <w:t xml:space="preserve"> </w:t>
      </w:r>
      <w:proofErr w:type="spellStart"/>
      <w:r w:rsidRPr="008C01F7">
        <w:rPr>
          <w:rFonts w:ascii="Times New Roman" w:hAnsi="Times New Roman" w:cs="Times New Roman"/>
          <w:sz w:val="24"/>
          <w:szCs w:val="24"/>
          <w:lang w:val="en-GB"/>
        </w:rPr>
        <w:t>Groszek</w:t>
      </w:r>
      <w:proofErr w:type="spellEnd"/>
      <w:r w:rsidRPr="008C01F7">
        <w:rPr>
          <w:rFonts w:ascii="Times New Roman" w:hAnsi="Times New Roman" w:cs="Times New Roman"/>
          <w:sz w:val="24"/>
          <w:szCs w:val="24"/>
          <w:lang w:val="en-GB"/>
        </w:rPr>
        <w:t>, A. J. Selective Adsorption at Graphite/Hydrocarbon Interfaces. Proc. R. Soc. London, Ser. A 1970, 314, 473– 498</w:t>
      </w:r>
    </w:p>
    <w:p w14:paraId="69979E31" w14:textId="703301FD" w:rsidR="00A07F9C" w:rsidRPr="008B3802" w:rsidRDefault="008C01F7" w:rsidP="008C01F7">
      <w:pPr>
        <w:pStyle w:val="CitaviBibliographyEntry"/>
        <w:rPr>
          <w:rFonts w:ascii="Times New Roman" w:hAnsi="Times New Roman" w:cs="Times New Roman"/>
          <w:sz w:val="24"/>
          <w:szCs w:val="24"/>
          <w:lang w:val="en-GB"/>
        </w:rPr>
      </w:pPr>
      <w:r w:rsidRPr="008C01F7">
        <w:rPr>
          <w:rFonts w:ascii="Times New Roman" w:hAnsi="Times New Roman" w:cs="Times New Roman"/>
          <w:sz w:val="24"/>
          <w:szCs w:val="24"/>
          <w:lang w:val="en-GB"/>
        </w:rPr>
        <w:t>63</w:t>
      </w:r>
      <w:r w:rsidR="00A32478">
        <w:rPr>
          <w:rFonts w:ascii="Times New Roman" w:hAnsi="Times New Roman" w:cs="Times New Roman"/>
          <w:sz w:val="24"/>
          <w:szCs w:val="24"/>
          <w:lang w:val="en-GB"/>
        </w:rPr>
        <w:t xml:space="preserve"> </w:t>
      </w:r>
      <w:r w:rsidRPr="008C01F7">
        <w:rPr>
          <w:rFonts w:ascii="Times New Roman" w:hAnsi="Times New Roman" w:cs="Times New Roman"/>
          <w:sz w:val="24"/>
          <w:szCs w:val="24"/>
          <w:lang w:val="en-GB"/>
        </w:rPr>
        <w:t xml:space="preserve">Abbott, A. P.; </w:t>
      </w:r>
      <w:proofErr w:type="spellStart"/>
      <w:r w:rsidRPr="008C01F7">
        <w:rPr>
          <w:rFonts w:ascii="Times New Roman" w:hAnsi="Times New Roman" w:cs="Times New Roman"/>
          <w:sz w:val="24"/>
          <w:szCs w:val="24"/>
          <w:lang w:val="en-GB"/>
        </w:rPr>
        <w:t>Gounilli</w:t>
      </w:r>
      <w:proofErr w:type="spellEnd"/>
      <w:r w:rsidRPr="008C01F7">
        <w:rPr>
          <w:rFonts w:ascii="Times New Roman" w:hAnsi="Times New Roman" w:cs="Times New Roman"/>
          <w:sz w:val="24"/>
          <w:szCs w:val="24"/>
          <w:lang w:val="en-GB"/>
        </w:rPr>
        <w:t xml:space="preserve">, G.; Bobbitt, J.; </w:t>
      </w:r>
      <w:proofErr w:type="spellStart"/>
      <w:r w:rsidRPr="008C01F7">
        <w:rPr>
          <w:rFonts w:ascii="Times New Roman" w:hAnsi="Times New Roman" w:cs="Times New Roman"/>
          <w:sz w:val="24"/>
          <w:szCs w:val="24"/>
          <w:lang w:val="en-GB"/>
        </w:rPr>
        <w:t>Rusling</w:t>
      </w:r>
      <w:proofErr w:type="spellEnd"/>
      <w:r w:rsidRPr="008C01F7">
        <w:rPr>
          <w:rFonts w:ascii="Times New Roman" w:hAnsi="Times New Roman" w:cs="Times New Roman"/>
          <w:sz w:val="24"/>
          <w:szCs w:val="24"/>
          <w:lang w:val="en-GB"/>
        </w:rPr>
        <w:t xml:space="preserve">, J. F.; </w:t>
      </w:r>
      <w:proofErr w:type="spellStart"/>
      <w:r w:rsidRPr="008C01F7">
        <w:rPr>
          <w:rFonts w:ascii="Times New Roman" w:hAnsi="Times New Roman" w:cs="Times New Roman"/>
          <w:sz w:val="24"/>
          <w:szCs w:val="24"/>
          <w:lang w:val="en-GB"/>
        </w:rPr>
        <w:t>Kumosinski</w:t>
      </w:r>
      <w:proofErr w:type="spellEnd"/>
      <w:r w:rsidRPr="008C01F7">
        <w:rPr>
          <w:rFonts w:ascii="Times New Roman" w:hAnsi="Times New Roman" w:cs="Times New Roman"/>
          <w:sz w:val="24"/>
          <w:szCs w:val="24"/>
          <w:lang w:val="en-GB"/>
        </w:rPr>
        <w:t xml:space="preserve">, T. F. Electron Transfer between an electrode and </w:t>
      </w:r>
      <w:proofErr w:type="spellStart"/>
      <w:r w:rsidRPr="008C01F7">
        <w:rPr>
          <w:rFonts w:ascii="Times New Roman" w:hAnsi="Times New Roman" w:cs="Times New Roman"/>
          <w:sz w:val="24"/>
          <w:szCs w:val="24"/>
          <w:lang w:val="en-GB"/>
        </w:rPr>
        <w:t>ferrocenyl</w:t>
      </w:r>
      <w:proofErr w:type="spellEnd"/>
      <w:r w:rsidRPr="008C01F7">
        <w:rPr>
          <w:rFonts w:ascii="Times New Roman" w:hAnsi="Times New Roman" w:cs="Times New Roman"/>
          <w:sz w:val="24"/>
          <w:szCs w:val="24"/>
          <w:lang w:val="en-GB"/>
        </w:rPr>
        <w:t xml:space="preserve"> modified </w:t>
      </w:r>
      <w:proofErr w:type="spellStart"/>
      <w:r w:rsidRPr="008C01F7">
        <w:rPr>
          <w:rFonts w:ascii="Times New Roman" w:hAnsi="Times New Roman" w:cs="Times New Roman"/>
          <w:sz w:val="24"/>
          <w:szCs w:val="24"/>
          <w:lang w:val="en-GB"/>
        </w:rPr>
        <w:t>amphiphiles</w:t>
      </w:r>
      <w:proofErr w:type="spellEnd"/>
      <w:r w:rsidRPr="008C01F7">
        <w:rPr>
          <w:rFonts w:ascii="Times New Roman" w:hAnsi="Times New Roman" w:cs="Times New Roman"/>
          <w:sz w:val="24"/>
          <w:szCs w:val="24"/>
          <w:lang w:val="en-GB"/>
        </w:rPr>
        <w:t xml:space="preserve"> in micellar solutions. J. Phys. Chem. 1992, 96, 11091– 11095,</w:t>
      </w:r>
    </w:p>
    <w:sectPr w:rsidR="00A07F9C" w:rsidRPr="008B3802">
      <w:pgSz w:w="11906" w:h="16838"/>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E16DB8" w16cid:durableId="2062F647"/>
  <w16cid:commentId w16cid:paraId="13C1FEF0" w16cid:durableId="206E8C1C"/>
  <w16cid:commentId w16cid:paraId="662AD67E" w16cid:durableId="206E8C1D"/>
  <w16cid:commentId w16cid:paraId="55D76566" w16cid:durableId="206E8C1E"/>
  <w16cid:commentId w16cid:paraId="0A76EC6B" w16cid:durableId="206E8C1F"/>
  <w16cid:commentId w16cid:paraId="2405C253" w16cid:durableId="206E8C20"/>
  <w16cid:commentId w16cid:paraId="034F46EA" w16cid:durableId="206E8C21"/>
  <w16cid:commentId w16cid:paraId="6EC71EF5" w16cid:durableId="206E8C22"/>
  <w16cid:commentId w16cid:paraId="5F7B0F0E" w16cid:durableId="2062F648"/>
  <w16cid:commentId w16cid:paraId="0EFD6721" w16cid:durableId="2062F649"/>
  <w16cid:commentId w16cid:paraId="40432B35" w16cid:durableId="2062F64A"/>
  <w16cid:commentId w16cid:paraId="5F0CFFEA" w16cid:durableId="206E8C26"/>
  <w16cid:commentId w16cid:paraId="27645618" w16cid:durableId="2062F64B"/>
  <w16cid:commentId w16cid:paraId="06D26EBC" w16cid:durableId="2062F64C"/>
  <w16cid:commentId w16cid:paraId="51EEE582" w16cid:durableId="2062F64D"/>
  <w16cid:commentId w16cid:paraId="54E78371" w16cid:durableId="2062F64E"/>
  <w16cid:commentId w16cid:paraId="50AA7060" w16cid:durableId="2062F64F"/>
  <w16cid:commentId w16cid:paraId="6EFC75D5" w16cid:durableId="206E8C2C"/>
  <w16cid:commentId w16cid:paraId="35A5E30D" w16cid:durableId="2062F650"/>
  <w16cid:commentId w16cid:paraId="08BA6905" w16cid:durableId="2062F651"/>
  <w16cid:commentId w16cid:paraId="725BAA7F" w16cid:durableId="2062F652"/>
  <w16cid:commentId w16cid:paraId="02FA0245" w16cid:durableId="2062F654"/>
  <w16cid:commentId w16cid:paraId="38FEE2DF" w16cid:durableId="2062F9D0"/>
  <w16cid:commentId w16cid:paraId="5D8D6FB1" w16cid:durableId="206E8C3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6D0D80"/>
    <w:multiLevelType w:val="hybridMultilevel"/>
    <w:tmpl w:val="8E7CCB1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F9C"/>
    <w:rsid w:val="0003543A"/>
    <w:rsid w:val="00041D76"/>
    <w:rsid w:val="00051A66"/>
    <w:rsid w:val="00054721"/>
    <w:rsid w:val="00091C7B"/>
    <w:rsid w:val="00093721"/>
    <w:rsid w:val="000B33D5"/>
    <w:rsid w:val="000E0A28"/>
    <w:rsid w:val="000E77B7"/>
    <w:rsid w:val="00122D71"/>
    <w:rsid w:val="001440B8"/>
    <w:rsid w:val="00145ABE"/>
    <w:rsid w:val="00152D19"/>
    <w:rsid w:val="00152D84"/>
    <w:rsid w:val="001A4A69"/>
    <w:rsid w:val="001B7F5D"/>
    <w:rsid w:val="001D5BCE"/>
    <w:rsid w:val="001E14CB"/>
    <w:rsid w:val="001F0089"/>
    <w:rsid w:val="00215FA8"/>
    <w:rsid w:val="0022208F"/>
    <w:rsid w:val="002644FA"/>
    <w:rsid w:val="00270149"/>
    <w:rsid w:val="002A168C"/>
    <w:rsid w:val="002A238B"/>
    <w:rsid w:val="002A494E"/>
    <w:rsid w:val="002A4D84"/>
    <w:rsid w:val="002D7DFD"/>
    <w:rsid w:val="00325505"/>
    <w:rsid w:val="003438CA"/>
    <w:rsid w:val="00371D19"/>
    <w:rsid w:val="003B0292"/>
    <w:rsid w:val="003B3CF0"/>
    <w:rsid w:val="003E4A28"/>
    <w:rsid w:val="003F2EAB"/>
    <w:rsid w:val="00420E5F"/>
    <w:rsid w:val="004233A1"/>
    <w:rsid w:val="004866F7"/>
    <w:rsid w:val="004D30F8"/>
    <w:rsid w:val="004D3996"/>
    <w:rsid w:val="004D624E"/>
    <w:rsid w:val="00506B19"/>
    <w:rsid w:val="0053306B"/>
    <w:rsid w:val="0053560F"/>
    <w:rsid w:val="005567F8"/>
    <w:rsid w:val="00563714"/>
    <w:rsid w:val="00587CED"/>
    <w:rsid w:val="0059463B"/>
    <w:rsid w:val="005B6266"/>
    <w:rsid w:val="005B7FBD"/>
    <w:rsid w:val="006407AD"/>
    <w:rsid w:val="00641359"/>
    <w:rsid w:val="00656F07"/>
    <w:rsid w:val="00696639"/>
    <w:rsid w:val="006C5C0E"/>
    <w:rsid w:val="006D2DC5"/>
    <w:rsid w:val="006F5C43"/>
    <w:rsid w:val="00784847"/>
    <w:rsid w:val="00787074"/>
    <w:rsid w:val="00793240"/>
    <w:rsid w:val="00794382"/>
    <w:rsid w:val="007A29FA"/>
    <w:rsid w:val="007B4760"/>
    <w:rsid w:val="007D63D7"/>
    <w:rsid w:val="00805743"/>
    <w:rsid w:val="00830365"/>
    <w:rsid w:val="00860AF6"/>
    <w:rsid w:val="00865FF9"/>
    <w:rsid w:val="008916E6"/>
    <w:rsid w:val="008B3802"/>
    <w:rsid w:val="008C01F7"/>
    <w:rsid w:val="008D01D0"/>
    <w:rsid w:val="008E4060"/>
    <w:rsid w:val="00905804"/>
    <w:rsid w:val="00935D62"/>
    <w:rsid w:val="0095097B"/>
    <w:rsid w:val="009B0C36"/>
    <w:rsid w:val="009D5100"/>
    <w:rsid w:val="009F39C9"/>
    <w:rsid w:val="00A07F9C"/>
    <w:rsid w:val="00A1557F"/>
    <w:rsid w:val="00A32478"/>
    <w:rsid w:val="00B03169"/>
    <w:rsid w:val="00B03309"/>
    <w:rsid w:val="00B11157"/>
    <w:rsid w:val="00B1326B"/>
    <w:rsid w:val="00B65EBC"/>
    <w:rsid w:val="00B81892"/>
    <w:rsid w:val="00BB1DE3"/>
    <w:rsid w:val="00BC393B"/>
    <w:rsid w:val="00BD3220"/>
    <w:rsid w:val="00BE0DE7"/>
    <w:rsid w:val="00BF2909"/>
    <w:rsid w:val="00C233AB"/>
    <w:rsid w:val="00C237F1"/>
    <w:rsid w:val="00C31CE2"/>
    <w:rsid w:val="00C83670"/>
    <w:rsid w:val="00C9578A"/>
    <w:rsid w:val="00C9693F"/>
    <w:rsid w:val="00C97779"/>
    <w:rsid w:val="00CA203B"/>
    <w:rsid w:val="00CA4990"/>
    <w:rsid w:val="00CE1154"/>
    <w:rsid w:val="00D03EC4"/>
    <w:rsid w:val="00D30A6B"/>
    <w:rsid w:val="00D643ED"/>
    <w:rsid w:val="00D71682"/>
    <w:rsid w:val="00DA3E91"/>
    <w:rsid w:val="00DC0CAF"/>
    <w:rsid w:val="00DF5114"/>
    <w:rsid w:val="00DF5B9B"/>
    <w:rsid w:val="00E10354"/>
    <w:rsid w:val="00E15D24"/>
    <w:rsid w:val="00E3746C"/>
    <w:rsid w:val="00EA1957"/>
    <w:rsid w:val="00EB218A"/>
    <w:rsid w:val="00EB6AC9"/>
    <w:rsid w:val="00ED28B4"/>
    <w:rsid w:val="00EF3DCB"/>
    <w:rsid w:val="00F83EBB"/>
    <w:rsid w:val="00FF5C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6348D"/>
  <w15:docId w15:val="{934CE17B-4D18-418B-B7C2-68FE04EBE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F9C"/>
    <w:pPr>
      <w:spacing w:after="160" w:line="259" w:lineRule="auto"/>
      <w:jc w:val="both"/>
    </w:pPr>
    <w:rPr>
      <w:rFonts w:ascii="Ebrima" w:hAnsi="Ebrima"/>
    </w:rPr>
  </w:style>
  <w:style w:type="paragraph" w:styleId="Heading1">
    <w:name w:val="heading 1"/>
    <w:basedOn w:val="Normal"/>
    <w:next w:val="Normal"/>
    <w:link w:val="Heading1Char"/>
    <w:uiPriority w:val="9"/>
    <w:qFormat/>
    <w:rsid w:val="00A07F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07F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07F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07F9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07F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07F9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07F9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07F9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07F9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07F9C"/>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7F9C"/>
    <w:rPr>
      <w:rFonts w:ascii="Ebrima" w:eastAsiaTheme="majorEastAsia" w:hAnsi="Ebrima" w:cstheme="majorBidi"/>
      <w:spacing w:val="-10"/>
      <w:kern w:val="28"/>
      <w:sz w:val="56"/>
      <w:szCs w:val="56"/>
    </w:rPr>
  </w:style>
  <w:style w:type="character" w:styleId="Hyperlink">
    <w:name w:val="Hyperlink"/>
    <w:basedOn w:val="DefaultParagraphFont"/>
    <w:uiPriority w:val="99"/>
    <w:unhideWhenUsed/>
    <w:rsid w:val="00A07F9C"/>
    <w:rPr>
      <w:color w:val="0000FF" w:themeColor="hyperlink"/>
      <w:u w:val="single"/>
    </w:rPr>
  </w:style>
  <w:style w:type="character" w:styleId="CommentReference">
    <w:name w:val="annotation reference"/>
    <w:basedOn w:val="DefaultParagraphFont"/>
    <w:uiPriority w:val="99"/>
    <w:semiHidden/>
    <w:unhideWhenUsed/>
    <w:rsid w:val="00A07F9C"/>
    <w:rPr>
      <w:sz w:val="16"/>
      <w:szCs w:val="16"/>
    </w:rPr>
  </w:style>
  <w:style w:type="paragraph" w:styleId="CommentText">
    <w:name w:val="annotation text"/>
    <w:basedOn w:val="Normal"/>
    <w:link w:val="CommentTextChar"/>
    <w:uiPriority w:val="99"/>
    <w:unhideWhenUsed/>
    <w:rsid w:val="00A07F9C"/>
    <w:pPr>
      <w:spacing w:line="240" w:lineRule="auto"/>
    </w:pPr>
    <w:rPr>
      <w:sz w:val="20"/>
      <w:szCs w:val="20"/>
    </w:rPr>
  </w:style>
  <w:style w:type="character" w:customStyle="1" w:styleId="CommentTextChar">
    <w:name w:val="Comment Text Char"/>
    <w:basedOn w:val="DefaultParagraphFont"/>
    <w:link w:val="CommentText"/>
    <w:uiPriority w:val="99"/>
    <w:rsid w:val="00A07F9C"/>
    <w:rPr>
      <w:rFonts w:ascii="Ebrima" w:hAnsi="Ebrima"/>
      <w:sz w:val="20"/>
      <w:szCs w:val="20"/>
    </w:rPr>
  </w:style>
  <w:style w:type="paragraph" w:styleId="BalloonText">
    <w:name w:val="Balloon Text"/>
    <w:basedOn w:val="Normal"/>
    <w:link w:val="BalloonTextChar"/>
    <w:uiPriority w:val="99"/>
    <w:semiHidden/>
    <w:unhideWhenUsed/>
    <w:rsid w:val="00A07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F9C"/>
    <w:rPr>
      <w:rFonts w:ascii="Tahoma" w:hAnsi="Tahoma" w:cs="Tahoma"/>
      <w:sz w:val="16"/>
      <w:szCs w:val="16"/>
    </w:rPr>
  </w:style>
  <w:style w:type="character" w:customStyle="1" w:styleId="authors">
    <w:name w:val="authors"/>
    <w:basedOn w:val="DefaultParagraphFont"/>
    <w:rsid w:val="00A07F9C"/>
  </w:style>
  <w:style w:type="character" w:customStyle="1" w:styleId="Datum1">
    <w:name w:val="Datum1"/>
    <w:basedOn w:val="DefaultParagraphFont"/>
    <w:rsid w:val="00A07F9C"/>
  </w:style>
  <w:style w:type="character" w:customStyle="1" w:styleId="serialtitle">
    <w:name w:val="serial_title"/>
    <w:basedOn w:val="DefaultParagraphFont"/>
    <w:rsid w:val="00A07F9C"/>
  </w:style>
  <w:style w:type="character" w:customStyle="1" w:styleId="volumeissue">
    <w:name w:val="volume_issue"/>
    <w:basedOn w:val="DefaultParagraphFont"/>
    <w:rsid w:val="00A07F9C"/>
  </w:style>
  <w:style w:type="character" w:customStyle="1" w:styleId="pagerange">
    <w:name w:val="page_range"/>
    <w:basedOn w:val="DefaultParagraphFont"/>
    <w:rsid w:val="00A07F9C"/>
  </w:style>
  <w:style w:type="paragraph" w:customStyle="1" w:styleId="CitaviBibliographyEntry">
    <w:name w:val="Citavi Bibliography Entry"/>
    <w:basedOn w:val="Normal"/>
    <w:link w:val="CitaviBibliographyEntryZchn"/>
    <w:rsid w:val="00A07F9C"/>
    <w:pPr>
      <w:tabs>
        <w:tab w:val="left" w:pos="397"/>
      </w:tabs>
      <w:spacing w:after="0"/>
      <w:ind w:left="397" w:hanging="397"/>
      <w:jc w:val="left"/>
    </w:pPr>
  </w:style>
  <w:style w:type="character" w:customStyle="1" w:styleId="CitaviBibliographyEntryZchn">
    <w:name w:val="Citavi Bibliography Entry Zchn"/>
    <w:basedOn w:val="DefaultParagraphFont"/>
    <w:link w:val="CitaviBibliographyEntry"/>
    <w:rsid w:val="00A07F9C"/>
    <w:rPr>
      <w:rFonts w:ascii="Ebrima" w:hAnsi="Ebrima"/>
    </w:rPr>
  </w:style>
  <w:style w:type="paragraph" w:customStyle="1" w:styleId="CitaviBibliographyHeading">
    <w:name w:val="Citavi Bibliography Heading"/>
    <w:basedOn w:val="Heading1"/>
    <w:link w:val="CitaviBibliographyHeadingZchn"/>
    <w:rsid w:val="00A07F9C"/>
    <w:pPr>
      <w:jc w:val="left"/>
    </w:pPr>
  </w:style>
  <w:style w:type="character" w:customStyle="1" w:styleId="CitaviBibliographyHeadingZchn">
    <w:name w:val="Citavi Bibliography Heading Zchn"/>
    <w:basedOn w:val="DefaultParagraphFont"/>
    <w:link w:val="CitaviBibliographyHeading"/>
    <w:rsid w:val="00A07F9C"/>
    <w:rPr>
      <w:rFonts w:asciiTheme="majorHAnsi" w:eastAsiaTheme="majorEastAsia" w:hAnsiTheme="majorHAnsi" w:cstheme="majorBidi"/>
      <w:b/>
      <w:bCs/>
      <w:color w:val="365F91" w:themeColor="accent1" w:themeShade="BF"/>
      <w:sz w:val="28"/>
      <w:szCs w:val="28"/>
    </w:rPr>
  </w:style>
  <w:style w:type="character" w:customStyle="1" w:styleId="Heading1Char">
    <w:name w:val="Heading 1 Char"/>
    <w:basedOn w:val="DefaultParagraphFont"/>
    <w:link w:val="Heading1"/>
    <w:uiPriority w:val="9"/>
    <w:rsid w:val="00A07F9C"/>
    <w:rPr>
      <w:rFonts w:asciiTheme="majorHAnsi" w:eastAsiaTheme="majorEastAsia" w:hAnsiTheme="majorHAnsi" w:cstheme="majorBidi"/>
      <w:b/>
      <w:bCs/>
      <w:color w:val="365F91" w:themeColor="accent1" w:themeShade="BF"/>
      <w:sz w:val="28"/>
      <w:szCs w:val="28"/>
    </w:rPr>
  </w:style>
  <w:style w:type="paragraph" w:customStyle="1" w:styleId="CitaviBibliographySubheading1">
    <w:name w:val="Citavi Bibliography Subheading 1"/>
    <w:basedOn w:val="Heading2"/>
    <w:link w:val="CitaviBibliographySubheading1Zchn"/>
    <w:rsid w:val="00A07F9C"/>
    <w:pPr>
      <w:spacing w:line="480" w:lineRule="auto"/>
      <w:jc w:val="left"/>
      <w:outlineLvl w:val="9"/>
    </w:pPr>
    <w:rPr>
      <w:rFonts w:ascii="Times New Roman" w:hAnsi="Times New Roman" w:cs="Times New Roman"/>
      <w:sz w:val="24"/>
      <w:szCs w:val="24"/>
      <w:lang w:val="en-GB"/>
    </w:rPr>
  </w:style>
  <w:style w:type="character" w:customStyle="1" w:styleId="CitaviBibliographySubheading1Zchn">
    <w:name w:val="Citavi Bibliography Subheading 1 Zchn"/>
    <w:basedOn w:val="DefaultParagraphFont"/>
    <w:link w:val="CitaviBibliographySubheading1"/>
    <w:rsid w:val="00A07F9C"/>
    <w:rPr>
      <w:rFonts w:ascii="Times New Roman" w:eastAsiaTheme="majorEastAsia" w:hAnsi="Times New Roman" w:cs="Times New Roman"/>
      <w:b/>
      <w:bCs/>
      <w:color w:val="4F81BD" w:themeColor="accent1"/>
      <w:sz w:val="24"/>
      <w:szCs w:val="24"/>
      <w:lang w:val="en-GB"/>
    </w:rPr>
  </w:style>
  <w:style w:type="character" w:customStyle="1" w:styleId="Heading2Char">
    <w:name w:val="Heading 2 Char"/>
    <w:basedOn w:val="DefaultParagraphFont"/>
    <w:link w:val="Heading2"/>
    <w:uiPriority w:val="9"/>
    <w:semiHidden/>
    <w:rsid w:val="00A07F9C"/>
    <w:rPr>
      <w:rFonts w:asciiTheme="majorHAnsi" w:eastAsiaTheme="majorEastAsia" w:hAnsiTheme="majorHAnsi" w:cstheme="majorBidi"/>
      <w:b/>
      <w:bCs/>
      <w:color w:val="4F81BD" w:themeColor="accent1"/>
      <w:sz w:val="26"/>
      <w:szCs w:val="26"/>
    </w:rPr>
  </w:style>
  <w:style w:type="paragraph" w:customStyle="1" w:styleId="CitaviBibliographySubheading2">
    <w:name w:val="Citavi Bibliography Subheading 2"/>
    <w:basedOn w:val="Heading3"/>
    <w:link w:val="CitaviBibliographySubheading2Zchn"/>
    <w:rsid w:val="00A07F9C"/>
    <w:pPr>
      <w:spacing w:line="480" w:lineRule="auto"/>
      <w:jc w:val="left"/>
      <w:outlineLvl w:val="9"/>
    </w:pPr>
    <w:rPr>
      <w:rFonts w:ascii="Times New Roman" w:hAnsi="Times New Roman" w:cs="Times New Roman"/>
      <w:sz w:val="24"/>
      <w:szCs w:val="24"/>
      <w:lang w:val="en-GB"/>
    </w:rPr>
  </w:style>
  <w:style w:type="character" w:customStyle="1" w:styleId="CitaviBibliographySubheading2Zchn">
    <w:name w:val="Citavi Bibliography Subheading 2 Zchn"/>
    <w:basedOn w:val="DefaultParagraphFont"/>
    <w:link w:val="CitaviBibliographySubheading2"/>
    <w:rsid w:val="00A07F9C"/>
    <w:rPr>
      <w:rFonts w:ascii="Times New Roman" w:eastAsiaTheme="majorEastAsia" w:hAnsi="Times New Roman" w:cs="Times New Roman"/>
      <w:b/>
      <w:bCs/>
      <w:color w:val="4F81BD" w:themeColor="accent1"/>
      <w:sz w:val="24"/>
      <w:szCs w:val="24"/>
      <w:lang w:val="en-GB"/>
    </w:rPr>
  </w:style>
  <w:style w:type="character" w:customStyle="1" w:styleId="Heading3Char">
    <w:name w:val="Heading 3 Char"/>
    <w:basedOn w:val="DefaultParagraphFont"/>
    <w:link w:val="Heading3"/>
    <w:uiPriority w:val="9"/>
    <w:semiHidden/>
    <w:rsid w:val="00A07F9C"/>
    <w:rPr>
      <w:rFonts w:asciiTheme="majorHAnsi" w:eastAsiaTheme="majorEastAsia" w:hAnsiTheme="majorHAnsi" w:cstheme="majorBidi"/>
      <w:b/>
      <w:bCs/>
      <w:color w:val="4F81BD" w:themeColor="accent1"/>
    </w:rPr>
  </w:style>
  <w:style w:type="paragraph" w:customStyle="1" w:styleId="CitaviBibliographySubheading3">
    <w:name w:val="Citavi Bibliography Subheading 3"/>
    <w:basedOn w:val="Heading4"/>
    <w:link w:val="CitaviBibliographySubheading3Zchn"/>
    <w:rsid w:val="00A07F9C"/>
    <w:pPr>
      <w:spacing w:line="480" w:lineRule="auto"/>
      <w:jc w:val="left"/>
      <w:outlineLvl w:val="9"/>
    </w:pPr>
    <w:rPr>
      <w:rFonts w:ascii="Times New Roman" w:hAnsi="Times New Roman" w:cs="Times New Roman"/>
      <w:sz w:val="24"/>
      <w:szCs w:val="24"/>
      <w:lang w:val="en-GB"/>
    </w:rPr>
  </w:style>
  <w:style w:type="character" w:customStyle="1" w:styleId="CitaviBibliographySubheading3Zchn">
    <w:name w:val="Citavi Bibliography Subheading 3 Zchn"/>
    <w:basedOn w:val="DefaultParagraphFont"/>
    <w:link w:val="CitaviBibliographySubheading3"/>
    <w:rsid w:val="00A07F9C"/>
    <w:rPr>
      <w:rFonts w:ascii="Times New Roman" w:eastAsiaTheme="majorEastAsia" w:hAnsi="Times New Roman" w:cs="Times New Roman"/>
      <w:b/>
      <w:bCs/>
      <w:i/>
      <w:iCs/>
      <w:color w:val="4F81BD" w:themeColor="accent1"/>
      <w:sz w:val="24"/>
      <w:szCs w:val="24"/>
      <w:lang w:val="en-GB"/>
    </w:rPr>
  </w:style>
  <w:style w:type="character" w:customStyle="1" w:styleId="Heading4Char">
    <w:name w:val="Heading 4 Char"/>
    <w:basedOn w:val="DefaultParagraphFont"/>
    <w:link w:val="Heading4"/>
    <w:uiPriority w:val="9"/>
    <w:semiHidden/>
    <w:rsid w:val="00A07F9C"/>
    <w:rPr>
      <w:rFonts w:asciiTheme="majorHAnsi" w:eastAsiaTheme="majorEastAsia" w:hAnsiTheme="majorHAnsi" w:cstheme="majorBidi"/>
      <w:b/>
      <w:bCs/>
      <w:i/>
      <w:iCs/>
      <w:color w:val="4F81BD" w:themeColor="accent1"/>
    </w:rPr>
  </w:style>
  <w:style w:type="paragraph" w:customStyle="1" w:styleId="CitaviBibliographySubheading4">
    <w:name w:val="Citavi Bibliography Subheading 4"/>
    <w:basedOn w:val="Heading5"/>
    <w:link w:val="CitaviBibliographySubheading4Zchn"/>
    <w:rsid w:val="00A07F9C"/>
    <w:pPr>
      <w:spacing w:line="480" w:lineRule="auto"/>
      <w:jc w:val="left"/>
      <w:outlineLvl w:val="9"/>
    </w:pPr>
    <w:rPr>
      <w:rFonts w:ascii="Times New Roman" w:hAnsi="Times New Roman" w:cs="Times New Roman"/>
      <w:sz w:val="24"/>
      <w:szCs w:val="24"/>
      <w:lang w:val="en-GB"/>
    </w:rPr>
  </w:style>
  <w:style w:type="character" w:customStyle="1" w:styleId="CitaviBibliographySubheading4Zchn">
    <w:name w:val="Citavi Bibliography Subheading 4 Zchn"/>
    <w:basedOn w:val="DefaultParagraphFont"/>
    <w:link w:val="CitaviBibliographySubheading4"/>
    <w:rsid w:val="00A07F9C"/>
    <w:rPr>
      <w:rFonts w:ascii="Times New Roman" w:eastAsiaTheme="majorEastAsia" w:hAnsi="Times New Roman" w:cs="Times New Roman"/>
      <w:color w:val="243F60" w:themeColor="accent1" w:themeShade="7F"/>
      <w:sz w:val="24"/>
      <w:szCs w:val="24"/>
      <w:lang w:val="en-GB"/>
    </w:rPr>
  </w:style>
  <w:style w:type="character" w:customStyle="1" w:styleId="Heading5Char">
    <w:name w:val="Heading 5 Char"/>
    <w:basedOn w:val="DefaultParagraphFont"/>
    <w:link w:val="Heading5"/>
    <w:uiPriority w:val="9"/>
    <w:semiHidden/>
    <w:rsid w:val="00A07F9C"/>
    <w:rPr>
      <w:rFonts w:asciiTheme="majorHAnsi" w:eastAsiaTheme="majorEastAsia" w:hAnsiTheme="majorHAnsi" w:cstheme="majorBidi"/>
      <w:color w:val="243F60" w:themeColor="accent1" w:themeShade="7F"/>
    </w:rPr>
  </w:style>
  <w:style w:type="paragraph" w:customStyle="1" w:styleId="CitaviBibliographySubheading5">
    <w:name w:val="Citavi Bibliography Subheading 5"/>
    <w:basedOn w:val="Heading6"/>
    <w:link w:val="CitaviBibliographySubheading5Zchn"/>
    <w:rsid w:val="00A07F9C"/>
    <w:pPr>
      <w:spacing w:line="480" w:lineRule="auto"/>
      <w:outlineLvl w:val="9"/>
    </w:pPr>
    <w:rPr>
      <w:rFonts w:ascii="Times New Roman" w:hAnsi="Times New Roman" w:cs="Times New Roman"/>
      <w:sz w:val="24"/>
      <w:szCs w:val="24"/>
      <w:lang w:val="en-GB"/>
    </w:rPr>
  </w:style>
  <w:style w:type="character" w:customStyle="1" w:styleId="CitaviBibliographySubheading5Zchn">
    <w:name w:val="Citavi Bibliography Subheading 5 Zchn"/>
    <w:basedOn w:val="DefaultParagraphFont"/>
    <w:link w:val="CitaviBibliographySubheading5"/>
    <w:rsid w:val="00A07F9C"/>
    <w:rPr>
      <w:rFonts w:ascii="Times New Roman" w:eastAsiaTheme="majorEastAsia" w:hAnsi="Times New Roman" w:cs="Times New Roman"/>
      <w:i/>
      <w:iCs/>
      <w:color w:val="243F60" w:themeColor="accent1" w:themeShade="7F"/>
      <w:sz w:val="24"/>
      <w:szCs w:val="24"/>
      <w:lang w:val="en-GB"/>
    </w:rPr>
  </w:style>
  <w:style w:type="character" w:customStyle="1" w:styleId="Heading6Char">
    <w:name w:val="Heading 6 Char"/>
    <w:basedOn w:val="DefaultParagraphFont"/>
    <w:link w:val="Heading6"/>
    <w:uiPriority w:val="9"/>
    <w:semiHidden/>
    <w:rsid w:val="00A07F9C"/>
    <w:rPr>
      <w:rFonts w:asciiTheme="majorHAnsi" w:eastAsiaTheme="majorEastAsia" w:hAnsiTheme="majorHAnsi" w:cstheme="majorBidi"/>
      <w:i/>
      <w:iCs/>
      <w:color w:val="243F60" w:themeColor="accent1" w:themeShade="7F"/>
    </w:rPr>
  </w:style>
  <w:style w:type="paragraph" w:customStyle="1" w:styleId="CitaviBibliographySubheading6">
    <w:name w:val="Citavi Bibliography Subheading 6"/>
    <w:basedOn w:val="Heading7"/>
    <w:link w:val="CitaviBibliographySubheading6Zchn"/>
    <w:rsid w:val="00A07F9C"/>
    <w:pPr>
      <w:spacing w:line="480" w:lineRule="auto"/>
      <w:outlineLvl w:val="9"/>
    </w:pPr>
    <w:rPr>
      <w:rFonts w:ascii="Times New Roman" w:hAnsi="Times New Roman" w:cs="Times New Roman"/>
      <w:sz w:val="24"/>
      <w:szCs w:val="24"/>
      <w:lang w:val="en-GB"/>
    </w:rPr>
  </w:style>
  <w:style w:type="character" w:customStyle="1" w:styleId="CitaviBibliographySubheading6Zchn">
    <w:name w:val="Citavi Bibliography Subheading 6 Zchn"/>
    <w:basedOn w:val="DefaultParagraphFont"/>
    <w:link w:val="CitaviBibliographySubheading6"/>
    <w:rsid w:val="00A07F9C"/>
    <w:rPr>
      <w:rFonts w:ascii="Times New Roman" w:eastAsiaTheme="majorEastAsia" w:hAnsi="Times New Roman" w:cs="Times New Roman"/>
      <w:i/>
      <w:iCs/>
      <w:color w:val="404040" w:themeColor="text1" w:themeTint="BF"/>
      <w:sz w:val="24"/>
      <w:szCs w:val="24"/>
      <w:lang w:val="en-GB"/>
    </w:rPr>
  </w:style>
  <w:style w:type="character" w:customStyle="1" w:styleId="Heading7Char">
    <w:name w:val="Heading 7 Char"/>
    <w:basedOn w:val="DefaultParagraphFont"/>
    <w:link w:val="Heading7"/>
    <w:uiPriority w:val="9"/>
    <w:semiHidden/>
    <w:rsid w:val="00A07F9C"/>
    <w:rPr>
      <w:rFonts w:asciiTheme="majorHAnsi" w:eastAsiaTheme="majorEastAsia" w:hAnsiTheme="majorHAnsi" w:cstheme="majorBidi"/>
      <w:i/>
      <w:iCs/>
      <w:color w:val="404040" w:themeColor="text1" w:themeTint="BF"/>
    </w:rPr>
  </w:style>
  <w:style w:type="paragraph" w:customStyle="1" w:styleId="CitaviBibliographySubheading7">
    <w:name w:val="Citavi Bibliography Subheading 7"/>
    <w:basedOn w:val="Heading8"/>
    <w:link w:val="CitaviBibliographySubheading7Zchn"/>
    <w:rsid w:val="00A07F9C"/>
    <w:pPr>
      <w:spacing w:line="480" w:lineRule="auto"/>
      <w:outlineLvl w:val="9"/>
    </w:pPr>
    <w:rPr>
      <w:rFonts w:ascii="Times New Roman" w:hAnsi="Times New Roman" w:cs="Times New Roman"/>
      <w:sz w:val="24"/>
      <w:szCs w:val="24"/>
      <w:lang w:val="en-GB"/>
    </w:rPr>
  </w:style>
  <w:style w:type="character" w:customStyle="1" w:styleId="CitaviBibliographySubheading7Zchn">
    <w:name w:val="Citavi Bibliography Subheading 7 Zchn"/>
    <w:basedOn w:val="DefaultParagraphFont"/>
    <w:link w:val="CitaviBibliographySubheading7"/>
    <w:rsid w:val="00A07F9C"/>
    <w:rPr>
      <w:rFonts w:ascii="Times New Roman" w:eastAsiaTheme="majorEastAsia" w:hAnsi="Times New Roman" w:cs="Times New Roman"/>
      <w:color w:val="404040" w:themeColor="text1" w:themeTint="BF"/>
      <w:sz w:val="24"/>
      <w:szCs w:val="24"/>
      <w:lang w:val="en-GB"/>
    </w:rPr>
  </w:style>
  <w:style w:type="character" w:customStyle="1" w:styleId="Heading8Char">
    <w:name w:val="Heading 8 Char"/>
    <w:basedOn w:val="DefaultParagraphFont"/>
    <w:link w:val="Heading8"/>
    <w:uiPriority w:val="9"/>
    <w:semiHidden/>
    <w:rsid w:val="00A07F9C"/>
    <w:rPr>
      <w:rFonts w:asciiTheme="majorHAnsi" w:eastAsiaTheme="majorEastAsia" w:hAnsiTheme="majorHAnsi" w:cstheme="majorBidi"/>
      <w:color w:val="404040" w:themeColor="text1" w:themeTint="BF"/>
      <w:sz w:val="20"/>
      <w:szCs w:val="20"/>
    </w:rPr>
  </w:style>
  <w:style w:type="paragraph" w:customStyle="1" w:styleId="CitaviBibliographySubheading8">
    <w:name w:val="Citavi Bibliography Subheading 8"/>
    <w:basedOn w:val="Heading9"/>
    <w:link w:val="CitaviBibliographySubheading8Zchn"/>
    <w:rsid w:val="00A07F9C"/>
    <w:pPr>
      <w:spacing w:line="480" w:lineRule="auto"/>
      <w:outlineLvl w:val="9"/>
    </w:pPr>
    <w:rPr>
      <w:rFonts w:ascii="Times New Roman" w:hAnsi="Times New Roman" w:cs="Times New Roman"/>
      <w:sz w:val="24"/>
      <w:szCs w:val="24"/>
      <w:lang w:val="en-GB"/>
    </w:rPr>
  </w:style>
  <w:style w:type="character" w:customStyle="1" w:styleId="CitaviBibliographySubheading8Zchn">
    <w:name w:val="Citavi Bibliography Subheading 8 Zchn"/>
    <w:basedOn w:val="DefaultParagraphFont"/>
    <w:link w:val="CitaviBibliographySubheading8"/>
    <w:rsid w:val="00A07F9C"/>
    <w:rPr>
      <w:rFonts w:ascii="Times New Roman" w:eastAsiaTheme="majorEastAsia" w:hAnsi="Times New Roman" w:cs="Times New Roman"/>
      <w:i/>
      <w:iCs/>
      <w:color w:val="404040" w:themeColor="text1" w:themeTint="BF"/>
      <w:sz w:val="24"/>
      <w:szCs w:val="24"/>
      <w:lang w:val="en-GB"/>
    </w:rPr>
  </w:style>
  <w:style w:type="character" w:customStyle="1" w:styleId="Heading9Char">
    <w:name w:val="Heading 9 Char"/>
    <w:basedOn w:val="DefaultParagraphFont"/>
    <w:link w:val="Heading9"/>
    <w:uiPriority w:val="9"/>
    <w:semiHidden/>
    <w:rsid w:val="00A07F9C"/>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39"/>
    <w:rsid w:val="00264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C0CAF"/>
    <w:rPr>
      <w:b/>
      <w:bCs/>
    </w:rPr>
  </w:style>
  <w:style w:type="character" w:customStyle="1" w:styleId="CommentSubjectChar">
    <w:name w:val="Comment Subject Char"/>
    <w:basedOn w:val="CommentTextChar"/>
    <w:link w:val="CommentSubject"/>
    <w:uiPriority w:val="99"/>
    <w:semiHidden/>
    <w:rsid w:val="00DC0CAF"/>
    <w:rPr>
      <w:rFonts w:ascii="Ebrima" w:hAnsi="Ebrima"/>
      <w:b/>
      <w:bCs/>
      <w:sz w:val="20"/>
      <w:szCs w:val="20"/>
    </w:rPr>
  </w:style>
  <w:style w:type="paragraph" w:styleId="ListParagraph">
    <w:name w:val="List Paragraph"/>
    <w:basedOn w:val="Normal"/>
    <w:uiPriority w:val="34"/>
    <w:qFormat/>
    <w:rsid w:val="006C5C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41185">
      <w:bodyDiv w:val="1"/>
      <w:marLeft w:val="0"/>
      <w:marRight w:val="0"/>
      <w:marTop w:val="0"/>
      <w:marBottom w:val="0"/>
      <w:divBdr>
        <w:top w:val="none" w:sz="0" w:space="0" w:color="auto"/>
        <w:left w:val="none" w:sz="0" w:space="0" w:color="auto"/>
        <w:bottom w:val="none" w:sz="0" w:space="0" w:color="auto"/>
        <w:right w:val="none" w:sz="0" w:space="0" w:color="auto"/>
      </w:divBdr>
      <w:divsChild>
        <w:div w:id="2028174425">
          <w:marLeft w:val="0"/>
          <w:marRight w:val="0"/>
          <w:marTop w:val="0"/>
          <w:marBottom w:val="0"/>
          <w:divBdr>
            <w:top w:val="none" w:sz="0" w:space="0" w:color="auto"/>
            <w:left w:val="none" w:sz="0" w:space="0" w:color="auto"/>
            <w:bottom w:val="none" w:sz="0" w:space="0" w:color="auto"/>
            <w:right w:val="none" w:sz="0" w:space="0" w:color="auto"/>
          </w:divBdr>
          <w:divsChild>
            <w:div w:id="1431193728">
              <w:marLeft w:val="0"/>
              <w:marRight w:val="0"/>
              <w:marTop w:val="0"/>
              <w:marBottom w:val="0"/>
              <w:divBdr>
                <w:top w:val="none" w:sz="0" w:space="0" w:color="auto"/>
                <w:left w:val="none" w:sz="0" w:space="0" w:color="auto"/>
                <w:bottom w:val="none" w:sz="0" w:space="0" w:color="auto"/>
                <w:right w:val="none" w:sz="0" w:space="0" w:color="auto"/>
              </w:divBdr>
              <w:divsChild>
                <w:div w:id="303506263">
                  <w:marLeft w:val="0"/>
                  <w:marRight w:val="0"/>
                  <w:marTop w:val="0"/>
                  <w:marBottom w:val="0"/>
                  <w:divBdr>
                    <w:top w:val="single" w:sz="6" w:space="0" w:color="EFEFEF"/>
                    <w:left w:val="none" w:sz="0" w:space="0" w:color="auto"/>
                    <w:bottom w:val="none" w:sz="0" w:space="0" w:color="auto"/>
                    <w:right w:val="none" w:sz="0" w:space="0" w:color="auto"/>
                  </w:divBdr>
                  <w:divsChild>
                    <w:div w:id="1529829436">
                      <w:marLeft w:val="0"/>
                      <w:marRight w:val="0"/>
                      <w:marTop w:val="0"/>
                      <w:marBottom w:val="0"/>
                      <w:divBdr>
                        <w:top w:val="none" w:sz="0" w:space="0" w:color="auto"/>
                        <w:left w:val="none" w:sz="0" w:space="0" w:color="auto"/>
                        <w:bottom w:val="none" w:sz="0" w:space="0" w:color="auto"/>
                        <w:right w:val="none" w:sz="0" w:space="0" w:color="auto"/>
                      </w:divBdr>
                      <w:divsChild>
                        <w:div w:id="1498770655">
                          <w:marLeft w:val="-225"/>
                          <w:marRight w:val="-225"/>
                          <w:marTop w:val="0"/>
                          <w:marBottom w:val="0"/>
                          <w:divBdr>
                            <w:top w:val="none" w:sz="0" w:space="0" w:color="auto"/>
                            <w:left w:val="none" w:sz="0" w:space="0" w:color="auto"/>
                            <w:bottom w:val="none" w:sz="0" w:space="0" w:color="auto"/>
                            <w:right w:val="none" w:sz="0" w:space="0" w:color="auto"/>
                          </w:divBdr>
                          <w:divsChild>
                            <w:div w:id="595022426">
                              <w:marLeft w:val="0"/>
                              <w:marRight w:val="0"/>
                              <w:marTop w:val="0"/>
                              <w:marBottom w:val="0"/>
                              <w:divBdr>
                                <w:top w:val="none" w:sz="0" w:space="0" w:color="auto"/>
                                <w:left w:val="none" w:sz="0" w:space="0" w:color="auto"/>
                                <w:bottom w:val="none" w:sz="0" w:space="0" w:color="auto"/>
                                <w:right w:val="none" w:sz="0" w:space="0" w:color="auto"/>
                              </w:divBdr>
                              <w:divsChild>
                                <w:div w:id="1777093772">
                                  <w:marLeft w:val="0"/>
                                  <w:marRight w:val="0"/>
                                  <w:marTop w:val="0"/>
                                  <w:marBottom w:val="0"/>
                                  <w:divBdr>
                                    <w:top w:val="none" w:sz="0" w:space="0" w:color="auto"/>
                                    <w:left w:val="none" w:sz="0" w:space="0" w:color="auto"/>
                                    <w:bottom w:val="none" w:sz="0" w:space="0" w:color="auto"/>
                                    <w:right w:val="none" w:sz="0" w:space="0" w:color="auto"/>
                                  </w:divBdr>
                                  <w:divsChild>
                                    <w:div w:id="1567639997">
                                      <w:marLeft w:val="0"/>
                                      <w:marRight w:val="0"/>
                                      <w:marTop w:val="0"/>
                                      <w:marBottom w:val="0"/>
                                      <w:divBdr>
                                        <w:top w:val="none" w:sz="0" w:space="0" w:color="auto"/>
                                        <w:left w:val="none" w:sz="0" w:space="0" w:color="auto"/>
                                        <w:bottom w:val="none" w:sz="0" w:space="0" w:color="auto"/>
                                        <w:right w:val="none" w:sz="0" w:space="0" w:color="auto"/>
                                      </w:divBdr>
                                      <w:divsChild>
                                        <w:div w:id="344133105">
                                          <w:marLeft w:val="0"/>
                                          <w:marRight w:val="0"/>
                                          <w:marTop w:val="0"/>
                                          <w:marBottom w:val="0"/>
                                          <w:divBdr>
                                            <w:top w:val="none" w:sz="0" w:space="0" w:color="auto"/>
                                            <w:left w:val="none" w:sz="0" w:space="0" w:color="auto"/>
                                            <w:bottom w:val="none" w:sz="0" w:space="0" w:color="auto"/>
                                            <w:right w:val="none" w:sz="0" w:space="0" w:color="auto"/>
                                          </w:divBdr>
                                          <w:divsChild>
                                            <w:div w:id="289628351">
                                              <w:marLeft w:val="0"/>
                                              <w:marRight w:val="0"/>
                                              <w:marTop w:val="0"/>
                                              <w:marBottom w:val="0"/>
                                              <w:divBdr>
                                                <w:top w:val="none" w:sz="0" w:space="0" w:color="auto"/>
                                                <w:left w:val="none" w:sz="0" w:space="0" w:color="auto"/>
                                                <w:bottom w:val="none" w:sz="0" w:space="0" w:color="auto"/>
                                                <w:right w:val="none" w:sz="0" w:space="0" w:color="auto"/>
                                              </w:divBdr>
                                              <w:divsChild>
                                                <w:div w:id="1267663232">
                                                  <w:marLeft w:val="0"/>
                                                  <w:marRight w:val="0"/>
                                                  <w:marTop w:val="225"/>
                                                  <w:marBottom w:val="225"/>
                                                  <w:divBdr>
                                                    <w:top w:val="none" w:sz="0" w:space="0" w:color="auto"/>
                                                    <w:left w:val="single" w:sz="6" w:space="0" w:color="A7A9AC"/>
                                                    <w:bottom w:val="none" w:sz="0" w:space="0" w:color="auto"/>
                                                    <w:right w:val="single" w:sz="6" w:space="0" w:color="A7A9AC"/>
                                                  </w:divBdr>
                                                </w:div>
                                                <w:div w:id="956596147">
                                                  <w:marLeft w:val="0"/>
                                                  <w:marRight w:val="0"/>
                                                  <w:marTop w:val="0"/>
                                                  <w:marBottom w:val="0"/>
                                                  <w:divBdr>
                                                    <w:top w:val="none" w:sz="0" w:space="0" w:color="auto"/>
                                                    <w:left w:val="none" w:sz="0" w:space="0" w:color="auto"/>
                                                    <w:bottom w:val="none" w:sz="0" w:space="0" w:color="auto"/>
                                                    <w:right w:val="none" w:sz="0" w:space="0" w:color="auto"/>
                                                  </w:divBdr>
                                                  <w:divsChild>
                                                    <w:div w:id="44927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8537736">
      <w:bodyDiv w:val="1"/>
      <w:marLeft w:val="0"/>
      <w:marRight w:val="0"/>
      <w:marTop w:val="0"/>
      <w:marBottom w:val="0"/>
      <w:divBdr>
        <w:top w:val="none" w:sz="0" w:space="0" w:color="auto"/>
        <w:left w:val="none" w:sz="0" w:space="0" w:color="auto"/>
        <w:bottom w:val="none" w:sz="0" w:space="0" w:color="auto"/>
        <w:right w:val="none" w:sz="0" w:space="0" w:color="auto"/>
      </w:divBdr>
    </w:div>
    <w:div w:id="765155213">
      <w:bodyDiv w:val="1"/>
      <w:marLeft w:val="0"/>
      <w:marRight w:val="0"/>
      <w:marTop w:val="0"/>
      <w:marBottom w:val="0"/>
      <w:divBdr>
        <w:top w:val="none" w:sz="0" w:space="0" w:color="auto"/>
        <w:left w:val="none" w:sz="0" w:space="0" w:color="auto"/>
        <w:bottom w:val="none" w:sz="0" w:space="0" w:color="auto"/>
        <w:right w:val="none" w:sz="0" w:space="0" w:color="auto"/>
      </w:divBdr>
      <w:divsChild>
        <w:div w:id="903639926">
          <w:marLeft w:val="0"/>
          <w:marRight w:val="0"/>
          <w:marTop w:val="0"/>
          <w:marBottom w:val="0"/>
          <w:divBdr>
            <w:top w:val="none" w:sz="0" w:space="0" w:color="auto"/>
            <w:left w:val="none" w:sz="0" w:space="0" w:color="auto"/>
            <w:bottom w:val="none" w:sz="0" w:space="0" w:color="auto"/>
            <w:right w:val="none" w:sz="0" w:space="0" w:color="auto"/>
          </w:divBdr>
          <w:divsChild>
            <w:div w:id="135028017">
              <w:marLeft w:val="0"/>
              <w:marRight w:val="0"/>
              <w:marTop w:val="0"/>
              <w:marBottom w:val="0"/>
              <w:divBdr>
                <w:top w:val="none" w:sz="0" w:space="0" w:color="auto"/>
                <w:left w:val="none" w:sz="0" w:space="0" w:color="auto"/>
                <w:bottom w:val="none" w:sz="0" w:space="0" w:color="auto"/>
                <w:right w:val="none" w:sz="0" w:space="0" w:color="auto"/>
              </w:divBdr>
              <w:divsChild>
                <w:div w:id="49695913">
                  <w:marLeft w:val="0"/>
                  <w:marRight w:val="0"/>
                  <w:marTop w:val="0"/>
                  <w:marBottom w:val="0"/>
                  <w:divBdr>
                    <w:top w:val="single" w:sz="6" w:space="0" w:color="EFEFEF"/>
                    <w:left w:val="none" w:sz="0" w:space="0" w:color="auto"/>
                    <w:bottom w:val="none" w:sz="0" w:space="0" w:color="auto"/>
                    <w:right w:val="none" w:sz="0" w:space="0" w:color="auto"/>
                  </w:divBdr>
                  <w:divsChild>
                    <w:div w:id="728765825">
                      <w:marLeft w:val="0"/>
                      <w:marRight w:val="0"/>
                      <w:marTop w:val="0"/>
                      <w:marBottom w:val="0"/>
                      <w:divBdr>
                        <w:top w:val="none" w:sz="0" w:space="0" w:color="auto"/>
                        <w:left w:val="none" w:sz="0" w:space="0" w:color="auto"/>
                        <w:bottom w:val="none" w:sz="0" w:space="0" w:color="auto"/>
                        <w:right w:val="none" w:sz="0" w:space="0" w:color="auto"/>
                      </w:divBdr>
                      <w:divsChild>
                        <w:div w:id="1599169324">
                          <w:marLeft w:val="-225"/>
                          <w:marRight w:val="-225"/>
                          <w:marTop w:val="0"/>
                          <w:marBottom w:val="0"/>
                          <w:divBdr>
                            <w:top w:val="none" w:sz="0" w:space="0" w:color="auto"/>
                            <w:left w:val="none" w:sz="0" w:space="0" w:color="auto"/>
                            <w:bottom w:val="none" w:sz="0" w:space="0" w:color="auto"/>
                            <w:right w:val="none" w:sz="0" w:space="0" w:color="auto"/>
                          </w:divBdr>
                          <w:divsChild>
                            <w:div w:id="1542203154">
                              <w:marLeft w:val="0"/>
                              <w:marRight w:val="0"/>
                              <w:marTop w:val="0"/>
                              <w:marBottom w:val="0"/>
                              <w:divBdr>
                                <w:top w:val="none" w:sz="0" w:space="0" w:color="auto"/>
                                <w:left w:val="none" w:sz="0" w:space="0" w:color="auto"/>
                                <w:bottom w:val="none" w:sz="0" w:space="0" w:color="auto"/>
                                <w:right w:val="none" w:sz="0" w:space="0" w:color="auto"/>
                              </w:divBdr>
                              <w:divsChild>
                                <w:div w:id="2086954273">
                                  <w:marLeft w:val="0"/>
                                  <w:marRight w:val="0"/>
                                  <w:marTop w:val="0"/>
                                  <w:marBottom w:val="0"/>
                                  <w:divBdr>
                                    <w:top w:val="none" w:sz="0" w:space="0" w:color="auto"/>
                                    <w:left w:val="none" w:sz="0" w:space="0" w:color="auto"/>
                                    <w:bottom w:val="none" w:sz="0" w:space="0" w:color="auto"/>
                                    <w:right w:val="none" w:sz="0" w:space="0" w:color="auto"/>
                                  </w:divBdr>
                                  <w:divsChild>
                                    <w:div w:id="905602732">
                                      <w:marLeft w:val="0"/>
                                      <w:marRight w:val="0"/>
                                      <w:marTop w:val="0"/>
                                      <w:marBottom w:val="0"/>
                                      <w:divBdr>
                                        <w:top w:val="none" w:sz="0" w:space="0" w:color="auto"/>
                                        <w:left w:val="none" w:sz="0" w:space="0" w:color="auto"/>
                                        <w:bottom w:val="none" w:sz="0" w:space="0" w:color="auto"/>
                                        <w:right w:val="none" w:sz="0" w:space="0" w:color="auto"/>
                                      </w:divBdr>
                                      <w:divsChild>
                                        <w:div w:id="340398426">
                                          <w:marLeft w:val="0"/>
                                          <w:marRight w:val="0"/>
                                          <w:marTop w:val="0"/>
                                          <w:marBottom w:val="0"/>
                                          <w:divBdr>
                                            <w:top w:val="none" w:sz="0" w:space="0" w:color="auto"/>
                                            <w:left w:val="none" w:sz="0" w:space="0" w:color="auto"/>
                                            <w:bottom w:val="none" w:sz="0" w:space="0" w:color="auto"/>
                                            <w:right w:val="none" w:sz="0" w:space="0" w:color="auto"/>
                                          </w:divBdr>
                                          <w:divsChild>
                                            <w:div w:id="512962401">
                                              <w:marLeft w:val="0"/>
                                              <w:marRight w:val="0"/>
                                              <w:marTop w:val="0"/>
                                              <w:marBottom w:val="0"/>
                                              <w:divBdr>
                                                <w:top w:val="none" w:sz="0" w:space="0" w:color="auto"/>
                                                <w:left w:val="none" w:sz="0" w:space="0" w:color="auto"/>
                                                <w:bottom w:val="none" w:sz="0" w:space="0" w:color="auto"/>
                                                <w:right w:val="none" w:sz="0" w:space="0" w:color="auto"/>
                                              </w:divBdr>
                                            </w:div>
                                            <w:div w:id="936713295">
                                              <w:marLeft w:val="0"/>
                                              <w:marRight w:val="0"/>
                                              <w:marTop w:val="0"/>
                                              <w:marBottom w:val="0"/>
                                              <w:divBdr>
                                                <w:top w:val="none" w:sz="0" w:space="0" w:color="auto"/>
                                                <w:left w:val="none" w:sz="0" w:space="0" w:color="auto"/>
                                                <w:bottom w:val="none" w:sz="0" w:space="0" w:color="auto"/>
                                                <w:right w:val="none" w:sz="0" w:space="0" w:color="auto"/>
                                              </w:divBdr>
                                              <w:divsChild>
                                                <w:div w:id="806312357">
                                                  <w:marLeft w:val="0"/>
                                                  <w:marRight w:val="0"/>
                                                  <w:marTop w:val="0"/>
                                                  <w:marBottom w:val="0"/>
                                                  <w:divBdr>
                                                    <w:top w:val="none" w:sz="0" w:space="0" w:color="auto"/>
                                                    <w:left w:val="none" w:sz="0" w:space="0" w:color="auto"/>
                                                    <w:bottom w:val="none" w:sz="0" w:space="0" w:color="auto"/>
                                                    <w:right w:val="none" w:sz="0" w:space="0" w:color="auto"/>
                                                  </w:divBdr>
                                                </w:div>
                                                <w:div w:id="9450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443239">
      <w:bodyDiv w:val="1"/>
      <w:marLeft w:val="0"/>
      <w:marRight w:val="0"/>
      <w:marTop w:val="0"/>
      <w:marBottom w:val="0"/>
      <w:divBdr>
        <w:top w:val="none" w:sz="0" w:space="0" w:color="auto"/>
        <w:left w:val="none" w:sz="0" w:space="0" w:color="auto"/>
        <w:bottom w:val="none" w:sz="0" w:space="0" w:color="auto"/>
        <w:right w:val="none" w:sz="0" w:space="0" w:color="auto"/>
      </w:divBdr>
    </w:div>
    <w:div w:id="839271395">
      <w:bodyDiv w:val="1"/>
      <w:marLeft w:val="0"/>
      <w:marRight w:val="0"/>
      <w:marTop w:val="0"/>
      <w:marBottom w:val="0"/>
      <w:divBdr>
        <w:top w:val="none" w:sz="0" w:space="0" w:color="auto"/>
        <w:left w:val="none" w:sz="0" w:space="0" w:color="auto"/>
        <w:bottom w:val="none" w:sz="0" w:space="0" w:color="auto"/>
        <w:right w:val="none" w:sz="0" w:space="0" w:color="auto"/>
      </w:divBdr>
      <w:divsChild>
        <w:div w:id="592711202">
          <w:marLeft w:val="0"/>
          <w:marRight w:val="0"/>
          <w:marTop w:val="0"/>
          <w:marBottom w:val="0"/>
          <w:divBdr>
            <w:top w:val="none" w:sz="0" w:space="0" w:color="auto"/>
            <w:left w:val="none" w:sz="0" w:space="0" w:color="auto"/>
            <w:bottom w:val="none" w:sz="0" w:space="0" w:color="auto"/>
            <w:right w:val="none" w:sz="0" w:space="0" w:color="auto"/>
          </w:divBdr>
          <w:divsChild>
            <w:div w:id="1403213861">
              <w:marLeft w:val="0"/>
              <w:marRight w:val="0"/>
              <w:marTop w:val="0"/>
              <w:marBottom w:val="0"/>
              <w:divBdr>
                <w:top w:val="none" w:sz="0" w:space="0" w:color="auto"/>
                <w:left w:val="none" w:sz="0" w:space="0" w:color="auto"/>
                <w:bottom w:val="none" w:sz="0" w:space="0" w:color="auto"/>
                <w:right w:val="none" w:sz="0" w:space="0" w:color="auto"/>
              </w:divBdr>
              <w:divsChild>
                <w:div w:id="1964849381">
                  <w:marLeft w:val="0"/>
                  <w:marRight w:val="0"/>
                  <w:marTop w:val="0"/>
                  <w:marBottom w:val="0"/>
                  <w:divBdr>
                    <w:top w:val="single" w:sz="6" w:space="0" w:color="EFEFEF"/>
                    <w:left w:val="none" w:sz="0" w:space="0" w:color="auto"/>
                    <w:bottom w:val="none" w:sz="0" w:space="0" w:color="auto"/>
                    <w:right w:val="none" w:sz="0" w:space="0" w:color="auto"/>
                  </w:divBdr>
                  <w:divsChild>
                    <w:div w:id="1975407345">
                      <w:marLeft w:val="0"/>
                      <w:marRight w:val="0"/>
                      <w:marTop w:val="0"/>
                      <w:marBottom w:val="0"/>
                      <w:divBdr>
                        <w:top w:val="none" w:sz="0" w:space="0" w:color="auto"/>
                        <w:left w:val="none" w:sz="0" w:space="0" w:color="auto"/>
                        <w:bottom w:val="none" w:sz="0" w:space="0" w:color="auto"/>
                        <w:right w:val="none" w:sz="0" w:space="0" w:color="auto"/>
                      </w:divBdr>
                      <w:divsChild>
                        <w:div w:id="1226910212">
                          <w:marLeft w:val="-225"/>
                          <w:marRight w:val="-225"/>
                          <w:marTop w:val="0"/>
                          <w:marBottom w:val="0"/>
                          <w:divBdr>
                            <w:top w:val="none" w:sz="0" w:space="0" w:color="auto"/>
                            <w:left w:val="none" w:sz="0" w:space="0" w:color="auto"/>
                            <w:bottom w:val="none" w:sz="0" w:space="0" w:color="auto"/>
                            <w:right w:val="none" w:sz="0" w:space="0" w:color="auto"/>
                          </w:divBdr>
                          <w:divsChild>
                            <w:div w:id="1832912461">
                              <w:marLeft w:val="0"/>
                              <w:marRight w:val="0"/>
                              <w:marTop w:val="0"/>
                              <w:marBottom w:val="0"/>
                              <w:divBdr>
                                <w:top w:val="none" w:sz="0" w:space="0" w:color="auto"/>
                                <w:left w:val="none" w:sz="0" w:space="0" w:color="auto"/>
                                <w:bottom w:val="none" w:sz="0" w:space="0" w:color="auto"/>
                                <w:right w:val="none" w:sz="0" w:space="0" w:color="auto"/>
                              </w:divBdr>
                              <w:divsChild>
                                <w:div w:id="889221311">
                                  <w:marLeft w:val="0"/>
                                  <w:marRight w:val="0"/>
                                  <w:marTop w:val="0"/>
                                  <w:marBottom w:val="0"/>
                                  <w:divBdr>
                                    <w:top w:val="none" w:sz="0" w:space="0" w:color="auto"/>
                                    <w:left w:val="none" w:sz="0" w:space="0" w:color="auto"/>
                                    <w:bottom w:val="none" w:sz="0" w:space="0" w:color="auto"/>
                                    <w:right w:val="none" w:sz="0" w:space="0" w:color="auto"/>
                                  </w:divBdr>
                                  <w:divsChild>
                                    <w:div w:id="343022955">
                                      <w:marLeft w:val="0"/>
                                      <w:marRight w:val="0"/>
                                      <w:marTop w:val="0"/>
                                      <w:marBottom w:val="0"/>
                                      <w:divBdr>
                                        <w:top w:val="none" w:sz="0" w:space="0" w:color="auto"/>
                                        <w:left w:val="none" w:sz="0" w:space="0" w:color="auto"/>
                                        <w:bottom w:val="none" w:sz="0" w:space="0" w:color="auto"/>
                                        <w:right w:val="none" w:sz="0" w:space="0" w:color="auto"/>
                                      </w:divBdr>
                                      <w:divsChild>
                                        <w:div w:id="49730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681091">
      <w:bodyDiv w:val="1"/>
      <w:marLeft w:val="0"/>
      <w:marRight w:val="0"/>
      <w:marTop w:val="0"/>
      <w:marBottom w:val="0"/>
      <w:divBdr>
        <w:top w:val="none" w:sz="0" w:space="0" w:color="auto"/>
        <w:left w:val="none" w:sz="0" w:space="0" w:color="auto"/>
        <w:bottom w:val="none" w:sz="0" w:space="0" w:color="auto"/>
        <w:right w:val="none" w:sz="0" w:space="0" w:color="auto"/>
      </w:divBdr>
    </w:div>
    <w:div w:id="1607618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ob.atkin@uwa.edu.au" TargetMode="External"/><Relationship Id="rId11"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ADF4C-6CBD-4420-AC73-3438BCC20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5696</Words>
  <Characters>32468</Characters>
  <Application>Microsoft Office Word</Application>
  <DocSecurity>4</DocSecurity>
  <Lines>270</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Regensburg</Company>
  <LinksUpToDate>false</LinksUpToDate>
  <CharactersWithSpaces>38088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Rechenzentrum</dc:creator>
  <cp:lastModifiedBy>Abbott, Andy (Prof.)</cp:lastModifiedBy>
  <cp:revision>2</cp:revision>
  <dcterms:created xsi:type="dcterms:W3CDTF">2020-02-05T08:54:00Z</dcterms:created>
  <dcterms:modified xsi:type="dcterms:W3CDTF">2020-02-05T08:54:00Z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DES-AFM-Paper</vt:lpwstr>
  </property>
  <property fmtid="{D5CDD505-2E9C-101B-9397-08002B2CF9AE}" pid="3" name="CitaviDocumentProperty_0">
    <vt:lpwstr>86f2b96d-8490-4907-b702-9cbe04ff286e</vt:lpwstr>
  </property>
  <property fmtid="{D5CDD505-2E9C-101B-9397-08002B2CF9AE}" pid="4" name="CitaviDocumentProperty_1">
    <vt:lpwstr>5.7.1.0</vt:lpwstr>
  </property>
  <property fmtid="{D5CDD505-2E9C-101B-9397-08002B2CF9AE}" pid="5" name="CitaviDocumentProperty_8">
    <vt:lpwstr>C:\Users\LocalAdmin\Documents\Citavi 5\Projects\DES-AFM-Paper\DES-AFM-Paper.ctv5</vt:lpwstr>
  </property>
  <property fmtid="{D5CDD505-2E9C-101B-9397-08002B2CF9AE}" pid="6" name="CitaviDocumentProperty_6">
    <vt:lpwstr>False</vt:lpwstr>
  </property>
</Properties>
</file>