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D3" w:rsidRPr="00621137" w:rsidRDefault="009D4BD3" w:rsidP="002312BD">
      <w:pPr>
        <w:spacing w:after="0"/>
        <w:rPr>
          <w:rFonts w:ascii="Arial" w:hAnsi="Arial" w:cs="Arial"/>
          <w:b/>
          <w:bCs/>
          <w:sz w:val="24"/>
          <w:szCs w:val="24"/>
        </w:rPr>
      </w:pPr>
    </w:p>
    <w:p w:rsidR="006455A1" w:rsidRDefault="005E5D51" w:rsidP="000E7D0A">
      <w:pPr>
        <w:spacing w:after="0"/>
        <w:rPr>
          <w:rFonts w:ascii="Arial" w:hAnsi="Arial" w:cs="Arial"/>
          <w:b/>
          <w:bCs/>
          <w:sz w:val="24"/>
          <w:szCs w:val="24"/>
        </w:rPr>
      </w:pPr>
      <w:r w:rsidRPr="00621137">
        <w:rPr>
          <w:rFonts w:ascii="Arial" w:hAnsi="Arial" w:cs="Arial"/>
          <w:b/>
          <w:bCs/>
          <w:sz w:val="24"/>
          <w:szCs w:val="24"/>
        </w:rPr>
        <w:t>&lt;R/Heads&gt;</w:t>
      </w:r>
      <w:r w:rsidR="000E7D0A" w:rsidRPr="00621137">
        <w:rPr>
          <w:rFonts w:ascii="Arial" w:hAnsi="Arial" w:cs="Arial"/>
          <w:b/>
          <w:bCs/>
          <w:sz w:val="24"/>
          <w:szCs w:val="24"/>
        </w:rPr>
        <w:t>PHARMACOLOGY</w:t>
      </w:r>
    </w:p>
    <w:p w:rsidR="006455A1" w:rsidRDefault="00F33E71" w:rsidP="000E7D0A">
      <w:pPr>
        <w:spacing w:after="0"/>
        <w:rPr>
          <w:rFonts w:ascii="Arial" w:hAnsi="Arial" w:cs="Arial"/>
          <w:b/>
          <w:bCs/>
          <w:sz w:val="24"/>
          <w:szCs w:val="24"/>
        </w:rPr>
      </w:pPr>
      <w:r w:rsidRPr="00621137">
        <w:rPr>
          <w:rFonts w:ascii="Arial" w:hAnsi="Arial" w:cs="Arial"/>
          <w:b/>
          <w:bCs/>
          <w:sz w:val="24"/>
          <w:szCs w:val="24"/>
        </w:rPr>
        <w:t xml:space="preserve">Adverse </w:t>
      </w:r>
      <w:r w:rsidR="005E5D51" w:rsidRPr="00621137">
        <w:rPr>
          <w:rFonts w:ascii="Arial" w:hAnsi="Arial" w:cs="Arial"/>
          <w:b/>
          <w:bCs/>
          <w:sz w:val="24"/>
          <w:szCs w:val="24"/>
        </w:rPr>
        <w:t>d</w:t>
      </w:r>
      <w:r w:rsidRPr="00621137">
        <w:rPr>
          <w:rFonts w:ascii="Arial" w:hAnsi="Arial" w:cs="Arial"/>
          <w:b/>
          <w:bCs/>
          <w:sz w:val="24"/>
          <w:szCs w:val="24"/>
        </w:rPr>
        <w:t xml:space="preserve">rug </w:t>
      </w:r>
      <w:r w:rsidR="005E5D51" w:rsidRPr="00621137">
        <w:rPr>
          <w:rFonts w:ascii="Arial" w:hAnsi="Arial" w:cs="Arial"/>
          <w:b/>
          <w:bCs/>
          <w:sz w:val="24"/>
          <w:szCs w:val="24"/>
        </w:rPr>
        <w:t>r</w:t>
      </w:r>
      <w:r w:rsidRPr="00621137">
        <w:rPr>
          <w:rFonts w:ascii="Arial" w:hAnsi="Arial" w:cs="Arial"/>
          <w:b/>
          <w:bCs/>
          <w:sz w:val="24"/>
          <w:szCs w:val="24"/>
        </w:rPr>
        <w:t>eactions</w:t>
      </w:r>
    </w:p>
    <w:p w:rsidR="00D86FD2" w:rsidRPr="00621137" w:rsidRDefault="00D86FD2" w:rsidP="00D86FD2">
      <w:pPr>
        <w:spacing w:after="0"/>
        <w:rPr>
          <w:rFonts w:ascii="Arial" w:hAnsi="Arial" w:cs="Arial"/>
          <w:bCs/>
          <w:sz w:val="24"/>
          <w:szCs w:val="24"/>
        </w:rPr>
      </w:pPr>
    </w:p>
    <w:p w:rsidR="006455A1" w:rsidRDefault="00CB33CF" w:rsidP="00D86FD2">
      <w:pPr>
        <w:spacing w:after="0"/>
        <w:rPr>
          <w:rFonts w:ascii="Arial" w:hAnsi="Arial" w:cs="Arial"/>
          <w:bCs/>
          <w:sz w:val="24"/>
          <w:szCs w:val="24"/>
        </w:rPr>
      </w:pPr>
      <w:r>
        <w:rPr>
          <w:rFonts w:ascii="Arial" w:hAnsi="Arial" w:cs="Arial"/>
          <w:bCs/>
          <w:sz w:val="24"/>
          <w:szCs w:val="24"/>
        </w:rPr>
        <w:t xml:space="preserve">Hina Lodhi MB BS FCAI is a Specialty Doctor </w:t>
      </w:r>
      <w:r w:rsidR="00D86FD2" w:rsidRPr="00621137">
        <w:rPr>
          <w:rFonts w:ascii="Arial" w:hAnsi="Arial" w:cs="Arial"/>
          <w:bCs/>
          <w:sz w:val="24"/>
          <w:szCs w:val="24"/>
        </w:rPr>
        <w:t>i</w:t>
      </w:r>
      <w:r w:rsidR="00661456" w:rsidRPr="00621137">
        <w:rPr>
          <w:rFonts w:ascii="Arial" w:hAnsi="Arial" w:cs="Arial"/>
          <w:bCs/>
          <w:sz w:val="24"/>
          <w:szCs w:val="24"/>
        </w:rPr>
        <w:t>n Anaesthesia and Critical Care at University Hospital</w:t>
      </w:r>
      <w:r w:rsidR="00D30A42" w:rsidRPr="00621137">
        <w:rPr>
          <w:rFonts w:ascii="Arial" w:hAnsi="Arial" w:cs="Arial"/>
          <w:bCs/>
          <w:sz w:val="24"/>
          <w:szCs w:val="24"/>
        </w:rPr>
        <w:t>s</w:t>
      </w:r>
      <w:r w:rsidR="00661456" w:rsidRPr="00621137">
        <w:rPr>
          <w:rFonts w:ascii="Arial" w:hAnsi="Arial" w:cs="Arial"/>
          <w:bCs/>
          <w:sz w:val="24"/>
          <w:szCs w:val="24"/>
        </w:rPr>
        <w:t xml:space="preserve"> of Leicester</w:t>
      </w:r>
      <w:r w:rsidR="00D86FD2" w:rsidRPr="00621137">
        <w:rPr>
          <w:rFonts w:ascii="Arial" w:hAnsi="Arial" w:cs="Arial"/>
          <w:bCs/>
          <w:sz w:val="24"/>
          <w:szCs w:val="24"/>
        </w:rPr>
        <w:t xml:space="preserve"> NHS Trust</w:t>
      </w:r>
      <w:r w:rsidR="007D0C2F">
        <w:rPr>
          <w:rFonts w:ascii="Arial" w:hAnsi="Arial" w:cs="Arial"/>
          <w:bCs/>
          <w:sz w:val="24"/>
          <w:szCs w:val="24"/>
        </w:rPr>
        <w:t xml:space="preserve">, </w:t>
      </w:r>
      <w:r w:rsidR="00D86FD2" w:rsidRPr="00621137">
        <w:rPr>
          <w:rFonts w:ascii="Arial" w:hAnsi="Arial" w:cs="Arial"/>
          <w:bCs/>
          <w:sz w:val="24"/>
          <w:szCs w:val="24"/>
        </w:rPr>
        <w:t>Leicester,</w:t>
      </w:r>
      <w:r w:rsidR="00661456" w:rsidRPr="00621137">
        <w:rPr>
          <w:rFonts w:ascii="Arial" w:hAnsi="Arial" w:cs="Arial"/>
          <w:bCs/>
          <w:sz w:val="24"/>
          <w:szCs w:val="24"/>
        </w:rPr>
        <w:t xml:space="preserve"> UK.</w:t>
      </w:r>
      <w:r w:rsidR="005E5D51" w:rsidRPr="00621137">
        <w:rPr>
          <w:rFonts w:ascii="Arial" w:hAnsi="Arial" w:cs="Arial"/>
          <w:bCs/>
          <w:sz w:val="24"/>
          <w:szCs w:val="24"/>
        </w:rPr>
        <w:t xml:space="preserve"> </w:t>
      </w:r>
      <w:r w:rsidR="00661456" w:rsidRPr="00621137">
        <w:rPr>
          <w:rFonts w:ascii="Arial" w:hAnsi="Arial" w:cs="Arial"/>
          <w:bCs/>
          <w:sz w:val="24"/>
          <w:szCs w:val="24"/>
        </w:rPr>
        <w:t>Conflicts of interest: none declared.</w:t>
      </w:r>
    </w:p>
    <w:p w:rsidR="006455A1" w:rsidRDefault="00D86FD2" w:rsidP="00D86FD2">
      <w:pPr>
        <w:spacing w:after="0"/>
        <w:rPr>
          <w:rFonts w:ascii="Arial" w:hAnsi="Arial" w:cs="Arial"/>
          <w:bCs/>
          <w:sz w:val="24"/>
          <w:szCs w:val="24"/>
        </w:rPr>
      </w:pPr>
      <w:r w:rsidRPr="00621137">
        <w:rPr>
          <w:rFonts w:ascii="Arial" w:hAnsi="Arial" w:cs="Arial"/>
          <w:bCs/>
          <w:sz w:val="24"/>
          <w:szCs w:val="24"/>
        </w:rPr>
        <w:t>Jonathan Thompson BSc (Hons) MD FRCA</w:t>
      </w:r>
      <w:r w:rsidR="0071475F" w:rsidRPr="00621137">
        <w:rPr>
          <w:rFonts w:ascii="Arial" w:hAnsi="Arial" w:cs="Arial"/>
          <w:bCs/>
          <w:sz w:val="24"/>
          <w:szCs w:val="24"/>
        </w:rPr>
        <w:t xml:space="preserve"> FFICM</w:t>
      </w:r>
      <w:r w:rsidR="00661456" w:rsidRPr="00621137">
        <w:rPr>
          <w:rFonts w:ascii="Arial" w:hAnsi="Arial" w:cs="Arial"/>
          <w:bCs/>
          <w:sz w:val="24"/>
          <w:szCs w:val="24"/>
        </w:rPr>
        <w:t xml:space="preserve"> is </w:t>
      </w:r>
      <w:r w:rsidR="00F64CE0" w:rsidRPr="00621137">
        <w:rPr>
          <w:rFonts w:ascii="Arial" w:hAnsi="Arial" w:cs="Arial"/>
          <w:bCs/>
          <w:sz w:val="24"/>
          <w:szCs w:val="24"/>
        </w:rPr>
        <w:t>Honorary Professor in Anaesthesia and Critical Care</w:t>
      </w:r>
      <w:r w:rsidR="00F64CE0" w:rsidRPr="00621137">
        <w:rPr>
          <w:rFonts w:ascii="Arial" w:hAnsi="Arial" w:cs="Arial"/>
          <w:bCs/>
          <w:sz w:val="24"/>
          <w:szCs w:val="24"/>
        </w:rPr>
        <w:t xml:space="preserve"> </w:t>
      </w:r>
      <w:r w:rsidR="00661456" w:rsidRPr="00621137">
        <w:rPr>
          <w:rFonts w:ascii="Arial" w:hAnsi="Arial" w:cs="Arial"/>
          <w:bCs/>
          <w:sz w:val="24"/>
          <w:szCs w:val="24"/>
        </w:rPr>
        <w:t xml:space="preserve">at the </w:t>
      </w:r>
      <w:r w:rsidRPr="00621137">
        <w:rPr>
          <w:rFonts w:ascii="Arial" w:hAnsi="Arial" w:cs="Arial"/>
          <w:bCs/>
          <w:sz w:val="24"/>
          <w:szCs w:val="24"/>
        </w:rPr>
        <w:t xml:space="preserve">University of Leicester and </w:t>
      </w:r>
      <w:r w:rsidR="00F64CE0" w:rsidRPr="00621137">
        <w:rPr>
          <w:rFonts w:ascii="Arial" w:hAnsi="Arial" w:cs="Arial"/>
          <w:bCs/>
          <w:sz w:val="24"/>
          <w:szCs w:val="24"/>
        </w:rPr>
        <w:t xml:space="preserve">a Consultant </w:t>
      </w:r>
      <w:r w:rsidR="00F64CE0">
        <w:rPr>
          <w:rFonts w:ascii="Arial" w:hAnsi="Arial" w:cs="Arial"/>
          <w:bCs/>
          <w:sz w:val="24"/>
          <w:szCs w:val="24"/>
        </w:rPr>
        <w:t xml:space="preserve">at the </w:t>
      </w:r>
      <w:r w:rsidR="00661456" w:rsidRPr="00621137">
        <w:rPr>
          <w:rFonts w:ascii="Arial" w:hAnsi="Arial" w:cs="Arial"/>
          <w:bCs/>
          <w:sz w:val="24"/>
          <w:szCs w:val="24"/>
        </w:rPr>
        <w:t>University of Leicester Hospital</w:t>
      </w:r>
      <w:r w:rsidR="00D30A42" w:rsidRPr="00621137">
        <w:rPr>
          <w:rFonts w:ascii="Arial" w:hAnsi="Arial" w:cs="Arial"/>
          <w:bCs/>
          <w:sz w:val="24"/>
          <w:szCs w:val="24"/>
        </w:rPr>
        <w:t>s</w:t>
      </w:r>
      <w:r w:rsidR="00661456" w:rsidRPr="00621137">
        <w:rPr>
          <w:rFonts w:ascii="Arial" w:hAnsi="Arial" w:cs="Arial"/>
          <w:bCs/>
          <w:sz w:val="24"/>
          <w:szCs w:val="24"/>
        </w:rPr>
        <w:t xml:space="preserve"> </w:t>
      </w:r>
      <w:r w:rsidRPr="00621137">
        <w:rPr>
          <w:rFonts w:ascii="Arial" w:hAnsi="Arial" w:cs="Arial"/>
          <w:bCs/>
          <w:sz w:val="24"/>
          <w:szCs w:val="24"/>
        </w:rPr>
        <w:t>NHS Trust,</w:t>
      </w:r>
      <w:r w:rsidR="00661456" w:rsidRPr="00621137">
        <w:rPr>
          <w:rFonts w:ascii="Arial" w:hAnsi="Arial" w:cs="Arial"/>
          <w:bCs/>
          <w:sz w:val="24"/>
          <w:szCs w:val="24"/>
        </w:rPr>
        <w:t xml:space="preserve"> Leicester, UK. Conflicts of interest: </w:t>
      </w:r>
      <w:r w:rsidR="007D0C2F">
        <w:rPr>
          <w:rFonts w:ascii="Arial" w:hAnsi="Arial" w:cs="Arial"/>
          <w:bCs/>
          <w:sz w:val="24"/>
          <w:szCs w:val="24"/>
        </w:rPr>
        <w:t>none declared.</w:t>
      </w:r>
    </w:p>
    <w:p w:rsidR="007D0C2F" w:rsidRDefault="007D0C2F" w:rsidP="00D86FD2">
      <w:pPr>
        <w:spacing w:after="0"/>
        <w:rPr>
          <w:rFonts w:ascii="Arial" w:hAnsi="Arial" w:cs="Arial"/>
          <w:b/>
          <w:bCs/>
          <w:sz w:val="24"/>
          <w:szCs w:val="24"/>
        </w:rPr>
      </w:pPr>
    </w:p>
    <w:p w:rsidR="0070083E" w:rsidRPr="00621137" w:rsidRDefault="0070083E" w:rsidP="00D86FD2">
      <w:pPr>
        <w:spacing w:after="0"/>
        <w:rPr>
          <w:rFonts w:ascii="Arial" w:hAnsi="Arial" w:cs="Arial"/>
          <w:b/>
          <w:bCs/>
          <w:sz w:val="24"/>
          <w:szCs w:val="24"/>
        </w:rPr>
      </w:pPr>
      <w:r w:rsidRPr="00621137">
        <w:rPr>
          <w:rFonts w:ascii="Arial" w:hAnsi="Arial" w:cs="Arial"/>
          <w:b/>
          <w:bCs/>
          <w:sz w:val="24"/>
          <w:szCs w:val="24"/>
        </w:rPr>
        <w:t>Abstract</w:t>
      </w:r>
    </w:p>
    <w:p w:rsidR="006455A1" w:rsidRDefault="0070083E" w:rsidP="00027EE8">
      <w:pPr>
        <w:spacing w:after="0"/>
        <w:jc w:val="both"/>
        <w:rPr>
          <w:rFonts w:ascii="Arial" w:hAnsi="Arial" w:cs="Arial"/>
          <w:bCs/>
          <w:sz w:val="24"/>
          <w:szCs w:val="24"/>
        </w:rPr>
      </w:pPr>
      <w:r w:rsidRPr="00621137">
        <w:rPr>
          <w:rFonts w:ascii="Arial" w:hAnsi="Arial" w:cs="Arial"/>
          <w:bCs/>
          <w:sz w:val="24"/>
          <w:szCs w:val="24"/>
        </w:rPr>
        <w:t xml:space="preserve">Adverse drug reactions </w:t>
      </w:r>
      <w:r w:rsidR="00027EE8" w:rsidRPr="00621137">
        <w:rPr>
          <w:rFonts w:ascii="Arial" w:hAnsi="Arial" w:cs="Arial"/>
          <w:bCs/>
          <w:sz w:val="24"/>
          <w:szCs w:val="24"/>
        </w:rPr>
        <w:t xml:space="preserve">(ADRs) </w:t>
      </w:r>
      <w:r w:rsidRPr="00621137">
        <w:rPr>
          <w:rFonts w:ascii="Arial" w:hAnsi="Arial" w:cs="Arial"/>
          <w:bCs/>
          <w:sz w:val="24"/>
          <w:szCs w:val="24"/>
        </w:rPr>
        <w:t xml:space="preserve">are </w:t>
      </w:r>
      <w:r w:rsidR="00665A4E" w:rsidRPr="00621137">
        <w:rPr>
          <w:rFonts w:ascii="Arial" w:hAnsi="Arial" w:cs="Arial"/>
          <w:bCs/>
          <w:sz w:val="24"/>
          <w:szCs w:val="24"/>
        </w:rPr>
        <w:t xml:space="preserve">a </w:t>
      </w:r>
      <w:r w:rsidRPr="00621137">
        <w:rPr>
          <w:rFonts w:ascii="Arial" w:hAnsi="Arial" w:cs="Arial"/>
          <w:bCs/>
          <w:sz w:val="24"/>
          <w:szCs w:val="24"/>
        </w:rPr>
        <w:t xml:space="preserve">common and important cause of morbidity and </w:t>
      </w:r>
      <w:r w:rsidR="00665A4E" w:rsidRPr="00621137">
        <w:rPr>
          <w:rFonts w:ascii="Arial" w:hAnsi="Arial" w:cs="Arial"/>
          <w:bCs/>
          <w:sz w:val="24"/>
          <w:szCs w:val="24"/>
        </w:rPr>
        <w:t xml:space="preserve">mortality. They </w:t>
      </w:r>
      <w:r w:rsidRPr="00621137">
        <w:rPr>
          <w:rFonts w:ascii="Arial" w:hAnsi="Arial" w:cs="Arial"/>
          <w:bCs/>
          <w:sz w:val="24"/>
          <w:szCs w:val="24"/>
        </w:rPr>
        <w:t xml:space="preserve">occur frequently in </w:t>
      </w:r>
      <w:r w:rsidR="00665A4E" w:rsidRPr="00621137">
        <w:rPr>
          <w:rFonts w:ascii="Arial" w:hAnsi="Arial" w:cs="Arial"/>
          <w:bCs/>
          <w:sz w:val="24"/>
          <w:szCs w:val="24"/>
        </w:rPr>
        <w:t>patients undergoing a</w:t>
      </w:r>
      <w:r w:rsidRPr="00621137">
        <w:rPr>
          <w:rFonts w:ascii="Arial" w:hAnsi="Arial" w:cs="Arial"/>
          <w:bCs/>
          <w:sz w:val="24"/>
          <w:szCs w:val="24"/>
        </w:rPr>
        <w:t xml:space="preserve">naesthesia </w:t>
      </w:r>
      <w:r w:rsidR="00665A4E" w:rsidRPr="00621137">
        <w:rPr>
          <w:rFonts w:ascii="Arial" w:hAnsi="Arial" w:cs="Arial"/>
          <w:bCs/>
          <w:sz w:val="24"/>
          <w:szCs w:val="24"/>
        </w:rPr>
        <w:t xml:space="preserve">or in </w:t>
      </w:r>
      <w:r w:rsidRPr="00621137">
        <w:rPr>
          <w:rFonts w:ascii="Arial" w:hAnsi="Arial" w:cs="Arial"/>
          <w:bCs/>
          <w:sz w:val="24"/>
          <w:szCs w:val="24"/>
        </w:rPr>
        <w:t>Intensive Care.</w:t>
      </w:r>
      <w:r w:rsidR="00665A4E" w:rsidRPr="00621137">
        <w:rPr>
          <w:rFonts w:ascii="Arial" w:hAnsi="Arial" w:cs="Arial"/>
          <w:bCs/>
          <w:sz w:val="24"/>
          <w:szCs w:val="24"/>
        </w:rPr>
        <w:t xml:space="preserve">  ADRs occur by a number of </w:t>
      </w:r>
      <w:r w:rsidRPr="00621137">
        <w:rPr>
          <w:rFonts w:ascii="Arial" w:hAnsi="Arial" w:cs="Arial"/>
          <w:bCs/>
          <w:sz w:val="24"/>
          <w:szCs w:val="24"/>
        </w:rPr>
        <w:t>mechanisms</w:t>
      </w:r>
      <w:r w:rsidR="00665A4E" w:rsidRPr="00621137">
        <w:rPr>
          <w:rFonts w:ascii="Arial" w:hAnsi="Arial" w:cs="Arial"/>
          <w:bCs/>
          <w:sz w:val="24"/>
          <w:szCs w:val="24"/>
        </w:rPr>
        <w:t>, some of which remain</w:t>
      </w:r>
      <w:r w:rsidRPr="00621137">
        <w:rPr>
          <w:rFonts w:ascii="Arial" w:hAnsi="Arial" w:cs="Arial"/>
          <w:bCs/>
          <w:sz w:val="24"/>
          <w:szCs w:val="24"/>
        </w:rPr>
        <w:t xml:space="preserve"> unclear, but </w:t>
      </w:r>
      <w:r w:rsidR="00665A4E" w:rsidRPr="00621137">
        <w:rPr>
          <w:rFonts w:ascii="Arial" w:hAnsi="Arial" w:cs="Arial"/>
          <w:bCs/>
          <w:sz w:val="24"/>
          <w:szCs w:val="24"/>
        </w:rPr>
        <w:t xml:space="preserve">several </w:t>
      </w:r>
      <w:r w:rsidRPr="00621137">
        <w:rPr>
          <w:rFonts w:ascii="Arial" w:hAnsi="Arial" w:cs="Arial"/>
          <w:bCs/>
          <w:sz w:val="24"/>
          <w:szCs w:val="24"/>
        </w:rPr>
        <w:t>risk factors have been identified</w:t>
      </w:r>
      <w:r w:rsidR="00665A4E" w:rsidRPr="00621137">
        <w:rPr>
          <w:rFonts w:ascii="Arial" w:hAnsi="Arial" w:cs="Arial"/>
          <w:bCs/>
          <w:sz w:val="24"/>
          <w:szCs w:val="24"/>
        </w:rPr>
        <w:t xml:space="preserve">. It is increasingly recognised that </w:t>
      </w:r>
      <w:r w:rsidRPr="00621137">
        <w:rPr>
          <w:rFonts w:ascii="Arial" w:hAnsi="Arial" w:cs="Arial"/>
          <w:bCs/>
          <w:sz w:val="24"/>
          <w:szCs w:val="24"/>
        </w:rPr>
        <w:t>pharmacogenetic</w:t>
      </w:r>
      <w:r w:rsidR="00665A4E" w:rsidRPr="00621137">
        <w:rPr>
          <w:rFonts w:ascii="Arial" w:hAnsi="Arial" w:cs="Arial"/>
          <w:bCs/>
          <w:sz w:val="24"/>
          <w:szCs w:val="24"/>
        </w:rPr>
        <w:t xml:space="preserve"> factors are important in determining susceptibility to ADRs. M</w:t>
      </w:r>
      <w:r w:rsidR="00027EE8" w:rsidRPr="00621137">
        <w:rPr>
          <w:rFonts w:ascii="Arial" w:hAnsi="Arial" w:cs="Arial"/>
          <w:bCs/>
          <w:sz w:val="24"/>
          <w:szCs w:val="24"/>
        </w:rPr>
        <w:t xml:space="preserve">edical practitioners </w:t>
      </w:r>
      <w:r w:rsidR="00665A4E" w:rsidRPr="00621137">
        <w:rPr>
          <w:rFonts w:ascii="Arial" w:hAnsi="Arial" w:cs="Arial"/>
          <w:bCs/>
          <w:sz w:val="24"/>
          <w:szCs w:val="24"/>
        </w:rPr>
        <w:t xml:space="preserve">should be aware of their responsibility to report ADRs and </w:t>
      </w:r>
      <w:r w:rsidR="00027EE8" w:rsidRPr="00621137">
        <w:rPr>
          <w:rFonts w:ascii="Arial" w:hAnsi="Arial" w:cs="Arial"/>
          <w:bCs/>
          <w:sz w:val="24"/>
          <w:szCs w:val="24"/>
        </w:rPr>
        <w:t>know how to report them</w:t>
      </w:r>
      <w:r w:rsidR="007D0C2F">
        <w:rPr>
          <w:rFonts w:ascii="Arial" w:hAnsi="Arial" w:cs="Arial"/>
          <w:bCs/>
          <w:sz w:val="24"/>
          <w:szCs w:val="24"/>
        </w:rPr>
        <w:t>.</w:t>
      </w:r>
    </w:p>
    <w:p w:rsidR="007D0C2F" w:rsidRDefault="007D0C2F" w:rsidP="00027EE8">
      <w:pPr>
        <w:spacing w:after="0"/>
        <w:jc w:val="both"/>
        <w:rPr>
          <w:rFonts w:ascii="Arial" w:hAnsi="Arial" w:cs="Arial"/>
          <w:b/>
          <w:bCs/>
          <w:sz w:val="24"/>
          <w:szCs w:val="24"/>
        </w:rPr>
      </w:pPr>
    </w:p>
    <w:p w:rsidR="00027EE8" w:rsidRPr="00621137" w:rsidRDefault="00665A4E" w:rsidP="00027EE8">
      <w:pPr>
        <w:spacing w:after="0"/>
        <w:jc w:val="both"/>
        <w:rPr>
          <w:rFonts w:ascii="Arial" w:hAnsi="Arial" w:cs="Arial"/>
          <w:b/>
          <w:bCs/>
          <w:sz w:val="24"/>
          <w:szCs w:val="24"/>
        </w:rPr>
      </w:pPr>
      <w:r w:rsidRPr="00621137">
        <w:rPr>
          <w:rFonts w:ascii="Arial" w:hAnsi="Arial" w:cs="Arial"/>
          <w:b/>
          <w:bCs/>
          <w:sz w:val="24"/>
          <w:szCs w:val="24"/>
        </w:rPr>
        <w:t>K</w:t>
      </w:r>
      <w:r w:rsidR="00027EE8" w:rsidRPr="00621137">
        <w:rPr>
          <w:rFonts w:ascii="Arial" w:hAnsi="Arial" w:cs="Arial"/>
          <w:b/>
          <w:bCs/>
          <w:sz w:val="24"/>
          <w:szCs w:val="24"/>
        </w:rPr>
        <w:t>eywords:</w:t>
      </w:r>
      <w:r w:rsidR="00E96618" w:rsidRPr="00621137">
        <w:rPr>
          <w:rFonts w:ascii="Arial" w:hAnsi="Arial" w:cs="Arial"/>
          <w:b/>
          <w:bCs/>
          <w:sz w:val="24"/>
          <w:szCs w:val="24"/>
        </w:rPr>
        <w:t xml:space="preserve"> </w:t>
      </w:r>
      <w:r w:rsidR="00027EE8" w:rsidRPr="00621137">
        <w:rPr>
          <w:rFonts w:ascii="Arial" w:hAnsi="Arial" w:cs="Arial"/>
          <w:bCs/>
          <w:sz w:val="24"/>
          <w:szCs w:val="24"/>
        </w:rPr>
        <w:t xml:space="preserve">Adverse drug reaction; adverse drug event; drug reaction classification; drug reaction mechanism; </w:t>
      </w:r>
      <w:r w:rsidR="00027EE8" w:rsidRPr="00621137">
        <w:rPr>
          <w:rFonts w:ascii="Arial" w:hAnsi="Arial" w:cs="Arial"/>
          <w:sz w:val="24"/>
          <w:szCs w:val="24"/>
        </w:rPr>
        <w:t>Medicines and Healthcare products Regulatory Agency</w:t>
      </w:r>
      <w:r w:rsidR="007D0C2F">
        <w:rPr>
          <w:rFonts w:ascii="Arial" w:hAnsi="Arial" w:cs="Arial"/>
          <w:sz w:val="24"/>
          <w:szCs w:val="24"/>
        </w:rPr>
        <w:t>.</w:t>
      </w:r>
      <w:r w:rsidR="00027EE8" w:rsidRPr="00621137">
        <w:rPr>
          <w:rFonts w:ascii="Arial" w:hAnsi="Arial" w:cs="Arial"/>
          <w:bCs/>
          <w:sz w:val="24"/>
          <w:szCs w:val="24"/>
        </w:rPr>
        <w:t xml:space="preserve"> </w:t>
      </w:r>
    </w:p>
    <w:p w:rsidR="00D86FD2" w:rsidRPr="00621137" w:rsidRDefault="00D86FD2" w:rsidP="00D86FD2">
      <w:pPr>
        <w:spacing w:after="0"/>
        <w:rPr>
          <w:rFonts w:ascii="Arial" w:hAnsi="Arial" w:cs="Arial"/>
          <w:bCs/>
          <w:sz w:val="24"/>
          <w:szCs w:val="24"/>
        </w:rPr>
      </w:pPr>
    </w:p>
    <w:p w:rsidR="00EA57E4" w:rsidRPr="00621137" w:rsidRDefault="00EA57E4" w:rsidP="00D86FD2">
      <w:pPr>
        <w:spacing w:after="0"/>
        <w:rPr>
          <w:rFonts w:ascii="Arial" w:hAnsi="Arial" w:cs="Arial"/>
          <w:b/>
          <w:bCs/>
          <w:sz w:val="24"/>
          <w:szCs w:val="24"/>
        </w:rPr>
      </w:pPr>
      <w:r w:rsidRPr="00621137">
        <w:rPr>
          <w:rFonts w:ascii="Arial" w:hAnsi="Arial" w:cs="Arial"/>
          <w:b/>
          <w:bCs/>
          <w:sz w:val="24"/>
          <w:szCs w:val="24"/>
        </w:rPr>
        <w:t xml:space="preserve">Royal College of Anaesthetists CPD matrix: </w:t>
      </w:r>
      <w:r w:rsidRPr="00621137">
        <w:rPr>
          <w:rFonts w:ascii="Arial" w:hAnsi="Arial" w:cs="Arial"/>
          <w:bCs/>
          <w:sz w:val="24"/>
          <w:szCs w:val="24"/>
        </w:rPr>
        <w:t>1A02</w:t>
      </w:r>
      <w:r w:rsidR="000A396C" w:rsidRPr="00621137">
        <w:rPr>
          <w:rFonts w:ascii="Arial" w:hAnsi="Arial" w:cs="Arial"/>
          <w:bCs/>
          <w:sz w:val="24"/>
          <w:szCs w:val="24"/>
        </w:rPr>
        <w:t xml:space="preserve"> </w:t>
      </w:r>
    </w:p>
    <w:p w:rsidR="00EA57E4" w:rsidRPr="00621137" w:rsidRDefault="00EA57E4" w:rsidP="00D86FD2">
      <w:pPr>
        <w:spacing w:after="0"/>
        <w:rPr>
          <w:rFonts w:ascii="Arial" w:hAnsi="Arial" w:cs="Arial"/>
          <w:b/>
          <w:bCs/>
          <w:sz w:val="24"/>
          <w:szCs w:val="24"/>
        </w:rPr>
      </w:pPr>
    </w:p>
    <w:p w:rsidR="00005B64" w:rsidRPr="00621137" w:rsidRDefault="000E7D0A" w:rsidP="00D86FD2">
      <w:pPr>
        <w:spacing w:after="0"/>
        <w:rPr>
          <w:rFonts w:ascii="Arial" w:hAnsi="Arial" w:cs="Arial"/>
          <w:b/>
          <w:bCs/>
          <w:sz w:val="24"/>
          <w:szCs w:val="24"/>
        </w:rPr>
      </w:pPr>
      <w:r w:rsidRPr="00621137">
        <w:rPr>
          <w:rFonts w:ascii="Arial" w:hAnsi="Arial" w:cs="Arial"/>
          <w:b/>
          <w:bCs/>
          <w:sz w:val="24"/>
          <w:szCs w:val="24"/>
        </w:rPr>
        <w:t>Learning Objectives</w:t>
      </w:r>
    </w:p>
    <w:p w:rsidR="000E7D0A" w:rsidRPr="00621137" w:rsidRDefault="000E7D0A" w:rsidP="00D86FD2">
      <w:pPr>
        <w:spacing w:after="0"/>
        <w:rPr>
          <w:rFonts w:ascii="Arial" w:hAnsi="Arial" w:cs="Arial"/>
          <w:bCs/>
          <w:sz w:val="24"/>
          <w:szCs w:val="24"/>
        </w:rPr>
      </w:pPr>
    </w:p>
    <w:p w:rsidR="00D86FD2" w:rsidRPr="00621137" w:rsidRDefault="00D86FD2" w:rsidP="00D86FD2">
      <w:pPr>
        <w:spacing w:after="0"/>
        <w:rPr>
          <w:rFonts w:ascii="Arial" w:hAnsi="Arial" w:cs="Arial"/>
          <w:bCs/>
          <w:sz w:val="24"/>
          <w:szCs w:val="24"/>
        </w:rPr>
      </w:pPr>
      <w:r w:rsidRPr="00621137">
        <w:rPr>
          <w:rFonts w:ascii="Arial" w:hAnsi="Arial" w:cs="Arial"/>
          <w:bCs/>
          <w:sz w:val="24"/>
          <w:szCs w:val="24"/>
        </w:rPr>
        <w:t>After reading this article, you should be able to:</w:t>
      </w:r>
    </w:p>
    <w:p w:rsidR="00D86FD2" w:rsidRPr="00621137" w:rsidRDefault="00D86FD2" w:rsidP="00D86FD2">
      <w:pPr>
        <w:numPr>
          <w:ilvl w:val="0"/>
          <w:numId w:val="5"/>
        </w:numPr>
        <w:spacing w:after="0"/>
        <w:rPr>
          <w:rFonts w:ascii="Arial" w:hAnsi="Arial" w:cs="Arial"/>
          <w:b/>
          <w:bCs/>
          <w:sz w:val="24"/>
          <w:szCs w:val="24"/>
        </w:rPr>
      </w:pPr>
      <w:r w:rsidRPr="00621137">
        <w:rPr>
          <w:rFonts w:ascii="Arial" w:hAnsi="Arial" w:cs="Arial"/>
          <w:bCs/>
          <w:sz w:val="24"/>
          <w:szCs w:val="24"/>
        </w:rPr>
        <w:t xml:space="preserve">Classify adverse drug reactions </w:t>
      </w:r>
    </w:p>
    <w:p w:rsidR="00D86FD2" w:rsidRPr="00621137" w:rsidRDefault="00D86FD2" w:rsidP="00D86FD2">
      <w:pPr>
        <w:numPr>
          <w:ilvl w:val="0"/>
          <w:numId w:val="5"/>
        </w:numPr>
        <w:spacing w:after="0"/>
        <w:rPr>
          <w:rFonts w:ascii="Arial" w:hAnsi="Arial" w:cs="Arial"/>
          <w:b/>
          <w:bCs/>
          <w:sz w:val="24"/>
          <w:szCs w:val="24"/>
        </w:rPr>
      </w:pPr>
      <w:r w:rsidRPr="00621137">
        <w:rPr>
          <w:rFonts w:ascii="Arial" w:hAnsi="Arial" w:cs="Arial"/>
          <w:bCs/>
          <w:sz w:val="24"/>
          <w:szCs w:val="24"/>
        </w:rPr>
        <w:t>List the risk factors and describe common mechanisms associated with adverse drug reactions</w:t>
      </w:r>
    </w:p>
    <w:p w:rsidR="00D86FD2" w:rsidRPr="00621137" w:rsidRDefault="00D86FD2" w:rsidP="00D86FD2">
      <w:pPr>
        <w:numPr>
          <w:ilvl w:val="0"/>
          <w:numId w:val="5"/>
        </w:numPr>
        <w:spacing w:after="0"/>
        <w:rPr>
          <w:rFonts w:ascii="Arial" w:hAnsi="Arial" w:cs="Arial"/>
          <w:b/>
          <w:bCs/>
          <w:sz w:val="24"/>
          <w:szCs w:val="24"/>
        </w:rPr>
      </w:pPr>
      <w:r w:rsidRPr="00621137">
        <w:rPr>
          <w:rFonts w:ascii="Arial" w:hAnsi="Arial" w:cs="Arial"/>
          <w:bCs/>
          <w:sz w:val="24"/>
          <w:szCs w:val="24"/>
        </w:rPr>
        <w:t xml:space="preserve">Describe the process of recognising and reporting any adverse drug reaction to the MHRA </w:t>
      </w:r>
    </w:p>
    <w:p w:rsidR="00D86FD2" w:rsidRPr="00621137" w:rsidRDefault="00D86FD2" w:rsidP="00D86FD2">
      <w:pPr>
        <w:spacing w:after="0"/>
        <w:rPr>
          <w:rFonts w:ascii="Arial" w:hAnsi="Arial" w:cs="Arial"/>
          <w:bCs/>
          <w:sz w:val="24"/>
          <w:szCs w:val="24"/>
        </w:rPr>
      </w:pPr>
    </w:p>
    <w:p w:rsidR="00D86FD2" w:rsidRPr="00621137" w:rsidRDefault="00D86FD2" w:rsidP="00D86FD2">
      <w:pPr>
        <w:spacing w:after="0"/>
        <w:rPr>
          <w:rFonts w:ascii="Arial" w:hAnsi="Arial" w:cs="Arial"/>
          <w:b/>
          <w:bCs/>
          <w:sz w:val="24"/>
          <w:szCs w:val="24"/>
        </w:rPr>
      </w:pPr>
    </w:p>
    <w:p w:rsidR="005956FC" w:rsidRDefault="005956FC">
      <w:pPr>
        <w:spacing w:after="0" w:line="240" w:lineRule="auto"/>
        <w:rPr>
          <w:rFonts w:ascii="Arial" w:hAnsi="Arial" w:cs="Arial"/>
          <w:sz w:val="24"/>
          <w:szCs w:val="24"/>
        </w:rPr>
      </w:pPr>
      <w:bookmarkStart w:id="0" w:name="_Hlk13775258"/>
      <w:r>
        <w:rPr>
          <w:rFonts w:ascii="Arial" w:hAnsi="Arial" w:cs="Arial"/>
          <w:sz w:val="24"/>
          <w:szCs w:val="24"/>
        </w:rPr>
        <w:br w:type="page"/>
      </w:r>
    </w:p>
    <w:p w:rsidR="006455A1" w:rsidRDefault="00F33E71" w:rsidP="002C1DB4">
      <w:pPr>
        <w:spacing w:after="0"/>
        <w:jc w:val="both"/>
        <w:rPr>
          <w:rFonts w:ascii="Arial" w:hAnsi="Arial" w:cs="Arial"/>
          <w:sz w:val="24"/>
          <w:szCs w:val="24"/>
          <w:vertAlign w:val="superscript"/>
        </w:rPr>
      </w:pPr>
      <w:r w:rsidRPr="00621137">
        <w:rPr>
          <w:rFonts w:ascii="Arial" w:hAnsi="Arial" w:cs="Arial"/>
          <w:sz w:val="24"/>
          <w:szCs w:val="24"/>
        </w:rPr>
        <w:t>An adverse drug reaction (ADR) is</w:t>
      </w:r>
      <w:r w:rsidR="00D86FD2" w:rsidRPr="00621137">
        <w:rPr>
          <w:rFonts w:ascii="Arial" w:hAnsi="Arial" w:cs="Arial"/>
          <w:sz w:val="24"/>
          <w:szCs w:val="24"/>
        </w:rPr>
        <w:t xml:space="preserve"> described by the World Health Organisation as</w:t>
      </w:r>
      <w:r w:rsidRPr="00621137">
        <w:rPr>
          <w:rFonts w:ascii="Arial" w:hAnsi="Arial" w:cs="Arial"/>
          <w:sz w:val="24"/>
          <w:szCs w:val="24"/>
        </w:rPr>
        <w:t xml:space="preserve"> a </w:t>
      </w:r>
      <w:r w:rsidR="009C5D4C" w:rsidRPr="00621137">
        <w:rPr>
          <w:rFonts w:ascii="Arial" w:hAnsi="Arial" w:cs="Arial"/>
          <w:sz w:val="24"/>
          <w:szCs w:val="24"/>
        </w:rPr>
        <w:t>‘</w:t>
      </w:r>
      <w:r w:rsidRPr="00621137">
        <w:rPr>
          <w:rFonts w:ascii="Arial" w:hAnsi="Arial" w:cs="Arial"/>
          <w:sz w:val="24"/>
          <w:szCs w:val="24"/>
        </w:rPr>
        <w:t>response to a medicine which is noxious and unintended, and which occurs at doses normally used in man</w:t>
      </w:r>
      <w:r w:rsidR="009C5D4C" w:rsidRPr="00621137">
        <w:rPr>
          <w:rFonts w:ascii="Arial" w:hAnsi="Arial" w:cs="Arial"/>
          <w:sz w:val="24"/>
          <w:szCs w:val="24"/>
        </w:rPr>
        <w:t>’</w:t>
      </w:r>
      <w:r w:rsidR="009E564C" w:rsidRPr="00621137">
        <w:rPr>
          <w:rFonts w:ascii="Arial" w:hAnsi="Arial" w:cs="Arial"/>
          <w:sz w:val="24"/>
          <w:szCs w:val="24"/>
        </w:rPr>
        <w:t>.</w:t>
      </w:r>
      <w:r w:rsidRPr="00621137">
        <w:rPr>
          <w:rFonts w:ascii="Arial" w:hAnsi="Arial" w:cs="Arial"/>
          <w:noProof/>
          <w:sz w:val="24"/>
          <w:szCs w:val="24"/>
        </w:rPr>
        <w:t xml:space="preserve"> </w:t>
      </w:r>
      <w:r w:rsidRPr="00621137">
        <w:rPr>
          <w:rFonts w:ascii="Arial" w:hAnsi="Arial" w:cs="Arial"/>
          <w:sz w:val="24"/>
          <w:szCs w:val="24"/>
        </w:rPr>
        <w:t>ADRs are relatively common</w:t>
      </w:r>
      <w:r w:rsidR="007D0C2F">
        <w:rPr>
          <w:rFonts w:ascii="Arial" w:hAnsi="Arial" w:cs="Arial"/>
          <w:sz w:val="24"/>
          <w:szCs w:val="24"/>
        </w:rPr>
        <w:t>: they are</w:t>
      </w:r>
      <w:r w:rsidRPr="00621137">
        <w:rPr>
          <w:rFonts w:ascii="Arial" w:hAnsi="Arial" w:cs="Arial"/>
          <w:sz w:val="24"/>
          <w:szCs w:val="24"/>
        </w:rPr>
        <w:t xml:space="preserve"> responsible for approximately 6.5% of all hospital admissions with a projected annual financial cost to the NHS of £466 million and a mortality of 2%</w:t>
      </w:r>
      <w:bookmarkEnd w:id="0"/>
      <w:r w:rsidR="007D0C2F">
        <w:rPr>
          <w:rFonts w:ascii="Arial" w:hAnsi="Arial" w:cs="Arial"/>
          <w:sz w:val="24"/>
          <w:szCs w:val="24"/>
        </w:rPr>
        <w:t>.</w:t>
      </w:r>
      <w:r w:rsidR="00B8707E" w:rsidRPr="007D0C2F">
        <w:rPr>
          <w:rFonts w:ascii="Arial" w:hAnsi="Arial" w:cs="Arial"/>
          <w:sz w:val="24"/>
          <w:szCs w:val="24"/>
          <w:vertAlign w:val="superscript"/>
        </w:rPr>
        <w:fldChar w:fldCharType="begin"/>
      </w:r>
      <w:r w:rsidR="00B8707E" w:rsidRPr="007D0C2F">
        <w:rPr>
          <w:rFonts w:ascii="Arial" w:hAnsi="Arial" w:cs="Arial"/>
          <w:sz w:val="24"/>
          <w:szCs w:val="24"/>
          <w:vertAlign w:val="superscript"/>
        </w:rPr>
        <w:instrText>ADDIN RW.CITE{{2848 PirmohamedM. 2004}}</w:instrText>
      </w:r>
      <w:r w:rsidR="00B8707E" w:rsidRPr="007D0C2F">
        <w:rPr>
          <w:rFonts w:ascii="Arial" w:hAnsi="Arial" w:cs="Arial"/>
          <w:sz w:val="24"/>
          <w:szCs w:val="24"/>
          <w:vertAlign w:val="superscript"/>
        </w:rPr>
        <w:fldChar w:fldCharType="separate"/>
      </w:r>
      <w:r w:rsidR="00B8707E" w:rsidRPr="007D0C2F">
        <w:rPr>
          <w:rFonts w:ascii="Arial" w:hAnsi="Arial" w:cs="Arial"/>
          <w:sz w:val="24"/>
          <w:szCs w:val="24"/>
          <w:vertAlign w:val="superscript"/>
        </w:rPr>
        <w:t>1</w:t>
      </w:r>
      <w:r w:rsidR="00B8707E" w:rsidRPr="007D0C2F">
        <w:rPr>
          <w:rFonts w:ascii="Arial" w:hAnsi="Arial" w:cs="Arial"/>
          <w:sz w:val="24"/>
          <w:szCs w:val="24"/>
          <w:vertAlign w:val="superscript"/>
        </w:rPr>
        <w:fldChar w:fldCharType="end"/>
      </w:r>
      <w:r w:rsidR="000B6B23" w:rsidRPr="002D2F50">
        <w:rPr>
          <w:rFonts w:ascii="Arial" w:hAnsi="Arial" w:cs="Arial"/>
          <w:sz w:val="24"/>
          <w:szCs w:val="24"/>
        </w:rPr>
        <w:t xml:space="preserve"> </w:t>
      </w:r>
      <w:r w:rsidR="007D0C2F">
        <w:rPr>
          <w:rFonts w:ascii="Arial" w:hAnsi="Arial" w:cs="Arial"/>
          <w:sz w:val="24"/>
          <w:szCs w:val="24"/>
        </w:rPr>
        <w:t>However</w:t>
      </w:r>
      <w:r w:rsidR="000B6B23" w:rsidRPr="002D2F50">
        <w:rPr>
          <w:rFonts w:ascii="Arial" w:hAnsi="Arial" w:cs="Arial"/>
          <w:sz w:val="24"/>
          <w:szCs w:val="24"/>
        </w:rPr>
        <w:t xml:space="preserve"> it is recognised that admissions related to ADRs are under-reported</w:t>
      </w:r>
      <w:r w:rsidR="007D0C2F">
        <w:rPr>
          <w:rFonts w:ascii="Arial" w:hAnsi="Arial" w:cs="Arial"/>
          <w:sz w:val="24"/>
          <w:szCs w:val="24"/>
        </w:rPr>
        <w:t>.</w:t>
      </w:r>
      <w:r w:rsidR="00B8707E" w:rsidRPr="007D0C2F">
        <w:rPr>
          <w:rFonts w:ascii="Arial" w:hAnsi="Arial" w:cs="Arial"/>
          <w:sz w:val="24"/>
          <w:szCs w:val="24"/>
          <w:vertAlign w:val="superscript"/>
        </w:rPr>
        <w:fldChar w:fldCharType="begin"/>
      </w:r>
      <w:r w:rsidR="00B8707E" w:rsidRPr="007D0C2F">
        <w:rPr>
          <w:rFonts w:ascii="Arial" w:hAnsi="Arial" w:cs="Arial"/>
          <w:sz w:val="24"/>
          <w:szCs w:val="24"/>
          <w:vertAlign w:val="superscript"/>
        </w:rPr>
        <w:instrText>ADDIN RW.CITE{{2850 Patel,H. 2007}}</w:instrText>
      </w:r>
      <w:r w:rsidR="00B8707E" w:rsidRPr="007D0C2F">
        <w:rPr>
          <w:rFonts w:ascii="Arial" w:hAnsi="Arial" w:cs="Arial"/>
          <w:sz w:val="24"/>
          <w:szCs w:val="24"/>
          <w:vertAlign w:val="superscript"/>
        </w:rPr>
        <w:fldChar w:fldCharType="separate"/>
      </w:r>
      <w:r w:rsidR="00B8707E" w:rsidRPr="007D0C2F">
        <w:rPr>
          <w:rFonts w:ascii="Arial" w:hAnsi="Arial" w:cs="Arial"/>
          <w:sz w:val="24"/>
          <w:szCs w:val="24"/>
          <w:vertAlign w:val="superscript"/>
        </w:rPr>
        <w:t>2</w:t>
      </w:r>
      <w:r w:rsidR="00B8707E" w:rsidRPr="007D0C2F">
        <w:rPr>
          <w:rFonts w:ascii="Arial" w:hAnsi="Arial" w:cs="Arial"/>
          <w:sz w:val="24"/>
          <w:szCs w:val="24"/>
          <w:vertAlign w:val="superscript"/>
        </w:rPr>
        <w:fldChar w:fldCharType="end"/>
      </w:r>
    </w:p>
    <w:p w:rsidR="007D0C2F" w:rsidRDefault="007D0C2F" w:rsidP="002C1DB4">
      <w:pPr>
        <w:spacing w:after="0"/>
        <w:jc w:val="both"/>
        <w:rPr>
          <w:rFonts w:ascii="Arial" w:hAnsi="Arial" w:cs="Arial"/>
          <w:noProof/>
          <w:sz w:val="24"/>
          <w:szCs w:val="24"/>
        </w:rPr>
      </w:pPr>
    </w:p>
    <w:p w:rsidR="00AB31D1" w:rsidRPr="002D2F50" w:rsidRDefault="00DE25F9" w:rsidP="002C1DB4">
      <w:pPr>
        <w:spacing w:after="0"/>
        <w:jc w:val="both"/>
        <w:rPr>
          <w:rFonts w:ascii="Arial" w:hAnsi="Arial" w:cs="Arial"/>
          <w:sz w:val="24"/>
          <w:szCs w:val="24"/>
        </w:rPr>
      </w:pPr>
      <w:r w:rsidRPr="002D2F50">
        <w:rPr>
          <w:rFonts w:ascii="Arial" w:hAnsi="Arial" w:cs="Arial"/>
          <w:sz w:val="24"/>
          <w:szCs w:val="24"/>
        </w:rPr>
        <w:t>Anaesthesia-</w:t>
      </w:r>
      <w:r w:rsidR="00F33E71" w:rsidRPr="002D2F50">
        <w:rPr>
          <w:rFonts w:ascii="Arial" w:hAnsi="Arial" w:cs="Arial"/>
          <w:sz w:val="24"/>
          <w:szCs w:val="24"/>
        </w:rPr>
        <w:t xml:space="preserve">associated ADRs </w:t>
      </w:r>
      <w:r w:rsidR="007D0C2F">
        <w:rPr>
          <w:rFonts w:ascii="Arial" w:hAnsi="Arial" w:cs="Arial"/>
          <w:sz w:val="24"/>
          <w:szCs w:val="24"/>
        </w:rPr>
        <w:t>are</w:t>
      </w:r>
      <w:r w:rsidR="00F33E71" w:rsidRPr="002D2F50">
        <w:rPr>
          <w:rFonts w:ascii="Arial" w:hAnsi="Arial" w:cs="Arial"/>
          <w:sz w:val="24"/>
          <w:szCs w:val="24"/>
        </w:rPr>
        <w:t xml:space="preserve"> a significant cause of mortality and morbidity. One review of all</w:t>
      </w:r>
      <w:r w:rsidR="007D0C2F">
        <w:rPr>
          <w:rFonts w:ascii="Arial" w:hAnsi="Arial" w:cs="Arial"/>
          <w:sz w:val="24"/>
          <w:szCs w:val="24"/>
        </w:rPr>
        <w:t xml:space="preserve"> data from the</w:t>
      </w:r>
      <w:r w:rsidR="00F33E71" w:rsidRPr="002D2F50">
        <w:rPr>
          <w:rFonts w:ascii="Arial" w:hAnsi="Arial" w:cs="Arial"/>
          <w:sz w:val="24"/>
          <w:szCs w:val="24"/>
        </w:rPr>
        <w:t xml:space="preserve"> Medicines </w:t>
      </w:r>
      <w:r w:rsidR="007D0C2F">
        <w:rPr>
          <w:rFonts w:ascii="Arial" w:hAnsi="Arial" w:cs="Arial"/>
          <w:sz w:val="24"/>
          <w:szCs w:val="24"/>
        </w:rPr>
        <w:t>&amp;</w:t>
      </w:r>
      <w:r w:rsidR="00F33E71" w:rsidRPr="002D2F50">
        <w:rPr>
          <w:rFonts w:ascii="Arial" w:hAnsi="Arial" w:cs="Arial"/>
          <w:sz w:val="24"/>
          <w:szCs w:val="24"/>
        </w:rPr>
        <w:t xml:space="preserve"> Healthcare products Regulatory Agency (MHRA) up to 2005 </w:t>
      </w:r>
      <w:r w:rsidR="007D0C2F">
        <w:rPr>
          <w:rFonts w:ascii="Arial" w:hAnsi="Arial" w:cs="Arial"/>
          <w:sz w:val="24"/>
          <w:szCs w:val="24"/>
        </w:rPr>
        <w:t>found</w:t>
      </w:r>
      <w:r w:rsidR="00F33E71" w:rsidRPr="002D2F50">
        <w:rPr>
          <w:rFonts w:ascii="Arial" w:hAnsi="Arial" w:cs="Arial"/>
          <w:sz w:val="24"/>
          <w:szCs w:val="24"/>
        </w:rPr>
        <w:t xml:space="preserve"> 11,199 r</w:t>
      </w:r>
      <w:r w:rsidR="007D0C2F">
        <w:rPr>
          <w:rFonts w:ascii="Arial" w:hAnsi="Arial" w:cs="Arial"/>
          <w:sz w:val="24"/>
          <w:szCs w:val="24"/>
        </w:rPr>
        <w:t xml:space="preserve">eported </w:t>
      </w:r>
      <w:r w:rsidR="00777891">
        <w:rPr>
          <w:rFonts w:ascii="Arial" w:hAnsi="Arial" w:cs="Arial"/>
          <w:sz w:val="24"/>
          <w:szCs w:val="24"/>
        </w:rPr>
        <w:t>r</w:t>
      </w:r>
      <w:r w:rsidR="00F33E71" w:rsidRPr="002D2F50">
        <w:rPr>
          <w:rFonts w:ascii="Arial" w:hAnsi="Arial" w:cs="Arial"/>
          <w:sz w:val="24"/>
          <w:szCs w:val="24"/>
        </w:rPr>
        <w:t xml:space="preserve">eactions for common anaesthetic agents, 9% of which were fatal. The majority of ADRs in this report were not allergic and </w:t>
      </w:r>
      <w:r w:rsidR="007D0C2F">
        <w:rPr>
          <w:rFonts w:ascii="Arial" w:hAnsi="Arial" w:cs="Arial"/>
          <w:sz w:val="24"/>
          <w:szCs w:val="24"/>
        </w:rPr>
        <w:t xml:space="preserve">were </w:t>
      </w:r>
      <w:r w:rsidR="00F33E71" w:rsidRPr="002D2F50">
        <w:rPr>
          <w:rFonts w:ascii="Arial" w:hAnsi="Arial" w:cs="Arial"/>
          <w:sz w:val="24"/>
          <w:szCs w:val="24"/>
        </w:rPr>
        <w:t>generally associated with induction of anaesthesia</w:t>
      </w:r>
      <w:r w:rsidR="007D0C2F">
        <w:rPr>
          <w:rFonts w:ascii="Arial" w:hAnsi="Arial" w:cs="Arial"/>
          <w:sz w:val="24"/>
          <w:szCs w:val="24"/>
        </w:rPr>
        <w:t>.</w:t>
      </w:r>
      <w:r w:rsidR="00B8707E" w:rsidRPr="007D0C2F">
        <w:rPr>
          <w:rFonts w:ascii="Arial" w:hAnsi="Arial" w:cs="Arial"/>
          <w:sz w:val="24"/>
          <w:szCs w:val="24"/>
          <w:vertAlign w:val="superscript"/>
        </w:rPr>
        <w:fldChar w:fldCharType="begin"/>
      </w:r>
      <w:r w:rsidR="00B8707E" w:rsidRPr="007D0C2F">
        <w:rPr>
          <w:rFonts w:ascii="Arial" w:hAnsi="Arial" w:cs="Arial"/>
          <w:sz w:val="24"/>
          <w:szCs w:val="24"/>
          <w:vertAlign w:val="superscript"/>
        </w:rPr>
        <w:instrText>ADDIN RW.CITE{{2851 Holdcroft,A. 2007}}</w:instrText>
      </w:r>
      <w:r w:rsidR="00B8707E" w:rsidRPr="007D0C2F">
        <w:rPr>
          <w:rFonts w:ascii="Arial" w:hAnsi="Arial" w:cs="Arial"/>
          <w:sz w:val="24"/>
          <w:szCs w:val="24"/>
          <w:vertAlign w:val="superscript"/>
        </w:rPr>
        <w:fldChar w:fldCharType="separate"/>
      </w:r>
      <w:r w:rsidR="00B8707E" w:rsidRPr="007D0C2F">
        <w:rPr>
          <w:rFonts w:ascii="Arial" w:hAnsi="Arial" w:cs="Arial"/>
          <w:sz w:val="24"/>
          <w:szCs w:val="24"/>
          <w:vertAlign w:val="superscript"/>
        </w:rPr>
        <w:t>3</w:t>
      </w:r>
      <w:r w:rsidR="00B8707E" w:rsidRPr="007D0C2F">
        <w:rPr>
          <w:rFonts w:ascii="Arial" w:hAnsi="Arial" w:cs="Arial"/>
          <w:sz w:val="24"/>
          <w:szCs w:val="24"/>
          <w:vertAlign w:val="superscript"/>
        </w:rPr>
        <w:fldChar w:fldCharType="end"/>
      </w:r>
      <w:r w:rsidR="002C1B54" w:rsidRPr="002D2F50">
        <w:rPr>
          <w:rFonts w:ascii="Arial" w:hAnsi="Arial" w:cs="Arial"/>
          <w:sz w:val="24"/>
          <w:szCs w:val="24"/>
        </w:rPr>
        <w:t xml:space="preserve"> However, allergic reactions are generally under-reported, particularly for older drugs. </w:t>
      </w:r>
      <w:r w:rsidR="00777891">
        <w:rPr>
          <w:rFonts w:ascii="Arial" w:hAnsi="Arial" w:cs="Arial"/>
          <w:sz w:val="24"/>
          <w:szCs w:val="24"/>
        </w:rPr>
        <w:t>The incidence of p</w:t>
      </w:r>
      <w:r w:rsidR="00055AFE">
        <w:rPr>
          <w:rFonts w:ascii="Arial" w:hAnsi="Arial" w:cs="Arial"/>
          <w:sz w:val="24"/>
          <w:szCs w:val="24"/>
        </w:rPr>
        <w:t xml:space="preserve">erioperative </w:t>
      </w:r>
      <w:r w:rsidR="002C1B54" w:rsidRPr="002D2F50">
        <w:rPr>
          <w:rFonts w:ascii="Arial" w:hAnsi="Arial" w:cs="Arial"/>
          <w:sz w:val="24"/>
          <w:szCs w:val="24"/>
        </w:rPr>
        <w:lastRenderedPageBreak/>
        <w:t xml:space="preserve">anaphylaxis </w:t>
      </w:r>
      <w:r w:rsidR="00777891">
        <w:rPr>
          <w:rFonts w:ascii="Arial" w:hAnsi="Arial" w:cs="Arial"/>
          <w:sz w:val="24"/>
          <w:szCs w:val="24"/>
        </w:rPr>
        <w:t xml:space="preserve">reported by </w:t>
      </w:r>
      <w:r w:rsidR="00ED61AC" w:rsidRPr="002D2F50">
        <w:rPr>
          <w:rFonts w:ascii="Arial" w:hAnsi="Arial" w:cs="Arial"/>
          <w:sz w:val="24"/>
          <w:szCs w:val="24"/>
        </w:rPr>
        <w:t xml:space="preserve">the </w:t>
      </w:r>
      <w:r w:rsidR="00777891" w:rsidRPr="002D2F50">
        <w:rPr>
          <w:rFonts w:ascii="Arial" w:hAnsi="Arial" w:cs="Arial"/>
          <w:sz w:val="24"/>
          <w:szCs w:val="24"/>
        </w:rPr>
        <w:t>Royal College of Anaesthetists</w:t>
      </w:r>
      <w:r w:rsidR="00777891">
        <w:rPr>
          <w:rFonts w:ascii="Arial" w:hAnsi="Arial" w:cs="Arial"/>
          <w:sz w:val="24"/>
          <w:szCs w:val="24"/>
        </w:rPr>
        <w:t>’</w:t>
      </w:r>
      <w:r w:rsidR="00777891" w:rsidRPr="002D2F50">
        <w:rPr>
          <w:rFonts w:ascii="Arial" w:hAnsi="Arial" w:cs="Arial"/>
          <w:sz w:val="24"/>
          <w:szCs w:val="24"/>
        </w:rPr>
        <w:t xml:space="preserve"> </w:t>
      </w:r>
      <w:r w:rsidR="00ED61AC" w:rsidRPr="002D2F50">
        <w:rPr>
          <w:rFonts w:ascii="Arial" w:hAnsi="Arial" w:cs="Arial"/>
          <w:sz w:val="24"/>
          <w:szCs w:val="24"/>
        </w:rPr>
        <w:t>6</w:t>
      </w:r>
      <w:r w:rsidR="00ED61AC" w:rsidRPr="002D2F50">
        <w:rPr>
          <w:rFonts w:ascii="Arial" w:hAnsi="Arial" w:cs="Arial"/>
          <w:sz w:val="24"/>
          <w:szCs w:val="24"/>
          <w:vertAlign w:val="superscript"/>
        </w:rPr>
        <w:t>th</w:t>
      </w:r>
      <w:r w:rsidR="00ED61AC" w:rsidRPr="002D2F50">
        <w:rPr>
          <w:rFonts w:ascii="Arial" w:hAnsi="Arial" w:cs="Arial"/>
          <w:sz w:val="24"/>
          <w:szCs w:val="24"/>
        </w:rPr>
        <w:t xml:space="preserve"> Nation</w:t>
      </w:r>
      <w:r w:rsidR="009E47BD">
        <w:rPr>
          <w:rFonts w:ascii="Arial" w:hAnsi="Arial" w:cs="Arial"/>
          <w:sz w:val="24"/>
          <w:szCs w:val="24"/>
        </w:rPr>
        <w:t>al</w:t>
      </w:r>
      <w:r w:rsidR="00ED61AC" w:rsidRPr="002D2F50">
        <w:rPr>
          <w:rFonts w:ascii="Arial" w:hAnsi="Arial" w:cs="Arial"/>
          <w:sz w:val="24"/>
          <w:szCs w:val="24"/>
        </w:rPr>
        <w:t xml:space="preserve"> Audit Project</w:t>
      </w:r>
      <w:r w:rsidR="00777891">
        <w:rPr>
          <w:rFonts w:ascii="Arial" w:hAnsi="Arial" w:cs="Arial"/>
          <w:sz w:val="24"/>
          <w:szCs w:val="24"/>
        </w:rPr>
        <w:t xml:space="preserve"> (NAP6) was</w:t>
      </w:r>
      <w:r w:rsidR="00D65E1B">
        <w:rPr>
          <w:rFonts w:ascii="Arial" w:hAnsi="Arial" w:cs="Arial"/>
          <w:sz w:val="24"/>
          <w:szCs w:val="24"/>
        </w:rPr>
        <w:t xml:space="preserve"> around 1:10000.</w:t>
      </w:r>
      <w:r w:rsidR="00B8707E" w:rsidRPr="00777891">
        <w:rPr>
          <w:rFonts w:ascii="Arial" w:hAnsi="Arial" w:cs="Arial"/>
          <w:sz w:val="24"/>
          <w:szCs w:val="24"/>
          <w:vertAlign w:val="superscript"/>
        </w:rPr>
        <w:fldChar w:fldCharType="begin"/>
      </w:r>
      <w:r w:rsidR="00B8707E" w:rsidRPr="00777891">
        <w:rPr>
          <w:rFonts w:ascii="Arial" w:hAnsi="Arial" w:cs="Arial"/>
          <w:sz w:val="24"/>
          <w:szCs w:val="24"/>
          <w:vertAlign w:val="superscript"/>
        </w:rPr>
        <w:instrText>ADDIN RW.CITE{{2843 CookT.M. 2018}}</w:instrText>
      </w:r>
      <w:r w:rsidR="00B8707E" w:rsidRPr="00777891">
        <w:rPr>
          <w:rFonts w:ascii="Arial" w:hAnsi="Arial" w:cs="Arial"/>
          <w:sz w:val="24"/>
          <w:szCs w:val="24"/>
          <w:vertAlign w:val="superscript"/>
        </w:rPr>
        <w:fldChar w:fldCharType="separate"/>
      </w:r>
      <w:r w:rsidR="00B8707E" w:rsidRPr="00777891">
        <w:rPr>
          <w:rFonts w:ascii="Arial" w:hAnsi="Arial" w:cs="Arial"/>
          <w:sz w:val="24"/>
          <w:szCs w:val="24"/>
          <w:vertAlign w:val="superscript"/>
        </w:rPr>
        <w:t>4</w:t>
      </w:r>
      <w:r w:rsidR="00B8707E" w:rsidRPr="00777891">
        <w:rPr>
          <w:rFonts w:ascii="Arial" w:hAnsi="Arial" w:cs="Arial"/>
          <w:sz w:val="24"/>
          <w:szCs w:val="24"/>
          <w:vertAlign w:val="superscript"/>
        </w:rPr>
        <w:fldChar w:fldCharType="end"/>
      </w:r>
      <w:r w:rsidR="005C1D06" w:rsidRPr="002D2F50">
        <w:rPr>
          <w:rFonts w:ascii="Arial" w:hAnsi="Arial" w:cs="Arial"/>
          <w:sz w:val="24"/>
          <w:szCs w:val="24"/>
        </w:rPr>
        <w:t xml:space="preserve"> </w:t>
      </w:r>
      <w:r w:rsidR="00F05BD8">
        <w:rPr>
          <w:rFonts w:ascii="Arial" w:hAnsi="Arial" w:cs="Arial"/>
          <w:sz w:val="24"/>
          <w:szCs w:val="24"/>
        </w:rPr>
        <w:t xml:space="preserve"> </w:t>
      </w:r>
      <w:r w:rsidR="00777891">
        <w:rPr>
          <w:rFonts w:ascii="Arial" w:hAnsi="Arial" w:cs="Arial"/>
          <w:sz w:val="24"/>
          <w:szCs w:val="24"/>
        </w:rPr>
        <w:t>T</w:t>
      </w:r>
      <w:r w:rsidR="00F05BD8">
        <w:rPr>
          <w:rFonts w:ascii="Arial" w:hAnsi="Arial" w:cs="Arial"/>
          <w:sz w:val="24"/>
          <w:szCs w:val="24"/>
        </w:rPr>
        <w:t xml:space="preserve">he drugs </w:t>
      </w:r>
      <w:r w:rsidR="00777891">
        <w:rPr>
          <w:rFonts w:ascii="Arial" w:hAnsi="Arial" w:cs="Arial"/>
          <w:sz w:val="24"/>
          <w:szCs w:val="24"/>
        </w:rPr>
        <w:t xml:space="preserve">most often </w:t>
      </w:r>
      <w:r w:rsidR="00F05BD8">
        <w:rPr>
          <w:rFonts w:ascii="Arial" w:hAnsi="Arial" w:cs="Arial"/>
          <w:sz w:val="24"/>
          <w:szCs w:val="24"/>
        </w:rPr>
        <w:t xml:space="preserve">responsible for perioperative anaphylaxis </w:t>
      </w:r>
      <w:r w:rsidR="00777891">
        <w:rPr>
          <w:rFonts w:ascii="Arial" w:hAnsi="Arial" w:cs="Arial"/>
          <w:sz w:val="24"/>
          <w:szCs w:val="24"/>
        </w:rPr>
        <w:t xml:space="preserve">in the NAP6 report </w:t>
      </w:r>
      <w:r w:rsidR="00F05BD8">
        <w:rPr>
          <w:rFonts w:ascii="Arial" w:hAnsi="Arial" w:cs="Arial"/>
          <w:sz w:val="24"/>
          <w:szCs w:val="24"/>
        </w:rPr>
        <w:t xml:space="preserve">are listed in </w:t>
      </w:r>
      <w:r w:rsidR="00777891">
        <w:rPr>
          <w:rFonts w:ascii="Arial" w:hAnsi="Arial" w:cs="Arial"/>
          <w:sz w:val="24"/>
          <w:szCs w:val="24"/>
        </w:rPr>
        <w:t>Box</w:t>
      </w:r>
      <w:r w:rsidR="00503B66">
        <w:rPr>
          <w:rFonts w:ascii="Arial" w:hAnsi="Arial" w:cs="Arial"/>
          <w:sz w:val="24"/>
          <w:szCs w:val="24"/>
        </w:rPr>
        <w:t xml:space="preserve"> </w:t>
      </w:r>
      <w:r w:rsidR="00777891">
        <w:rPr>
          <w:rFonts w:ascii="Arial" w:hAnsi="Arial" w:cs="Arial"/>
          <w:sz w:val="24"/>
          <w:szCs w:val="24"/>
        </w:rPr>
        <w:t>1</w:t>
      </w:r>
      <w:r w:rsidR="00503B66">
        <w:rPr>
          <w:rFonts w:ascii="Arial" w:hAnsi="Arial" w:cs="Arial"/>
          <w:sz w:val="24"/>
          <w:szCs w:val="24"/>
        </w:rPr>
        <w:t>.</w:t>
      </w:r>
    </w:p>
    <w:p w:rsidR="006455A1" w:rsidRDefault="006455A1" w:rsidP="002C1DB4">
      <w:pPr>
        <w:spacing w:after="0"/>
        <w:jc w:val="both"/>
        <w:rPr>
          <w:rFonts w:ascii="Arial" w:hAnsi="Arial" w:cs="Arial"/>
          <w:sz w:val="24"/>
          <w:szCs w:val="24"/>
        </w:rPr>
      </w:pPr>
    </w:p>
    <w:p w:rsidR="006455A1" w:rsidRDefault="00F33E71" w:rsidP="002C1DB4">
      <w:pPr>
        <w:spacing w:after="0"/>
        <w:jc w:val="both"/>
        <w:rPr>
          <w:rFonts w:ascii="Arial" w:hAnsi="Arial" w:cs="Arial"/>
          <w:sz w:val="24"/>
          <w:szCs w:val="24"/>
        </w:rPr>
      </w:pPr>
      <w:r w:rsidRPr="002D2F50">
        <w:rPr>
          <w:rFonts w:ascii="Arial" w:hAnsi="Arial" w:cs="Arial"/>
          <w:sz w:val="24"/>
          <w:szCs w:val="24"/>
        </w:rPr>
        <w:t>Adverse drug events are subtly different from ADRs</w:t>
      </w:r>
      <w:r w:rsidR="00777891">
        <w:rPr>
          <w:rFonts w:ascii="Arial" w:hAnsi="Arial" w:cs="Arial"/>
          <w:sz w:val="24"/>
          <w:szCs w:val="24"/>
        </w:rPr>
        <w:t>. A</w:t>
      </w:r>
      <w:r w:rsidRPr="002D2F50">
        <w:rPr>
          <w:rFonts w:ascii="Arial" w:hAnsi="Arial" w:cs="Arial"/>
          <w:sz w:val="24"/>
          <w:szCs w:val="24"/>
        </w:rPr>
        <w:t>dverse drug events (ADE) occur when there is a reaction associated with exposure to a drug but not necessarily caused by that drug. ADEs occur frequently, particularly after the introduc</w:t>
      </w:r>
      <w:r w:rsidR="00424F78" w:rsidRPr="002D2F50">
        <w:rPr>
          <w:rFonts w:ascii="Arial" w:hAnsi="Arial" w:cs="Arial"/>
          <w:sz w:val="24"/>
          <w:szCs w:val="24"/>
        </w:rPr>
        <w:t>tion of a new therapeutic agent</w:t>
      </w:r>
      <w:r w:rsidR="00777891">
        <w:rPr>
          <w:rFonts w:ascii="Arial" w:hAnsi="Arial" w:cs="Arial"/>
          <w:sz w:val="24"/>
          <w:szCs w:val="24"/>
        </w:rPr>
        <w:t>. They</w:t>
      </w:r>
      <w:r w:rsidRPr="002D2F50">
        <w:rPr>
          <w:rFonts w:ascii="Arial" w:hAnsi="Arial" w:cs="Arial"/>
          <w:sz w:val="24"/>
          <w:szCs w:val="24"/>
        </w:rPr>
        <w:t xml:space="preserve"> are important as the reporting of ADEs helps identify ADRs associated with new drugs.</w:t>
      </w:r>
    </w:p>
    <w:p w:rsidR="00777891" w:rsidRDefault="00777891" w:rsidP="002C1DB4">
      <w:pPr>
        <w:spacing w:after="0"/>
        <w:jc w:val="both"/>
        <w:rPr>
          <w:rFonts w:ascii="Arial" w:hAnsi="Arial" w:cs="Arial"/>
          <w:noProof/>
          <w:sz w:val="24"/>
          <w:szCs w:val="24"/>
        </w:rPr>
      </w:pPr>
    </w:p>
    <w:p w:rsidR="006455A1" w:rsidRDefault="00F33E71" w:rsidP="002C1DB4">
      <w:pPr>
        <w:spacing w:after="0"/>
        <w:jc w:val="both"/>
        <w:rPr>
          <w:rFonts w:ascii="Arial" w:hAnsi="Arial" w:cs="Arial"/>
          <w:b/>
          <w:bCs/>
          <w:sz w:val="24"/>
          <w:szCs w:val="24"/>
        </w:rPr>
      </w:pPr>
      <w:r w:rsidRPr="002D2F50">
        <w:rPr>
          <w:rFonts w:ascii="Arial" w:hAnsi="Arial" w:cs="Arial"/>
          <w:b/>
          <w:bCs/>
          <w:sz w:val="24"/>
          <w:szCs w:val="24"/>
        </w:rPr>
        <w:t>Classification</w:t>
      </w:r>
    </w:p>
    <w:p w:rsidR="005956FC" w:rsidRDefault="00F33E71" w:rsidP="002C1DB4">
      <w:pPr>
        <w:spacing w:after="0"/>
        <w:jc w:val="both"/>
        <w:rPr>
          <w:rFonts w:ascii="Arial" w:hAnsi="Arial" w:cs="Arial"/>
          <w:noProof/>
          <w:sz w:val="24"/>
          <w:szCs w:val="24"/>
        </w:rPr>
      </w:pPr>
      <w:r w:rsidRPr="002D2F50">
        <w:rPr>
          <w:rFonts w:ascii="Arial" w:hAnsi="Arial" w:cs="Arial"/>
          <w:sz w:val="24"/>
          <w:szCs w:val="24"/>
        </w:rPr>
        <w:t xml:space="preserve">The traditional classification for ADRs comprises Type A (augmented) reactions and Type B (bizarre or idiosyncratic) reactions and generally encompasses most observed </w:t>
      </w:r>
      <w:r w:rsidR="00730ACA" w:rsidRPr="002D2F50">
        <w:rPr>
          <w:rFonts w:ascii="Arial" w:hAnsi="Arial" w:cs="Arial"/>
          <w:sz w:val="24"/>
          <w:szCs w:val="24"/>
        </w:rPr>
        <w:t>ADRs</w:t>
      </w:r>
      <w:r w:rsidRPr="002D2F50">
        <w:rPr>
          <w:rFonts w:ascii="Arial" w:hAnsi="Arial" w:cs="Arial"/>
          <w:sz w:val="24"/>
          <w:szCs w:val="24"/>
        </w:rPr>
        <w:t>.</w:t>
      </w:r>
      <w:r w:rsidR="00E64412" w:rsidRPr="002D2F50">
        <w:rPr>
          <w:rFonts w:ascii="Arial" w:hAnsi="Arial" w:cs="Arial"/>
          <w:noProof/>
          <w:sz w:val="24"/>
          <w:szCs w:val="24"/>
        </w:rPr>
        <w:t xml:space="preserve"> Subsequent</w:t>
      </w:r>
      <w:r w:rsidR="009E564C" w:rsidRPr="002D2F50">
        <w:rPr>
          <w:rFonts w:ascii="Arial" w:hAnsi="Arial" w:cs="Arial"/>
          <w:noProof/>
          <w:sz w:val="24"/>
          <w:szCs w:val="24"/>
        </w:rPr>
        <w:t>ly</w:t>
      </w:r>
      <w:r w:rsidR="00E64412" w:rsidRPr="002D2F50">
        <w:rPr>
          <w:rFonts w:ascii="Arial" w:hAnsi="Arial" w:cs="Arial"/>
          <w:noProof/>
          <w:sz w:val="24"/>
          <w:szCs w:val="24"/>
        </w:rPr>
        <w:t xml:space="preserve"> four </w:t>
      </w:r>
      <w:r w:rsidR="009E564C" w:rsidRPr="002D2F50">
        <w:rPr>
          <w:rFonts w:ascii="Arial" w:hAnsi="Arial" w:cs="Arial"/>
          <w:noProof/>
          <w:sz w:val="24"/>
          <w:szCs w:val="24"/>
        </w:rPr>
        <w:t xml:space="preserve">further divisions were </w:t>
      </w:r>
      <w:r w:rsidR="00E64412" w:rsidRPr="002D2F50">
        <w:rPr>
          <w:rFonts w:ascii="Arial" w:hAnsi="Arial" w:cs="Arial"/>
          <w:noProof/>
          <w:sz w:val="24"/>
          <w:szCs w:val="24"/>
        </w:rPr>
        <w:t>add</w:t>
      </w:r>
      <w:r w:rsidR="009E564C" w:rsidRPr="002D2F50">
        <w:rPr>
          <w:rFonts w:ascii="Arial" w:hAnsi="Arial" w:cs="Arial"/>
          <w:noProof/>
          <w:sz w:val="24"/>
          <w:szCs w:val="24"/>
        </w:rPr>
        <w:t>ed to produce</w:t>
      </w:r>
      <w:r w:rsidR="00E64412" w:rsidRPr="002D2F50">
        <w:rPr>
          <w:rFonts w:ascii="Arial" w:hAnsi="Arial" w:cs="Arial"/>
          <w:noProof/>
          <w:sz w:val="24"/>
          <w:szCs w:val="24"/>
        </w:rPr>
        <w:t xml:space="preserve"> a six category classification (A – F) </w:t>
      </w:r>
      <w:r w:rsidR="0030675C" w:rsidRPr="002D2F50">
        <w:rPr>
          <w:rFonts w:ascii="Arial" w:hAnsi="Arial" w:cs="Arial"/>
          <w:noProof/>
          <w:sz w:val="24"/>
          <w:szCs w:val="24"/>
        </w:rPr>
        <w:t>(Table 1)</w:t>
      </w:r>
      <w:r w:rsidR="00E64412" w:rsidRPr="002D2F50">
        <w:rPr>
          <w:rFonts w:ascii="Arial" w:hAnsi="Arial" w:cs="Arial"/>
          <w:noProof/>
          <w:sz w:val="24"/>
          <w:szCs w:val="24"/>
        </w:rPr>
        <w:t xml:space="preserve">. </w:t>
      </w:r>
      <w:r w:rsidR="009E564C" w:rsidRPr="002D2F50">
        <w:rPr>
          <w:rFonts w:ascii="Arial" w:hAnsi="Arial" w:cs="Arial"/>
          <w:noProof/>
          <w:sz w:val="24"/>
          <w:szCs w:val="24"/>
        </w:rPr>
        <w:t>A more recent</w:t>
      </w:r>
      <w:r w:rsidR="00E64412" w:rsidRPr="002D2F50">
        <w:rPr>
          <w:rFonts w:ascii="Arial" w:hAnsi="Arial" w:cs="Arial"/>
          <w:noProof/>
          <w:sz w:val="24"/>
          <w:szCs w:val="24"/>
        </w:rPr>
        <w:t xml:space="preserve"> classification</w:t>
      </w:r>
      <w:r w:rsidR="0030675C" w:rsidRPr="002D2F50">
        <w:rPr>
          <w:rFonts w:ascii="Arial" w:hAnsi="Arial" w:cs="Arial"/>
          <w:noProof/>
          <w:sz w:val="24"/>
          <w:szCs w:val="24"/>
        </w:rPr>
        <w:t xml:space="preserve"> (Table 2)</w:t>
      </w:r>
      <w:r w:rsidR="00E64412" w:rsidRPr="002D2F50">
        <w:rPr>
          <w:rFonts w:ascii="Arial" w:hAnsi="Arial" w:cs="Arial"/>
          <w:noProof/>
          <w:sz w:val="24"/>
          <w:szCs w:val="24"/>
        </w:rPr>
        <w:t xml:space="preserve"> </w:t>
      </w:r>
      <w:r w:rsidR="009E564C" w:rsidRPr="002D2F50">
        <w:rPr>
          <w:rFonts w:ascii="Arial" w:hAnsi="Arial" w:cs="Arial"/>
          <w:noProof/>
          <w:sz w:val="24"/>
          <w:szCs w:val="24"/>
        </w:rPr>
        <w:t xml:space="preserve">accounts </w:t>
      </w:r>
      <w:r w:rsidR="00E64412" w:rsidRPr="002D2F50">
        <w:rPr>
          <w:rFonts w:ascii="Arial" w:hAnsi="Arial" w:cs="Arial"/>
          <w:noProof/>
          <w:sz w:val="24"/>
          <w:szCs w:val="24"/>
        </w:rPr>
        <w:t xml:space="preserve">for the </w:t>
      </w:r>
      <w:r w:rsidR="00E64412" w:rsidRPr="002D2F50">
        <w:rPr>
          <w:rFonts w:ascii="Arial" w:hAnsi="Arial" w:cs="Arial"/>
          <w:b/>
          <w:noProof/>
          <w:sz w:val="24"/>
          <w:szCs w:val="24"/>
        </w:rPr>
        <w:t>d</w:t>
      </w:r>
      <w:r w:rsidR="00E64412" w:rsidRPr="002D2F50">
        <w:rPr>
          <w:rFonts w:ascii="Arial" w:hAnsi="Arial" w:cs="Arial"/>
          <w:noProof/>
          <w:sz w:val="24"/>
          <w:szCs w:val="24"/>
        </w:rPr>
        <w:t xml:space="preserve">ose relatedness, </w:t>
      </w:r>
      <w:r w:rsidR="00E64412" w:rsidRPr="002D2F50">
        <w:rPr>
          <w:rFonts w:ascii="Arial" w:hAnsi="Arial" w:cs="Arial"/>
          <w:b/>
          <w:noProof/>
          <w:sz w:val="24"/>
          <w:szCs w:val="24"/>
        </w:rPr>
        <w:t>t</w:t>
      </w:r>
      <w:r w:rsidR="00E64412" w:rsidRPr="002D2F50">
        <w:rPr>
          <w:rFonts w:ascii="Arial" w:hAnsi="Arial" w:cs="Arial"/>
          <w:noProof/>
          <w:sz w:val="24"/>
          <w:szCs w:val="24"/>
        </w:rPr>
        <w:t xml:space="preserve">ime course and </w:t>
      </w:r>
      <w:r w:rsidR="00E64412" w:rsidRPr="002D2F50">
        <w:rPr>
          <w:rFonts w:ascii="Arial" w:hAnsi="Arial" w:cs="Arial"/>
          <w:b/>
          <w:noProof/>
          <w:sz w:val="24"/>
          <w:szCs w:val="24"/>
        </w:rPr>
        <w:t>s</w:t>
      </w:r>
      <w:r w:rsidR="00E64412" w:rsidRPr="002D2F50">
        <w:rPr>
          <w:rFonts w:ascii="Arial" w:hAnsi="Arial" w:cs="Arial"/>
          <w:noProof/>
          <w:sz w:val="24"/>
          <w:szCs w:val="24"/>
        </w:rPr>
        <w:t>usceptiblity of the patient (DoTS) to a reaction</w:t>
      </w:r>
      <w:r w:rsidR="005956FC">
        <w:rPr>
          <w:rFonts w:ascii="Arial" w:hAnsi="Arial" w:cs="Arial"/>
          <w:noProof/>
          <w:sz w:val="24"/>
          <w:szCs w:val="24"/>
        </w:rPr>
        <w:t>;</w:t>
      </w:r>
      <w:r w:rsidR="00E64412" w:rsidRPr="002D2F50">
        <w:rPr>
          <w:rFonts w:ascii="Arial" w:hAnsi="Arial" w:cs="Arial"/>
          <w:noProof/>
          <w:sz w:val="24"/>
          <w:szCs w:val="24"/>
        </w:rPr>
        <w:t xml:space="preserve"> </w:t>
      </w:r>
      <w:r w:rsidR="009E564C" w:rsidRPr="002D2F50">
        <w:rPr>
          <w:rFonts w:ascii="Arial" w:hAnsi="Arial" w:cs="Arial"/>
          <w:noProof/>
          <w:sz w:val="24"/>
          <w:szCs w:val="24"/>
        </w:rPr>
        <w:t xml:space="preserve">this classification </w:t>
      </w:r>
      <w:r w:rsidR="00E64412" w:rsidRPr="002D2F50">
        <w:rPr>
          <w:rFonts w:ascii="Arial" w:hAnsi="Arial" w:cs="Arial"/>
          <w:noProof/>
          <w:sz w:val="24"/>
          <w:szCs w:val="24"/>
        </w:rPr>
        <w:t xml:space="preserve">is </w:t>
      </w:r>
      <w:r w:rsidR="0053007F" w:rsidRPr="002D2F50">
        <w:rPr>
          <w:rFonts w:ascii="Arial" w:hAnsi="Arial" w:cs="Arial"/>
          <w:noProof/>
          <w:sz w:val="24"/>
          <w:szCs w:val="24"/>
        </w:rPr>
        <w:t>increasingly used</w:t>
      </w:r>
      <w:r w:rsidR="0059371D" w:rsidRPr="002D2F50">
        <w:rPr>
          <w:rFonts w:ascii="Arial" w:hAnsi="Arial" w:cs="Arial"/>
          <w:noProof/>
          <w:sz w:val="24"/>
          <w:szCs w:val="24"/>
        </w:rPr>
        <w:t>.</w:t>
      </w:r>
      <w:r w:rsidR="005956FC">
        <w:rPr>
          <w:rFonts w:ascii="Arial" w:hAnsi="Arial" w:cs="Arial"/>
          <w:noProof/>
          <w:sz w:val="24"/>
          <w:szCs w:val="24"/>
          <w:vertAlign w:val="superscript"/>
        </w:rPr>
        <w:t>5</w:t>
      </w:r>
      <w:r w:rsidR="00A8487C" w:rsidRPr="002D2F50">
        <w:rPr>
          <w:rFonts w:ascii="Arial" w:hAnsi="Arial" w:cs="Arial"/>
          <w:noProof/>
          <w:sz w:val="24"/>
          <w:szCs w:val="24"/>
          <w:vertAlign w:val="superscript"/>
        </w:rPr>
        <w:t xml:space="preserve"> </w:t>
      </w:r>
      <w:r w:rsidR="001B3B97" w:rsidRPr="002D2F50">
        <w:rPr>
          <w:rFonts w:ascii="Arial" w:hAnsi="Arial" w:cs="Arial"/>
          <w:noProof/>
          <w:sz w:val="24"/>
          <w:szCs w:val="24"/>
        </w:rPr>
        <w:t>Malignant</w:t>
      </w:r>
      <w:r w:rsidR="00B4072C" w:rsidRPr="002D2F50">
        <w:rPr>
          <w:rFonts w:ascii="Arial" w:hAnsi="Arial" w:cs="Arial"/>
          <w:noProof/>
          <w:sz w:val="24"/>
          <w:szCs w:val="24"/>
        </w:rPr>
        <w:t xml:space="preserve"> hyperpyrexia</w:t>
      </w:r>
      <w:r w:rsidR="001B3B97" w:rsidRPr="002D2F50">
        <w:rPr>
          <w:rFonts w:ascii="Arial" w:hAnsi="Arial" w:cs="Arial"/>
          <w:noProof/>
          <w:sz w:val="24"/>
          <w:szCs w:val="24"/>
        </w:rPr>
        <w:t>, for example,</w:t>
      </w:r>
      <w:r w:rsidR="00425F7E" w:rsidRPr="002D2F50">
        <w:rPr>
          <w:rFonts w:ascii="Arial" w:hAnsi="Arial" w:cs="Arial"/>
          <w:noProof/>
          <w:sz w:val="24"/>
          <w:szCs w:val="24"/>
        </w:rPr>
        <w:t xml:space="preserve"> </w:t>
      </w:r>
      <w:r w:rsidR="00B4072C" w:rsidRPr="002D2F50">
        <w:rPr>
          <w:rFonts w:ascii="Arial" w:hAnsi="Arial" w:cs="Arial"/>
          <w:noProof/>
          <w:sz w:val="24"/>
          <w:szCs w:val="24"/>
        </w:rPr>
        <w:t>occurs at any dose in susceptible individuals (</w:t>
      </w:r>
      <w:r w:rsidR="00B4072C" w:rsidRPr="002D2F50">
        <w:rPr>
          <w:rFonts w:ascii="Arial" w:hAnsi="Arial" w:cs="Arial"/>
          <w:b/>
          <w:noProof/>
          <w:sz w:val="24"/>
          <w:szCs w:val="24"/>
        </w:rPr>
        <w:t>Do</w:t>
      </w:r>
      <w:r w:rsidR="00B4072C" w:rsidRPr="002D2F50">
        <w:rPr>
          <w:rFonts w:ascii="Arial" w:hAnsi="Arial" w:cs="Arial"/>
          <w:noProof/>
          <w:sz w:val="24"/>
          <w:szCs w:val="24"/>
        </w:rPr>
        <w:t>),  occurs on first dose (</w:t>
      </w:r>
      <w:r w:rsidR="00B4072C" w:rsidRPr="002D2F50">
        <w:rPr>
          <w:rFonts w:ascii="Arial" w:hAnsi="Arial" w:cs="Arial"/>
          <w:b/>
          <w:noProof/>
          <w:sz w:val="24"/>
          <w:szCs w:val="24"/>
        </w:rPr>
        <w:t>T</w:t>
      </w:r>
      <w:r w:rsidR="00B4072C" w:rsidRPr="002D2F50">
        <w:rPr>
          <w:rFonts w:ascii="Arial" w:hAnsi="Arial" w:cs="Arial"/>
          <w:noProof/>
          <w:sz w:val="24"/>
          <w:szCs w:val="24"/>
        </w:rPr>
        <w:t>), and individual susceptiblity</w:t>
      </w:r>
      <w:r w:rsidR="005956FC">
        <w:rPr>
          <w:rFonts w:ascii="Arial" w:hAnsi="Arial" w:cs="Arial"/>
          <w:noProof/>
          <w:sz w:val="24"/>
          <w:szCs w:val="24"/>
        </w:rPr>
        <w:t xml:space="preserve"> is</w:t>
      </w:r>
      <w:r w:rsidR="00B4072C" w:rsidRPr="002D2F50">
        <w:rPr>
          <w:rFonts w:ascii="Arial" w:hAnsi="Arial" w:cs="Arial"/>
          <w:noProof/>
          <w:sz w:val="24"/>
          <w:szCs w:val="24"/>
        </w:rPr>
        <w:t xml:space="preserve"> an inherited mutation for the ryanodine receptor (</w:t>
      </w:r>
      <w:r w:rsidR="00B4072C" w:rsidRPr="002D2F50">
        <w:rPr>
          <w:rFonts w:ascii="Arial" w:hAnsi="Arial" w:cs="Arial"/>
          <w:b/>
          <w:noProof/>
          <w:sz w:val="24"/>
          <w:szCs w:val="24"/>
        </w:rPr>
        <w:t>S</w:t>
      </w:r>
      <w:r w:rsidR="00B4072C" w:rsidRPr="002D2F50">
        <w:rPr>
          <w:rFonts w:ascii="Arial" w:hAnsi="Arial" w:cs="Arial"/>
          <w:noProof/>
          <w:sz w:val="24"/>
          <w:szCs w:val="24"/>
        </w:rPr>
        <w:t>).</w:t>
      </w:r>
    </w:p>
    <w:p w:rsidR="005956FC" w:rsidRDefault="005956FC" w:rsidP="002C1DB4">
      <w:pPr>
        <w:spacing w:after="0"/>
        <w:jc w:val="both"/>
        <w:rPr>
          <w:rFonts w:ascii="Arial" w:hAnsi="Arial" w:cs="Arial"/>
          <w:noProof/>
          <w:sz w:val="24"/>
          <w:szCs w:val="24"/>
        </w:rPr>
      </w:pPr>
    </w:p>
    <w:p w:rsidR="006455A1" w:rsidRPr="002D01A2" w:rsidRDefault="00F33E71" w:rsidP="002C1DB4">
      <w:pPr>
        <w:spacing w:after="0"/>
        <w:jc w:val="both"/>
        <w:rPr>
          <w:rFonts w:ascii="Arial" w:hAnsi="Arial" w:cs="Arial"/>
          <w:b/>
          <w:bCs/>
          <w:i/>
          <w:sz w:val="24"/>
          <w:szCs w:val="24"/>
        </w:rPr>
      </w:pPr>
      <w:r w:rsidRPr="002D01A2">
        <w:rPr>
          <w:rFonts w:ascii="Arial" w:hAnsi="Arial" w:cs="Arial"/>
          <w:b/>
          <w:bCs/>
          <w:i/>
          <w:sz w:val="24"/>
          <w:szCs w:val="24"/>
        </w:rPr>
        <w:t xml:space="preserve">Type A and B </w:t>
      </w:r>
      <w:r w:rsidR="00E34DCC" w:rsidRPr="002D01A2">
        <w:rPr>
          <w:rFonts w:ascii="Arial" w:hAnsi="Arial" w:cs="Arial"/>
          <w:b/>
          <w:bCs/>
          <w:i/>
          <w:sz w:val="24"/>
          <w:szCs w:val="24"/>
        </w:rPr>
        <w:t>Reactions</w:t>
      </w:r>
    </w:p>
    <w:p w:rsidR="006455A1" w:rsidRDefault="007B0948" w:rsidP="00730ACA">
      <w:pPr>
        <w:spacing w:after="0"/>
        <w:jc w:val="both"/>
        <w:rPr>
          <w:rFonts w:ascii="Arial" w:hAnsi="Arial" w:cs="Arial"/>
          <w:sz w:val="24"/>
          <w:szCs w:val="24"/>
        </w:rPr>
      </w:pPr>
      <w:r w:rsidRPr="002D2F50">
        <w:rPr>
          <w:rFonts w:ascii="Arial" w:hAnsi="Arial" w:cs="Arial"/>
          <w:sz w:val="24"/>
          <w:szCs w:val="24"/>
        </w:rPr>
        <w:t>T</w:t>
      </w:r>
      <w:r w:rsidR="00F33E71" w:rsidRPr="002D2F50">
        <w:rPr>
          <w:rFonts w:ascii="Arial" w:hAnsi="Arial" w:cs="Arial"/>
          <w:sz w:val="24"/>
          <w:szCs w:val="24"/>
        </w:rPr>
        <w:t xml:space="preserve">he </w:t>
      </w:r>
      <w:r w:rsidRPr="002D2F50">
        <w:rPr>
          <w:rFonts w:ascii="Arial" w:hAnsi="Arial" w:cs="Arial"/>
          <w:sz w:val="24"/>
          <w:szCs w:val="24"/>
        </w:rPr>
        <w:t xml:space="preserve">MHRA continues to </w:t>
      </w:r>
      <w:r w:rsidR="00F71298" w:rsidRPr="002D2F50">
        <w:rPr>
          <w:rFonts w:ascii="Arial" w:hAnsi="Arial" w:cs="Arial"/>
          <w:sz w:val="24"/>
          <w:szCs w:val="24"/>
        </w:rPr>
        <w:t>refer to</w:t>
      </w:r>
      <w:r w:rsidRPr="002D2F50">
        <w:rPr>
          <w:rFonts w:ascii="Arial" w:hAnsi="Arial" w:cs="Arial"/>
          <w:sz w:val="24"/>
          <w:szCs w:val="24"/>
        </w:rPr>
        <w:t xml:space="preserve"> the simple, ‘</w:t>
      </w:r>
      <w:r w:rsidR="00F33E71" w:rsidRPr="002D2F50">
        <w:rPr>
          <w:rFonts w:ascii="Arial" w:hAnsi="Arial" w:cs="Arial"/>
          <w:sz w:val="24"/>
          <w:szCs w:val="24"/>
        </w:rPr>
        <w:t>classical</w:t>
      </w:r>
      <w:r w:rsidRPr="002D2F50">
        <w:rPr>
          <w:rFonts w:ascii="Arial" w:hAnsi="Arial" w:cs="Arial"/>
          <w:sz w:val="24"/>
          <w:szCs w:val="24"/>
        </w:rPr>
        <w:t>’</w:t>
      </w:r>
      <w:r w:rsidR="00F33E71" w:rsidRPr="002D2F50">
        <w:rPr>
          <w:rFonts w:ascii="Arial" w:hAnsi="Arial" w:cs="Arial"/>
          <w:sz w:val="24"/>
          <w:szCs w:val="24"/>
        </w:rPr>
        <w:t xml:space="preserve"> classification</w:t>
      </w:r>
      <w:r w:rsidR="00211CC8" w:rsidRPr="002D2F50">
        <w:rPr>
          <w:rFonts w:ascii="Arial" w:hAnsi="Arial" w:cs="Arial"/>
          <w:sz w:val="24"/>
          <w:szCs w:val="24"/>
        </w:rPr>
        <w:t xml:space="preserve">, and </w:t>
      </w:r>
      <w:r w:rsidRPr="002D2F50">
        <w:rPr>
          <w:rFonts w:ascii="Arial" w:hAnsi="Arial" w:cs="Arial"/>
          <w:sz w:val="24"/>
          <w:szCs w:val="24"/>
        </w:rPr>
        <w:t xml:space="preserve">this </w:t>
      </w:r>
      <w:r w:rsidR="003E3E0D" w:rsidRPr="002D2F50">
        <w:rPr>
          <w:rFonts w:ascii="Arial" w:hAnsi="Arial" w:cs="Arial"/>
          <w:sz w:val="24"/>
          <w:szCs w:val="24"/>
        </w:rPr>
        <w:t>suit</w:t>
      </w:r>
      <w:r w:rsidR="007A1E12" w:rsidRPr="002D2F50">
        <w:rPr>
          <w:rFonts w:ascii="Arial" w:hAnsi="Arial" w:cs="Arial"/>
          <w:sz w:val="24"/>
          <w:szCs w:val="24"/>
        </w:rPr>
        <w:t>s</w:t>
      </w:r>
      <w:r w:rsidR="003E3E0D" w:rsidRPr="002D2F50">
        <w:rPr>
          <w:rFonts w:ascii="Arial" w:hAnsi="Arial" w:cs="Arial"/>
          <w:sz w:val="24"/>
          <w:szCs w:val="24"/>
        </w:rPr>
        <w:t xml:space="preserve"> discussion of </w:t>
      </w:r>
      <w:r w:rsidRPr="002D2F50">
        <w:rPr>
          <w:rFonts w:ascii="Arial" w:hAnsi="Arial" w:cs="Arial"/>
          <w:sz w:val="24"/>
          <w:szCs w:val="24"/>
        </w:rPr>
        <w:t xml:space="preserve">drug reactions occurring </w:t>
      </w:r>
      <w:r w:rsidR="00211CC8" w:rsidRPr="002D2F50">
        <w:rPr>
          <w:rFonts w:ascii="Arial" w:hAnsi="Arial" w:cs="Arial"/>
          <w:sz w:val="24"/>
          <w:szCs w:val="24"/>
        </w:rPr>
        <w:t>in anaesthesia</w:t>
      </w:r>
      <w:r w:rsidR="00B415E2" w:rsidRPr="002D2F50">
        <w:rPr>
          <w:rFonts w:ascii="Arial" w:hAnsi="Arial" w:cs="Arial"/>
          <w:sz w:val="24"/>
          <w:szCs w:val="24"/>
        </w:rPr>
        <w:t xml:space="preserve"> and I</w:t>
      </w:r>
      <w:r w:rsidR="00730ACA" w:rsidRPr="002D2F50">
        <w:rPr>
          <w:rFonts w:ascii="Arial" w:hAnsi="Arial" w:cs="Arial"/>
          <w:sz w:val="24"/>
          <w:szCs w:val="24"/>
        </w:rPr>
        <w:t xml:space="preserve">ntensive </w:t>
      </w:r>
      <w:r w:rsidR="00B415E2" w:rsidRPr="002D2F50">
        <w:rPr>
          <w:rFonts w:ascii="Arial" w:hAnsi="Arial" w:cs="Arial"/>
          <w:sz w:val="24"/>
          <w:szCs w:val="24"/>
        </w:rPr>
        <w:t>C</w:t>
      </w:r>
      <w:r w:rsidRPr="002D2F50">
        <w:rPr>
          <w:rFonts w:ascii="Arial" w:hAnsi="Arial" w:cs="Arial"/>
          <w:sz w:val="24"/>
          <w:szCs w:val="24"/>
        </w:rPr>
        <w:t>are</w:t>
      </w:r>
      <w:r w:rsidR="00211CC8" w:rsidRPr="002D2F50">
        <w:rPr>
          <w:rFonts w:ascii="Arial" w:hAnsi="Arial" w:cs="Arial"/>
          <w:sz w:val="24"/>
          <w:szCs w:val="24"/>
        </w:rPr>
        <w:t>.</w:t>
      </w:r>
      <w:r w:rsidR="00F33E71" w:rsidRPr="002D2F50">
        <w:rPr>
          <w:rFonts w:ascii="Arial" w:hAnsi="Arial" w:cs="Arial"/>
          <w:sz w:val="24"/>
          <w:szCs w:val="24"/>
        </w:rPr>
        <w:t xml:space="preserve"> In type A reactions</w:t>
      </w:r>
      <w:r w:rsidR="004174E2">
        <w:rPr>
          <w:rFonts w:ascii="Arial" w:hAnsi="Arial" w:cs="Arial"/>
          <w:sz w:val="24"/>
          <w:szCs w:val="24"/>
        </w:rPr>
        <w:t>,</w:t>
      </w:r>
      <w:r w:rsidR="00F33E71" w:rsidRPr="002D2F50">
        <w:rPr>
          <w:rFonts w:ascii="Arial" w:hAnsi="Arial" w:cs="Arial"/>
          <w:sz w:val="24"/>
          <w:szCs w:val="24"/>
        </w:rPr>
        <w:t xml:space="preserve"> the adverse reaction occurs in proportion to the dose of</w:t>
      </w:r>
      <w:r w:rsidRPr="002D2F50">
        <w:rPr>
          <w:rFonts w:ascii="Arial" w:hAnsi="Arial" w:cs="Arial"/>
          <w:sz w:val="24"/>
          <w:szCs w:val="24"/>
        </w:rPr>
        <w:t xml:space="preserve"> </w:t>
      </w:r>
      <w:r w:rsidR="004174E2">
        <w:rPr>
          <w:rFonts w:ascii="Arial" w:hAnsi="Arial" w:cs="Arial"/>
          <w:sz w:val="24"/>
          <w:szCs w:val="24"/>
        </w:rPr>
        <w:t>drug given</w:t>
      </w:r>
      <w:r w:rsidRPr="002D2F50">
        <w:rPr>
          <w:rFonts w:ascii="Arial" w:hAnsi="Arial" w:cs="Arial"/>
          <w:sz w:val="24"/>
          <w:szCs w:val="24"/>
        </w:rPr>
        <w:t xml:space="preserve"> and tend</w:t>
      </w:r>
      <w:r w:rsidR="004174E2">
        <w:rPr>
          <w:rFonts w:ascii="Arial" w:hAnsi="Arial" w:cs="Arial"/>
          <w:sz w:val="24"/>
          <w:szCs w:val="24"/>
        </w:rPr>
        <w:t>s</w:t>
      </w:r>
      <w:r w:rsidR="00F33E71" w:rsidRPr="002D2F50">
        <w:rPr>
          <w:rFonts w:ascii="Arial" w:hAnsi="Arial" w:cs="Arial"/>
          <w:sz w:val="24"/>
          <w:szCs w:val="24"/>
        </w:rPr>
        <w:t xml:space="preserve"> to be related to pharmacokinetics. Thus the hypotension associated with propofol is a dose-related and predictable adverse reaction. </w:t>
      </w:r>
      <w:r w:rsidR="008E1F82" w:rsidRPr="002D2F50">
        <w:rPr>
          <w:rFonts w:ascii="Arial" w:hAnsi="Arial" w:cs="Arial"/>
          <w:sz w:val="24"/>
          <w:szCs w:val="24"/>
        </w:rPr>
        <w:t>F</w:t>
      </w:r>
      <w:r w:rsidR="00F33E71" w:rsidRPr="002D2F50">
        <w:rPr>
          <w:rFonts w:ascii="Arial" w:hAnsi="Arial" w:cs="Arial"/>
          <w:sz w:val="24"/>
          <w:szCs w:val="24"/>
        </w:rPr>
        <w:t xml:space="preserve">asciculations associated with suxamethonium is another such Type A reaction, but so is the subsequent rise in intra-ocular pressure – a secondary adverse reaction occurring as a consequence of an initial reaction. Such reactions are usually revealed in </w:t>
      </w:r>
      <w:r w:rsidR="008E1F82" w:rsidRPr="002D2F50">
        <w:rPr>
          <w:rFonts w:ascii="Arial" w:hAnsi="Arial" w:cs="Arial"/>
          <w:sz w:val="24"/>
          <w:szCs w:val="24"/>
        </w:rPr>
        <w:t xml:space="preserve">developmental </w:t>
      </w:r>
      <w:r w:rsidR="00F33E71" w:rsidRPr="002D2F50">
        <w:rPr>
          <w:rFonts w:ascii="Arial" w:hAnsi="Arial" w:cs="Arial"/>
          <w:sz w:val="24"/>
          <w:szCs w:val="24"/>
        </w:rPr>
        <w:t>clinical trials and so are already well recognised befo</w:t>
      </w:r>
      <w:r w:rsidR="00730ACA" w:rsidRPr="002D2F50">
        <w:rPr>
          <w:rFonts w:ascii="Arial" w:hAnsi="Arial" w:cs="Arial"/>
          <w:sz w:val="24"/>
          <w:szCs w:val="24"/>
        </w:rPr>
        <w:t>re the marketing of a new drug.</w:t>
      </w:r>
    </w:p>
    <w:p w:rsidR="006455A1" w:rsidRDefault="00F33E71" w:rsidP="00730ACA">
      <w:pPr>
        <w:spacing w:after="0"/>
        <w:jc w:val="both"/>
        <w:rPr>
          <w:rFonts w:ascii="Arial" w:hAnsi="Arial" w:cs="Arial"/>
          <w:sz w:val="24"/>
          <w:szCs w:val="24"/>
        </w:rPr>
      </w:pPr>
      <w:r w:rsidRPr="002D2F50">
        <w:rPr>
          <w:rFonts w:ascii="Arial" w:hAnsi="Arial" w:cs="Arial"/>
          <w:sz w:val="24"/>
          <w:szCs w:val="24"/>
        </w:rPr>
        <w:t>In contrast</w:t>
      </w:r>
      <w:r w:rsidR="004174E2">
        <w:rPr>
          <w:rFonts w:ascii="Arial" w:hAnsi="Arial" w:cs="Arial"/>
          <w:sz w:val="24"/>
          <w:szCs w:val="24"/>
        </w:rPr>
        <w:t>,</w:t>
      </w:r>
      <w:r w:rsidRPr="002D2F50">
        <w:rPr>
          <w:rFonts w:ascii="Arial" w:hAnsi="Arial" w:cs="Arial"/>
          <w:sz w:val="24"/>
          <w:szCs w:val="24"/>
        </w:rPr>
        <w:t xml:space="preserve"> type B reactions tend to be unpredictable (‘bizarre’), and unrelated to the known pharmacology of the drug in question. The</w:t>
      </w:r>
      <w:r w:rsidR="004174E2">
        <w:rPr>
          <w:rFonts w:ascii="Arial" w:hAnsi="Arial" w:cs="Arial"/>
          <w:sz w:val="24"/>
          <w:szCs w:val="24"/>
        </w:rPr>
        <w:t>se</w:t>
      </w:r>
      <w:r w:rsidRPr="002D2F50">
        <w:rPr>
          <w:rFonts w:ascii="Arial" w:hAnsi="Arial" w:cs="Arial"/>
          <w:sz w:val="24"/>
          <w:szCs w:val="24"/>
        </w:rPr>
        <w:t xml:space="preserve"> reactions tend to be more severe and potentially fatal but </w:t>
      </w:r>
      <w:r w:rsidR="004174E2">
        <w:rPr>
          <w:rFonts w:ascii="Arial" w:hAnsi="Arial" w:cs="Arial"/>
          <w:sz w:val="24"/>
          <w:szCs w:val="24"/>
        </w:rPr>
        <w:t>are</w:t>
      </w:r>
      <w:r w:rsidRPr="002D2F50">
        <w:rPr>
          <w:rFonts w:ascii="Arial" w:hAnsi="Arial" w:cs="Arial"/>
          <w:sz w:val="24"/>
          <w:szCs w:val="24"/>
        </w:rPr>
        <w:t xml:space="preserve"> relatively rare. The most familiar examples in anaesthesia are anaphylaxis, suxamethonium apnoea and malignant hyperpyrexia (MH).</w:t>
      </w:r>
      <w:r w:rsidR="00E67C06" w:rsidRPr="002D2F50">
        <w:rPr>
          <w:rFonts w:ascii="Arial" w:hAnsi="Arial" w:cs="Arial"/>
          <w:sz w:val="24"/>
          <w:szCs w:val="24"/>
        </w:rPr>
        <w:t xml:space="preserve"> </w:t>
      </w:r>
      <w:r w:rsidRPr="002D2F50">
        <w:rPr>
          <w:rFonts w:ascii="Arial" w:hAnsi="Arial" w:cs="Arial"/>
          <w:sz w:val="24"/>
          <w:szCs w:val="24"/>
        </w:rPr>
        <w:t xml:space="preserve">These reactions are </w:t>
      </w:r>
      <w:r w:rsidR="00E67C06" w:rsidRPr="002D2F50">
        <w:rPr>
          <w:rFonts w:ascii="Arial" w:hAnsi="Arial" w:cs="Arial"/>
          <w:sz w:val="24"/>
          <w:szCs w:val="24"/>
        </w:rPr>
        <w:t xml:space="preserve">idiosyncratic, </w:t>
      </w:r>
      <w:r w:rsidRPr="002D2F50">
        <w:rPr>
          <w:rFonts w:ascii="Arial" w:hAnsi="Arial" w:cs="Arial"/>
          <w:sz w:val="24"/>
          <w:szCs w:val="24"/>
        </w:rPr>
        <w:t xml:space="preserve">infrequent and influenced by immunological and genetic factors. </w:t>
      </w:r>
      <w:r w:rsidR="007625ED" w:rsidRPr="002D2F50">
        <w:rPr>
          <w:rFonts w:ascii="Arial" w:hAnsi="Arial" w:cs="Arial"/>
          <w:sz w:val="24"/>
          <w:szCs w:val="24"/>
        </w:rPr>
        <w:t>S</w:t>
      </w:r>
      <w:r w:rsidR="00E67C06" w:rsidRPr="002D2F50">
        <w:rPr>
          <w:rFonts w:ascii="Arial" w:hAnsi="Arial" w:cs="Arial"/>
          <w:sz w:val="24"/>
          <w:szCs w:val="24"/>
        </w:rPr>
        <w:t>ome Type B reactions present less dramatically</w:t>
      </w:r>
      <w:r w:rsidR="004174E2">
        <w:rPr>
          <w:rFonts w:ascii="Arial" w:hAnsi="Arial" w:cs="Arial"/>
          <w:sz w:val="24"/>
          <w:szCs w:val="24"/>
        </w:rPr>
        <w:t>, for example</w:t>
      </w:r>
      <w:r w:rsidR="007625ED" w:rsidRPr="002D2F50">
        <w:rPr>
          <w:rFonts w:ascii="Arial" w:hAnsi="Arial" w:cs="Arial"/>
          <w:sz w:val="24"/>
          <w:szCs w:val="24"/>
        </w:rPr>
        <w:t xml:space="preserve"> </w:t>
      </w:r>
      <w:r w:rsidR="00E67C06" w:rsidRPr="002D2F50">
        <w:rPr>
          <w:rFonts w:ascii="Arial" w:hAnsi="Arial" w:cs="Arial"/>
          <w:sz w:val="24"/>
          <w:szCs w:val="24"/>
        </w:rPr>
        <w:t>halothane hepatotoxicity or fluoride nephrotoxicity. For all these reasons</w:t>
      </w:r>
      <w:r w:rsidRPr="002D2F50">
        <w:rPr>
          <w:rFonts w:ascii="Arial" w:hAnsi="Arial" w:cs="Arial"/>
          <w:sz w:val="24"/>
          <w:szCs w:val="24"/>
        </w:rPr>
        <w:t xml:space="preserve"> </w:t>
      </w:r>
      <w:r w:rsidR="00E67C06" w:rsidRPr="002D2F50">
        <w:rPr>
          <w:rFonts w:ascii="Arial" w:hAnsi="Arial" w:cs="Arial"/>
          <w:sz w:val="24"/>
          <w:szCs w:val="24"/>
        </w:rPr>
        <w:t>Type B ADRs are often</w:t>
      </w:r>
      <w:r w:rsidRPr="002D2F50">
        <w:rPr>
          <w:rFonts w:ascii="Arial" w:hAnsi="Arial" w:cs="Arial"/>
          <w:sz w:val="24"/>
          <w:szCs w:val="24"/>
        </w:rPr>
        <w:t xml:space="preserve"> missed in clinical trials</w:t>
      </w:r>
      <w:r w:rsidR="004174E2">
        <w:rPr>
          <w:rFonts w:ascii="Arial" w:hAnsi="Arial" w:cs="Arial"/>
          <w:sz w:val="24"/>
          <w:szCs w:val="24"/>
        </w:rPr>
        <w:t xml:space="preserve"> and are</w:t>
      </w:r>
      <w:r w:rsidR="00E67C06" w:rsidRPr="002D2F50">
        <w:rPr>
          <w:rFonts w:ascii="Arial" w:hAnsi="Arial" w:cs="Arial"/>
          <w:sz w:val="24"/>
          <w:szCs w:val="24"/>
        </w:rPr>
        <w:t xml:space="preserve"> </w:t>
      </w:r>
      <w:r w:rsidRPr="002D2F50">
        <w:rPr>
          <w:rFonts w:ascii="Arial" w:hAnsi="Arial" w:cs="Arial"/>
          <w:sz w:val="24"/>
          <w:szCs w:val="24"/>
        </w:rPr>
        <w:t>discovered during post-marketing surveillance</w:t>
      </w:r>
      <w:r w:rsidR="004174E2">
        <w:rPr>
          <w:rFonts w:ascii="Arial" w:hAnsi="Arial" w:cs="Arial"/>
          <w:sz w:val="24"/>
          <w:szCs w:val="24"/>
        </w:rPr>
        <w:t>,</w:t>
      </w:r>
      <w:r w:rsidR="00E67C06" w:rsidRPr="002D2F50">
        <w:rPr>
          <w:rFonts w:ascii="Arial" w:hAnsi="Arial" w:cs="Arial"/>
          <w:sz w:val="24"/>
          <w:szCs w:val="24"/>
        </w:rPr>
        <w:t xml:space="preserve"> often </w:t>
      </w:r>
      <w:r w:rsidRPr="002D2F50">
        <w:rPr>
          <w:rFonts w:ascii="Arial" w:hAnsi="Arial" w:cs="Arial"/>
          <w:sz w:val="24"/>
          <w:szCs w:val="24"/>
        </w:rPr>
        <w:t xml:space="preserve">some years </w:t>
      </w:r>
      <w:r w:rsidR="00E67C06" w:rsidRPr="002D2F50">
        <w:rPr>
          <w:rFonts w:ascii="Arial" w:hAnsi="Arial" w:cs="Arial"/>
          <w:sz w:val="24"/>
          <w:szCs w:val="24"/>
        </w:rPr>
        <w:t>later</w:t>
      </w:r>
      <w:r w:rsidRPr="002D2F50">
        <w:rPr>
          <w:rFonts w:ascii="Arial" w:hAnsi="Arial" w:cs="Arial"/>
          <w:sz w:val="24"/>
          <w:szCs w:val="24"/>
        </w:rPr>
        <w:t>.</w:t>
      </w:r>
    </w:p>
    <w:p w:rsidR="00F33E71" w:rsidRPr="002D2F50" w:rsidRDefault="00F33E71" w:rsidP="002C1DB4">
      <w:pPr>
        <w:spacing w:after="0"/>
        <w:jc w:val="both"/>
        <w:rPr>
          <w:rFonts w:ascii="Arial" w:hAnsi="Arial" w:cs="Arial"/>
          <w:sz w:val="24"/>
          <w:szCs w:val="24"/>
        </w:rPr>
      </w:pPr>
    </w:p>
    <w:p w:rsidR="006455A1" w:rsidRDefault="00530EB9" w:rsidP="002C1DB4">
      <w:pPr>
        <w:spacing w:after="0"/>
        <w:jc w:val="both"/>
        <w:rPr>
          <w:rFonts w:ascii="Arial" w:hAnsi="Arial" w:cs="Arial"/>
          <w:b/>
          <w:bCs/>
          <w:sz w:val="24"/>
          <w:szCs w:val="24"/>
        </w:rPr>
      </w:pPr>
      <w:r w:rsidRPr="002D2F50">
        <w:rPr>
          <w:rFonts w:ascii="Arial" w:hAnsi="Arial" w:cs="Arial"/>
          <w:b/>
          <w:bCs/>
          <w:sz w:val="24"/>
          <w:szCs w:val="24"/>
        </w:rPr>
        <w:t xml:space="preserve">Risk Factors </w:t>
      </w:r>
    </w:p>
    <w:p w:rsidR="002D01A2" w:rsidRDefault="002D01A2" w:rsidP="002C1DB4">
      <w:pPr>
        <w:spacing w:after="0"/>
        <w:jc w:val="both"/>
        <w:rPr>
          <w:rFonts w:ascii="Arial" w:hAnsi="Arial" w:cs="Arial"/>
          <w:b/>
          <w:bCs/>
          <w:sz w:val="24"/>
          <w:szCs w:val="24"/>
        </w:rPr>
      </w:pPr>
    </w:p>
    <w:p w:rsidR="006455A1" w:rsidRDefault="00F33E71" w:rsidP="002C1DB4">
      <w:pPr>
        <w:spacing w:after="0"/>
        <w:jc w:val="both"/>
        <w:rPr>
          <w:rFonts w:ascii="Arial" w:hAnsi="Arial" w:cs="Arial"/>
          <w:sz w:val="24"/>
          <w:szCs w:val="24"/>
        </w:rPr>
      </w:pPr>
      <w:r w:rsidRPr="002D2F50">
        <w:rPr>
          <w:rFonts w:ascii="Arial" w:hAnsi="Arial" w:cs="Arial"/>
          <w:sz w:val="24"/>
          <w:szCs w:val="24"/>
        </w:rPr>
        <w:lastRenderedPageBreak/>
        <w:t>One of the difficulties in understanding ADRs is that the mechanisms by which they occur are largely unknown. However, some predisposing factors have been identified.</w:t>
      </w:r>
    </w:p>
    <w:p w:rsidR="004174E2" w:rsidRDefault="004174E2" w:rsidP="002C1DB4">
      <w:pPr>
        <w:spacing w:after="0"/>
        <w:jc w:val="both"/>
        <w:rPr>
          <w:rFonts w:ascii="Arial" w:hAnsi="Arial" w:cs="Arial"/>
          <w:b/>
          <w:bCs/>
          <w:sz w:val="24"/>
          <w:szCs w:val="24"/>
        </w:rPr>
      </w:pPr>
    </w:p>
    <w:p w:rsidR="006455A1" w:rsidRPr="002D01A2" w:rsidRDefault="00F33E71" w:rsidP="002C1DB4">
      <w:pPr>
        <w:spacing w:after="0"/>
        <w:jc w:val="both"/>
        <w:rPr>
          <w:rFonts w:ascii="Arial" w:hAnsi="Arial" w:cs="Arial"/>
          <w:b/>
          <w:bCs/>
          <w:i/>
          <w:sz w:val="24"/>
          <w:szCs w:val="24"/>
        </w:rPr>
      </w:pPr>
      <w:r w:rsidRPr="002D01A2">
        <w:rPr>
          <w:rFonts w:ascii="Arial" w:hAnsi="Arial" w:cs="Arial"/>
          <w:b/>
          <w:bCs/>
          <w:i/>
          <w:sz w:val="24"/>
          <w:szCs w:val="24"/>
        </w:rPr>
        <w:t>Age</w:t>
      </w:r>
    </w:p>
    <w:p w:rsidR="006455A1" w:rsidRDefault="00F33E71" w:rsidP="00BC7545">
      <w:pPr>
        <w:spacing w:after="0"/>
        <w:jc w:val="both"/>
        <w:rPr>
          <w:rFonts w:ascii="Arial" w:hAnsi="Arial" w:cs="Arial"/>
          <w:sz w:val="24"/>
          <w:szCs w:val="24"/>
        </w:rPr>
      </w:pPr>
      <w:r w:rsidRPr="002D2F50">
        <w:rPr>
          <w:rFonts w:ascii="Arial" w:hAnsi="Arial" w:cs="Arial"/>
          <w:sz w:val="24"/>
          <w:szCs w:val="24"/>
        </w:rPr>
        <w:t>Patients at the extremes of age are at increased risk of ADRs for several reasons. In the elderly, multiple medications are common</w:t>
      </w:r>
      <w:r w:rsidR="00F71298" w:rsidRPr="002D2F50">
        <w:rPr>
          <w:rFonts w:ascii="Arial" w:hAnsi="Arial" w:cs="Arial"/>
          <w:sz w:val="24"/>
          <w:szCs w:val="24"/>
        </w:rPr>
        <w:t>ly taken to treat coexisting</w:t>
      </w:r>
      <w:r w:rsidR="004174E2">
        <w:rPr>
          <w:rFonts w:ascii="Arial" w:hAnsi="Arial" w:cs="Arial"/>
          <w:sz w:val="24"/>
          <w:szCs w:val="24"/>
        </w:rPr>
        <w:t xml:space="preserve"> conditions</w:t>
      </w:r>
      <w:r w:rsidRPr="002D2F50">
        <w:rPr>
          <w:rFonts w:ascii="Arial" w:hAnsi="Arial" w:cs="Arial"/>
          <w:sz w:val="24"/>
          <w:szCs w:val="24"/>
        </w:rPr>
        <w:t>. The</w:t>
      </w:r>
      <w:r w:rsidR="00F71298" w:rsidRPr="002D2F50">
        <w:rPr>
          <w:rFonts w:ascii="Arial" w:hAnsi="Arial" w:cs="Arial"/>
          <w:sz w:val="24"/>
          <w:szCs w:val="24"/>
        </w:rPr>
        <w:t>refore the risk of</w:t>
      </w:r>
      <w:r w:rsidRPr="002D2F50">
        <w:rPr>
          <w:rFonts w:ascii="Arial" w:hAnsi="Arial" w:cs="Arial"/>
          <w:sz w:val="24"/>
          <w:szCs w:val="24"/>
        </w:rPr>
        <w:t xml:space="preserve"> </w:t>
      </w:r>
      <w:r w:rsidR="00F71298" w:rsidRPr="002D2F50">
        <w:rPr>
          <w:rFonts w:ascii="Arial" w:hAnsi="Arial" w:cs="Arial"/>
          <w:sz w:val="24"/>
          <w:szCs w:val="24"/>
        </w:rPr>
        <w:t xml:space="preserve">an </w:t>
      </w:r>
      <w:r w:rsidRPr="002D2F50">
        <w:rPr>
          <w:rFonts w:ascii="Arial" w:hAnsi="Arial" w:cs="Arial"/>
          <w:sz w:val="24"/>
          <w:szCs w:val="24"/>
        </w:rPr>
        <w:t xml:space="preserve">ADR </w:t>
      </w:r>
      <w:r w:rsidR="00F71298" w:rsidRPr="002D2F50">
        <w:rPr>
          <w:rFonts w:ascii="Arial" w:hAnsi="Arial" w:cs="Arial"/>
          <w:sz w:val="24"/>
          <w:szCs w:val="24"/>
        </w:rPr>
        <w:t xml:space="preserve">arising </w:t>
      </w:r>
      <w:r w:rsidR="00F71298" w:rsidRPr="002D2F50">
        <w:rPr>
          <w:rFonts w:ascii="Arial" w:hAnsi="Arial" w:cs="Arial"/>
          <w:i/>
          <w:sz w:val="24"/>
          <w:szCs w:val="24"/>
        </w:rPr>
        <w:t>per se</w:t>
      </w:r>
      <w:r w:rsidR="00F71298" w:rsidRPr="002D2F50">
        <w:rPr>
          <w:rFonts w:ascii="Arial" w:hAnsi="Arial" w:cs="Arial"/>
          <w:sz w:val="24"/>
          <w:szCs w:val="24"/>
        </w:rPr>
        <w:t xml:space="preserve"> or</w:t>
      </w:r>
      <w:r w:rsidRPr="002D2F50">
        <w:rPr>
          <w:rFonts w:ascii="Arial" w:hAnsi="Arial" w:cs="Arial"/>
          <w:sz w:val="24"/>
          <w:szCs w:val="24"/>
        </w:rPr>
        <w:t xml:space="preserve"> from drug interactions</w:t>
      </w:r>
      <w:r w:rsidR="00F71298" w:rsidRPr="002D2F50">
        <w:rPr>
          <w:rFonts w:ascii="Arial" w:hAnsi="Arial" w:cs="Arial"/>
          <w:sz w:val="24"/>
          <w:szCs w:val="24"/>
        </w:rPr>
        <w:t xml:space="preserve"> is increased</w:t>
      </w:r>
      <w:r w:rsidRPr="002D2F50">
        <w:rPr>
          <w:rFonts w:ascii="Arial" w:hAnsi="Arial" w:cs="Arial"/>
          <w:sz w:val="24"/>
          <w:szCs w:val="24"/>
        </w:rPr>
        <w:t>. Ag</w:t>
      </w:r>
      <w:r w:rsidR="007B0948" w:rsidRPr="002D2F50">
        <w:rPr>
          <w:rFonts w:ascii="Arial" w:hAnsi="Arial" w:cs="Arial"/>
          <w:sz w:val="24"/>
          <w:szCs w:val="24"/>
        </w:rPr>
        <w:t>e</w:t>
      </w:r>
      <w:r w:rsidRPr="002D2F50">
        <w:rPr>
          <w:rFonts w:ascii="Arial" w:hAnsi="Arial" w:cs="Arial"/>
          <w:sz w:val="24"/>
          <w:szCs w:val="24"/>
        </w:rPr>
        <w:t>ing is also associated with impaired drug metabolism, decrease</w:t>
      </w:r>
      <w:r w:rsidR="007B0948" w:rsidRPr="002D2F50">
        <w:rPr>
          <w:rFonts w:ascii="Arial" w:hAnsi="Arial" w:cs="Arial"/>
          <w:sz w:val="24"/>
          <w:szCs w:val="24"/>
        </w:rPr>
        <w:t>d</w:t>
      </w:r>
      <w:r w:rsidRPr="002D2F50">
        <w:rPr>
          <w:rFonts w:ascii="Arial" w:hAnsi="Arial" w:cs="Arial"/>
          <w:sz w:val="24"/>
          <w:szCs w:val="24"/>
        </w:rPr>
        <w:t xml:space="preserve"> </w:t>
      </w:r>
      <w:r w:rsidR="00E67C06" w:rsidRPr="002D2F50">
        <w:rPr>
          <w:rFonts w:ascii="Arial" w:hAnsi="Arial" w:cs="Arial"/>
          <w:sz w:val="24"/>
          <w:szCs w:val="24"/>
        </w:rPr>
        <w:t xml:space="preserve">physiological reserve (especially </w:t>
      </w:r>
      <w:r w:rsidRPr="002D2F50">
        <w:rPr>
          <w:rFonts w:ascii="Arial" w:hAnsi="Arial" w:cs="Arial"/>
          <w:sz w:val="24"/>
          <w:szCs w:val="24"/>
        </w:rPr>
        <w:t>renal</w:t>
      </w:r>
      <w:r w:rsidR="004174E2">
        <w:rPr>
          <w:rFonts w:ascii="Arial" w:hAnsi="Arial" w:cs="Arial"/>
          <w:sz w:val="24"/>
          <w:szCs w:val="24"/>
        </w:rPr>
        <w:t>,</w:t>
      </w:r>
      <w:r w:rsidRPr="002D2F50">
        <w:rPr>
          <w:rFonts w:ascii="Arial" w:hAnsi="Arial" w:cs="Arial"/>
          <w:sz w:val="24"/>
          <w:szCs w:val="24"/>
        </w:rPr>
        <w:t xml:space="preserve"> </w:t>
      </w:r>
      <w:r w:rsidR="007B0948" w:rsidRPr="002D2F50">
        <w:rPr>
          <w:rFonts w:ascii="Arial" w:hAnsi="Arial" w:cs="Arial"/>
          <w:sz w:val="24"/>
          <w:szCs w:val="24"/>
        </w:rPr>
        <w:t xml:space="preserve">hepatic </w:t>
      </w:r>
      <w:r w:rsidRPr="002D2F50">
        <w:rPr>
          <w:rFonts w:ascii="Arial" w:hAnsi="Arial" w:cs="Arial"/>
          <w:sz w:val="24"/>
          <w:szCs w:val="24"/>
        </w:rPr>
        <w:t>and cardiovascular</w:t>
      </w:r>
      <w:r w:rsidR="00E67C06" w:rsidRPr="002D2F50">
        <w:rPr>
          <w:rFonts w:ascii="Arial" w:hAnsi="Arial" w:cs="Arial"/>
          <w:sz w:val="24"/>
          <w:szCs w:val="24"/>
        </w:rPr>
        <w:t xml:space="preserve"> function)</w:t>
      </w:r>
      <w:r w:rsidRPr="002D2F50">
        <w:rPr>
          <w:rFonts w:ascii="Arial" w:hAnsi="Arial" w:cs="Arial"/>
          <w:sz w:val="24"/>
          <w:szCs w:val="24"/>
        </w:rPr>
        <w:t xml:space="preserve"> </w:t>
      </w:r>
      <w:r w:rsidR="007B0948" w:rsidRPr="002D2F50">
        <w:rPr>
          <w:rFonts w:ascii="Arial" w:hAnsi="Arial" w:cs="Arial"/>
          <w:sz w:val="24"/>
          <w:szCs w:val="24"/>
        </w:rPr>
        <w:t>and nutritional deficiency. Therefore</w:t>
      </w:r>
      <w:r w:rsidRPr="002D2F50">
        <w:rPr>
          <w:rFonts w:ascii="Arial" w:hAnsi="Arial" w:cs="Arial"/>
          <w:sz w:val="24"/>
          <w:szCs w:val="24"/>
        </w:rPr>
        <w:t xml:space="preserve"> elderly patient</w:t>
      </w:r>
      <w:r w:rsidR="007B0948" w:rsidRPr="002D2F50">
        <w:rPr>
          <w:rFonts w:ascii="Arial" w:hAnsi="Arial" w:cs="Arial"/>
          <w:sz w:val="24"/>
          <w:szCs w:val="24"/>
        </w:rPr>
        <w:t>s are</w:t>
      </w:r>
      <w:r w:rsidRPr="002D2F50">
        <w:rPr>
          <w:rFonts w:ascii="Arial" w:hAnsi="Arial" w:cs="Arial"/>
          <w:sz w:val="24"/>
          <w:szCs w:val="24"/>
        </w:rPr>
        <w:t xml:space="preserve"> </w:t>
      </w:r>
      <w:r w:rsidR="004174E2">
        <w:rPr>
          <w:rFonts w:ascii="Arial" w:hAnsi="Arial" w:cs="Arial"/>
          <w:sz w:val="24"/>
          <w:szCs w:val="24"/>
        </w:rPr>
        <w:t xml:space="preserve">both </w:t>
      </w:r>
      <w:r w:rsidRPr="002D2F50">
        <w:rPr>
          <w:rFonts w:ascii="Arial" w:hAnsi="Arial" w:cs="Arial"/>
          <w:sz w:val="24"/>
          <w:szCs w:val="24"/>
        </w:rPr>
        <w:t xml:space="preserve">more susceptible and less able to tolerate the adverse effects of a given drug. </w:t>
      </w:r>
      <w:r w:rsidR="00F71298" w:rsidRPr="002D2F50">
        <w:rPr>
          <w:rFonts w:ascii="Arial" w:hAnsi="Arial" w:cs="Arial"/>
          <w:sz w:val="24"/>
          <w:szCs w:val="24"/>
        </w:rPr>
        <w:t>Of those drugs relevant to</w:t>
      </w:r>
      <w:r w:rsidR="004174E2">
        <w:rPr>
          <w:rFonts w:ascii="Arial" w:hAnsi="Arial" w:cs="Arial"/>
          <w:sz w:val="24"/>
          <w:szCs w:val="24"/>
        </w:rPr>
        <w:t xml:space="preserve"> anaesthesia, hypnotics, anti</w:t>
      </w:r>
      <w:r w:rsidRPr="002D2F50">
        <w:rPr>
          <w:rFonts w:ascii="Arial" w:hAnsi="Arial" w:cs="Arial"/>
          <w:sz w:val="24"/>
          <w:szCs w:val="24"/>
        </w:rPr>
        <w:t>hypertensives</w:t>
      </w:r>
      <w:r w:rsidR="002E2BFC" w:rsidRPr="002D2F50">
        <w:rPr>
          <w:rFonts w:ascii="Arial" w:hAnsi="Arial" w:cs="Arial"/>
          <w:sz w:val="24"/>
          <w:szCs w:val="24"/>
        </w:rPr>
        <w:t>,</w:t>
      </w:r>
      <w:r w:rsidR="004174E2">
        <w:rPr>
          <w:rFonts w:ascii="Arial" w:hAnsi="Arial" w:cs="Arial"/>
          <w:sz w:val="24"/>
          <w:szCs w:val="24"/>
        </w:rPr>
        <w:t xml:space="preserve"> </w:t>
      </w:r>
      <w:r w:rsidR="002E2BFC" w:rsidRPr="002D2F50">
        <w:rPr>
          <w:rFonts w:ascii="Arial" w:hAnsi="Arial" w:cs="Arial"/>
          <w:sz w:val="24"/>
          <w:szCs w:val="24"/>
        </w:rPr>
        <w:t>anticoagulants and</w:t>
      </w:r>
      <w:r w:rsidR="00CA744A" w:rsidRPr="002D2F50">
        <w:rPr>
          <w:rFonts w:ascii="Arial" w:hAnsi="Arial" w:cs="Arial"/>
          <w:sz w:val="24"/>
          <w:szCs w:val="24"/>
        </w:rPr>
        <w:t xml:space="preserve"> </w:t>
      </w:r>
      <w:r w:rsidRPr="002D2F50">
        <w:rPr>
          <w:rFonts w:ascii="Arial" w:hAnsi="Arial" w:cs="Arial"/>
          <w:sz w:val="24"/>
          <w:szCs w:val="24"/>
        </w:rPr>
        <w:t>NSAIDs are particularly associated with adverse events in the elderly</w:t>
      </w:r>
      <w:r w:rsidR="004174E2">
        <w:rPr>
          <w:rFonts w:ascii="Arial" w:hAnsi="Arial" w:cs="Arial"/>
          <w:sz w:val="24"/>
          <w:szCs w:val="24"/>
        </w:rPr>
        <w:t>.</w:t>
      </w:r>
    </w:p>
    <w:p w:rsidR="006455A1" w:rsidRDefault="006455A1" w:rsidP="002C1DB4">
      <w:pPr>
        <w:spacing w:after="0"/>
        <w:jc w:val="both"/>
        <w:rPr>
          <w:rFonts w:ascii="Arial" w:hAnsi="Arial" w:cs="Arial"/>
          <w:sz w:val="24"/>
          <w:szCs w:val="24"/>
        </w:rPr>
      </w:pPr>
    </w:p>
    <w:p w:rsidR="006455A1" w:rsidRDefault="006455A1" w:rsidP="002C1DB4">
      <w:pPr>
        <w:spacing w:after="0"/>
        <w:jc w:val="both"/>
        <w:rPr>
          <w:rFonts w:ascii="Arial" w:hAnsi="Arial" w:cs="Arial"/>
          <w:sz w:val="24"/>
          <w:szCs w:val="24"/>
        </w:rPr>
      </w:pPr>
    </w:p>
    <w:p w:rsidR="006455A1" w:rsidRDefault="00F33E71" w:rsidP="002C1DB4">
      <w:pPr>
        <w:spacing w:after="0"/>
        <w:jc w:val="both"/>
        <w:rPr>
          <w:rFonts w:ascii="Arial" w:hAnsi="Arial" w:cs="Arial"/>
          <w:i/>
          <w:iCs/>
          <w:sz w:val="24"/>
          <w:szCs w:val="24"/>
        </w:rPr>
      </w:pPr>
      <w:r w:rsidRPr="002D2F50">
        <w:rPr>
          <w:rFonts w:ascii="Arial" w:hAnsi="Arial" w:cs="Arial"/>
          <w:sz w:val="24"/>
          <w:szCs w:val="24"/>
        </w:rPr>
        <w:t>Children, and particularly neonates, hav</w:t>
      </w:r>
      <w:r w:rsidR="007B0948" w:rsidRPr="002D2F50">
        <w:rPr>
          <w:rFonts w:ascii="Arial" w:hAnsi="Arial" w:cs="Arial"/>
          <w:sz w:val="24"/>
          <w:szCs w:val="24"/>
        </w:rPr>
        <w:t>e</w:t>
      </w:r>
      <w:r w:rsidRPr="002D2F50">
        <w:rPr>
          <w:rFonts w:ascii="Arial" w:hAnsi="Arial" w:cs="Arial"/>
          <w:sz w:val="24"/>
          <w:szCs w:val="24"/>
        </w:rPr>
        <w:t xml:space="preserve"> </w:t>
      </w:r>
      <w:r w:rsidR="00F71298" w:rsidRPr="002D2F50">
        <w:rPr>
          <w:rFonts w:ascii="Arial" w:hAnsi="Arial" w:cs="Arial"/>
          <w:sz w:val="24"/>
          <w:szCs w:val="24"/>
        </w:rPr>
        <w:t xml:space="preserve">other physiological differences including </w:t>
      </w:r>
      <w:r w:rsidRPr="002D2F50">
        <w:rPr>
          <w:rFonts w:ascii="Arial" w:hAnsi="Arial" w:cs="Arial"/>
          <w:sz w:val="24"/>
          <w:szCs w:val="24"/>
        </w:rPr>
        <w:t xml:space="preserve">a greater proportion of extravascular total body water, immature renal </w:t>
      </w:r>
      <w:r w:rsidR="00F71298" w:rsidRPr="002D2F50">
        <w:rPr>
          <w:rFonts w:ascii="Arial" w:hAnsi="Arial" w:cs="Arial"/>
          <w:sz w:val="24"/>
          <w:szCs w:val="24"/>
        </w:rPr>
        <w:t>and hepatic function, reduced plasma protein concentrations</w:t>
      </w:r>
      <w:r w:rsidRPr="002D2F50">
        <w:rPr>
          <w:rFonts w:ascii="Arial" w:hAnsi="Arial" w:cs="Arial"/>
          <w:sz w:val="24"/>
          <w:szCs w:val="24"/>
        </w:rPr>
        <w:t xml:space="preserve"> </w:t>
      </w:r>
      <w:r w:rsidR="00F71298" w:rsidRPr="002D2F50">
        <w:rPr>
          <w:rFonts w:ascii="Arial" w:hAnsi="Arial" w:cs="Arial"/>
          <w:sz w:val="24"/>
          <w:szCs w:val="24"/>
        </w:rPr>
        <w:t xml:space="preserve">and </w:t>
      </w:r>
      <w:r w:rsidRPr="002D2F50">
        <w:rPr>
          <w:rFonts w:ascii="Arial" w:hAnsi="Arial" w:cs="Arial"/>
          <w:sz w:val="24"/>
          <w:szCs w:val="24"/>
        </w:rPr>
        <w:t xml:space="preserve">a relatively permeable blood-brain barrier. </w:t>
      </w:r>
      <w:r w:rsidR="007B0948" w:rsidRPr="002D2F50">
        <w:rPr>
          <w:rFonts w:ascii="Arial" w:hAnsi="Arial" w:cs="Arial"/>
          <w:sz w:val="24"/>
          <w:szCs w:val="24"/>
        </w:rPr>
        <w:t>These</w:t>
      </w:r>
      <w:r w:rsidRPr="002D2F50">
        <w:rPr>
          <w:rFonts w:ascii="Arial" w:hAnsi="Arial" w:cs="Arial"/>
          <w:sz w:val="24"/>
          <w:szCs w:val="24"/>
        </w:rPr>
        <w:t xml:space="preserve"> factors contribute to susceptibility to ADRs. Furthermore, children unwell enough to require hospitalisation usually </w:t>
      </w:r>
      <w:r w:rsidR="007B0948" w:rsidRPr="002D2F50">
        <w:rPr>
          <w:rFonts w:ascii="Arial" w:hAnsi="Arial" w:cs="Arial"/>
          <w:sz w:val="24"/>
          <w:szCs w:val="24"/>
        </w:rPr>
        <w:t>require</w:t>
      </w:r>
      <w:r w:rsidRPr="002D2F50">
        <w:rPr>
          <w:rFonts w:ascii="Arial" w:hAnsi="Arial" w:cs="Arial"/>
          <w:sz w:val="24"/>
          <w:szCs w:val="24"/>
        </w:rPr>
        <w:t xml:space="preserve"> multiple drug therap</w:t>
      </w:r>
      <w:r w:rsidR="007B0948" w:rsidRPr="002D2F50">
        <w:rPr>
          <w:rFonts w:ascii="Arial" w:hAnsi="Arial" w:cs="Arial"/>
          <w:sz w:val="24"/>
          <w:szCs w:val="24"/>
        </w:rPr>
        <w:t>y</w:t>
      </w:r>
      <w:r w:rsidR="00EB5A6F" w:rsidRPr="002D2F50">
        <w:rPr>
          <w:rFonts w:ascii="Arial" w:hAnsi="Arial" w:cs="Arial"/>
          <w:sz w:val="24"/>
          <w:szCs w:val="24"/>
        </w:rPr>
        <w:t>,</w:t>
      </w:r>
      <w:r w:rsidRPr="002D2F50">
        <w:rPr>
          <w:rFonts w:ascii="Arial" w:hAnsi="Arial" w:cs="Arial"/>
          <w:sz w:val="24"/>
          <w:szCs w:val="24"/>
        </w:rPr>
        <w:t xml:space="preserve"> which increase</w:t>
      </w:r>
      <w:r w:rsidR="00EB5A6F" w:rsidRPr="002D2F50">
        <w:rPr>
          <w:rFonts w:ascii="Arial" w:hAnsi="Arial" w:cs="Arial"/>
          <w:sz w:val="24"/>
          <w:szCs w:val="24"/>
        </w:rPr>
        <w:t>s</w:t>
      </w:r>
      <w:r w:rsidRPr="002D2F50">
        <w:rPr>
          <w:rFonts w:ascii="Arial" w:hAnsi="Arial" w:cs="Arial"/>
          <w:sz w:val="24"/>
          <w:szCs w:val="24"/>
        </w:rPr>
        <w:t xml:space="preserve"> the risk of adverse events. For some reactions the mechanism is unclear,</w:t>
      </w:r>
      <w:r w:rsidR="004174E2">
        <w:rPr>
          <w:rFonts w:ascii="Arial" w:hAnsi="Arial" w:cs="Arial"/>
          <w:sz w:val="24"/>
          <w:szCs w:val="24"/>
        </w:rPr>
        <w:t xml:space="preserve"> such as</w:t>
      </w:r>
      <w:r w:rsidRPr="002D2F50">
        <w:rPr>
          <w:rFonts w:ascii="Arial" w:hAnsi="Arial" w:cs="Arial"/>
          <w:sz w:val="24"/>
          <w:szCs w:val="24"/>
        </w:rPr>
        <w:t xml:space="preserve"> </w:t>
      </w:r>
      <w:r w:rsidR="003C598C" w:rsidRPr="002D2F50">
        <w:rPr>
          <w:rFonts w:ascii="Arial" w:hAnsi="Arial" w:cs="Arial"/>
          <w:sz w:val="24"/>
          <w:szCs w:val="24"/>
        </w:rPr>
        <w:t>the</w:t>
      </w:r>
      <w:r w:rsidRPr="002D2F50">
        <w:rPr>
          <w:rFonts w:ascii="Arial" w:hAnsi="Arial" w:cs="Arial"/>
          <w:sz w:val="24"/>
          <w:szCs w:val="24"/>
        </w:rPr>
        <w:t xml:space="preserve"> association</w:t>
      </w:r>
      <w:r w:rsidR="003C598C" w:rsidRPr="002D2F50">
        <w:rPr>
          <w:rFonts w:ascii="Arial" w:hAnsi="Arial" w:cs="Arial"/>
          <w:sz w:val="24"/>
          <w:szCs w:val="24"/>
        </w:rPr>
        <w:t xml:space="preserve"> of aspirin</w:t>
      </w:r>
      <w:r w:rsidRPr="002D2F50">
        <w:rPr>
          <w:rFonts w:ascii="Arial" w:hAnsi="Arial" w:cs="Arial"/>
          <w:sz w:val="24"/>
          <w:szCs w:val="24"/>
        </w:rPr>
        <w:t xml:space="preserve"> with Reye’s syndrome. Of concern to anaesthetists is that of the 331 deaths in children reported</w:t>
      </w:r>
      <w:r w:rsidR="006E6B1C" w:rsidRPr="002D2F50">
        <w:rPr>
          <w:rFonts w:ascii="Arial" w:hAnsi="Arial" w:cs="Arial"/>
          <w:sz w:val="24"/>
          <w:szCs w:val="24"/>
        </w:rPr>
        <w:t xml:space="preserve"> to the MHRA</w:t>
      </w:r>
      <w:r w:rsidRPr="002D2F50">
        <w:rPr>
          <w:rFonts w:ascii="Arial" w:hAnsi="Arial" w:cs="Arial"/>
          <w:sz w:val="24"/>
          <w:szCs w:val="24"/>
        </w:rPr>
        <w:t xml:space="preserve"> via the Yellow Card scheme in the UK before the year 2000</w:t>
      </w:r>
      <w:r w:rsidR="008E1F82" w:rsidRPr="002D2F50">
        <w:rPr>
          <w:rFonts w:ascii="Arial" w:hAnsi="Arial" w:cs="Arial"/>
          <w:sz w:val="24"/>
          <w:szCs w:val="24"/>
        </w:rPr>
        <w:t>, 30</w:t>
      </w:r>
      <w:r w:rsidRPr="002D2F50">
        <w:rPr>
          <w:rFonts w:ascii="Arial" w:hAnsi="Arial" w:cs="Arial"/>
          <w:sz w:val="24"/>
          <w:szCs w:val="24"/>
        </w:rPr>
        <w:t xml:space="preserve"> were attributable to anaesthetic agents</w:t>
      </w:r>
      <w:r w:rsidR="004174E2">
        <w:rPr>
          <w:rFonts w:ascii="Arial" w:hAnsi="Arial" w:cs="Arial"/>
          <w:sz w:val="24"/>
          <w:szCs w:val="24"/>
        </w:rPr>
        <w:t>.</w:t>
      </w:r>
      <w:r w:rsidR="0054635C" w:rsidRPr="004174E2">
        <w:rPr>
          <w:rFonts w:ascii="Arial" w:hAnsi="Arial" w:cs="Arial"/>
          <w:sz w:val="24"/>
          <w:szCs w:val="24"/>
          <w:vertAlign w:val="superscript"/>
        </w:rPr>
        <w:t>6</w:t>
      </w:r>
    </w:p>
    <w:p w:rsidR="004174E2" w:rsidRDefault="004174E2" w:rsidP="002C1DB4">
      <w:pPr>
        <w:spacing w:after="0"/>
        <w:jc w:val="both"/>
        <w:rPr>
          <w:rFonts w:ascii="Arial" w:hAnsi="Arial" w:cs="Arial"/>
          <w:b/>
          <w:bCs/>
          <w:sz w:val="24"/>
          <w:szCs w:val="24"/>
        </w:rPr>
      </w:pPr>
    </w:p>
    <w:p w:rsidR="006455A1" w:rsidRPr="002D01A2" w:rsidRDefault="00F33E71" w:rsidP="002C1DB4">
      <w:pPr>
        <w:spacing w:after="0"/>
        <w:jc w:val="both"/>
        <w:rPr>
          <w:rFonts w:ascii="Arial" w:hAnsi="Arial" w:cs="Arial"/>
          <w:i/>
          <w:sz w:val="24"/>
          <w:szCs w:val="24"/>
        </w:rPr>
      </w:pPr>
      <w:r w:rsidRPr="002D01A2">
        <w:rPr>
          <w:rFonts w:ascii="Arial" w:hAnsi="Arial" w:cs="Arial"/>
          <w:b/>
          <w:bCs/>
          <w:i/>
          <w:sz w:val="24"/>
          <w:szCs w:val="24"/>
        </w:rPr>
        <w:t>Polypharmacy</w:t>
      </w:r>
    </w:p>
    <w:p w:rsidR="006455A1" w:rsidRDefault="00F33E71" w:rsidP="002C1DB4">
      <w:pPr>
        <w:spacing w:after="0"/>
        <w:jc w:val="both"/>
        <w:rPr>
          <w:rFonts w:ascii="Arial" w:hAnsi="Arial" w:cs="Arial"/>
          <w:sz w:val="24"/>
          <w:szCs w:val="24"/>
        </w:rPr>
      </w:pPr>
      <w:r w:rsidRPr="002D2F50">
        <w:rPr>
          <w:rFonts w:ascii="Arial" w:hAnsi="Arial" w:cs="Arial"/>
          <w:sz w:val="24"/>
          <w:szCs w:val="24"/>
        </w:rPr>
        <w:t xml:space="preserve">Multiple drug therapy is an independent risk factor for the development of an </w:t>
      </w:r>
      <w:r w:rsidR="00F71298" w:rsidRPr="002D2F50">
        <w:rPr>
          <w:rFonts w:ascii="Arial" w:hAnsi="Arial" w:cs="Arial"/>
          <w:sz w:val="24"/>
          <w:szCs w:val="24"/>
        </w:rPr>
        <w:t>ADR</w:t>
      </w:r>
      <w:r w:rsidR="004174E2">
        <w:rPr>
          <w:rFonts w:ascii="Arial" w:hAnsi="Arial" w:cs="Arial"/>
          <w:sz w:val="24"/>
          <w:szCs w:val="24"/>
        </w:rPr>
        <w:t>.</w:t>
      </w:r>
      <w:r w:rsidRPr="002D2F50">
        <w:rPr>
          <w:rFonts w:ascii="Arial" w:hAnsi="Arial" w:cs="Arial"/>
          <w:sz w:val="24"/>
          <w:szCs w:val="24"/>
        </w:rPr>
        <w:t xml:space="preserve"> </w:t>
      </w:r>
      <w:r w:rsidR="00073022" w:rsidRPr="002D2F50">
        <w:rPr>
          <w:rFonts w:ascii="Arial" w:hAnsi="Arial" w:cs="Arial"/>
          <w:sz w:val="24"/>
          <w:szCs w:val="24"/>
        </w:rPr>
        <w:t>A prospective</w:t>
      </w:r>
      <w:r w:rsidR="00172445" w:rsidRPr="002D2F50">
        <w:rPr>
          <w:rFonts w:ascii="Arial" w:hAnsi="Arial" w:cs="Arial"/>
          <w:sz w:val="24"/>
          <w:szCs w:val="24"/>
        </w:rPr>
        <w:t xml:space="preserve"> analysis of in-hospital ADRs </w:t>
      </w:r>
      <w:r w:rsidR="00530EB9" w:rsidRPr="002D2F50">
        <w:rPr>
          <w:rFonts w:ascii="Arial" w:hAnsi="Arial" w:cs="Arial"/>
          <w:sz w:val="24"/>
          <w:szCs w:val="24"/>
        </w:rPr>
        <w:t xml:space="preserve">in a UK centre </w:t>
      </w:r>
      <w:r w:rsidR="00172445" w:rsidRPr="002D2F50">
        <w:rPr>
          <w:rFonts w:ascii="Arial" w:hAnsi="Arial" w:cs="Arial"/>
          <w:sz w:val="24"/>
          <w:szCs w:val="24"/>
        </w:rPr>
        <w:t xml:space="preserve">demonstrated that </w:t>
      </w:r>
      <w:r w:rsidR="00655F8D">
        <w:rPr>
          <w:rFonts w:ascii="Arial" w:hAnsi="Arial" w:cs="Arial"/>
          <w:sz w:val="24"/>
          <w:szCs w:val="24"/>
        </w:rPr>
        <w:t xml:space="preserve">the </w:t>
      </w:r>
      <w:r w:rsidR="00172445" w:rsidRPr="002D2F50">
        <w:rPr>
          <w:rFonts w:ascii="Arial" w:hAnsi="Arial" w:cs="Arial"/>
          <w:sz w:val="24"/>
          <w:szCs w:val="24"/>
        </w:rPr>
        <w:t xml:space="preserve">addition of </w:t>
      </w:r>
      <w:r w:rsidR="00655F8D">
        <w:rPr>
          <w:rFonts w:ascii="Arial" w:hAnsi="Arial" w:cs="Arial"/>
          <w:sz w:val="24"/>
          <w:szCs w:val="24"/>
        </w:rPr>
        <w:t>each extra</w:t>
      </w:r>
      <w:r w:rsidR="00172445" w:rsidRPr="002D2F50">
        <w:rPr>
          <w:rFonts w:ascii="Arial" w:hAnsi="Arial" w:cs="Arial"/>
          <w:sz w:val="24"/>
          <w:szCs w:val="24"/>
        </w:rPr>
        <w:t xml:space="preserve"> </w:t>
      </w:r>
      <w:r w:rsidR="00655F8D">
        <w:rPr>
          <w:rFonts w:ascii="Arial" w:hAnsi="Arial" w:cs="Arial"/>
          <w:sz w:val="24"/>
          <w:szCs w:val="24"/>
        </w:rPr>
        <w:t>medication</w:t>
      </w:r>
      <w:r w:rsidR="00172445" w:rsidRPr="002D2F50">
        <w:rPr>
          <w:rFonts w:ascii="Arial" w:hAnsi="Arial" w:cs="Arial"/>
          <w:sz w:val="24"/>
          <w:szCs w:val="24"/>
        </w:rPr>
        <w:t xml:space="preserve"> was independently associated with a 1.14 t</w:t>
      </w:r>
      <w:r w:rsidR="00CA744A" w:rsidRPr="002D2F50">
        <w:rPr>
          <w:rFonts w:ascii="Arial" w:hAnsi="Arial" w:cs="Arial"/>
          <w:sz w:val="24"/>
          <w:szCs w:val="24"/>
        </w:rPr>
        <w:t>imes increased hazard of an ADR</w:t>
      </w:r>
      <w:r w:rsidR="004174E2">
        <w:rPr>
          <w:rFonts w:ascii="Arial" w:hAnsi="Arial" w:cs="Arial"/>
          <w:sz w:val="24"/>
          <w:szCs w:val="24"/>
        </w:rPr>
        <w:t>.</w:t>
      </w:r>
      <w:r w:rsidR="001B7546">
        <w:rPr>
          <w:rFonts w:ascii="Arial" w:hAnsi="Arial" w:cs="Arial"/>
          <w:sz w:val="24"/>
          <w:szCs w:val="24"/>
          <w:vertAlign w:val="superscript"/>
        </w:rPr>
        <w:t>7</w:t>
      </w:r>
      <w:r w:rsidR="00DD6034" w:rsidRPr="002D2F50">
        <w:rPr>
          <w:rFonts w:ascii="Arial" w:hAnsi="Arial" w:cs="Arial"/>
          <w:sz w:val="24"/>
          <w:szCs w:val="24"/>
        </w:rPr>
        <w:t xml:space="preserve"> </w:t>
      </w:r>
      <w:r w:rsidR="00530EB9" w:rsidRPr="002D2F50">
        <w:rPr>
          <w:rFonts w:ascii="Arial" w:hAnsi="Arial" w:cs="Arial"/>
          <w:sz w:val="24"/>
          <w:szCs w:val="24"/>
        </w:rPr>
        <w:t xml:space="preserve">Importantly, </w:t>
      </w:r>
      <w:r w:rsidR="00172445" w:rsidRPr="002D2F50">
        <w:rPr>
          <w:rFonts w:ascii="Arial" w:hAnsi="Arial" w:cs="Arial"/>
          <w:sz w:val="24"/>
          <w:szCs w:val="24"/>
        </w:rPr>
        <w:t>additional medication was the only significant predictor of an ADR</w:t>
      </w:r>
      <w:r w:rsidR="00530EB9" w:rsidRPr="002D2F50">
        <w:rPr>
          <w:rFonts w:ascii="Arial" w:hAnsi="Arial" w:cs="Arial"/>
          <w:sz w:val="24"/>
          <w:szCs w:val="24"/>
        </w:rPr>
        <w:t xml:space="preserve"> in this study</w:t>
      </w:r>
      <w:r w:rsidR="00073022" w:rsidRPr="002D2F50">
        <w:rPr>
          <w:rFonts w:ascii="Arial" w:hAnsi="Arial" w:cs="Arial"/>
          <w:sz w:val="24"/>
          <w:szCs w:val="24"/>
        </w:rPr>
        <w:t xml:space="preserve">, and was most frequently associated with diuretics, opioids and anticoagulants. </w:t>
      </w:r>
      <w:r w:rsidR="00530EB9" w:rsidRPr="002D2F50">
        <w:rPr>
          <w:rFonts w:ascii="Arial" w:hAnsi="Arial" w:cs="Arial"/>
          <w:sz w:val="24"/>
          <w:szCs w:val="24"/>
        </w:rPr>
        <w:t xml:space="preserve">The risks associated with polypharmacy are </w:t>
      </w:r>
      <w:r w:rsidRPr="002D2F50">
        <w:rPr>
          <w:rFonts w:ascii="Arial" w:hAnsi="Arial" w:cs="Arial"/>
          <w:sz w:val="24"/>
          <w:szCs w:val="24"/>
        </w:rPr>
        <w:t xml:space="preserve">probably </w:t>
      </w:r>
      <w:r w:rsidR="004174E2">
        <w:rPr>
          <w:rFonts w:ascii="Arial" w:hAnsi="Arial" w:cs="Arial"/>
          <w:sz w:val="24"/>
          <w:szCs w:val="24"/>
        </w:rPr>
        <w:t xml:space="preserve">related to </w:t>
      </w:r>
      <w:r w:rsidRPr="002D2F50">
        <w:rPr>
          <w:rFonts w:ascii="Arial" w:hAnsi="Arial" w:cs="Arial"/>
          <w:sz w:val="24"/>
          <w:szCs w:val="24"/>
        </w:rPr>
        <w:t xml:space="preserve">drug interactions or </w:t>
      </w:r>
      <w:r w:rsidR="00404283" w:rsidRPr="002D2F50">
        <w:rPr>
          <w:rFonts w:ascii="Arial" w:hAnsi="Arial" w:cs="Arial"/>
          <w:sz w:val="24"/>
          <w:szCs w:val="24"/>
        </w:rPr>
        <w:t>altered pharmacokinet</w:t>
      </w:r>
      <w:r w:rsidR="00F71298" w:rsidRPr="002D2F50">
        <w:rPr>
          <w:rFonts w:ascii="Arial" w:hAnsi="Arial" w:cs="Arial"/>
          <w:sz w:val="24"/>
          <w:szCs w:val="24"/>
        </w:rPr>
        <w:t>i</w:t>
      </w:r>
      <w:r w:rsidR="00404283" w:rsidRPr="002D2F50">
        <w:rPr>
          <w:rFonts w:ascii="Arial" w:hAnsi="Arial" w:cs="Arial"/>
          <w:sz w:val="24"/>
          <w:szCs w:val="24"/>
        </w:rPr>
        <w:t>cs</w:t>
      </w:r>
      <w:r w:rsidR="00073022" w:rsidRPr="002D2F50">
        <w:rPr>
          <w:rFonts w:ascii="Arial" w:hAnsi="Arial" w:cs="Arial"/>
          <w:sz w:val="24"/>
          <w:szCs w:val="24"/>
        </w:rPr>
        <w:t xml:space="preserve">, </w:t>
      </w:r>
      <w:r w:rsidR="004174E2">
        <w:rPr>
          <w:rFonts w:ascii="Arial" w:hAnsi="Arial" w:cs="Arial"/>
          <w:sz w:val="24"/>
          <w:szCs w:val="24"/>
        </w:rPr>
        <w:t xml:space="preserve">in addition to </w:t>
      </w:r>
      <w:r w:rsidR="00073022" w:rsidRPr="002D2F50">
        <w:rPr>
          <w:rFonts w:ascii="Arial" w:hAnsi="Arial" w:cs="Arial"/>
          <w:sz w:val="24"/>
          <w:szCs w:val="24"/>
        </w:rPr>
        <w:t>association</w:t>
      </w:r>
      <w:r w:rsidR="004174E2">
        <w:rPr>
          <w:rFonts w:ascii="Arial" w:hAnsi="Arial" w:cs="Arial"/>
          <w:sz w:val="24"/>
          <w:szCs w:val="24"/>
        </w:rPr>
        <w:t>s</w:t>
      </w:r>
      <w:r w:rsidR="00073022" w:rsidRPr="002D2F50">
        <w:rPr>
          <w:rFonts w:ascii="Arial" w:hAnsi="Arial" w:cs="Arial"/>
          <w:sz w:val="24"/>
          <w:szCs w:val="24"/>
        </w:rPr>
        <w:t xml:space="preserve"> with age and disease state</w:t>
      </w:r>
      <w:r w:rsidR="00CA744A" w:rsidRPr="002D2F50">
        <w:rPr>
          <w:rFonts w:ascii="Arial" w:hAnsi="Arial" w:cs="Arial"/>
          <w:sz w:val="24"/>
          <w:szCs w:val="24"/>
        </w:rPr>
        <w:t>.</w:t>
      </w:r>
    </w:p>
    <w:p w:rsidR="00655F8D" w:rsidRDefault="00655F8D" w:rsidP="002C1DB4">
      <w:pPr>
        <w:spacing w:after="0"/>
        <w:jc w:val="both"/>
        <w:rPr>
          <w:rFonts w:ascii="Arial" w:hAnsi="Arial" w:cs="Arial"/>
          <w:sz w:val="24"/>
          <w:szCs w:val="24"/>
        </w:rPr>
      </w:pPr>
    </w:p>
    <w:p w:rsidR="006455A1" w:rsidRPr="002D01A2" w:rsidRDefault="00F33E71" w:rsidP="002C1DB4">
      <w:pPr>
        <w:spacing w:after="0"/>
        <w:jc w:val="both"/>
        <w:rPr>
          <w:rFonts w:ascii="Arial" w:hAnsi="Arial" w:cs="Arial"/>
          <w:b/>
          <w:bCs/>
          <w:i/>
          <w:sz w:val="24"/>
          <w:szCs w:val="24"/>
        </w:rPr>
      </w:pPr>
      <w:r w:rsidRPr="002D01A2">
        <w:rPr>
          <w:rFonts w:ascii="Arial" w:hAnsi="Arial" w:cs="Arial"/>
          <w:b/>
          <w:bCs/>
          <w:i/>
          <w:sz w:val="24"/>
          <w:szCs w:val="24"/>
        </w:rPr>
        <w:t>Disease</w:t>
      </w:r>
    </w:p>
    <w:p w:rsidR="006455A1" w:rsidRDefault="00F33E71" w:rsidP="002C1DB4">
      <w:pPr>
        <w:spacing w:after="0"/>
        <w:jc w:val="both"/>
        <w:rPr>
          <w:rFonts w:ascii="Arial" w:hAnsi="Arial" w:cs="Arial"/>
          <w:sz w:val="24"/>
          <w:szCs w:val="24"/>
        </w:rPr>
      </w:pPr>
      <w:r w:rsidRPr="002D2F50">
        <w:rPr>
          <w:rFonts w:ascii="Arial" w:hAnsi="Arial" w:cs="Arial"/>
          <w:sz w:val="24"/>
          <w:szCs w:val="24"/>
        </w:rPr>
        <w:t xml:space="preserve">The nature or severity of a disease influences </w:t>
      </w:r>
      <w:r w:rsidR="00EB5A6F" w:rsidRPr="002D2F50">
        <w:rPr>
          <w:rFonts w:ascii="Arial" w:hAnsi="Arial" w:cs="Arial"/>
          <w:sz w:val="24"/>
          <w:szCs w:val="24"/>
        </w:rPr>
        <w:t>the pharmacodynamic effects of a drug</w:t>
      </w:r>
      <w:r w:rsidR="00655F8D">
        <w:rPr>
          <w:rFonts w:ascii="Arial" w:hAnsi="Arial" w:cs="Arial"/>
          <w:sz w:val="24"/>
          <w:szCs w:val="24"/>
        </w:rPr>
        <w:t>. For example</w:t>
      </w:r>
      <w:r w:rsidRPr="002D2F50">
        <w:rPr>
          <w:rFonts w:ascii="Arial" w:hAnsi="Arial" w:cs="Arial"/>
          <w:sz w:val="24"/>
          <w:szCs w:val="24"/>
        </w:rPr>
        <w:t xml:space="preserve"> the </w:t>
      </w:r>
      <w:r w:rsidR="00655F8D">
        <w:rPr>
          <w:rFonts w:ascii="Arial" w:hAnsi="Arial" w:cs="Arial"/>
          <w:sz w:val="24"/>
          <w:szCs w:val="24"/>
        </w:rPr>
        <w:t>injection</w:t>
      </w:r>
      <w:r w:rsidRPr="002D2F50">
        <w:rPr>
          <w:rFonts w:ascii="Arial" w:hAnsi="Arial" w:cs="Arial"/>
          <w:sz w:val="24"/>
          <w:szCs w:val="24"/>
        </w:rPr>
        <w:t xml:space="preserve"> of a given dose of propofol in a patient with systemic sepsis is more likely to result in </w:t>
      </w:r>
      <w:r w:rsidR="00EB5A6F" w:rsidRPr="002D2F50">
        <w:rPr>
          <w:rFonts w:ascii="Arial" w:hAnsi="Arial" w:cs="Arial"/>
          <w:sz w:val="24"/>
          <w:szCs w:val="24"/>
        </w:rPr>
        <w:t>hypotension</w:t>
      </w:r>
      <w:r w:rsidR="00530EB9" w:rsidRPr="002D2F50">
        <w:rPr>
          <w:rFonts w:ascii="Arial" w:hAnsi="Arial" w:cs="Arial"/>
          <w:sz w:val="24"/>
          <w:szCs w:val="24"/>
        </w:rPr>
        <w:t xml:space="preserve">; </w:t>
      </w:r>
      <w:r w:rsidR="00655F8D">
        <w:rPr>
          <w:rFonts w:ascii="Arial" w:hAnsi="Arial" w:cs="Arial"/>
          <w:sz w:val="24"/>
          <w:szCs w:val="24"/>
        </w:rPr>
        <w:t xml:space="preserve">and </w:t>
      </w:r>
      <w:r w:rsidR="00EB5A6F" w:rsidRPr="002D2F50">
        <w:rPr>
          <w:rFonts w:ascii="Arial" w:hAnsi="Arial" w:cs="Arial"/>
          <w:sz w:val="24"/>
          <w:szCs w:val="24"/>
        </w:rPr>
        <w:t>respiratory depression is more likely</w:t>
      </w:r>
      <w:r w:rsidR="00404283" w:rsidRPr="002D2F50">
        <w:rPr>
          <w:rFonts w:ascii="Arial" w:hAnsi="Arial" w:cs="Arial"/>
          <w:sz w:val="24"/>
          <w:szCs w:val="24"/>
        </w:rPr>
        <w:t xml:space="preserve"> after morphine</w:t>
      </w:r>
      <w:r w:rsidRPr="002D2F50">
        <w:rPr>
          <w:rFonts w:ascii="Arial" w:hAnsi="Arial" w:cs="Arial"/>
          <w:sz w:val="24"/>
          <w:szCs w:val="24"/>
        </w:rPr>
        <w:t xml:space="preserve"> </w:t>
      </w:r>
      <w:r w:rsidR="00EB5A6F" w:rsidRPr="002D2F50">
        <w:rPr>
          <w:rFonts w:ascii="Arial" w:hAnsi="Arial" w:cs="Arial"/>
          <w:sz w:val="24"/>
          <w:szCs w:val="24"/>
        </w:rPr>
        <w:t xml:space="preserve">in a </w:t>
      </w:r>
      <w:r w:rsidRPr="002D2F50">
        <w:rPr>
          <w:rFonts w:ascii="Arial" w:hAnsi="Arial" w:cs="Arial"/>
          <w:sz w:val="24"/>
          <w:szCs w:val="24"/>
        </w:rPr>
        <w:t xml:space="preserve">patient with renal disease </w:t>
      </w:r>
      <w:r w:rsidR="00EB5A6F" w:rsidRPr="002D2F50">
        <w:rPr>
          <w:rFonts w:ascii="Arial" w:hAnsi="Arial" w:cs="Arial"/>
          <w:sz w:val="24"/>
          <w:szCs w:val="24"/>
        </w:rPr>
        <w:t>compared with the same doses in healthy individuals.</w:t>
      </w:r>
      <w:r w:rsidR="002E2BFC" w:rsidRPr="002D2F50">
        <w:rPr>
          <w:rFonts w:ascii="Arial" w:hAnsi="Arial" w:cs="Arial"/>
          <w:sz w:val="24"/>
          <w:szCs w:val="24"/>
        </w:rPr>
        <w:t xml:space="preserve"> This is important in </w:t>
      </w:r>
      <w:r w:rsidR="00655F8D">
        <w:rPr>
          <w:rFonts w:ascii="Arial" w:hAnsi="Arial" w:cs="Arial"/>
          <w:sz w:val="24"/>
          <w:szCs w:val="24"/>
        </w:rPr>
        <w:t xml:space="preserve">the </w:t>
      </w:r>
      <w:r w:rsidR="002E2BFC" w:rsidRPr="002D2F50">
        <w:rPr>
          <w:rFonts w:ascii="Arial" w:hAnsi="Arial" w:cs="Arial"/>
          <w:sz w:val="24"/>
          <w:szCs w:val="24"/>
        </w:rPr>
        <w:t xml:space="preserve">critically ill where life-threatening adverse drug events are estimated </w:t>
      </w:r>
      <w:r w:rsidR="00655F8D">
        <w:rPr>
          <w:rFonts w:ascii="Arial" w:hAnsi="Arial" w:cs="Arial"/>
          <w:sz w:val="24"/>
          <w:szCs w:val="24"/>
        </w:rPr>
        <w:t xml:space="preserve">to </w:t>
      </w:r>
      <w:r w:rsidR="002E2BFC" w:rsidRPr="002D2F50">
        <w:rPr>
          <w:rFonts w:ascii="Arial" w:hAnsi="Arial" w:cs="Arial"/>
          <w:sz w:val="24"/>
          <w:szCs w:val="24"/>
        </w:rPr>
        <w:t xml:space="preserve">occurring in over </w:t>
      </w:r>
      <w:r w:rsidR="00655F8D">
        <w:rPr>
          <w:rFonts w:ascii="Arial" w:hAnsi="Arial" w:cs="Arial"/>
          <w:sz w:val="24"/>
          <w:szCs w:val="24"/>
        </w:rPr>
        <w:t>20%</w:t>
      </w:r>
      <w:r w:rsidR="002E2BFC" w:rsidRPr="002D2F50">
        <w:rPr>
          <w:rFonts w:ascii="Arial" w:hAnsi="Arial" w:cs="Arial"/>
          <w:sz w:val="24"/>
          <w:szCs w:val="24"/>
        </w:rPr>
        <w:t xml:space="preserve"> of patients. Recent evidence suggests that kidney injury and thrombocytopenia are particularly associated with an increased risk of an ADE. </w:t>
      </w:r>
      <w:r w:rsidR="008E1F82" w:rsidRPr="002D2F50">
        <w:rPr>
          <w:rFonts w:ascii="Arial" w:hAnsi="Arial" w:cs="Arial"/>
          <w:sz w:val="24"/>
          <w:szCs w:val="24"/>
        </w:rPr>
        <w:t>Since</w:t>
      </w:r>
      <w:r w:rsidR="002E2BFC" w:rsidRPr="002D2F50">
        <w:rPr>
          <w:rFonts w:ascii="Arial" w:hAnsi="Arial" w:cs="Arial"/>
          <w:sz w:val="24"/>
          <w:szCs w:val="24"/>
        </w:rPr>
        <w:t xml:space="preserve"> intravenous drugs are also associated with increased risk, it is clear that </w:t>
      </w:r>
      <w:r w:rsidR="00655F8D">
        <w:rPr>
          <w:rFonts w:ascii="Arial" w:hAnsi="Arial" w:cs="Arial"/>
          <w:sz w:val="24"/>
          <w:szCs w:val="24"/>
        </w:rPr>
        <w:t>the critically ill</w:t>
      </w:r>
      <w:r w:rsidR="002E2BFC" w:rsidRPr="002D2F50">
        <w:rPr>
          <w:rFonts w:ascii="Arial" w:hAnsi="Arial" w:cs="Arial"/>
          <w:sz w:val="24"/>
          <w:szCs w:val="24"/>
        </w:rPr>
        <w:t xml:space="preserve"> are particularly susceptible to adverse drug reactions</w:t>
      </w:r>
      <w:r w:rsidR="00655F8D">
        <w:rPr>
          <w:rFonts w:ascii="Arial" w:hAnsi="Arial" w:cs="Arial"/>
          <w:sz w:val="24"/>
          <w:szCs w:val="24"/>
        </w:rPr>
        <w:t>.</w:t>
      </w:r>
      <w:r w:rsidR="00655F8D" w:rsidRPr="00655F8D">
        <w:rPr>
          <w:rFonts w:ascii="Arial" w:hAnsi="Arial" w:cs="Arial"/>
          <w:sz w:val="24"/>
          <w:szCs w:val="24"/>
          <w:vertAlign w:val="superscript"/>
        </w:rPr>
        <w:t xml:space="preserve"> </w:t>
      </w:r>
      <w:r w:rsidR="0054635C" w:rsidRPr="00655F8D">
        <w:rPr>
          <w:rFonts w:ascii="Arial" w:hAnsi="Arial" w:cs="Arial"/>
          <w:sz w:val="24"/>
          <w:szCs w:val="24"/>
          <w:vertAlign w:val="superscript"/>
        </w:rPr>
        <w:t>8</w:t>
      </w:r>
    </w:p>
    <w:p w:rsidR="00655F8D" w:rsidRPr="00655F8D" w:rsidRDefault="00655F8D" w:rsidP="002C1DB4">
      <w:pPr>
        <w:spacing w:after="0"/>
        <w:jc w:val="both"/>
        <w:rPr>
          <w:rFonts w:ascii="Arial" w:hAnsi="Arial" w:cs="Arial"/>
          <w:sz w:val="24"/>
          <w:szCs w:val="24"/>
        </w:rPr>
      </w:pPr>
    </w:p>
    <w:p w:rsidR="006455A1" w:rsidRPr="002D01A2" w:rsidRDefault="002D01A2" w:rsidP="002C1DB4">
      <w:pPr>
        <w:spacing w:after="0"/>
        <w:jc w:val="both"/>
        <w:rPr>
          <w:rFonts w:ascii="Arial" w:hAnsi="Arial" w:cs="Arial"/>
          <w:b/>
          <w:bCs/>
          <w:i/>
          <w:sz w:val="24"/>
          <w:szCs w:val="24"/>
        </w:rPr>
      </w:pPr>
      <w:r>
        <w:rPr>
          <w:rFonts w:ascii="Arial" w:hAnsi="Arial" w:cs="Arial"/>
          <w:b/>
          <w:bCs/>
          <w:i/>
          <w:sz w:val="24"/>
          <w:szCs w:val="24"/>
        </w:rPr>
        <w:lastRenderedPageBreak/>
        <w:t>Pharmacogenetic factors</w:t>
      </w:r>
    </w:p>
    <w:p w:rsidR="006455A1" w:rsidRDefault="00F33E71" w:rsidP="002C1DB4">
      <w:pPr>
        <w:spacing w:after="0"/>
        <w:jc w:val="both"/>
        <w:rPr>
          <w:rFonts w:ascii="Arial" w:hAnsi="Arial" w:cs="Arial"/>
          <w:sz w:val="24"/>
          <w:szCs w:val="24"/>
        </w:rPr>
      </w:pPr>
      <w:r w:rsidRPr="002D2F50">
        <w:rPr>
          <w:rFonts w:ascii="Arial" w:hAnsi="Arial" w:cs="Arial"/>
          <w:sz w:val="24"/>
          <w:szCs w:val="24"/>
        </w:rPr>
        <w:t>In addition to the effects of age, disease or physiology, genetic factors are involved in some ADRs. Examples include G6PD deficiency, acute intermittent porphyria, and ‘slow acetylators’. These predispositions are also associated with geographic and ethnic variability and can influence the choice of medication</w:t>
      </w:r>
      <w:r w:rsidR="00A904DC" w:rsidRPr="002D2F50">
        <w:rPr>
          <w:rFonts w:ascii="Arial" w:hAnsi="Arial" w:cs="Arial"/>
          <w:sz w:val="24"/>
          <w:szCs w:val="24"/>
        </w:rPr>
        <w:t xml:space="preserve"> (Table 3)</w:t>
      </w:r>
      <w:r w:rsidRPr="002D2F50">
        <w:rPr>
          <w:rFonts w:ascii="Arial" w:hAnsi="Arial" w:cs="Arial"/>
          <w:sz w:val="24"/>
          <w:szCs w:val="24"/>
        </w:rPr>
        <w:t>.</w:t>
      </w:r>
    </w:p>
    <w:p w:rsidR="00655F8D" w:rsidRDefault="00655F8D" w:rsidP="002C1DB4">
      <w:pPr>
        <w:spacing w:after="0"/>
        <w:jc w:val="both"/>
        <w:rPr>
          <w:rFonts w:ascii="Arial" w:hAnsi="Arial" w:cs="Arial"/>
          <w:sz w:val="24"/>
          <w:szCs w:val="24"/>
        </w:rPr>
      </w:pPr>
    </w:p>
    <w:p w:rsidR="006455A1" w:rsidRDefault="00F33E71" w:rsidP="002C1DB4">
      <w:pPr>
        <w:spacing w:after="0"/>
        <w:jc w:val="both"/>
        <w:rPr>
          <w:rFonts w:ascii="Arial" w:hAnsi="Arial" w:cs="Arial"/>
          <w:sz w:val="24"/>
          <w:szCs w:val="24"/>
        </w:rPr>
      </w:pPr>
      <w:r w:rsidRPr="002D2F50">
        <w:rPr>
          <w:rFonts w:ascii="Arial" w:hAnsi="Arial" w:cs="Arial"/>
          <w:sz w:val="24"/>
          <w:szCs w:val="24"/>
        </w:rPr>
        <w:t xml:space="preserve">Drug metabolism seems particularly subject to genetic variance with considerable heterogeneity seen in the liver microsomal cytochrome P450 system. </w:t>
      </w:r>
      <w:r w:rsidR="00E67C06" w:rsidRPr="002D2F50">
        <w:rPr>
          <w:rFonts w:ascii="Arial" w:hAnsi="Arial" w:cs="Arial"/>
          <w:sz w:val="24"/>
          <w:szCs w:val="24"/>
        </w:rPr>
        <w:t>The</w:t>
      </w:r>
      <w:r w:rsidRPr="002D2F50">
        <w:rPr>
          <w:rFonts w:ascii="Arial" w:hAnsi="Arial" w:cs="Arial"/>
          <w:sz w:val="24"/>
          <w:szCs w:val="24"/>
        </w:rPr>
        <w:t xml:space="preserve"> CYP2D6 </w:t>
      </w:r>
      <w:r w:rsidR="00E67C06" w:rsidRPr="002D2F50">
        <w:rPr>
          <w:rFonts w:ascii="Arial" w:hAnsi="Arial" w:cs="Arial"/>
          <w:sz w:val="24"/>
          <w:szCs w:val="24"/>
        </w:rPr>
        <w:t xml:space="preserve">subtype is especially relevant and </w:t>
      </w:r>
      <w:r w:rsidRPr="002D2F50">
        <w:rPr>
          <w:rFonts w:ascii="Arial" w:hAnsi="Arial" w:cs="Arial"/>
          <w:sz w:val="24"/>
          <w:szCs w:val="24"/>
        </w:rPr>
        <w:t xml:space="preserve">is involved in the metabolism of many drugs including codeine, tramadol, ondansetron and beta-blockers. </w:t>
      </w:r>
      <w:r w:rsidR="001B3F8C" w:rsidRPr="002D2F50">
        <w:rPr>
          <w:rFonts w:ascii="Arial" w:hAnsi="Arial" w:cs="Arial"/>
          <w:sz w:val="24"/>
          <w:szCs w:val="24"/>
        </w:rPr>
        <w:t>Individuals can be classed as having poor, intermediate, extensive (normal) or ultra</w:t>
      </w:r>
      <w:r w:rsidR="00914E16" w:rsidRPr="002D2F50">
        <w:rPr>
          <w:rFonts w:ascii="Arial" w:hAnsi="Arial" w:cs="Arial"/>
          <w:sz w:val="24"/>
          <w:szCs w:val="24"/>
        </w:rPr>
        <w:t>-</w:t>
      </w:r>
      <w:r w:rsidR="001B3F8C" w:rsidRPr="002D2F50">
        <w:rPr>
          <w:rFonts w:ascii="Arial" w:hAnsi="Arial" w:cs="Arial"/>
          <w:sz w:val="24"/>
          <w:szCs w:val="24"/>
        </w:rPr>
        <w:t xml:space="preserve">rapid CYP2D6 metabolic activity. For example, </w:t>
      </w:r>
      <w:r w:rsidR="00DC4721" w:rsidRPr="002D2F50">
        <w:rPr>
          <w:rFonts w:ascii="Arial" w:hAnsi="Arial" w:cs="Arial"/>
          <w:sz w:val="24"/>
          <w:szCs w:val="24"/>
        </w:rPr>
        <w:t>poor CYP2D6 metabolism is commoner in Black patients than Caucasian, resulting in reduced effectiveness of codeine (dependent on CYP2D6 for its conversion to morphine). Chinese patients demonstrate extensive metabolism, but activity remains lower compared with Caucasians. Furthermore, 1 – 10% of Caucasians carry extra CYP2D6 genes associated with ultra-rapid metabolism. The net effect is overall CYP2D6 activity is generally lower in Chinese and other East-Asian populations.</w:t>
      </w:r>
    </w:p>
    <w:p w:rsidR="00655F8D" w:rsidRDefault="00655F8D" w:rsidP="002C1DB4">
      <w:pPr>
        <w:spacing w:after="0"/>
        <w:jc w:val="both"/>
        <w:rPr>
          <w:rFonts w:ascii="Arial" w:hAnsi="Arial" w:cs="Arial"/>
          <w:sz w:val="24"/>
          <w:szCs w:val="24"/>
        </w:rPr>
      </w:pPr>
    </w:p>
    <w:p w:rsidR="006455A1" w:rsidRDefault="00F33E71" w:rsidP="00930DD7">
      <w:pPr>
        <w:spacing w:after="0"/>
        <w:jc w:val="both"/>
        <w:rPr>
          <w:rFonts w:ascii="Arial" w:hAnsi="Arial" w:cs="Arial"/>
          <w:sz w:val="24"/>
          <w:szCs w:val="24"/>
        </w:rPr>
      </w:pPr>
      <w:r w:rsidRPr="002D2F50">
        <w:rPr>
          <w:rFonts w:ascii="Arial" w:hAnsi="Arial" w:cs="Arial"/>
          <w:sz w:val="24"/>
          <w:szCs w:val="24"/>
        </w:rPr>
        <w:t xml:space="preserve">CYP2C19 </w:t>
      </w:r>
      <w:r w:rsidR="00DC4721" w:rsidRPr="002D2F50">
        <w:rPr>
          <w:rFonts w:ascii="Arial" w:hAnsi="Arial" w:cs="Arial"/>
          <w:sz w:val="24"/>
          <w:szCs w:val="24"/>
        </w:rPr>
        <w:t xml:space="preserve">and CYP2C9 </w:t>
      </w:r>
      <w:r w:rsidRPr="002D2F50">
        <w:rPr>
          <w:rFonts w:ascii="Arial" w:hAnsi="Arial" w:cs="Arial"/>
          <w:sz w:val="24"/>
          <w:szCs w:val="24"/>
        </w:rPr>
        <w:t xml:space="preserve">also demonstrate geographic polymorphism. </w:t>
      </w:r>
      <w:r w:rsidR="00D87174" w:rsidRPr="002D2F50">
        <w:rPr>
          <w:rFonts w:ascii="Arial" w:hAnsi="Arial" w:cs="Arial"/>
          <w:sz w:val="24"/>
          <w:szCs w:val="24"/>
        </w:rPr>
        <w:t xml:space="preserve">CYP2C19 is </w:t>
      </w:r>
      <w:r w:rsidR="00DC4721" w:rsidRPr="002D2F50">
        <w:rPr>
          <w:rFonts w:ascii="Arial" w:hAnsi="Arial" w:cs="Arial"/>
          <w:sz w:val="24"/>
          <w:szCs w:val="24"/>
        </w:rPr>
        <w:t>important for</w:t>
      </w:r>
      <w:r w:rsidRPr="002D2F50">
        <w:rPr>
          <w:rFonts w:ascii="Arial" w:hAnsi="Arial" w:cs="Arial"/>
          <w:sz w:val="24"/>
          <w:szCs w:val="24"/>
        </w:rPr>
        <w:t xml:space="preserve"> metabolis</w:t>
      </w:r>
      <w:r w:rsidR="00DC4721" w:rsidRPr="002D2F50">
        <w:rPr>
          <w:rFonts w:ascii="Arial" w:hAnsi="Arial" w:cs="Arial"/>
          <w:sz w:val="24"/>
          <w:szCs w:val="24"/>
        </w:rPr>
        <w:t>ing</w:t>
      </w:r>
      <w:r w:rsidRPr="002D2F50">
        <w:rPr>
          <w:rFonts w:ascii="Arial" w:hAnsi="Arial" w:cs="Arial"/>
          <w:sz w:val="24"/>
          <w:szCs w:val="24"/>
        </w:rPr>
        <w:t xml:space="preserve"> </w:t>
      </w:r>
      <w:r w:rsidR="006E6B1C" w:rsidRPr="002D2F50">
        <w:rPr>
          <w:rFonts w:ascii="Arial" w:hAnsi="Arial" w:cs="Arial"/>
          <w:sz w:val="24"/>
          <w:szCs w:val="24"/>
        </w:rPr>
        <w:t>tricyclic</w:t>
      </w:r>
      <w:r w:rsidR="00CE5A6F" w:rsidRPr="002D2F50">
        <w:rPr>
          <w:rFonts w:ascii="Arial" w:hAnsi="Arial" w:cs="Arial"/>
          <w:sz w:val="24"/>
          <w:szCs w:val="24"/>
        </w:rPr>
        <w:t xml:space="preserve"> </w:t>
      </w:r>
      <w:r w:rsidRPr="002D2F50">
        <w:rPr>
          <w:rFonts w:ascii="Arial" w:hAnsi="Arial" w:cs="Arial"/>
          <w:sz w:val="24"/>
          <w:szCs w:val="24"/>
        </w:rPr>
        <w:t>antidepressants</w:t>
      </w:r>
      <w:r w:rsidR="00930DD7" w:rsidRPr="002D2F50">
        <w:rPr>
          <w:rFonts w:ascii="Arial" w:hAnsi="Arial" w:cs="Arial"/>
          <w:sz w:val="24"/>
          <w:szCs w:val="24"/>
        </w:rPr>
        <w:t>,</w:t>
      </w:r>
      <w:r w:rsidR="00914E16" w:rsidRPr="002D2F50">
        <w:rPr>
          <w:rFonts w:ascii="Arial" w:hAnsi="Arial" w:cs="Arial"/>
          <w:sz w:val="24"/>
          <w:szCs w:val="24"/>
        </w:rPr>
        <w:t xml:space="preserve"> </w:t>
      </w:r>
      <w:r w:rsidRPr="002D2F50">
        <w:rPr>
          <w:rFonts w:ascii="Arial" w:hAnsi="Arial" w:cs="Arial"/>
          <w:sz w:val="24"/>
          <w:szCs w:val="24"/>
        </w:rPr>
        <w:t>diazepam</w:t>
      </w:r>
      <w:r w:rsidR="00930DD7" w:rsidRPr="002D2F50">
        <w:rPr>
          <w:rFonts w:ascii="Arial" w:hAnsi="Arial" w:cs="Arial"/>
          <w:sz w:val="24"/>
          <w:szCs w:val="24"/>
        </w:rPr>
        <w:t xml:space="preserve"> and clopidogrel, whilst CYP2C9 metabolises NSAIDs and warfarin.</w:t>
      </w:r>
      <w:r w:rsidR="00CE5A6F" w:rsidRPr="002D2F50">
        <w:rPr>
          <w:rFonts w:ascii="Arial" w:hAnsi="Arial" w:cs="Arial"/>
          <w:sz w:val="24"/>
          <w:szCs w:val="24"/>
        </w:rPr>
        <w:t xml:space="preserve"> </w:t>
      </w:r>
      <w:r w:rsidR="00930DD7" w:rsidRPr="002D2F50">
        <w:rPr>
          <w:rFonts w:ascii="Arial" w:hAnsi="Arial" w:cs="Arial"/>
          <w:sz w:val="24"/>
          <w:szCs w:val="24"/>
        </w:rPr>
        <w:t>CYP</w:t>
      </w:r>
      <w:r w:rsidR="004C25D0" w:rsidRPr="002D2F50">
        <w:rPr>
          <w:rFonts w:ascii="Arial" w:hAnsi="Arial" w:cs="Arial"/>
          <w:sz w:val="24"/>
          <w:szCs w:val="24"/>
        </w:rPr>
        <w:t>2</w:t>
      </w:r>
      <w:r w:rsidR="00930DD7" w:rsidRPr="002D2F50">
        <w:rPr>
          <w:rFonts w:ascii="Arial" w:hAnsi="Arial" w:cs="Arial"/>
          <w:sz w:val="24"/>
          <w:szCs w:val="24"/>
        </w:rPr>
        <w:t>C19 function is absent in 30% of Chinese people compared with 15% Caucasian, with genotyping being recommended by the American Heart Association and American College of Cardiology for those at high cardiovascular risk being treated with clopidogrel.</w:t>
      </w:r>
      <w:r w:rsidR="004C25D0" w:rsidRPr="002D2F50">
        <w:rPr>
          <w:rFonts w:ascii="Arial" w:hAnsi="Arial" w:cs="Arial"/>
          <w:sz w:val="24"/>
          <w:szCs w:val="24"/>
        </w:rPr>
        <w:t xml:space="preserve"> Similarly CYP2C9 shows significant heterogeneity</w:t>
      </w:r>
      <w:r w:rsidR="00CE5A6F" w:rsidRPr="002D2F50">
        <w:rPr>
          <w:rFonts w:ascii="Arial" w:hAnsi="Arial" w:cs="Arial"/>
          <w:sz w:val="24"/>
          <w:szCs w:val="24"/>
        </w:rPr>
        <w:t xml:space="preserve">: activity is more frequently reduced in Western </w:t>
      </w:r>
      <w:r w:rsidR="00FE3007" w:rsidRPr="002D2F50">
        <w:rPr>
          <w:rFonts w:ascii="Arial" w:hAnsi="Arial" w:cs="Arial"/>
          <w:sz w:val="24"/>
          <w:szCs w:val="24"/>
        </w:rPr>
        <w:t>compared with Japanese</w:t>
      </w:r>
      <w:r w:rsidR="00FE3007" w:rsidRPr="002D2F50">
        <w:rPr>
          <w:rFonts w:ascii="Arial" w:hAnsi="Arial" w:cs="Arial"/>
          <w:sz w:val="24"/>
          <w:szCs w:val="24"/>
        </w:rPr>
        <w:t xml:space="preserve"> </w:t>
      </w:r>
      <w:r w:rsidR="00CE5A6F" w:rsidRPr="002D2F50">
        <w:rPr>
          <w:rFonts w:ascii="Arial" w:hAnsi="Arial" w:cs="Arial"/>
          <w:sz w:val="24"/>
          <w:szCs w:val="24"/>
        </w:rPr>
        <w:t>populations, leading to increased warfarin dosing.</w:t>
      </w:r>
    </w:p>
    <w:p w:rsidR="00655F8D" w:rsidRDefault="00655F8D" w:rsidP="00930DD7">
      <w:pPr>
        <w:spacing w:after="0"/>
        <w:jc w:val="both"/>
        <w:rPr>
          <w:rFonts w:ascii="Arial" w:hAnsi="Arial" w:cs="Arial"/>
          <w:sz w:val="24"/>
          <w:szCs w:val="24"/>
        </w:rPr>
      </w:pPr>
    </w:p>
    <w:p w:rsidR="006455A1" w:rsidRDefault="00F33E71" w:rsidP="002C1DB4">
      <w:pPr>
        <w:spacing w:after="0"/>
        <w:jc w:val="both"/>
        <w:rPr>
          <w:rFonts w:ascii="Arial" w:hAnsi="Arial" w:cs="Arial"/>
          <w:sz w:val="24"/>
          <w:szCs w:val="24"/>
        </w:rPr>
      </w:pPr>
      <w:r w:rsidRPr="002D2F50">
        <w:rPr>
          <w:rFonts w:ascii="Arial" w:hAnsi="Arial" w:cs="Arial"/>
          <w:sz w:val="24"/>
          <w:szCs w:val="24"/>
        </w:rPr>
        <w:t>Many more microsomal polymorphisms exist.</w:t>
      </w:r>
      <w:r w:rsidR="00CE5A6F" w:rsidRPr="002D2F50">
        <w:rPr>
          <w:rFonts w:ascii="Arial" w:hAnsi="Arial" w:cs="Arial"/>
          <w:sz w:val="24"/>
          <w:szCs w:val="24"/>
        </w:rPr>
        <w:t xml:space="preserve"> For example, CYP3A4 is involved in the metabolism of opioids, local anaesthetics and benzodiazepines. However, although variants of </w:t>
      </w:r>
      <w:r w:rsidR="009A166E" w:rsidRPr="002D2F50">
        <w:rPr>
          <w:rFonts w:ascii="Arial" w:hAnsi="Arial" w:cs="Arial"/>
          <w:sz w:val="24"/>
          <w:szCs w:val="24"/>
        </w:rPr>
        <w:t xml:space="preserve">CYP3A4 </w:t>
      </w:r>
      <w:r w:rsidR="00CE5A6F" w:rsidRPr="002D2F50">
        <w:rPr>
          <w:rFonts w:ascii="Arial" w:hAnsi="Arial" w:cs="Arial"/>
          <w:sz w:val="24"/>
          <w:szCs w:val="24"/>
        </w:rPr>
        <w:t xml:space="preserve">are relatively frequent, they are not recognised as being clinically significant. </w:t>
      </w:r>
      <w:r w:rsidR="009A166E" w:rsidRPr="002D2F50">
        <w:rPr>
          <w:rFonts w:ascii="Arial" w:hAnsi="Arial" w:cs="Arial"/>
          <w:sz w:val="24"/>
          <w:szCs w:val="24"/>
        </w:rPr>
        <w:t>Alfentanil is metabolised by both CYP3A4 and</w:t>
      </w:r>
      <w:r w:rsidR="00CE5A6F" w:rsidRPr="002D2F50">
        <w:rPr>
          <w:rFonts w:ascii="Arial" w:hAnsi="Arial" w:cs="Arial"/>
          <w:sz w:val="24"/>
          <w:szCs w:val="24"/>
        </w:rPr>
        <w:t xml:space="preserve"> CYP3A5 </w:t>
      </w:r>
      <w:r w:rsidR="009A166E" w:rsidRPr="002D2F50">
        <w:rPr>
          <w:rFonts w:ascii="Arial" w:hAnsi="Arial" w:cs="Arial"/>
          <w:sz w:val="24"/>
          <w:szCs w:val="24"/>
        </w:rPr>
        <w:t>enzymes, and the latter might contribute to interindividual variability in its metabolism</w:t>
      </w:r>
      <w:r w:rsidR="00655F8D">
        <w:rPr>
          <w:rFonts w:ascii="Arial" w:hAnsi="Arial" w:cs="Arial"/>
          <w:sz w:val="24"/>
          <w:szCs w:val="24"/>
        </w:rPr>
        <w:t xml:space="preserve">. </w:t>
      </w:r>
    </w:p>
    <w:p w:rsidR="00655F8D" w:rsidRDefault="00655F8D" w:rsidP="002C1DB4">
      <w:pPr>
        <w:spacing w:after="0"/>
        <w:jc w:val="both"/>
        <w:rPr>
          <w:rFonts w:ascii="Arial" w:hAnsi="Arial" w:cs="Arial"/>
          <w:sz w:val="24"/>
          <w:szCs w:val="24"/>
        </w:rPr>
      </w:pPr>
    </w:p>
    <w:p w:rsidR="006455A1" w:rsidRDefault="00F33E71" w:rsidP="002C1DB4">
      <w:pPr>
        <w:spacing w:after="0"/>
        <w:jc w:val="both"/>
        <w:rPr>
          <w:rFonts w:ascii="Arial" w:hAnsi="Arial" w:cs="Arial"/>
          <w:sz w:val="24"/>
          <w:szCs w:val="24"/>
        </w:rPr>
      </w:pPr>
      <w:r w:rsidRPr="002D2F50">
        <w:rPr>
          <w:rFonts w:ascii="Arial" w:hAnsi="Arial" w:cs="Arial"/>
          <w:sz w:val="24"/>
          <w:szCs w:val="24"/>
        </w:rPr>
        <w:t xml:space="preserve">Genetic polymorphisms </w:t>
      </w:r>
      <w:r w:rsidR="00EB5A6F" w:rsidRPr="002D2F50">
        <w:rPr>
          <w:rFonts w:ascii="Arial" w:hAnsi="Arial" w:cs="Arial"/>
          <w:sz w:val="24"/>
          <w:szCs w:val="24"/>
        </w:rPr>
        <w:t xml:space="preserve">also </w:t>
      </w:r>
      <w:r w:rsidRPr="002D2F50">
        <w:rPr>
          <w:rFonts w:ascii="Arial" w:hAnsi="Arial" w:cs="Arial"/>
          <w:sz w:val="24"/>
          <w:szCs w:val="24"/>
        </w:rPr>
        <w:t>affect other aspects of drug action, for example cellular transport mechanisms, uptake pathways and receptor structure. The beta</w:t>
      </w:r>
      <w:r w:rsidRPr="002D2F50">
        <w:rPr>
          <w:rFonts w:ascii="Arial" w:hAnsi="Arial" w:cs="Arial"/>
          <w:sz w:val="24"/>
          <w:szCs w:val="24"/>
          <w:vertAlign w:val="subscript"/>
        </w:rPr>
        <w:t>2</w:t>
      </w:r>
      <w:r w:rsidRPr="002D2F50">
        <w:rPr>
          <w:rFonts w:ascii="Arial" w:hAnsi="Arial" w:cs="Arial"/>
          <w:sz w:val="24"/>
          <w:szCs w:val="24"/>
        </w:rPr>
        <w:t xml:space="preserve"> adrenergic receptor is one of the best studied</w:t>
      </w:r>
      <w:r w:rsidR="00655F8D">
        <w:rPr>
          <w:rFonts w:ascii="Arial" w:hAnsi="Arial" w:cs="Arial"/>
          <w:sz w:val="24"/>
          <w:szCs w:val="24"/>
        </w:rPr>
        <w:t>:</w:t>
      </w:r>
      <w:r w:rsidRPr="002D2F50">
        <w:rPr>
          <w:rFonts w:ascii="Arial" w:hAnsi="Arial" w:cs="Arial"/>
          <w:sz w:val="24"/>
          <w:szCs w:val="24"/>
        </w:rPr>
        <w:t xml:space="preserve"> mutations in structure can attenuate the effectiveness of bronchodilator therapy as well influence disease </w:t>
      </w:r>
      <w:r w:rsidR="00471066" w:rsidRPr="002D2F50">
        <w:rPr>
          <w:rFonts w:ascii="Arial" w:hAnsi="Arial" w:cs="Arial"/>
          <w:sz w:val="24"/>
          <w:szCs w:val="24"/>
        </w:rPr>
        <w:t xml:space="preserve">severity. </w:t>
      </w:r>
      <w:r w:rsidRPr="002D2F50">
        <w:rPr>
          <w:rFonts w:ascii="Arial" w:hAnsi="Arial" w:cs="Arial"/>
          <w:sz w:val="24"/>
          <w:szCs w:val="24"/>
        </w:rPr>
        <w:t>Within anaesthesia, a genetic mutation in the coding for the ryanodine receptor part</w:t>
      </w:r>
      <w:r w:rsidR="00D87174" w:rsidRPr="002D2F50">
        <w:rPr>
          <w:rFonts w:ascii="Arial" w:hAnsi="Arial" w:cs="Arial"/>
          <w:sz w:val="24"/>
          <w:szCs w:val="24"/>
        </w:rPr>
        <w:t>ly</w:t>
      </w:r>
      <w:r w:rsidRPr="002D2F50">
        <w:rPr>
          <w:rFonts w:ascii="Arial" w:hAnsi="Arial" w:cs="Arial"/>
          <w:sz w:val="24"/>
          <w:szCs w:val="24"/>
        </w:rPr>
        <w:t xml:space="preserve"> accounts for susceptibility to malignant hyperthermia in response to inhalational anaesthetic</w:t>
      </w:r>
      <w:r w:rsidR="00D87174" w:rsidRPr="002D2F50">
        <w:rPr>
          <w:rFonts w:ascii="Arial" w:hAnsi="Arial" w:cs="Arial"/>
          <w:sz w:val="24"/>
          <w:szCs w:val="24"/>
        </w:rPr>
        <w:t>s</w:t>
      </w:r>
      <w:r w:rsidRPr="002D2F50">
        <w:rPr>
          <w:rFonts w:ascii="Arial" w:hAnsi="Arial" w:cs="Arial"/>
          <w:sz w:val="24"/>
          <w:szCs w:val="24"/>
        </w:rPr>
        <w:t>.</w:t>
      </w:r>
      <w:r w:rsidR="007C1D9E" w:rsidRPr="002D2F50">
        <w:rPr>
          <w:rFonts w:ascii="Arial" w:hAnsi="Arial" w:cs="Arial"/>
          <w:sz w:val="24"/>
          <w:szCs w:val="24"/>
        </w:rPr>
        <w:t xml:space="preserve"> </w:t>
      </w:r>
      <w:r w:rsidR="00655F8D">
        <w:rPr>
          <w:rFonts w:ascii="Arial" w:hAnsi="Arial" w:cs="Arial"/>
          <w:sz w:val="24"/>
          <w:szCs w:val="24"/>
        </w:rPr>
        <w:t>M</w:t>
      </w:r>
      <w:r w:rsidR="00655F8D" w:rsidRPr="002D2F50">
        <w:rPr>
          <w:rFonts w:ascii="Arial" w:hAnsi="Arial" w:cs="Arial"/>
          <w:sz w:val="24"/>
          <w:szCs w:val="24"/>
        </w:rPr>
        <w:t>icrosomal polymorphisms could account for some of the observed variations in pharmacodynamic responses to opioids and intravenous anaesthetics.</w:t>
      </w:r>
      <w:r w:rsidR="00655F8D">
        <w:rPr>
          <w:rFonts w:ascii="Arial" w:hAnsi="Arial" w:cs="Arial"/>
          <w:sz w:val="24"/>
          <w:szCs w:val="24"/>
        </w:rPr>
        <w:t xml:space="preserve"> </w:t>
      </w:r>
      <w:r w:rsidR="007C1D9E" w:rsidRPr="002D2F50">
        <w:rPr>
          <w:rFonts w:ascii="Arial" w:hAnsi="Arial" w:cs="Arial"/>
          <w:sz w:val="24"/>
          <w:szCs w:val="24"/>
        </w:rPr>
        <w:t xml:space="preserve">The MOP opioid receptor (formerly µ) is polymorphic, with carriers of the abnormal G118 allele having a decreased response to opioids (both analgesia and </w:t>
      </w:r>
      <w:r w:rsidR="00655F8D">
        <w:rPr>
          <w:rFonts w:ascii="Arial" w:hAnsi="Arial" w:cs="Arial"/>
          <w:sz w:val="24"/>
          <w:szCs w:val="24"/>
        </w:rPr>
        <w:t>adverse</w:t>
      </w:r>
      <w:r w:rsidR="007C1D9E" w:rsidRPr="002D2F50">
        <w:rPr>
          <w:rFonts w:ascii="Arial" w:hAnsi="Arial" w:cs="Arial"/>
          <w:sz w:val="24"/>
          <w:szCs w:val="24"/>
        </w:rPr>
        <w:t xml:space="preserve"> effects).</w:t>
      </w:r>
    </w:p>
    <w:p w:rsidR="00655F8D" w:rsidRDefault="00655F8D" w:rsidP="002C1DB4">
      <w:pPr>
        <w:spacing w:after="0"/>
        <w:jc w:val="both"/>
        <w:rPr>
          <w:rFonts w:ascii="Arial" w:hAnsi="Arial" w:cs="Arial"/>
          <w:sz w:val="24"/>
          <w:szCs w:val="24"/>
        </w:rPr>
      </w:pPr>
    </w:p>
    <w:p w:rsidR="00F17129" w:rsidRPr="002D01A2" w:rsidRDefault="00F17129" w:rsidP="002C1DB4">
      <w:pPr>
        <w:spacing w:after="0"/>
        <w:jc w:val="both"/>
        <w:rPr>
          <w:rFonts w:ascii="Arial" w:hAnsi="Arial" w:cs="Arial"/>
          <w:i/>
          <w:sz w:val="24"/>
          <w:szCs w:val="24"/>
        </w:rPr>
      </w:pPr>
      <w:r w:rsidRPr="002D01A2">
        <w:rPr>
          <w:rFonts w:ascii="Arial" w:hAnsi="Arial" w:cs="Arial"/>
          <w:b/>
          <w:bCs/>
          <w:i/>
          <w:sz w:val="24"/>
          <w:szCs w:val="24"/>
        </w:rPr>
        <w:t>Sex</w:t>
      </w:r>
    </w:p>
    <w:p w:rsidR="006455A1" w:rsidRDefault="00F33E71" w:rsidP="002C1DB4">
      <w:pPr>
        <w:spacing w:after="0"/>
        <w:jc w:val="both"/>
        <w:rPr>
          <w:rFonts w:ascii="Arial" w:hAnsi="Arial" w:cs="Arial"/>
          <w:sz w:val="24"/>
          <w:szCs w:val="24"/>
        </w:rPr>
      </w:pPr>
      <w:r w:rsidRPr="002D2F50">
        <w:rPr>
          <w:rFonts w:ascii="Arial" w:hAnsi="Arial" w:cs="Arial"/>
          <w:sz w:val="24"/>
          <w:szCs w:val="24"/>
        </w:rPr>
        <w:t xml:space="preserve">The risk of an ADR is 1.5 to 1.7 </w:t>
      </w:r>
      <w:r w:rsidR="00F17129">
        <w:rPr>
          <w:rFonts w:ascii="Arial" w:hAnsi="Arial" w:cs="Arial"/>
          <w:sz w:val="24"/>
          <w:szCs w:val="24"/>
        </w:rPr>
        <w:t>times higher</w:t>
      </w:r>
      <w:r w:rsidRPr="002D2F50">
        <w:rPr>
          <w:rFonts w:ascii="Arial" w:hAnsi="Arial" w:cs="Arial"/>
          <w:sz w:val="24"/>
          <w:szCs w:val="24"/>
        </w:rPr>
        <w:t xml:space="preserve"> in women owing </w:t>
      </w:r>
      <w:r w:rsidR="007D2B0B" w:rsidRPr="002D2F50">
        <w:rPr>
          <w:rFonts w:ascii="Arial" w:hAnsi="Arial" w:cs="Arial"/>
          <w:sz w:val="24"/>
          <w:szCs w:val="24"/>
        </w:rPr>
        <w:t xml:space="preserve">to </w:t>
      </w:r>
      <w:r w:rsidR="00D87174" w:rsidRPr="002D2F50">
        <w:rPr>
          <w:rFonts w:ascii="Arial" w:hAnsi="Arial" w:cs="Arial"/>
          <w:sz w:val="24"/>
          <w:szCs w:val="24"/>
        </w:rPr>
        <w:t>pharmaco</w:t>
      </w:r>
      <w:r w:rsidR="007D2B0B" w:rsidRPr="002D2F50">
        <w:rPr>
          <w:rFonts w:ascii="Arial" w:hAnsi="Arial" w:cs="Arial"/>
          <w:sz w:val="24"/>
          <w:szCs w:val="24"/>
        </w:rPr>
        <w:t>kinetic</w:t>
      </w:r>
      <w:r w:rsidR="00F17129">
        <w:rPr>
          <w:rFonts w:ascii="Arial" w:hAnsi="Arial" w:cs="Arial"/>
          <w:sz w:val="24"/>
          <w:szCs w:val="24"/>
        </w:rPr>
        <w:t xml:space="preserve"> factors </w:t>
      </w:r>
      <w:r w:rsidR="00D87174" w:rsidRPr="002D2F50">
        <w:rPr>
          <w:rFonts w:ascii="Arial" w:hAnsi="Arial" w:cs="Arial"/>
          <w:sz w:val="24"/>
          <w:szCs w:val="24"/>
        </w:rPr>
        <w:t>caused by differences in</w:t>
      </w:r>
      <w:r w:rsidR="007D2B0B" w:rsidRPr="002D2F50">
        <w:rPr>
          <w:rFonts w:ascii="Arial" w:hAnsi="Arial" w:cs="Arial"/>
          <w:sz w:val="24"/>
          <w:szCs w:val="24"/>
        </w:rPr>
        <w:t xml:space="preserve"> </w:t>
      </w:r>
      <w:r w:rsidRPr="002D2F50">
        <w:rPr>
          <w:rFonts w:ascii="Arial" w:hAnsi="Arial" w:cs="Arial"/>
          <w:sz w:val="24"/>
          <w:szCs w:val="24"/>
        </w:rPr>
        <w:t xml:space="preserve">lean body mass, hepatic clearance </w:t>
      </w:r>
      <w:r w:rsidR="00D87174" w:rsidRPr="002D2F50">
        <w:rPr>
          <w:rFonts w:ascii="Arial" w:hAnsi="Arial" w:cs="Arial"/>
          <w:sz w:val="24"/>
          <w:szCs w:val="24"/>
        </w:rPr>
        <w:t xml:space="preserve">or </w:t>
      </w:r>
      <w:r w:rsidRPr="002D2F50">
        <w:rPr>
          <w:rFonts w:ascii="Arial" w:hAnsi="Arial" w:cs="Arial"/>
          <w:sz w:val="24"/>
          <w:szCs w:val="24"/>
        </w:rPr>
        <w:lastRenderedPageBreak/>
        <w:t>cytochrome P450 system</w:t>
      </w:r>
      <w:r w:rsidR="00D87174" w:rsidRPr="002D2F50">
        <w:rPr>
          <w:rFonts w:ascii="Arial" w:hAnsi="Arial" w:cs="Arial"/>
          <w:sz w:val="24"/>
          <w:szCs w:val="24"/>
        </w:rPr>
        <w:t xml:space="preserve"> activity</w:t>
      </w:r>
      <w:r w:rsidRPr="002D2F50">
        <w:rPr>
          <w:rFonts w:ascii="Arial" w:hAnsi="Arial" w:cs="Arial"/>
          <w:sz w:val="24"/>
          <w:szCs w:val="24"/>
        </w:rPr>
        <w:t xml:space="preserve">. Hormonal differences </w:t>
      </w:r>
      <w:r w:rsidR="00D87174" w:rsidRPr="002D2F50">
        <w:rPr>
          <w:rFonts w:ascii="Arial" w:hAnsi="Arial" w:cs="Arial"/>
          <w:sz w:val="24"/>
          <w:szCs w:val="24"/>
        </w:rPr>
        <w:t>may also be involved</w:t>
      </w:r>
      <w:r w:rsidRPr="002D2F50">
        <w:rPr>
          <w:rFonts w:ascii="Arial" w:hAnsi="Arial" w:cs="Arial"/>
          <w:sz w:val="24"/>
          <w:szCs w:val="24"/>
        </w:rPr>
        <w:t xml:space="preserve">, and </w:t>
      </w:r>
      <w:r w:rsidR="00D87174" w:rsidRPr="002D2F50">
        <w:rPr>
          <w:rFonts w:ascii="Arial" w:hAnsi="Arial" w:cs="Arial"/>
          <w:sz w:val="24"/>
          <w:szCs w:val="24"/>
        </w:rPr>
        <w:t>may</w:t>
      </w:r>
      <w:r w:rsidRPr="002D2F50">
        <w:rPr>
          <w:rFonts w:ascii="Arial" w:hAnsi="Arial" w:cs="Arial"/>
          <w:sz w:val="24"/>
          <w:szCs w:val="24"/>
        </w:rPr>
        <w:t xml:space="preserve"> underlie </w:t>
      </w:r>
      <w:r w:rsidR="00F17129">
        <w:rPr>
          <w:rFonts w:ascii="Arial" w:hAnsi="Arial" w:cs="Arial"/>
          <w:sz w:val="24"/>
          <w:szCs w:val="24"/>
        </w:rPr>
        <w:t>the</w:t>
      </w:r>
      <w:r w:rsidRPr="002D2F50">
        <w:rPr>
          <w:rFonts w:ascii="Arial" w:hAnsi="Arial" w:cs="Arial"/>
          <w:sz w:val="24"/>
          <w:szCs w:val="24"/>
        </w:rPr>
        <w:t xml:space="preserve"> increased frequency of drug-induced </w:t>
      </w:r>
      <w:r w:rsidRPr="00F17129">
        <w:rPr>
          <w:rFonts w:ascii="Arial" w:hAnsi="Arial" w:cs="Arial"/>
          <w:i/>
          <w:sz w:val="24"/>
          <w:szCs w:val="24"/>
        </w:rPr>
        <w:t>torsade-de-pointes</w:t>
      </w:r>
      <w:r w:rsidRPr="002D2F50">
        <w:rPr>
          <w:rFonts w:ascii="Arial" w:hAnsi="Arial" w:cs="Arial"/>
          <w:sz w:val="24"/>
          <w:szCs w:val="24"/>
        </w:rPr>
        <w:t xml:space="preserve"> in </w:t>
      </w:r>
      <w:r w:rsidR="00CC08D5">
        <w:rPr>
          <w:rFonts w:ascii="Arial" w:hAnsi="Arial" w:cs="Arial"/>
          <w:sz w:val="24"/>
          <w:szCs w:val="24"/>
        </w:rPr>
        <w:t>females</w:t>
      </w:r>
      <w:r w:rsidRPr="002D2F50">
        <w:rPr>
          <w:rFonts w:ascii="Arial" w:hAnsi="Arial" w:cs="Arial"/>
          <w:sz w:val="24"/>
          <w:szCs w:val="24"/>
        </w:rPr>
        <w:t>.</w:t>
      </w:r>
    </w:p>
    <w:p w:rsidR="00655F8D" w:rsidRDefault="00655F8D" w:rsidP="002C1DB4">
      <w:pPr>
        <w:spacing w:after="0"/>
        <w:jc w:val="both"/>
        <w:rPr>
          <w:rFonts w:ascii="Arial" w:hAnsi="Arial" w:cs="Arial"/>
          <w:noProof/>
          <w:sz w:val="24"/>
          <w:szCs w:val="24"/>
          <w:vertAlign w:val="superscript"/>
        </w:rPr>
      </w:pPr>
    </w:p>
    <w:p w:rsidR="006455A1" w:rsidRPr="002D01A2" w:rsidRDefault="00F33E71" w:rsidP="002C1DB4">
      <w:pPr>
        <w:spacing w:after="0"/>
        <w:jc w:val="both"/>
        <w:rPr>
          <w:rFonts w:ascii="Arial" w:hAnsi="Arial" w:cs="Arial"/>
          <w:i/>
          <w:sz w:val="24"/>
          <w:szCs w:val="24"/>
        </w:rPr>
      </w:pPr>
      <w:r w:rsidRPr="002D01A2">
        <w:rPr>
          <w:rFonts w:ascii="Arial" w:hAnsi="Arial" w:cs="Arial"/>
          <w:b/>
          <w:bCs/>
          <w:i/>
          <w:sz w:val="24"/>
          <w:szCs w:val="24"/>
        </w:rPr>
        <w:t>Immune System</w:t>
      </w:r>
    </w:p>
    <w:p w:rsidR="006455A1" w:rsidRDefault="00F33E71" w:rsidP="002C1DB4">
      <w:pPr>
        <w:spacing w:after="0"/>
        <w:jc w:val="both"/>
        <w:rPr>
          <w:rFonts w:ascii="Arial" w:hAnsi="Arial" w:cs="Arial"/>
          <w:sz w:val="24"/>
          <w:szCs w:val="24"/>
        </w:rPr>
      </w:pPr>
      <w:r w:rsidRPr="002D2F50">
        <w:rPr>
          <w:rFonts w:ascii="Arial" w:hAnsi="Arial" w:cs="Arial"/>
          <w:sz w:val="24"/>
          <w:szCs w:val="24"/>
        </w:rPr>
        <w:t>Most Type B reactions are probably mediated by the immune system</w:t>
      </w:r>
      <w:r w:rsidR="004E6D0E" w:rsidRPr="002D2F50">
        <w:rPr>
          <w:rFonts w:ascii="Arial" w:hAnsi="Arial" w:cs="Arial"/>
          <w:sz w:val="24"/>
          <w:szCs w:val="24"/>
        </w:rPr>
        <w:t xml:space="preserve"> (Table 4)</w:t>
      </w:r>
      <w:r w:rsidRPr="002D2F50">
        <w:rPr>
          <w:rFonts w:ascii="Arial" w:hAnsi="Arial" w:cs="Arial"/>
          <w:sz w:val="24"/>
          <w:szCs w:val="24"/>
        </w:rPr>
        <w:t xml:space="preserve">. A prime example of this is anaphylaxis, a type I hypersensitivity reaction where the binding of a drug to a protein induces cross-linking of IgE antibodies resulting in a widespread systemic inflammatory response. </w:t>
      </w:r>
    </w:p>
    <w:p w:rsidR="00655F8D" w:rsidRDefault="00655F8D" w:rsidP="002C1DB4">
      <w:pPr>
        <w:spacing w:after="0"/>
        <w:jc w:val="both"/>
        <w:rPr>
          <w:rFonts w:ascii="Arial" w:hAnsi="Arial" w:cs="Arial"/>
          <w:sz w:val="24"/>
          <w:szCs w:val="24"/>
        </w:rPr>
      </w:pPr>
    </w:p>
    <w:p w:rsidR="006455A1" w:rsidRDefault="00104ABF" w:rsidP="002C1DB4">
      <w:pPr>
        <w:spacing w:after="0"/>
        <w:jc w:val="both"/>
        <w:rPr>
          <w:rFonts w:ascii="Arial" w:hAnsi="Arial" w:cs="Arial"/>
          <w:sz w:val="24"/>
          <w:szCs w:val="24"/>
        </w:rPr>
      </w:pPr>
      <w:r w:rsidRPr="002D2F50">
        <w:rPr>
          <w:rFonts w:ascii="Arial" w:hAnsi="Arial" w:cs="Arial"/>
          <w:sz w:val="24"/>
          <w:szCs w:val="24"/>
        </w:rPr>
        <w:t>Some immune-</w:t>
      </w:r>
      <w:r w:rsidR="00F33E71" w:rsidRPr="002D2F50">
        <w:rPr>
          <w:rFonts w:ascii="Arial" w:hAnsi="Arial" w:cs="Arial"/>
          <w:sz w:val="24"/>
          <w:szCs w:val="24"/>
        </w:rPr>
        <w:t>mediated drug-induced reactions are less well understood, e.g. the severe skin reactions of Stevens-Johnson syndrome and toxic epidermal necrolysis</w:t>
      </w:r>
      <w:r w:rsidR="00D87174" w:rsidRPr="002D2F50">
        <w:rPr>
          <w:rFonts w:ascii="Arial" w:hAnsi="Arial" w:cs="Arial"/>
          <w:sz w:val="24"/>
          <w:szCs w:val="24"/>
        </w:rPr>
        <w:t>,</w:t>
      </w:r>
      <w:r w:rsidR="00F33E71" w:rsidRPr="002D2F50">
        <w:rPr>
          <w:rFonts w:ascii="Arial" w:hAnsi="Arial" w:cs="Arial"/>
          <w:sz w:val="24"/>
          <w:szCs w:val="24"/>
        </w:rPr>
        <w:t xml:space="preserve"> particularly associated with sulphonamide</w:t>
      </w:r>
      <w:r w:rsidR="00F17129">
        <w:rPr>
          <w:rFonts w:ascii="Arial" w:hAnsi="Arial" w:cs="Arial"/>
          <w:sz w:val="24"/>
          <w:szCs w:val="24"/>
        </w:rPr>
        <w:t>s</w:t>
      </w:r>
      <w:r w:rsidR="00F33E71" w:rsidRPr="002D2F50">
        <w:rPr>
          <w:rFonts w:ascii="Arial" w:hAnsi="Arial" w:cs="Arial"/>
          <w:sz w:val="24"/>
          <w:szCs w:val="24"/>
        </w:rPr>
        <w:t xml:space="preserve"> and NSAID</w:t>
      </w:r>
      <w:r w:rsidR="00F17129">
        <w:rPr>
          <w:rFonts w:ascii="Arial" w:hAnsi="Arial" w:cs="Arial"/>
          <w:sz w:val="24"/>
          <w:szCs w:val="24"/>
        </w:rPr>
        <w:t>s</w:t>
      </w:r>
      <w:r w:rsidR="00F33E71" w:rsidRPr="002D2F50">
        <w:rPr>
          <w:rFonts w:ascii="Arial" w:hAnsi="Arial" w:cs="Arial"/>
          <w:sz w:val="24"/>
          <w:szCs w:val="24"/>
        </w:rPr>
        <w:t>. The mechanism of hypersensitivity may involve the production of toxic metabolites, or those metabolites binding with endogenous proteins resulting in the formation of an antigenic molecule (a hapten). There may also be a cell-mediated component of induced keratinocytic apoptosis either through the actions of immune cells (e.g. T-lymphocytes)</w:t>
      </w:r>
      <w:r w:rsidR="0059371D" w:rsidRPr="002D2F50">
        <w:rPr>
          <w:rFonts w:ascii="Arial" w:hAnsi="Arial" w:cs="Arial"/>
          <w:noProof/>
          <w:sz w:val="24"/>
          <w:szCs w:val="24"/>
        </w:rPr>
        <w:t xml:space="preserve"> </w:t>
      </w:r>
      <w:r w:rsidR="00F33E71" w:rsidRPr="002D2F50">
        <w:rPr>
          <w:rFonts w:ascii="Arial" w:hAnsi="Arial" w:cs="Arial"/>
          <w:sz w:val="24"/>
          <w:szCs w:val="24"/>
        </w:rPr>
        <w:t xml:space="preserve">or via the secretion of soluble Fas ligand, Fas being a naturally expressed cellular receptor involved in programmed apoptosis. </w:t>
      </w:r>
    </w:p>
    <w:p w:rsidR="00655F8D" w:rsidRDefault="00655F8D" w:rsidP="002C1DB4">
      <w:pPr>
        <w:spacing w:after="0"/>
        <w:jc w:val="both"/>
        <w:rPr>
          <w:rFonts w:ascii="Arial" w:hAnsi="Arial" w:cs="Arial"/>
          <w:sz w:val="24"/>
          <w:szCs w:val="24"/>
        </w:rPr>
      </w:pPr>
    </w:p>
    <w:p w:rsidR="006455A1" w:rsidRDefault="004E6D0E" w:rsidP="002C1DB4">
      <w:pPr>
        <w:spacing w:after="0"/>
        <w:jc w:val="both"/>
        <w:rPr>
          <w:rFonts w:ascii="Arial" w:hAnsi="Arial" w:cs="Arial"/>
          <w:sz w:val="24"/>
          <w:szCs w:val="24"/>
        </w:rPr>
      </w:pPr>
      <w:r w:rsidRPr="002D2F50">
        <w:rPr>
          <w:rFonts w:ascii="Arial" w:hAnsi="Arial" w:cs="Arial"/>
          <w:sz w:val="24"/>
          <w:szCs w:val="24"/>
        </w:rPr>
        <w:t>Halothane hepatitis</w:t>
      </w:r>
      <w:r w:rsidR="00F33E71" w:rsidRPr="002D2F50">
        <w:rPr>
          <w:rFonts w:ascii="Arial" w:hAnsi="Arial" w:cs="Arial"/>
          <w:sz w:val="24"/>
          <w:szCs w:val="24"/>
        </w:rPr>
        <w:t xml:space="preserve"> </w:t>
      </w:r>
      <w:r w:rsidRPr="002D2F50">
        <w:rPr>
          <w:rFonts w:ascii="Arial" w:hAnsi="Arial" w:cs="Arial"/>
          <w:sz w:val="24"/>
          <w:szCs w:val="24"/>
        </w:rPr>
        <w:t>is also considered to have an</w:t>
      </w:r>
      <w:r w:rsidR="00F33E71" w:rsidRPr="002D2F50">
        <w:rPr>
          <w:rFonts w:ascii="Arial" w:hAnsi="Arial" w:cs="Arial"/>
          <w:sz w:val="24"/>
          <w:szCs w:val="24"/>
        </w:rPr>
        <w:t xml:space="preserve"> immune basis. The oxidative metabolites of halothane appear to bind to hepatic proteins in susceptible patients forming haptens against which antibodies are formed. </w:t>
      </w:r>
      <w:r w:rsidR="009C5D4C" w:rsidRPr="002D2F50">
        <w:rPr>
          <w:rFonts w:ascii="Arial" w:hAnsi="Arial" w:cs="Arial"/>
          <w:sz w:val="24"/>
          <w:szCs w:val="24"/>
        </w:rPr>
        <w:t>Cell</w:t>
      </w:r>
      <w:r w:rsidR="00F33E71" w:rsidRPr="002D2F50">
        <w:rPr>
          <w:rFonts w:ascii="Arial" w:hAnsi="Arial" w:cs="Arial"/>
          <w:sz w:val="24"/>
          <w:szCs w:val="24"/>
        </w:rPr>
        <w:t>-mediated reactions may also occur with Kupffer cells demonstrating antigen presentation in the presence of halothane</w:t>
      </w:r>
      <w:r w:rsidR="009C5D4C" w:rsidRPr="002D2F50">
        <w:rPr>
          <w:rFonts w:ascii="Arial" w:hAnsi="Arial" w:cs="Arial"/>
          <w:noProof/>
          <w:sz w:val="24"/>
          <w:szCs w:val="24"/>
        </w:rPr>
        <w:t>.</w:t>
      </w:r>
      <w:r w:rsidR="00F33E71" w:rsidRPr="002D2F50">
        <w:rPr>
          <w:rFonts w:ascii="Arial" w:hAnsi="Arial" w:cs="Arial"/>
          <w:sz w:val="24"/>
          <w:szCs w:val="24"/>
        </w:rPr>
        <w:t xml:space="preserve"> </w:t>
      </w:r>
    </w:p>
    <w:p w:rsidR="00655F8D" w:rsidRDefault="00655F8D" w:rsidP="002C1DB4">
      <w:pPr>
        <w:spacing w:after="0"/>
        <w:jc w:val="both"/>
        <w:rPr>
          <w:rFonts w:ascii="Arial" w:hAnsi="Arial" w:cs="Arial"/>
          <w:sz w:val="24"/>
          <w:szCs w:val="24"/>
        </w:rPr>
      </w:pPr>
    </w:p>
    <w:p w:rsidR="006455A1" w:rsidRDefault="00530EB9" w:rsidP="00530EB9">
      <w:pPr>
        <w:spacing w:after="0"/>
        <w:jc w:val="both"/>
        <w:rPr>
          <w:rFonts w:ascii="Arial" w:hAnsi="Arial" w:cs="Arial"/>
          <w:b/>
          <w:sz w:val="24"/>
          <w:szCs w:val="24"/>
        </w:rPr>
      </w:pPr>
      <w:r w:rsidRPr="002D2F50">
        <w:rPr>
          <w:rFonts w:ascii="Arial" w:hAnsi="Arial" w:cs="Arial"/>
          <w:b/>
          <w:sz w:val="24"/>
          <w:szCs w:val="24"/>
        </w:rPr>
        <w:t>Preventing ADRs</w:t>
      </w:r>
    </w:p>
    <w:p w:rsidR="006455A1" w:rsidRPr="00BD4EBC" w:rsidRDefault="006A36EB" w:rsidP="00BD4EBC">
      <w:pPr>
        <w:spacing w:after="0"/>
        <w:jc w:val="both"/>
        <w:rPr>
          <w:rFonts w:ascii="Arial" w:hAnsi="Arial" w:cs="Arial"/>
          <w:sz w:val="24"/>
          <w:szCs w:val="24"/>
        </w:rPr>
      </w:pPr>
      <w:r w:rsidRPr="00BD4EBC">
        <w:rPr>
          <w:rFonts w:ascii="Arial" w:hAnsi="Arial" w:cs="Arial"/>
          <w:sz w:val="24"/>
          <w:szCs w:val="24"/>
        </w:rPr>
        <w:t>Various</w:t>
      </w:r>
      <w:r w:rsidRPr="00BD4EBC">
        <w:rPr>
          <w:rFonts w:ascii="Arial" w:hAnsi="Arial" w:cs="Arial"/>
          <w:sz w:val="24"/>
          <w:szCs w:val="24"/>
        </w:rPr>
        <w:t xml:space="preserve"> tools have been designed to </w:t>
      </w:r>
      <w:r w:rsidRPr="00BD4EBC">
        <w:rPr>
          <w:rFonts w:ascii="Arial" w:hAnsi="Arial" w:cs="Arial"/>
          <w:sz w:val="24"/>
          <w:szCs w:val="24"/>
        </w:rPr>
        <w:t xml:space="preserve">help clinicians to anticipate drug-associated </w:t>
      </w:r>
      <w:r w:rsidRPr="00BD4EBC">
        <w:rPr>
          <w:rFonts w:ascii="Arial" w:hAnsi="Arial" w:cs="Arial"/>
          <w:sz w:val="24"/>
          <w:szCs w:val="24"/>
        </w:rPr>
        <w:t>complications</w:t>
      </w:r>
      <w:r w:rsidRPr="00BD4EBC">
        <w:rPr>
          <w:rFonts w:ascii="Arial" w:hAnsi="Arial" w:cs="Arial"/>
          <w:sz w:val="24"/>
          <w:szCs w:val="24"/>
        </w:rPr>
        <w:t xml:space="preserve"> </w:t>
      </w:r>
      <w:r w:rsidRPr="00BD4EBC">
        <w:rPr>
          <w:rFonts w:ascii="Arial" w:hAnsi="Arial" w:cs="Arial"/>
          <w:sz w:val="24"/>
          <w:szCs w:val="24"/>
        </w:rPr>
        <w:t>an</w:t>
      </w:r>
      <w:r w:rsidRPr="00BD4EBC">
        <w:rPr>
          <w:rFonts w:ascii="Arial" w:hAnsi="Arial" w:cs="Arial"/>
          <w:sz w:val="24"/>
          <w:szCs w:val="24"/>
        </w:rPr>
        <w:t>d</w:t>
      </w:r>
      <w:r w:rsidRPr="00BD4EBC">
        <w:rPr>
          <w:rFonts w:ascii="Arial" w:hAnsi="Arial" w:cs="Arial"/>
          <w:sz w:val="24"/>
          <w:szCs w:val="24"/>
        </w:rPr>
        <w:t xml:space="preserve"> ADR</w:t>
      </w:r>
      <w:r w:rsidRPr="00BD4EBC">
        <w:rPr>
          <w:rFonts w:ascii="Arial" w:hAnsi="Arial" w:cs="Arial"/>
          <w:sz w:val="24"/>
          <w:szCs w:val="24"/>
        </w:rPr>
        <w:t xml:space="preserve">s. </w:t>
      </w:r>
      <w:r w:rsidR="00CC08D5" w:rsidRPr="00BD4EBC">
        <w:rPr>
          <w:rFonts w:ascii="Arial" w:hAnsi="Arial" w:cs="Arial"/>
          <w:sz w:val="24"/>
          <w:szCs w:val="24"/>
        </w:rPr>
        <w:t xml:space="preserve">The purpose is to identify </w:t>
      </w:r>
      <w:r w:rsidR="00BD4EBC" w:rsidRPr="00BD4EBC">
        <w:rPr>
          <w:rFonts w:ascii="Arial" w:hAnsi="Arial" w:cs="Arial"/>
          <w:sz w:val="24"/>
          <w:szCs w:val="24"/>
        </w:rPr>
        <w:t>patients</w:t>
      </w:r>
      <w:r w:rsidR="00CC08D5" w:rsidRPr="00BD4EBC">
        <w:rPr>
          <w:rFonts w:ascii="Arial" w:hAnsi="Arial" w:cs="Arial"/>
          <w:sz w:val="24"/>
          <w:szCs w:val="24"/>
        </w:rPr>
        <w:t xml:space="preserve"> at risk,</w:t>
      </w:r>
      <w:r w:rsidR="00BD4EBC" w:rsidRPr="00BD4EBC">
        <w:rPr>
          <w:rFonts w:ascii="Arial" w:hAnsi="Arial" w:cs="Arial"/>
          <w:sz w:val="24"/>
          <w:szCs w:val="24"/>
        </w:rPr>
        <w:t xml:space="preserve"> monitor them</w:t>
      </w:r>
      <w:r w:rsidR="00CC08D5" w:rsidRPr="00BD4EBC">
        <w:rPr>
          <w:rFonts w:ascii="Arial" w:hAnsi="Arial" w:cs="Arial"/>
          <w:sz w:val="24"/>
          <w:szCs w:val="24"/>
        </w:rPr>
        <w:t xml:space="preserve"> more carefully and attempt to minimise risk factors. However, a</w:t>
      </w:r>
      <w:r w:rsidR="0054635C" w:rsidRPr="00BD4EBC">
        <w:rPr>
          <w:rFonts w:ascii="Arial" w:hAnsi="Arial" w:cs="Arial"/>
          <w:sz w:val="24"/>
          <w:szCs w:val="24"/>
        </w:rPr>
        <w:t xml:space="preserve">ll </w:t>
      </w:r>
      <w:r w:rsidRPr="00BD4EBC">
        <w:rPr>
          <w:rFonts w:ascii="Arial" w:hAnsi="Arial" w:cs="Arial"/>
          <w:sz w:val="24"/>
          <w:szCs w:val="24"/>
        </w:rPr>
        <w:t>the tools available</w:t>
      </w:r>
      <w:r w:rsidR="0054635C" w:rsidRPr="00BD4EBC">
        <w:rPr>
          <w:rFonts w:ascii="Arial" w:hAnsi="Arial" w:cs="Arial"/>
          <w:sz w:val="24"/>
          <w:szCs w:val="24"/>
        </w:rPr>
        <w:t xml:space="preserve"> have limit</w:t>
      </w:r>
      <w:r w:rsidR="00CC08D5" w:rsidRPr="00BD4EBC">
        <w:rPr>
          <w:rFonts w:ascii="Arial" w:hAnsi="Arial" w:cs="Arial"/>
          <w:sz w:val="24"/>
          <w:szCs w:val="24"/>
        </w:rPr>
        <w:t>ed ability to</w:t>
      </w:r>
      <w:r w:rsidRPr="00BD4EBC">
        <w:rPr>
          <w:rFonts w:ascii="Arial" w:hAnsi="Arial" w:cs="Arial"/>
          <w:sz w:val="24"/>
          <w:szCs w:val="24"/>
        </w:rPr>
        <w:t xml:space="preserve"> </w:t>
      </w:r>
      <w:r w:rsidR="0054635C" w:rsidRPr="00BD4EBC">
        <w:rPr>
          <w:rFonts w:ascii="Arial" w:hAnsi="Arial" w:cs="Arial"/>
          <w:sz w:val="24"/>
          <w:szCs w:val="24"/>
        </w:rPr>
        <w:t xml:space="preserve">predict </w:t>
      </w:r>
      <w:r w:rsidRPr="00BD4EBC">
        <w:rPr>
          <w:rFonts w:ascii="Arial" w:hAnsi="Arial" w:cs="Arial"/>
          <w:sz w:val="24"/>
          <w:szCs w:val="24"/>
        </w:rPr>
        <w:t xml:space="preserve">events </w:t>
      </w:r>
      <w:r w:rsidR="0054635C" w:rsidRPr="00BD4EBC">
        <w:rPr>
          <w:rFonts w:ascii="Arial" w:hAnsi="Arial" w:cs="Arial"/>
          <w:sz w:val="24"/>
          <w:szCs w:val="24"/>
        </w:rPr>
        <w:t>in different population</w:t>
      </w:r>
      <w:r w:rsidRPr="00BD4EBC">
        <w:rPr>
          <w:rFonts w:ascii="Arial" w:hAnsi="Arial" w:cs="Arial"/>
          <w:sz w:val="24"/>
          <w:szCs w:val="24"/>
        </w:rPr>
        <w:t xml:space="preserve">s and none is universally applicable. </w:t>
      </w:r>
      <w:r w:rsidR="000053DD" w:rsidRPr="00BD4EBC">
        <w:rPr>
          <w:rFonts w:ascii="Arial" w:hAnsi="Arial" w:cs="Arial"/>
          <w:sz w:val="24"/>
          <w:szCs w:val="24"/>
        </w:rPr>
        <w:t>F</w:t>
      </w:r>
      <w:r w:rsidR="000F2A7F" w:rsidRPr="00BD4EBC">
        <w:rPr>
          <w:rFonts w:ascii="Arial" w:hAnsi="Arial" w:cs="Arial"/>
          <w:sz w:val="24"/>
          <w:szCs w:val="24"/>
        </w:rPr>
        <w:t>or example</w:t>
      </w:r>
      <w:r w:rsidR="000F2A7F" w:rsidRPr="00BD4EBC">
        <w:rPr>
          <w:rFonts w:ascii="Arial" w:hAnsi="Arial" w:cs="Arial"/>
          <w:sz w:val="24"/>
          <w:szCs w:val="24"/>
        </w:rPr>
        <w:t>,</w:t>
      </w:r>
      <w:r w:rsidR="000F2A7F" w:rsidRPr="000F2A7F">
        <w:t xml:space="preserve"> </w:t>
      </w:r>
      <w:r w:rsidR="000053DD" w:rsidRPr="00BD4EBC">
        <w:rPr>
          <w:rFonts w:ascii="Arial" w:hAnsi="Arial" w:cs="Arial"/>
          <w:sz w:val="24"/>
          <w:szCs w:val="24"/>
        </w:rPr>
        <w:t>t</w:t>
      </w:r>
      <w:r w:rsidR="000F2A7F" w:rsidRPr="00BD4EBC">
        <w:rPr>
          <w:rFonts w:ascii="Arial" w:hAnsi="Arial" w:cs="Arial"/>
          <w:sz w:val="24"/>
          <w:szCs w:val="24"/>
        </w:rPr>
        <w:t xml:space="preserve">he GerontoNet </w:t>
      </w:r>
      <w:r w:rsidR="003F1BDA" w:rsidRPr="00BD4EBC">
        <w:rPr>
          <w:rFonts w:ascii="Arial" w:hAnsi="Arial" w:cs="Arial"/>
          <w:sz w:val="24"/>
          <w:szCs w:val="24"/>
        </w:rPr>
        <w:t>ADR risk prediction tool was designed to predict A</w:t>
      </w:r>
      <w:r w:rsidRPr="00BD4EBC">
        <w:rPr>
          <w:rFonts w:ascii="Arial" w:hAnsi="Arial" w:cs="Arial"/>
          <w:sz w:val="24"/>
          <w:szCs w:val="24"/>
        </w:rPr>
        <w:t>DRs</w:t>
      </w:r>
      <w:r w:rsidR="003F1BDA" w:rsidRPr="00BD4EBC">
        <w:rPr>
          <w:rFonts w:ascii="Arial" w:hAnsi="Arial" w:cs="Arial"/>
          <w:sz w:val="24"/>
          <w:szCs w:val="24"/>
        </w:rPr>
        <w:t xml:space="preserve"> in</w:t>
      </w:r>
      <w:r w:rsidR="00325883" w:rsidRPr="00BD4EBC">
        <w:rPr>
          <w:rFonts w:ascii="Arial" w:hAnsi="Arial" w:cs="Arial"/>
          <w:sz w:val="24"/>
          <w:szCs w:val="24"/>
        </w:rPr>
        <w:t xml:space="preserve"> Italian</w:t>
      </w:r>
      <w:r w:rsidR="003F1BDA" w:rsidRPr="00BD4EBC">
        <w:rPr>
          <w:rFonts w:ascii="Arial" w:hAnsi="Arial" w:cs="Arial"/>
          <w:sz w:val="24"/>
          <w:szCs w:val="24"/>
        </w:rPr>
        <w:t xml:space="preserve"> </w:t>
      </w:r>
      <w:r w:rsidRPr="00BD4EBC">
        <w:rPr>
          <w:rFonts w:ascii="Arial" w:hAnsi="Arial" w:cs="Arial"/>
          <w:sz w:val="24"/>
          <w:szCs w:val="24"/>
        </w:rPr>
        <w:t xml:space="preserve">patients aged </w:t>
      </w:r>
      <w:r w:rsidR="003F1BDA" w:rsidRPr="00BD4EBC">
        <w:rPr>
          <w:rFonts w:ascii="Arial" w:hAnsi="Arial" w:cs="Arial"/>
          <w:sz w:val="24"/>
          <w:szCs w:val="24"/>
        </w:rPr>
        <w:t>over 65 years</w:t>
      </w:r>
      <w:r w:rsidRPr="00BD4EBC">
        <w:rPr>
          <w:rFonts w:ascii="Arial" w:hAnsi="Arial" w:cs="Arial"/>
          <w:sz w:val="24"/>
          <w:szCs w:val="24"/>
        </w:rPr>
        <w:t>. This tool</w:t>
      </w:r>
      <w:r w:rsidR="00325883" w:rsidRPr="00BD4EBC">
        <w:rPr>
          <w:rFonts w:ascii="Arial" w:hAnsi="Arial" w:cs="Arial"/>
          <w:sz w:val="24"/>
          <w:szCs w:val="24"/>
        </w:rPr>
        <w:t xml:space="preserve"> included</w:t>
      </w:r>
      <w:r w:rsidR="00A65C37" w:rsidRPr="00BD4EBC">
        <w:rPr>
          <w:rFonts w:ascii="Arial" w:hAnsi="Arial" w:cs="Arial"/>
          <w:sz w:val="24"/>
          <w:szCs w:val="24"/>
        </w:rPr>
        <w:t xml:space="preserve"> polypharmacy</w:t>
      </w:r>
      <w:r w:rsidR="00CC08D5" w:rsidRPr="00BD4EBC">
        <w:rPr>
          <w:rFonts w:ascii="Arial" w:hAnsi="Arial" w:cs="Arial"/>
          <w:sz w:val="24"/>
          <w:szCs w:val="24"/>
        </w:rPr>
        <w:t>;</w:t>
      </w:r>
      <w:r w:rsidRPr="00BD4EBC">
        <w:rPr>
          <w:rFonts w:ascii="Arial" w:hAnsi="Arial" w:cs="Arial"/>
          <w:sz w:val="24"/>
          <w:szCs w:val="24"/>
        </w:rPr>
        <w:t xml:space="preserve"> a </w:t>
      </w:r>
      <w:r w:rsidR="00A65C37" w:rsidRPr="00BD4EBC">
        <w:rPr>
          <w:rFonts w:ascii="Arial" w:hAnsi="Arial" w:cs="Arial"/>
          <w:sz w:val="24"/>
          <w:szCs w:val="24"/>
        </w:rPr>
        <w:t>previous ADR</w:t>
      </w:r>
      <w:r w:rsidR="00CC08D5" w:rsidRPr="00BD4EBC">
        <w:rPr>
          <w:rFonts w:ascii="Arial" w:hAnsi="Arial" w:cs="Arial"/>
          <w:sz w:val="24"/>
          <w:szCs w:val="24"/>
        </w:rPr>
        <w:t>;</w:t>
      </w:r>
      <w:r w:rsidR="00A65C37" w:rsidRPr="00BD4EBC">
        <w:rPr>
          <w:rFonts w:ascii="Arial" w:hAnsi="Arial" w:cs="Arial"/>
          <w:sz w:val="24"/>
          <w:szCs w:val="24"/>
        </w:rPr>
        <w:t xml:space="preserve"> </w:t>
      </w:r>
      <w:r w:rsidR="00CC08D5" w:rsidRPr="00BD4EBC">
        <w:rPr>
          <w:rFonts w:ascii="Arial" w:hAnsi="Arial" w:cs="Arial"/>
          <w:sz w:val="24"/>
          <w:szCs w:val="24"/>
        </w:rPr>
        <w:t xml:space="preserve">the presence of </w:t>
      </w:r>
      <w:r w:rsidR="00A2680F" w:rsidRPr="00BD4EBC">
        <w:rPr>
          <w:rFonts w:ascii="Arial" w:hAnsi="Arial" w:cs="Arial"/>
          <w:sz w:val="24"/>
          <w:szCs w:val="24"/>
        </w:rPr>
        <w:t>at least</w:t>
      </w:r>
      <w:r w:rsidR="00A65C37" w:rsidRPr="00BD4EBC">
        <w:rPr>
          <w:rFonts w:ascii="Arial" w:hAnsi="Arial" w:cs="Arial"/>
          <w:sz w:val="24"/>
          <w:szCs w:val="24"/>
        </w:rPr>
        <w:t xml:space="preserve"> 4 comorbidities</w:t>
      </w:r>
      <w:r w:rsidR="00CC08D5" w:rsidRPr="00BD4EBC">
        <w:rPr>
          <w:rFonts w:ascii="Arial" w:hAnsi="Arial" w:cs="Arial"/>
          <w:sz w:val="24"/>
          <w:szCs w:val="24"/>
        </w:rPr>
        <w:t>;</w:t>
      </w:r>
      <w:r w:rsidR="00A65C37" w:rsidRPr="00BD4EBC">
        <w:rPr>
          <w:rFonts w:ascii="Arial" w:hAnsi="Arial" w:cs="Arial"/>
          <w:sz w:val="24"/>
          <w:szCs w:val="24"/>
        </w:rPr>
        <w:t xml:space="preserve"> and </w:t>
      </w:r>
      <w:r w:rsidR="00CC08D5" w:rsidRPr="00BD4EBC">
        <w:rPr>
          <w:rFonts w:ascii="Arial" w:hAnsi="Arial" w:cs="Arial"/>
          <w:sz w:val="24"/>
          <w:szCs w:val="24"/>
        </w:rPr>
        <w:t xml:space="preserve">coexisting </w:t>
      </w:r>
      <w:r w:rsidR="00A65C37" w:rsidRPr="00BD4EBC">
        <w:rPr>
          <w:rFonts w:ascii="Arial" w:hAnsi="Arial" w:cs="Arial"/>
          <w:sz w:val="24"/>
          <w:szCs w:val="24"/>
        </w:rPr>
        <w:t>liver, renal or heart failure as</w:t>
      </w:r>
      <w:r w:rsidR="00CC08D5" w:rsidRPr="00BD4EBC">
        <w:rPr>
          <w:rFonts w:ascii="Arial" w:hAnsi="Arial" w:cs="Arial"/>
          <w:sz w:val="24"/>
          <w:szCs w:val="24"/>
        </w:rPr>
        <w:t xml:space="preserve"> </w:t>
      </w:r>
      <w:r w:rsidR="00996C54" w:rsidRPr="00BD4EBC">
        <w:rPr>
          <w:rFonts w:ascii="Arial" w:hAnsi="Arial" w:cs="Arial"/>
          <w:sz w:val="24"/>
          <w:szCs w:val="24"/>
        </w:rPr>
        <w:t>risk factor</w:t>
      </w:r>
      <w:r w:rsidR="00325883" w:rsidRPr="00BD4EBC">
        <w:rPr>
          <w:rFonts w:ascii="Arial" w:hAnsi="Arial" w:cs="Arial"/>
          <w:sz w:val="24"/>
          <w:szCs w:val="24"/>
        </w:rPr>
        <w:t>s</w:t>
      </w:r>
      <w:r w:rsidR="00CC08D5" w:rsidRPr="00BD4EBC">
        <w:rPr>
          <w:rFonts w:ascii="Arial" w:hAnsi="Arial" w:cs="Arial"/>
          <w:sz w:val="24"/>
          <w:szCs w:val="24"/>
        </w:rPr>
        <w:t xml:space="preserve">. However the </w:t>
      </w:r>
      <w:r w:rsidR="00CC08D5" w:rsidRPr="00BD4EBC">
        <w:rPr>
          <w:rFonts w:ascii="Arial" w:hAnsi="Arial" w:cs="Arial"/>
          <w:sz w:val="24"/>
          <w:szCs w:val="24"/>
        </w:rPr>
        <w:t xml:space="preserve">sensitivity </w:t>
      </w:r>
      <w:r w:rsidR="00CC08D5" w:rsidRPr="00BD4EBC">
        <w:rPr>
          <w:rFonts w:ascii="Arial" w:hAnsi="Arial" w:cs="Arial"/>
          <w:sz w:val="24"/>
          <w:szCs w:val="24"/>
        </w:rPr>
        <w:t xml:space="preserve">of the </w:t>
      </w:r>
      <w:r w:rsidR="00CC08D5" w:rsidRPr="00BD4EBC">
        <w:rPr>
          <w:rFonts w:ascii="Arial" w:hAnsi="Arial" w:cs="Arial"/>
          <w:sz w:val="24"/>
          <w:szCs w:val="24"/>
        </w:rPr>
        <w:t xml:space="preserve">GerontoNet </w:t>
      </w:r>
      <w:r w:rsidR="00CC08D5" w:rsidRPr="00BD4EBC">
        <w:rPr>
          <w:rFonts w:ascii="Arial" w:hAnsi="Arial" w:cs="Arial"/>
          <w:sz w:val="24"/>
          <w:szCs w:val="24"/>
        </w:rPr>
        <w:t xml:space="preserve">tool </w:t>
      </w:r>
      <w:r w:rsidR="00CC08D5" w:rsidRPr="00BD4EBC">
        <w:rPr>
          <w:rFonts w:ascii="Arial" w:hAnsi="Arial" w:cs="Arial"/>
          <w:sz w:val="24"/>
          <w:szCs w:val="24"/>
        </w:rPr>
        <w:t>was only 38%</w:t>
      </w:r>
      <w:r w:rsidR="00CC08D5" w:rsidRPr="00BD4EBC">
        <w:rPr>
          <w:rFonts w:ascii="Arial" w:hAnsi="Arial" w:cs="Arial"/>
          <w:sz w:val="24"/>
          <w:szCs w:val="24"/>
        </w:rPr>
        <w:t xml:space="preserve"> when it was later</w:t>
      </w:r>
      <w:r w:rsidR="00CB0DEB" w:rsidRPr="00BD4EBC">
        <w:rPr>
          <w:rFonts w:ascii="Arial" w:hAnsi="Arial" w:cs="Arial"/>
          <w:sz w:val="24"/>
          <w:szCs w:val="24"/>
        </w:rPr>
        <w:t xml:space="preserve"> </w:t>
      </w:r>
      <w:r w:rsidR="00CC08D5" w:rsidRPr="00BD4EBC">
        <w:rPr>
          <w:rFonts w:ascii="Arial" w:hAnsi="Arial" w:cs="Arial"/>
          <w:sz w:val="24"/>
          <w:szCs w:val="24"/>
        </w:rPr>
        <w:t xml:space="preserve">evaluated prospectively </w:t>
      </w:r>
      <w:r w:rsidR="00CB0DEB" w:rsidRPr="00BD4EBC">
        <w:rPr>
          <w:rFonts w:ascii="Arial" w:hAnsi="Arial" w:cs="Arial"/>
          <w:sz w:val="24"/>
          <w:szCs w:val="24"/>
        </w:rPr>
        <w:t>in</w:t>
      </w:r>
      <w:r w:rsidR="00325883" w:rsidRPr="00BD4EBC">
        <w:rPr>
          <w:rFonts w:ascii="Arial" w:hAnsi="Arial" w:cs="Arial"/>
          <w:sz w:val="24"/>
          <w:szCs w:val="24"/>
        </w:rPr>
        <w:t xml:space="preserve"> </w:t>
      </w:r>
      <w:r w:rsidR="00CC08D5" w:rsidRPr="00BD4EBC">
        <w:rPr>
          <w:rFonts w:ascii="Arial" w:hAnsi="Arial" w:cs="Arial"/>
          <w:sz w:val="24"/>
          <w:szCs w:val="24"/>
        </w:rPr>
        <w:t xml:space="preserve">a group of </w:t>
      </w:r>
      <w:r w:rsidR="00325883" w:rsidRPr="00BD4EBC">
        <w:rPr>
          <w:rFonts w:ascii="Arial" w:hAnsi="Arial" w:cs="Arial"/>
          <w:sz w:val="24"/>
          <w:szCs w:val="24"/>
        </w:rPr>
        <w:t xml:space="preserve">Irish </w:t>
      </w:r>
      <w:r w:rsidR="00CC08D5" w:rsidRPr="00BD4EBC">
        <w:rPr>
          <w:rFonts w:ascii="Arial" w:hAnsi="Arial" w:cs="Arial"/>
          <w:sz w:val="24"/>
          <w:szCs w:val="24"/>
        </w:rPr>
        <w:t>patients.</w:t>
      </w:r>
      <w:r w:rsidR="00325883" w:rsidRPr="00BD4EBC">
        <w:rPr>
          <w:rFonts w:ascii="Arial" w:hAnsi="Arial" w:cs="Arial"/>
          <w:sz w:val="24"/>
          <w:szCs w:val="24"/>
          <w:vertAlign w:val="superscript"/>
        </w:rPr>
        <w:t>9</w:t>
      </w:r>
      <w:r w:rsidR="00CC08D5" w:rsidRPr="00BD4EBC">
        <w:rPr>
          <w:rFonts w:ascii="Arial" w:hAnsi="Arial" w:cs="Arial"/>
          <w:sz w:val="24"/>
          <w:szCs w:val="24"/>
          <w:vertAlign w:val="superscript"/>
        </w:rPr>
        <w:t xml:space="preserve"> </w:t>
      </w:r>
      <w:r w:rsidR="000053DD" w:rsidRPr="00BD4EBC">
        <w:rPr>
          <w:rFonts w:ascii="Arial" w:hAnsi="Arial" w:cs="Arial"/>
          <w:sz w:val="24"/>
          <w:szCs w:val="24"/>
        </w:rPr>
        <w:t xml:space="preserve">Therefore </w:t>
      </w:r>
      <w:r w:rsidR="00BD4EBC" w:rsidRPr="00BD4EBC">
        <w:rPr>
          <w:rFonts w:ascii="Arial" w:hAnsi="Arial" w:cs="Arial"/>
          <w:sz w:val="24"/>
          <w:szCs w:val="24"/>
        </w:rPr>
        <w:t xml:space="preserve">the clinician </w:t>
      </w:r>
      <w:r w:rsidR="00726A98" w:rsidRPr="00BD4EBC">
        <w:rPr>
          <w:rFonts w:ascii="Arial" w:hAnsi="Arial" w:cs="Arial"/>
          <w:sz w:val="24"/>
          <w:szCs w:val="24"/>
        </w:rPr>
        <w:t xml:space="preserve">must </w:t>
      </w:r>
      <w:r w:rsidR="000053DD" w:rsidRPr="00BD4EBC">
        <w:rPr>
          <w:rFonts w:ascii="Arial" w:hAnsi="Arial" w:cs="Arial"/>
          <w:sz w:val="24"/>
          <w:szCs w:val="24"/>
        </w:rPr>
        <w:t xml:space="preserve">use judgement and </w:t>
      </w:r>
      <w:r w:rsidR="00BD4EBC" w:rsidRPr="00BD4EBC">
        <w:rPr>
          <w:rFonts w:ascii="Arial" w:hAnsi="Arial" w:cs="Arial"/>
          <w:sz w:val="24"/>
          <w:szCs w:val="24"/>
        </w:rPr>
        <w:t>caution</w:t>
      </w:r>
      <w:r w:rsidR="00325883" w:rsidRPr="00BD4EBC">
        <w:rPr>
          <w:rFonts w:ascii="Arial" w:hAnsi="Arial" w:cs="Arial"/>
          <w:sz w:val="24"/>
          <w:szCs w:val="24"/>
        </w:rPr>
        <w:t xml:space="preserve"> </w:t>
      </w:r>
      <w:r w:rsidR="00BD4EBC" w:rsidRPr="00BD4EBC">
        <w:rPr>
          <w:rFonts w:ascii="Arial" w:hAnsi="Arial" w:cs="Arial"/>
          <w:sz w:val="24"/>
          <w:szCs w:val="24"/>
        </w:rPr>
        <w:t>to minimise polypharmacy and excessive dosing in those at the extremes of age, with certain diseases, multiple comorbidities or other predisposing factors.</w:t>
      </w:r>
    </w:p>
    <w:p w:rsidR="00BD4EBC" w:rsidRDefault="00BD4EBC" w:rsidP="002C1DB4">
      <w:pPr>
        <w:spacing w:after="0"/>
        <w:jc w:val="both"/>
        <w:rPr>
          <w:rFonts w:ascii="Arial" w:hAnsi="Arial" w:cs="Arial"/>
          <w:b/>
          <w:bCs/>
          <w:sz w:val="24"/>
          <w:szCs w:val="24"/>
        </w:rPr>
      </w:pPr>
    </w:p>
    <w:p w:rsidR="006455A1" w:rsidRDefault="00F33E71" w:rsidP="002C1DB4">
      <w:pPr>
        <w:spacing w:after="0"/>
        <w:jc w:val="both"/>
        <w:rPr>
          <w:rFonts w:ascii="Arial" w:hAnsi="Arial" w:cs="Arial"/>
          <w:b/>
          <w:bCs/>
          <w:sz w:val="24"/>
          <w:szCs w:val="24"/>
        </w:rPr>
      </w:pPr>
      <w:r w:rsidRPr="002D2F50">
        <w:rPr>
          <w:rFonts w:ascii="Arial" w:hAnsi="Arial" w:cs="Arial"/>
          <w:b/>
          <w:bCs/>
          <w:sz w:val="24"/>
          <w:szCs w:val="24"/>
        </w:rPr>
        <w:t>Reporting ADRs</w:t>
      </w:r>
    </w:p>
    <w:p w:rsidR="006455A1" w:rsidRPr="006455A1" w:rsidRDefault="006455A1" w:rsidP="006455A1">
      <w:pPr>
        <w:rPr>
          <w:rFonts w:ascii="Arial" w:hAnsi="Arial" w:cs="Arial"/>
          <w:sz w:val="24"/>
          <w:szCs w:val="24"/>
        </w:rPr>
      </w:pPr>
      <w:r w:rsidRPr="006455A1">
        <w:rPr>
          <w:rFonts w:ascii="Arial" w:hAnsi="Arial" w:cs="Arial"/>
          <w:sz w:val="24"/>
          <w:szCs w:val="24"/>
        </w:rPr>
        <w:t xml:space="preserve">One of the functions of a clinical trial is to demonstrate and quantify the incidence of common adverse effects. </w:t>
      </w:r>
      <w:r w:rsidRPr="006455A1">
        <w:rPr>
          <w:rFonts w:ascii="Arial" w:hAnsi="Arial" w:cs="Arial"/>
          <w:sz w:val="24"/>
          <w:szCs w:val="24"/>
        </w:rPr>
        <w:t>However many</w:t>
      </w:r>
      <w:r w:rsidRPr="006455A1">
        <w:rPr>
          <w:rFonts w:ascii="Arial" w:hAnsi="Arial" w:cs="Arial"/>
          <w:sz w:val="24"/>
          <w:szCs w:val="24"/>
        </w:rPr>
        <w:t xml:space="preserve"> severe ADRs are rare, and </w:t>
      </w:r>
      <w:r w:rsidR="00BD4EBC">
        <w:rPr>
          <w:rFonts w:ascii="Arial" w:hAnsi="Arial" w:cs="Arial"/>
          <w:sz w:val="24"/>
          <w:szCs w:val="24"/>
        </w:rPr>
        <w:t xml:space="preserve">it would </w:t>
      </w:r>
      <w:r w:rsidR="00BD4EBC" w:rsidRPr="006455A1">
        <w:rPr>
          <w:rFonts w:ascii="Arial" w:hAnsi="Arial" w:cs="Arial"/>
          <w:sz w:val="24"/>
          <w:szCs w:val="24"/>
        </w:rPr>
        <w:t>require 30,000 participants</w:t>
      </w:r>
      <w:r w:rsidR="00BD4EBC" w:rsidRPr="006455A1">
        <w:rPr>
          <w:rFonts w:ascii="Arial" w:hAnsi="Arial" w:cs="Arial"/>
          <w:sz w:val="24"/>
          <w:szCs w:val="24"/>
        </w:rPr>
        <w:t xml:space="preserve"> </w:t>
      </w:r>
      <w:r w:rsidRPr="006455A1">
        <w:rPr>
          <w:rFonts w:ascii="Arial" w:hAnsi="Arial" w:cs="Arial"/>
          <w:sz w:val="24"/>
          <w:szCs w:val="24"/>
        </w:rPr>
        <w:t xml:space="preserve">for any trial to demonstrate an ADR </w:t>
      </w:r>
      <w:r w:rsidR="00BD4EBC">
        <w:rPr>
          <w:rFonts w:ascii="Arial" w:hAnsi="Arial" w:cs="Arial"/>
          <w:sz w:val="24"/>
          <w:szCs w:val="24"/>
        </w:rPr>
        <w:t xml:space="preserve">that had an </w:t>
      </w:r>
      <w:r w:rsidRPr="006455A1">
        <w:rPr>
          <w:rFonts w:ascii="Arial" w:hAnsi="Arial" w:cs="Arial"/>
          <w:sz w:val="24"/>
          <w:szCs w:val="24"/>
        </w:rPr>
        <w:t xml:space="preserve">incidence of 1:10,000. Therefore other methods of identification of ADRS are needed, including case reports, cohort studies, population statistics and meta-analyses.  </w:t>
      </w:r>
      <w:r w:rsidR="00BD4EBC">
        <w:rPr>
          <w:rFonts w:ascii="Arial" w:hAnsi="Arial" w:cs="Arial"/>
          <w:sz w:val="24"/>
          <w:szCs w:val="24"/>
        </w:rPr>
        <w:t>T</w:t>
      </w:r>
      <w:r w:rsidRPr="006455A1">
        <w:rPr>
          <w:rFonts w:ascii="Arial" w:hAnsi="Arial" w:cs="Arial"/>
          <w:sz w:val="24"/>
          <w:szCs w:val="24"/>
        </w:rPr>
        <w:t>hese are sporadic in nature, sometimes expensive and a formal means of post-marketing surveillance is needed to determine rare but serious ADRs</w:t>
      </w:r>
      <w:r w:rsidR="00BD4EBC">
        <w:rPr>
          <w:rFonts w:ascii="Arial" w:hAnsi="Arial" w:cs="Arial"/>
          <w:sz w:val="24"/>
          <w:szCs w:val="24"/>
        </w:rPr>
        <w:t>.</w:t>
      </w:r>
    </w:p>
    <w:p w:rsidR="006455A1" w:rsidRDefault="00CE358E" w:rsidP="002D2F50">
      <w:pPr>
        <w:rPr>
          <w:rFonts w:ascii="Arial" w:hAnsi="Arial" w:cs="Arial"/>
          <w:b/>
          <w:sz w:val="24"/>
          <w:szCs w:val="24"/>
        </w:rPr>
      </w:pPr>
      <w:r w:rsidRPr="002D2F50">
        <w:rPr>
          <w:rFonts w:ascii="Arial" w:hAnsi="Arial" w:cs="Arial"/>
          <w:sz w:val="24"/>
          <w:szCs w:val="24"/>
        </w:rPr>
        <w:t xml:space="preserve">In the UK such surveillance is mediated via the MHRA, which in 2003 took primary responsibility for the collection and analysis of ADRs. </w:t>
      </w:r>
      <w:r w:rsidR="001B3B97" w:rsidRPr="002D2F50">
        <w:rPr>
          <w:rFonts w:ascii="Arial" w:hAnsi="Arial" w:cs="Arial"/>
          <w:sz w:val="24"/>
          <w:szCs w:val="24"/>
        </w:rPr>
        <w:t>Spontaneous reporting is managed via</w:t>
      </w:r>
      <w:r w:rsidRPr="002D2F50">
        <w:rPr>
          <w:rFonts w:ascii="Arial" w:hAnsi="Arial" w:cs="Arial"/>
          <w:sz w:val="24"/>
          <w:szCs w:val="24"/>
        </w:rPr>
        <w:t xml:space="preserve"> the Yellow Card Scheme, referring to the reporting card that can be found in the BNF, MIMS, or in the </w:t>
      </w:r>
      <w:r w:rsidR="00B17CDE" w:rsidRPr="002D2F50">
        <w:rPr>
          <w:rFonts w:ascii="Arial" w:hAnsi="Arial" w:cs="Arial"/>
          <w:sz w:val="24"/>
          <w:szCs w:val="24"/>
        </w:rPr>
        <w:t xml:space="preserve">ABPI </w:t>
      </w:r>
      <w:r w:rsidRPr="002D2F50">
        <w:rPr>
          <w:rFonts w:ascii="Arial" w:hAnsi="Arial" w:cs="Arial"/>
          <w:sz w:val="24"/>
          <w:szCs w:val="24"/>
        </w:rPr>
        <w:t>Medicines Compendium. Clinicians, and more recently patients can report any suspected reaction via this scheme, whilst for the pharmaceutical industry it is a statutory requirement to report any serious ADR.</w:t>
      </w:r>
      <w:r w:rsidR="00D87174" w:rsidRPr="002D2F50">
        <w:rPr>
          <w:rFonts w:ascii="Arial" w:hAnsi="Arial" w:cs="Arial"/>
          <w:sz w:val="24"/>
          <w:szCs w:val="24"/>
        </w:rPr>
        <w:t xml:space="preserve">  </w:t>
      </w:r>
      <w:r w:rsidR="00F35A74" w:rsidRPr="002D2F50">
        <w:rPr>
          <w:rFonts w:ascii="Arial" w:hAnsi="Arial" w:cs="Arial"/>
          <w:sz w:val="24"/>
          <w:szCs w:val="24"/>
        </w:rPr>
        <w:t>Any drug can be reported via the scheme.</w:t>
      </w:r>
      <w:r w:rsidR="00BD4EBC">
        <w:rPr>
          <w:rFonts w:ascii="Arial" w:hAnsi="Arial" w:cs="Arial"/>
          <w:sz w:val="24"/>
          <w:szCs w:val="24"/>
        </w:rPr>
        <w:t xml:space="preserve"> </w:t>
      </w:r>
      <w:r w:rsidR="00D87174" w:rsidRPr="002D2F50">
        <w:rPr>
          <w:rFonts w:ascii="Arial" w:hAnsi="Arial" w:cs="Arial"/>
          <w:sz w:val="24"/>
          <w:szCs w:val="24"/>
        </w:rPr>
        <w:t>New</w:t>
      </w:r>
      <w:r w:rsidR="00F35A74" w:rsidRPr="002D2F50">
        <w:rPr>
          <w:rFonts w:ascii="Arial" w:hAnsi="Arial" w:cs="Arial"/>
          <w:sz w:val="24"/>
          <w:szCs w:val="24"/>
        </w:rPr>
        <w:t xml:space="preserve"> drugs</w:t>
      </w:r>
      <w:r w:rsidR="00AF07D8" w:rsidRPr="002D2F50">
        <w:rPr>
          <w:rFonts w:ascii="Arial" w:hAnsi="Arial" w:cs="Arial"/>
          <w:sz w:val="24"/>
          <w:szCs w:val="24"/>
        </w:rPr>
        <w:t xml:space="preserve"> need particular attention and</w:t>
      </w:r>
      <w:r w:rsidR="00F35A74" w:rsidRPr="002D2F50">
        <w:rPr>
          <w:rFonts w:ascii="Arial" w:hAnsi="Arial" w:cs="Arial"/>
          <w:sz w:val="24"/>
          <w:szCs w:val="24"/>
        </w:rPr>
        <w:t xml:space="preserve"> are marked with a black in</w:t>
      </w:r>
      <w:r w:rsidR="009B7708" w:rsidRPr="002D2F50">
        <w:rPr>
          <w:rFonts w:ascii="Arial" w:hAnsi="Arial" w:cs="Arial"/>
          <w:sz w:val="24"/>
          <w:szCs w:val="24"/>
        </w:rPr>
        <w:t>verted triangle for a five-year period</w:t>
      </w:r>
      <w:r w:rsidR="00AF07D8" w:rsidRPr="002D2F50">
        <w:rPr>
          <w:rFonts w:ascii="Arial" w:hAnsi="Arial" w:cs="Arial"/>
          <w:sz w:val="24"/>
          <w:szCs w:val="24"/>
        </w:rPr>
        <w:t xml:space="preserve"> but f</w:t>
      </w:r>
      <w:r w:rsidR="00F35A74" w:rsidRPr="002D2F50">
        <w:rPr>
          <w:rFonts w:ascii="Arial" w:hAnsi="Arial" w:cs="Arial"/>
          <w:sz w:val="24"/>
          <w:szCs w:val="24"/>
        </w:rPr>
        <w:t xml:space="preserve">or more established drugs, </w:t>
      </w:r>
      <w:r w:rsidR="00F35A74" w:rsidRPr="002D2F50">
        <w:rPr>
          <w:rFonts w:ascii="Arial" w:hAnsi="Arial" w:cs="Arial"/>
          <w:sz w:val="24"/>
          <w:szCs w:val="24"/>
        </w:rPr>
        <w:t>the</w:t>
      </w:r>
      <w:r w:rsidR="00F35A74" w:rsidRPr="002D2F50">
        <w:rPr>
          <w:rFonts w:ascii="Arial" w:hAnsi="Arial" w:cs="Arial"/>
          <w:sz w:val="24"/>
          <w:szCs w:val="24"/>
        </w:rPr>
        <w:t xml:space="preserve"> MHRA recommend</w:t>
      </w:r>
      <w:r w:rsidR="00D87174" w:rsidRPr="002D2F50">
        <w:rPr>
          <w:rFonts w:ascii="Arial" w:hAnsi="Arial" w:cs="Arial"/>
          <w:sz w:val="24"/>
          <w:szCs w:val="24"/>
        </w:rPr>
        <w:t>s that</w:t>
      </w:r>
      <w:r w:rsidR="00F35A74" w:rsidRPr="002D2F50">
        <w:rPr>
          <w:rFonts w:ascii="Arial" w:hAnsi="Arial" w:cs="Arial"/>
          <w:sz w:val="24"/>
          <w:szCs w:val="24"/>
        </w:rPr>
        <w:t xml:space="preserve"> only serious adverse reactions are reported.</w:t>
      </w:r>
      <w:r w:rsidR="00AF07D8" w:rsidRPr="002D2F50">
        <w:rPr>
          <w:rFonts w:ascii="Arial" w:hAnsi="Arial" w:cs="Arial"/>
          <w:sz w:val="24"/>
          <w:szCs w:val="24"/>
        </w:rPr>
        <w:t xml:space="preserve"> </w:t>
      </w:r>
      <w:r w:rsidR="00F05BD8">
        <w:rPr>
          <w:rFonts w:ascii="Arial" w:hAnsi="Arial" w:cs="Arial"/>
          <w:sz w:val="24"/>
          <w:szCs w:val="24"/>
        </w:rPr>
        <w:t>S</w:t>
      </w:r>
      <w:r w:rsidR="00AF07D8" w:rsidRPr="002D2F50">
        <w:rPr>
          <w:rFonts w:ascii="Arial" w:hAnsi="Arial" w:cs="Arial"/>
          <w:sz w:val="24"/>
          <w:szCs w:val="24"/>
        </w:rPr>
        <w:t>erious reactions include one</w:t>
      </w:r>
      <w:r w:rsidR="00BD4EBC">
        <w:rPr>
          <w:rFonts w:ascii="Arial" w:hAnsi="Arial" w:cs="Arial"/>
          <w:sz w:val="24"/>
          <w:szCs w:val="24"/>
        </w:rPr>
        <w:t>s</w:t>
      </w:r>
      <w:r w:rsidR="00AF07D8" w:rsidRPr="002D2F50">
        <w:rPr>
          <w:rFonts w:ascii="Arial" w:hAnsi="Arial" w:cs="Arial"/>
          <w:sz w:val="24"/>
          <w:szCs w:val="24"/>
        </w:rPr>
        <w:t xml:space="preserve"> that involve prolong</w:t>
      </w:r>
      <w:r w:rsidR="00BD4EBC">
        <w:rPr>
          <w:rFonts w:ascii="Arial" w:hAnsi="Arial" w:cs="Arial"/>
          <w:sz w:val="24"/>
          <w:szCs w:val="24"/>
        </w:rPr>
        <w:t>ed</w:t>
      </w:r>
      <w:r w:rsidR="00AF07D8" w:rsidRPr="002D2F50">
        <w:rPr>
          <w:rFonts w:ascii="Arial" w:hAnsi="Arial" w:cs="Arial"/>
          <w:sz w:val="24"/>
          <w:szCs w:val="24"/>
        </w:rPr>
        <w:t xml:space="preserve"> hospitalisation</w:t>
      </w:r>
      <w:r w:rsidR="00BD4EBC">
        <w:rPr>
          <w:rFonts w:ascii="Arial" w:hAnsi="Arial" w:cs="Arial"/>
          <w:sz w:val="24"/>
          <w:szCs w:val="24"/>
        </w:rPr>
        <w:t>;</w:t>
      </w:r>
      <w:r w:rsidR="00AF07D8" w:rsidRPr="002D2F50">
        <w:rPr>
          <w:rFonts w:ascii="Arial" w:hAnsi="Arial" w:cs="Arial"/>
          <w:sz w:val="24"/>
          <w:szCs w:val="24"/>
        </w:rPr>
        <w:t xml:space="preserve"> </w:t>
      </w:r>
      <w:r w:rsidR="00BD4EBC">
        <w:rPr>
          <w:rFonts w:ascii="Arial" w:hAnsi="Arial" w:cs="Arial"/>
          <w:sz w:val="24"/>
          <w:szCs w:val="24"/>
        </w:rPr>
        <w:t>may</w:t>
      </w:r>
      <w:r w:rsidR="00AF07D8" w:rsidRPr="002D2F50">
        <w:rPr>
          <w:rFonts w:ascii="Arial" w:hAnsi="Arial" w:cs="Arial"/>
          <w:sz w:val="24"/>
          <w:szCs w:val="24"/>
        </w:rPr>
        <w:t xml:space="preserve"> be life-threatening</w:t>
      </w:r>
      <w:r w:rsidR="00BD4EBC">
        <w:rPr>
          <w:rFonts w:ascii="Arial" w:hAnsi="Arial" w:cs="Arial"/>
          <w:sz w:val="24"/>
          <w:szCs w:val="24"/>
        </w:rPr>
        <w:t>;</w:t>
      </w:r>
      <w:r w:rsidR="00AF07D8" w:rsidRPr="002D2F50">
        <w:rPr>
          <w:rFonts w:ascii="Arial" w:hAnsi="Arial" w:cs="Arial"/>
          <w:sz w:val="24"/>
          <w:szCs w:val="24"/>
        </w:rPr>
        <w:t xml:space="preserve"> caus</w:t>
      </w:r>
      <w:r w:rsidR="00BD4EBC">
        <w:rPr>
          <w:rFonts w:ascii="Arial" w:hAnsi="Arial" w:cs="Arial"/>
          <w:sz w:val="24"/>
          <w:szCs w:val="24"/>
        </w:rPr>
        <w:t>e</w:t>
      </w:r>
      <w:r w:rsidR="00AF07D8" w:rsidRPr="002D2F50">
        <w:rPr>
          <w:rFonts w:ascii="Arial" w:hAnsi="Arial" w:cs="Arial"/>
          <w:sz w:val="24"/>
          <w:szCs w:val="24"/>
        </w:rPr>
        <w:t xml:space="preserve"> disability or congenital abnormalities</w:t>
      </w:r>
      <w:r w:rsidR="00D8384C">
        <w:rPr>
          <w:rFonts w:ascii="Arial" w:hAnsi="Arial" w:cs="Arial"/>
          <w:sz w:val="24"/>
          <w:szCs w:val="24"/>
        </w:rPr>
        <w:t xml:space="preserve">; or are fatal. </w:t>
      </w:r>
      <w:r w:rsidR="00F35A74" w:rsidRPr="002D2F50">
        <w:rPr>
          <w:rFonts w:ascii="Arial" w:hAnsi="Arial" w:cs="Arial"/>
          <w:sz w:val="24"/>
          <w:szCs w:val="24"/>
        </w:rPr>
        <w:t xml:space="preserve">Drugs can be reported to the MHRA </w:t>
      </w:r>
      <w:r w:rsidR="009B7708" w:rsidRPr="002D2F50">
        <w:rPr>
          <w:rFonts w:ascii="Arial" w:hAnsi="Arial" w:cs="Arial"/>
          <w:sz w:val="24"/>
          <w:szCs w:val="24"/>
        </w:rPr>
        <w:t>in a number of ways</w:t>
      </w:r>
      <w:r w:rsidR="00F35A74" w:rsidRPr="002D2F50">
        <w:rPr>
          <w:rFonts w:ascii="Arial" w:hAnsi="Arial" w:cs="Arial"/>
          <w:sz w:val="24"/>
          <w:szCs w:val="24"/>
        </w:rPr>
        <w:t xml:space="preserve">: </w:t>
      </w:r>
      <w:r w:rsidR="009B7708" w:rsidRPr="002D2F50">
        <w:rPr>
          <w:rFonts w:ascii="Arial" w:hAnsi="Arial" w:cs="Arial"/>
          <w:sz w:val="24"/>
          <w:szCs w:val="24"/>
        </w:rPr>
        <w:t>commonly either</w:t>
      </w:r>
      <w:r w:rsidR="00F35A74" w:rsidRPr="002D2F50">
        <w:rPr>
          <w:rFonts w:ascii="Arial" w:hAnsi="Arial" w:cs="Arial"/>
          <w:sz w:val="24"/>
          <w:szCs w:val="24"/>
        </w:rPr>
        <w:t xml:space="preserve"> </w:t>
      </w:r>
      <w:r w:rsidR="009A166E" w:rsidRPr="002D2F50">
        <w:rPr>
          <w:rFonts w:ascii="Arial" w:hAnsi="Arial" w:cs="Arial"/>
          <w:sz w:val="24"/>
          <w:szCs w:val="24"/>
        </w:rPr>
        <w:t xml:space="preserve">by </w:t>
      </w:r>
      <w:r w:rsidR="00F35A74" w:rsidRPr="002D2F50">
        <w:rPr>
          <w:rFonts w:ascii="Arial" w:hAnsi="Arial" w:cs="Arial"/>
          <w:sz w:val="24"/>
          <w:szCs w:val="24"/>
        </w:rPr>
        <w:t xml:space="preserve">completing and posting a Yellow Card, or by completing an online form at </w:t>
      </w:r>
      <w:bookmarkStart w:id="1" w:name="_Hlk9789346"/>
      <w:r w:rsidR="00D8384C">
        <w:rPr>
          <w:rFonts w:ascii="Arial" w:hAnsi="Arial" w:cs="Arial"/>
          <w:sz w:val="24"/>
          <w:szCs w:val="24"/>
        </w:rPr>
        <w:fldChar w:fldCharType="begin"/>
      </w:r>
      <w:r w:rsidR="00D8384C">
        <w:rPr>
          <w:rFonts w:ascii="Arial" w:hAnsi="Arial" w:cs="Arial"/>
          <w:sz w:val="24"/>
          <w:szCs w:val="24"/>
        </w:rPr>
        <w:instrText xml:space="preserve"> HYPERLINK "</w:instrText>
      </w:r>
      <w:r w:rsidR="00D8384C" w:rsidRPr="00D8384C">
        <w:rPr>
          <w:rFonts w:ascii="Arial" w:hAnsi="Arial" w:cs="Arial"/>
          <w:sz w:val="24"/>
          <w:szCs w:val="24"/>
        </w:rPr>
        <w:instrText>https://yellowcard.mhra.gov.uk/</w:instrText>
      </w:r>
      <w:r w:rsidR="00D8384C">
        <w:rPr>
          <w:rFonts w:ascii="Arial" w:hAnsi="Arial" w:cs="Arial"/>
          <w:sz w:val="24"/>
          <w:szCs w:val="24"/>
        </w:rPr>
        <w:instrText xml:space="preserve">" </w:instrText>
      </w:r>
      <w:r w:rsidR="00D8384C">
        <w:rPr>
          <w:rFonts w:ascii="Arial" w:hAnsi="Arial" w:cs="Arial"/>
          <w:sz w:val="24"/>
          <w:szCs w:val="24"/>
        </w:rPr>
        <w:fldChar w:fldCharType="separate"/>
      </w:r>
      <w:r w:rsidR="00D8384C" w:rsidRPr="00594CBD">
        <w:rPr>
          <w:rStyle w:val="Hyperlink"/>
          <w:rFonts w:ascii="Arial" w:hAnsi="Arial" w:cs="Arial"/>
          <w:sz w:val="24"/>
          <w:szCs w:val="24"/>
        </w:rPr>
        <w:t>https://yellowcard.mhra.gov.uk/</w:t>
      </w:r>
      <w:bookmarkEnd w:id="1"/>
      <w:r w:rsidR="00D8384C">
        <w:rPr>
          <w:rFonts w:ascii="Arial" w:hAnsi="Arial" w:cs="Arial"/>
          <w:sz w:val="24"/>
          <w:szCs w:val="24"/>
        </w:rPr>
        <w:fldChar w:fldCharType="end"/>
      </w:r>
      <w:r w:rsidR="009B7708" w:rsidRPr="002D2F50">
        <w:rPr>
          <w:rFonts w:ascii="Arial" w:hAnsi="Arial" w:cs="Arial"/>
          <w:sz w:val="24"/>
          <w:szCs w:val="24"/>
        </w:rPr>
        <w:t>.</w:t>
      </w:r>
      <w:r w:rsidR="00F35A74" w:rsidRPr="002D2F50">
        <w:rPr>
          <w:rFonts w:ascii="Arial" w:hAnsi="Arial" w:cs="Arial"/>
          <w:sz w:val="24"/>
          <w:szCs w:val="24"/>
        </w:rPr>
        <w:t xml:space="preserve"> </w:t>
      </w:r>
      <w:r w:rsidR="00D87174" w:rsidRPr="002D2F50">
        <w:rPr>
          <w:rFonts w:ascii="Arial" w:hAnsi="Arial" w:cs="Arial"/>
          <w:sz w:val="24"/>
          <w:szCs w:val="24"/>
        </w:rPr>
        <w:t>F</w:t>
      </w:r>
      <w:r w:rsidR="00F35A74" w:rsidRPr="002D2F50">
        <w:rPr>
          <w:rFonts w:ascii="Arial" w:hAnsi="Arial" w:cs="Arial"/>
          <w:sz w:val="24"/>
          <w:szCs w:val="24"/>
        </w:rPr>
        <w:t xml:space="preserve">our essential pieces of information </w:t>
      </w:r>
      <w:r w:rsidR="00D87174" w:rsidRPr="002D2F50">
        <w:rPr>
          <w:rFonts w:ascii="Arial" w:hAnsi="Arial" w:cs="Arial"/>
          <w:sz w:val="24"/>
          <w:szCs w:val="24"/>
        </w:rPr>
        <w:t>are required (</w:t>
      </w:r>
      <w:r w:rsidR="00D8384C">
        <w:rPr>
          <w:rFonts w:ascii="Arial" w:hAnsi="Arial" w:cs="Arial"/>
          <w:sz w:val="24"/>
          <w:szCs w:val="24"/>
        </w:rPr>
        <w:t>Box 2</w:t>
      </w:r>
      <w:r w:rsidR="00F35A74" w:rsidRPr="002D2F50">
        <w:rPr>
          <w:rFonts w:ascii="Arial" w:hAnsi="Arial" w:cs="Arial"/>
          <w:sz w:val="24"/>
          <w:szCs w:val="24"/>
        </w:rPr>
        <w:t>), in addition to any medical information that the reporter thinks is relevant.</w:t>
      </w:r>
      <w:r w:rsidR="0021002B" w:rsidRPr="002D2F50">
        <w:rPr>
          <w:rFonts w:ascii="Arial" w:hAnsi="Arial" w:cs="Arial"/>
          <w:sz w:val="24"/>
          <w:szCs w:val="24"/>
        </w:rPr>
        <w:t xml:space="preserve"> </w:t>
      </w:r>
    </w:p>
    <w:p w:rsidR="006455A1" w:rsidRDefault="0059371D" w:rsidP="002C1DB4">
      <w:pPr>
        <w:spacing w:after="0"/>
        <w:jc w:val="both"/>
        <w:rPr>
          <w:rFonts w:ascii="Arial" w:hAnsi="Arial" w:cs="Arial"/>
          <w:sz w:val="24"/>
          <w:szCs w:val="24"/>
        </w:rPr>
      </w:pPr>
      <w:r w:rsidRPr="002D2F50">
        <w:rPr>
          <w:rFonts w:ascii="Arial" w:hAnsi="Arial" w:cs="Arial"/>
          <w:sz w:val="24"/>
          <w:szCs w:val="24"/>
        </w:rPr>
        <w:t>It is generally accepted</w:t>
      </w:r>
      <w:r w:rsidR="00A14ED7" w:rsidRPr="002D2F50">
        <w:rPr>
          <w:rFonts w:ascii="Arial" w:hAnsi="Arial" w:cs="Arial"/>
          <w:sz w:val="24"/>
          <w:szCs w:val="24"/>
        </w:rPr>
        <w:t xml:space="preserve"> that</w:t>
      </w:r>
      <w:r w:rsidRPr="002D2F50">
        <w:rPr>
          <w:rFonts w:ascii="Arial" w:hAnsi="Arial" w:cs="Arial"/>
          <w:sz w:val="24"/>
          <w:szCs w:val="24"/>
        </w:rPr>
        <w:t xml:space="preserve"> less than</w:t>
      </w:r>
      <w:r w:rsidR="00A14ED7" w:rsidRPr="002D2F50">
        <w:rPr>
          <w:rFonts w:ascii="Arial" w:hAnsi="Arial" w:cs="Arial"/>
          <w:sz w:val="24"/>
          <w:szCs w:val="24"/>
        </w:rPr>
        <w:t xml:space="preserve"> 10% of all serious adverse drug reactions are spontaneously reported via the Yellow Card scheme. Despite this, ADRs have been determined for a number of drugs, </w:t>
      </w:r>
      <w:r w:rsidR="00D87174" w:rsidRPr="002D2F50">
        <w:rPr>
          <w:rFonts w:ascii="Arial" w:hAnsi="Arial" w:cs="Arial"/>
          <w:sz w:val="24"/>
          <w:szCs w:val="24"/>
        </w:rPr>
        <w:t>for example the dose</w:t>
      </w:r>
      <w:r w:rsidR="00E72290" w:rsidRPr="002D2F50">
        <w:rPr>
          <w:rFonts w:ascii="Arial" w:hAnsi="Arial" w:cs="Arial"/>
          <w:sz w:val="24"/>
          <w:szCs w:val="24"/>
        </w:rPr>
        <w:t>s</w:t>
      </w:r>
      <w:r w:rsidR="00D87174" w:rsidRPr="002D2F50">
        <w:rPr>
          <w:rFonts w:ascii="Arial" w:hAnsi="Arial" w:cs="Arial"/>
          <w:sz w:val="24"/>
          <w:szCs w:val="24"/>
        </w:rPr>
        <w:t xml:space="preserve"> of </w:t>
      </w:r>
      <w:r w:rsidR="00A14ED7" w:rsidRPr="002D2F50">
        <w:rPr>
          <w:rFonts w:ascii="Arial" w:hAnsi="Arial" w:cs="Arial"/>
          <w:sz w:val="24"/>
          <w:szCs w:val="24"/>
        </w:rPr>
        <w:t xml:space="preserve">alendronate </w:t>
      </w:r>
      <w:r w:rsidR="00E72290" w:rsidRPr="002D2F50">
        <w:rPr>
          <w:rFonts w:ascii="Arial" w:hAnsi="Arial" w:cs="Arial"/>
          <w:sz w:val="24"/>
          <w:szCs w:val="24"/>
        </w:rPr>
        <w:t xml:space="preserve">and ketorolac were </w:t>
      </w:r>
      <w:r w:rsidR="00A14ED7" w:rsidRPr="002D2F50">
        <w:rPr>
          <w:rFonts w:ascii="Arial" w:hAnsi="Arial" w:cs="Arial"/>
          <w:sz w:val="24"/>
          <w:szCs w:val="24"/>
        </w:rPr>
        <w:t xml:space="preserve">revised </w:t>
      </w:r>
      <w:r w:rsidR="00E72290" w:rsidRPr="002D2F50">
        <w:rPr>
          <w:rFonts w:ascii="Arial" w:hAnsi="Arial" w:cs="Arial"/>
          <w:sz w:val="24"/>
          <w:szCs w:val="24"/>
        </w:rPr>
        <w:t>and warnings added after initial reports of toxicity</w:t>
      </w:r>
      <w:r w:rsidR="00A14ED7" w:rsidRPr="002D2F50">
        <w:rPr>
          <w:rFonts w:ascii="Arial" w:hAnsi="Arial" w:cs="Arial"/>
          <w:sz w:val="24"/>
          <w:szCs w:val="24"/>
        </w:rPr>
        <w:t>.</w:t>
      </w:r>
      <w:r w:rsidR="00C91FD5" w:rsidRPr="002D2F50">
        <w:rPr>
          <w:rFonts w:ascii="Arial" w:hAnsi="Arial" w:cs="Arial"/>
          <w:sz w:val="24"/>
          <w:szCs w:val="24"/>
        </w:rPr>
        <w:t xml:space="preserve"> </w:t>
      </w:r>
    </w:p>
    <w:p w:rsidR="0092264B" w:rsidRDefault="0092264B" w:rsidP="002C1DB4">
      <w:pPr>
        <w:spacing w:after="0"/>
        <w:jc w:val="both"/>
        <w:rPr>
          <w:rFonts w:ascii="Arial" w:hAnsi="Arial" w:cs="Arial"/>
          <w:sz w:val="24"/>
          <w:szCs w:val="24"/>
        </w:rPr>
      </w:pPr>
    </w:p>
    <w:p w:rsidR="00FE3007" w:rsidRDefault="00FE3007" w:rsidP="002C1DB4">
      <w:pPr>
        <w:spacing w:after="0"/>
        <w:jc w:val="both"/>
        <w:rPr>
          <w:rFonts w:ascii="Arial" w:hAnsi="Arial" w:cs="Arial"/>
          <w:b/>
          <w:sz w:val="24"/>
          <w:szCs w:val="24"/>
        </w:rPr>
      </w:pPr>
    </w:p>
    <w:p w:rsidR="006455A1" w:rsidRDefault="001E036C" w:rsidP="002C1DB4">
      <w:pPr>
        <w:spacing w:after="0"/>
        <w:jc w:val="both"/>
        <w:rPr>
          <w:rFonts w:ascii="Arial" w:hAnsi="Arial" w:cs="Arial"/>
          <w:b/>
          <w:sz w:val="24"/>
          <w:szCs w:val="24"/>
        </w:rPr>
      </w:pPr>
      <w:r w:rsidRPr="002D2F50">
        <w:rPr>
          <w:rFonts w:ascii="Arial" w:hAnsi="Arial" w:cs="Arial"/>
          <w:b/>
          <w:sz w:val="24"/>
          <w:szCs w:val="24"/>
        </w:rPr>
        <w:t xml:space="preserve">Severe </w:t>
      </w:r>
      <w:r w:rsidR="00C35534" w:rsidRPr="002D2F50">
        <w:rPr>
          <w:rFonts w:ascii="Arial" w:hAnsi="Arial" w:cs="Arial"/>
          <w:b/>
          <w:sz w:val="24"/>
          <w:szCs w:val="24"/>
        </w:rPr>
        <w:t>ADR</w:t>
      </w:r>
      <w:r w:rsidR="002D01A2">
        <w:rPr>
          <w:rFonts w:ascii="Arial" w:hAnsi="Arial" w:cs="Arial"/>
          <w:b/>
          <w:sz w:val="24"/>
          <w:szCs w:val="24"/>
        </w:rPr>
        <w:t xml:space="preserve">s and </w:t>
      </w:r>
      <w:r w:rsidRPr="002D2F50">
        <w:rPr>
          <w:rFonts w:ascii="Arial" w:hAnsi="Arial" w:cs="Arial"/>
          <w:b/>
          <w:sz w:val="24"/>
          <w:szCs w:val="24"/>
        </w:rPr>
        <w:t>anaphylactic reaction</w:t>
      </w:r>
      <w:r w:rsidR="0092264B">
        <w:rPr>
          <w:rFonts w:ascii="Arial" w:hAnsi="Arial" w:cs="Arial"/>
          <w:b/>
          <w:sz w:val="24"/>
          <w:szCs w:val="24"/>
        </w:rPr>
        <w:t>s</w:t>
      </w:r>
      <w:r w:rsidR="00C35534" w:rsidRPr="002D2F50">
        <w:rPr>
          <w:rFonts w:ascii="Arial" w:hAnsi="Arial" w:cs="Arial"/>
          <w:b/>
          <w:sz w:val="24"/>
          <w:szCs w:val="24"/>
        </w:rPr>
        <w:t xml:space="preserve"> </w:t>
      </w:r>
      <w:r w:rsidR="00BB2C4C" w:rsidRPr="002D2F50">
        <w:rPr>
          <w:rFonts w:ascii="Arial" w:hAnsi="Arial" w:cs="Arial"/>
          <w:b/>
          <w:sz w:val="24"/>
          <w:szCs w:val="24"/>
        </w:rPr>
        <w:t xml:space="preserve">in </w:t>
      </w:r>
      <w:r w:rsidR="0092264B">
        <w:rPr>
          <w:rFonts w:ascii="Arial" w:hAnsi="Arial" w:cs="Arial"/>
          <w:b/>
          <w:sz w:val="24"/>
          <w:szCs w:val="24"/>
        </w:rPr>
        <w:t xml:space="preserve">the </w:t>
      </w:r>
      <w:r w:rsidR="00BB2C4C" w:rsidRPr="002D2F50">
        <w:rPr>
          <w:rFonts w:ascii="Arial" w:hAnsi="Arial" w:cs="Arial"/>
          <w:b/>
          <w:sz w:val="24"/>
          <w:szCs w:val="24"/>
        </w:rPr>
        <w:t>perioperative period</w:t>
      </w:r>
    </w:p>
    <w:p w:rsidR="00FE3007" w:rsidRDefault="00FE3007" w:rsidP="002C1DB4">
      <w:pPr>
        <w:spacing w:after="0"/>
        <w:jc w:val="both"/>
        <w:rPr>
          <w:rFonts w:ascii="Arial" w:hAnsi="Arial" w:cs="Arial"/>
          <w:b/>
          <w:sz w:val="24"/>
          <w:szCs w:val="24"/>
        </w:rPr>
      </w:pPr>
    </w:p>
    <w:p w:rsidR="006455A1" w:rsidRDefault="00503B66" w:rsidP="002C1DB4">
      <w:pPr>
        <w:spacing w:after="0"/>
        <w:jc w:val="both"/>
        <w:rPr>
          <w:rFonts w:ascii="Arial" w:hAnsi="Arial" w:cs="Arial"/>
          <w:sz w:val="24"/>
          <w:szCs w:val="24"/>
          <w:vertAlign w:val="superscript"/>
        </w:rPr>
      </w:pPr>
      <w:r>
        <w:rPr>
          <w:rFonts w:ascii="Arial" w:hAnsi="Arial" w:cs="Arial"/>
          <w:sz w:val="24"/>
          <w:szCs w:val="24"/>
        </w:rPr>
        <w:t>S</w:t>
      </w:r>
      <w:r w:rsidR="00BB2C4C" w:rsidRPr="002D2F50">
        <w:rPr>
          <w:rFonts w:ascii="Arial" w:hAnsi="Arial" w:cs="Arial"/>
          <w:sz w:val="24"/>
          <w:szCs w:val="24"/>
        </w:rPr>
        <w:t>evere ADR</w:t>
      </w:r>
      <w:r w:rsidR="00C94E75" w:rsidRPr="002D2F50">
        <w:rPr>
          <w:rFonts w:ascii="Arial" w:hAnsi="Arial" w:cs="Arial"/>
          <w:sz w:val="24"/>
          <w:szCs w:val="24"/>
        </w:rPr>
        <w:t xml:space="preserve"> </w:t>
      </w:r>
      <w:r w:rsidR="00BB2C4C" w:rsidRPr="002D2F50">
        <w:rPr>
          <w:rFonts w:ascii="Arial" w:hAnsi="Arial" w:cs="Arial"/>
          <w:sz w:val="24"/>
          <w:szCs w:val="24"/>
        </w:rPr>
        <w:t>and anaphylactic reaction</w:t>
      </w:r>
      <w:r w:rsidR="002D01A2">
        <w:rPr>
          <w:rFonts w:ascii="Arial" w:hAnsi="Arial" w:cs="Arial"/>
          <w:sz w:val="24"/>
          <w:szCs w:val="24"/>
        </w:rPr>
        <w:t>s</w:t>
      </w:r>
      <w:r w:rsidR="00BB2C4C" w:rsidRPr="002D2F50">
        <w:rPr>
          <w:rFonts w:ascii="Arial" w:hAnsi="Arial" w:cs="Arial"/>
          <w:sz w:val="24"/>
          <w:szCs w:val="24"/>
        </w:rPr>
        <w:t xml:space="preserve"> </w:t>
      </w:r>
      <w:r w:rsidR="0092264B">
        <w:rPr>
          <w:rFonts w:ascii="Arial" w:hAnsi="Arial" w:cs="Arial"/>
          <w:sz w:val="24"/>
          <w:szCs w:val="24"/>
        </w:rPr>
        <w:t xml:space="preserve">may sometimes be </w:t>
      </w:r>
      <w:r w:rsidR="00BB2C4C" w:rsidRPr="002D2F50">
        <w:rPr>
          <w:rFonts w:ascii="Arial" w:hAnsi="Arial" w:cs="Arial"/>
          <w:sz w:val="24"/>
          <w:szCs w:val="24"/>
        </w:rPr>
        <w:t>difficult to recognise</w:t>
      </w:r>
      <w:r>
        <w:rPr>
          <w:rFonts w:ascii="Arial" w:hAnsi="Arial" w:cs="Arial"/>
          <w:sz w:val="24"/>
          <w:szCs w:val="24"/>
        </w:rPr>
        <w:t xml:space="preserve"> in </w:t>
      </w:r>
      <w:r w:rsidR="0092264B">
        <w:rPr>
          <w:rFonts w:ascii="Arial" w:hAnsi="Arial" w:cs="Arial"/>
          <w:sz w:val="24"/>
          <w:szCs w:val="24"/>
        </w:rPr>
        <w:t xml:space="preserve">the </w:t>
      </w:r>
      <w:r>
        <w:rPr>
          <w:rFonts w:ascii="Arial" w:hAnsi="Arial" w:cs="Arial"/>
          <w:sz w:val="24"/>
          <w:szCs w:val="24"/>
        </w:rPr>
        <w:t xml:space="preserve">perioperative period </w:t>
      </w:r>
      <w:r w:rsidR="0092264B">
        <w:rPr>
          <w:rFonts w:ascii="Arial" w:hAnsi="Arial" w:cs="Arial"/>
          <w:sz w:val="24"/>
          <w:szCs w:val="24"/>
        </w:rPr>
        <w:t xml:space="preserve">because of </w:t>
      </w:r>
      <w:r w:rsidR="00BB2C4C" w:rsidRPr="002D2F50">
        <w:rPr>
          <w:rFonts w:ascii="Arial" w:hAnsi="Arial" w:cs="Arial"/>
          <w:sz w:val="24"/>
          <w:szCs w:val="24"/>
        </w:rPr>
        <w:t>physiological variation</w:t>
      </w:r>
      <w:r w:rsidR="00C94E75" w:rsidRPr="002D2F50">
        <w:rPr>
          <w:rFonts w:ascii="Arial" w:hAnsi="Arial" w:cs="Arial"/>
          <w:sz w:val="24"/>
          <w:szCs w:val="24"/>
        </w:rPr>
        <w:t xml:space="preserve">s during </w:t>
      </w:r>
      <w:r w:rsidR="0092264B">
        <w:rPr>
          <w:rFonts w:ascii="Arial" w:hAnsi="Arial" w:cs="Arial"/>
          <w:sz w:val="24"/>
          <w:szCs w:val="24"/>
        </w:rPr>
        <w:t xml:space="preserve">and after </w:t>
      </w:r>
      <w:r w:rsidR="00C94E75" w:rsidRPr="002D2F50">
        <w:rPr>
          <w:rFonts w:ascii="Arial" w:hAnsi="Arial" w:cs="Arial"/>
          <w:sz w:val="24"/>
          <w:szCs w:val="24"/>
        </w:rPr>
        <w:t>general anaesthesia</w:t>
      </w:r>
      <w:r w:rsidR="00461B89" w:rsidRPr="00461B89">
        <w:t xml:space="preserve"> </w:t>
      </w:r>
      <w:r w:rsidR="0092264B">
        <w:t xml:space="preserve"> </w:t>
      </w:r>
      <w:r w:rsidR="0092264B" w:rsidRPr="0092264B">
        <w:rPr>
          <w:rFonts w:ascii="Arial" w:hAnsi="Arial" w:cs="Arial"/>
          <w:sz w:val="24"/>
          <w:szCs w:val="24"/>
        </w:rPr>
        <w:t>and surgery</w:t>
      </w:r>
      <w:r w:rsidR="0092264B">
        <w:rPr>
          <w:rFonts w:ascii="Arial" w:hAnsi="Arial" w:cs="Arial"/>
          <w:sz w:val="24"/>
          <w:szCs w:val="24"/>
        </w:rPr>
        <w:t>, or delays in presentation</w:t>
      </w:r>
      <w:r w:rsidR="00461B89">
        <w:t>.</w:t>
      </w:r>
      <w:r w:rsidR="00461B89" w:rsidRPr="00461B89">
        <w:rPr>
          <w:rFonts w:ascii="Arial" w:hAnsi="Arial" w:cs="Arial"/>
          <w:sz w:val="24"/>
          <w:szCs w:val="24"/>
        </w:rPr>
        <w:t xml:space="preserve"> Anaphylactic </w:t>
      </w:r>
      <w:r w:rsidR="0092264B">
        <w:rPr>
          <w:rFonts w:ascii="Arial" w:hAnsi="Arial" w:cs="Arial"/>
          <w:sz w:val="24"/>
          <w:szCs w:val="24"/>
        </w:rPr>
        <w:t xml:space="preserve">or </w:t>
      </w:r>
      <w:r w:rsidR="00461B89" w:rsidRPr="00461B89">
        <w:rPr>
          <w:rFonts w:ascii="Arial" w:hAnsi="Arial" w:cs="Arial"/>
          <w:sz w:val="24"/>
          <w:szCs w:val="24"/>
        </w:rPr>
        <w:t>severe ADR</w:t>
      </w:r>
      <w:r w:rsidR="0092264B">
        <w:rPr>
          <w:rFonts w:ascii="Arial" w:hAnsi="Arial" w:cs="Arial"/>
          <w:sz w:val="24"/>
          <w:szCs w:val="24"/>
        </w:rPr>
        <w:t>s</w:t>
      </w:r>
      <w:r w:rsidR="00461B89" w:rsidRPr="00461B89">
        <w:rPr>
          <w:rFonts w:ascii="Arial" w:hAnsi="Arial" w:cs="Arial"/>
          <w:sz w:val="24"/>
          <w:szCs w:val="24"/>
        </w:rPr>
        <w:t xml:space="preserve"> </w:t>
      </w:r>
      <w:r>
        <w:rPr>
          <w:rFonts w:ascii="Arial" w:hAnsi="Arial" w:cs="Arial"/>
          <w:sz w:val="24"/>
          <w:szCs w:val="24"/>
        </w:rPr>
        <w:t xml:space="preserve">should be managed </w:t>
      </w:r>
      <w:r w:rsidR="0092264B">
        <w:rPr>
          <w:rFonts w:ascii="Arial" w:hAnsi="Arial" w:cs="Arial"/>
          <w:sz w:val="24"/>
          <w:szCs w:val="24"/>
        </w:rPr>
        <w:t>according to the</w:t>
      </w:r>
      <w:r w:rsidR="00461B89">
        <w:rPr>
          <w:rFonts w:ascii="Arial" w:hAnsi="Arial" w:cs="Arial"/>
          <w:sz w:val="24"/>
          <w:szCs w:val="24"/>
        </w:rPr>
        <w:t xml:space="preserve"> </w:t>
      </w:r>
      <w:r w:rsidR="0092264B">
        <w:rPr>
          <w:rFonts w:ascii="Arial" w:hAnsi="Arial" w:cs="Arial"/>
          <w:sz w:val="24"/>
          <w:szCs w:val="24"/>
        </w:rPr>
        <w:t>Association of Anaesthetists</w:t>
      </w:r>
      <w:r w:rsidR="0092264B">
        <w:rPr>
          <w:rFonts w:ascii="Arial" w:hAnsi="Arial" w:cs="Arial"/>
          <w:sz w:val="24"/>
          <w:szCs w:val="24"/>
        </w:rPr>
        <w:t>’</w:t>
      </w:r>
      <w:r w:rsidR="0092264B" w:rsidRPr="00461B89">
        <w:rPr>
          <w:rFonts w:ascii="Arial" w:hAnsi="Arial" w:cs="Arial"/>
          <w:sz w:val="24"/>
          <w:szCs w:val="24"/>
        </w:rPr>
        <w:t xml:space="preserve"> </w:t>
      </w:r>
      <w:r w:rsidR="00461B89" w:rsidRPr="00461B89">
        <w:rPr>
          <w:rFonts w:ascii="Arial" w:hAnsi="Arial" w:cs="Arial"/>
          <w:sz w:val="24"/>
          <w:szCs w:val="24"/>
        </w:rPr>
        <w:t>guidelines</w:t>
      </w:r>
      <w:r w:rsidR="0092264B">
        <w:rPr>
          <w:rFonts w:ascii="Arial" w:hAnsi="Arial" w:cs="Arial"/>
          <w:sz w:val="24"/>
          <w:szCs w:val="24"/>
        </w:rPr>
        <w:t>. It</w:t>
      </w:r>
      <w:r>
        <w:rPr>
          <w:rFonts w:ascii="Arial" w:hAnsi="Arial" w:cs="Arial"/>
          <w:sz w:val="24"/>
          <w:szCs w:val="24"/>
        </w:rPr>
        <w:t xml:space="preserve"> is the responsibility of the treating clinician to refer to</w:t>
      </w:r>
      <w:r w:rsidR="0092264B">
        <w:rPr>
          <w:rFonts w:ascii="Arial" w:hAnsi="Arial" w:cs="Arial"/>
          <w:sz w:val="24"/>
          <w:szCs w:val="24"/>
        </w:rPr>
        <w:t xml:space="preserve"> the</w:t>
      </w:r>
      <w:r>
        <w:rPr>
          <w:rFonts w:ascii="Arial" w:hAnsi="Arial" w:cs="Arial"/>
          <w:sz w:val="24"/>
          <w:szCs w:val="24"/>
        </w:rPr>
        <w:t xml:space="preserve"> MHRA when the contributing drug is identified</w:t>
      </w:r>
      <w:r w:rsidR="0092264B">
        <w:rPr>
          <w:rFonts w:ascii="Arial" w:hAnsi="Arial" w:cs="Arial"/>
          <w:sz w:val="24"/>
          <w:szCs w:val="24"/>
        </w:rPr>
        <w:t>.</w:t>
      </w:r>
      <w:r w:rsidR="00CB0DEB" w:rsidRPr="0092264B">
        <w:rPr>
          <w:rFonts w:ascii="Arial" w:hAnsi="Arial" w:cs="Arial"/>
          <w:sz w:val="24"/>
          <w:szCs w:val="24"/>
          <w:vertAlign w:val="superscript"/>
        </w:rPr>
        <w:t>10</w:t>
      </w:r>
    </w:p>
    <w:p w:rsidR="002D01A2" w:rsidRDefault="002D01A2" w:rsidP="00A14ED7">
      <w:pPr>
        <w:spacing w:after="0"/>
        <w:jc w:val="both"/>
        <w:rPr>
          <w:rFonts w:ascii="Arial" w:hAnsi="Arial" w:cs="Arial"/>
          <w:sz w:val="24"/>
          <w:szCs w:val="24"/>
        </w:rPr>
      </w:pPr>
    </w:p>
    <w:p w:rsidR="002D01A2" w:rsidRDefault="002D01A2" w:rsidP="00A14ED7">
      <w:pPr>
        <w:spacing w:after="0"/>
        <w:jc w:val="both"/>
        <w:rPr>
          <w:rFonts w:ascii="Arial" w:hAnsi="Arial" w:cs="Arial"/>
          <w:b/>
          <w:sz w:val="24"/>
          <w:szCs w:val="24"/>
        </w:rPr>
      </w:pPr>
      <w:r w:rsidRPr="002D01A2">
        <w:rPr>
          <w:rFonts w:ascii="Arial" w:hAnsi="Arial" w:cs="Arial"/>
          <w:b/>
          <w:sz w:val="24"/>
          <w:szCs w:val="24"/>
        </w:rPr>
        <w:t>Conclusions</w:t>
      </w:r>
    </w:p>
    <w:p w:rsidR="002D01A2" w:rsidRPr="002D01A2" w:rsidRDefault="002D01A2" w:rsidP="00A14ED7">
      <w:pPr>
        <w:spacing w:after="0"/>
        <w:jc w:val="both"/>
        <w:rPr>
          <w:rFonts w:ascii="Arial" w:hAnsi="Arial" w:cs="Arial"/>
          <w:b/>
          <w:sz w:val="24"/>
          <w:szCs w:val="24"/>
        </w:rPr>
      </w:pPr>
    </w:p>
    <w:p w:rsidR="006455A1" w:rsidRDefault="00A14ED7" w:rsidP="00A14ED7">
      <w:pPr>
        <w:spacing w:after="0"/>
        <w:jc w:val="both"/>
        <w:rPr>
          <w:rFonts w:ascii="Arial" w:hAnsi="Arial" w:cs="Arial"/>
          <w:sz w:val="24"/>
          <w:szCs w:val="24"/>
        </w:rPr>
      </w:pPr>
      <w:r w:rsidRPr="002D2F50">
        <w:rPr>
          <w:rFonts w:ascii="Arial" w:hAnsi="Arial" w:cs="Arial"/>
          <w:sz w:val="24"/>
          <w:szCs w:val="24"/>
        </w:rPr>
        <w:t>Adverse drug reactions are common and are associated with significant morbidity. Within anaesthesia ADRs are often immediately apparent. However other ADRs are delayed both in time and in the recognition of their importance e.g. adrenocortical suppression with etomidate</w:t>
      </w:r>
      <w:r w:rsidR="0092264B">
        <w:rPr>
          <w:rFonts w:ascii="Arial" w:hAnsi="Arial" w:cs="Arial"/>
          <w:sz w:val="24"/>
          <w:szCs w:val="24"/>
        </w:rPr>
        <w:t>;</w:t>
      </w:r>
      <w:r w:rsidRPr="002D2F50">
        <w:rPr>
          <w:rFonts w:ascii="Arial" w:hAnsi="Arial" w:cs="Arial"/>
          <w:sz w:val="24"/>
          <w:szCs w:val="24"/>
        </w:rPr>
        <w:t xml:space="preserve"> or the </w:t>
      </w:r>
      <w:r w:rsidR="00120641" w:rsidRPr="002D2F50">
        <w:rPr>
          <w:rFonts w:ascii="Arial" w:hAnsi="Arial" w:cs="Arial"/>
          <w:sz w:val="24"/>
          <w:szCs w:val="24"/>
        </w:rPr>
        <w:t xml:space="preserve">metabolic acidosis, rhabdomyolysis, and cardiovascular collapse </w:t>
      </w:r>
      <w:r w:rsidRPr="002D2F50">
        <w:rPr>
          <w:rFonts w:ascii="Arial" w:hAnsi="Arial" w:cs="Arial"/>
          <w:sz w:val="24"/>
          <w:szCs w:val="24"/>
        </w:rPr>
        <w:t>associated with propofol infusions. Clinicians need to be aware of both the common</w:t>
      </w:r>
      <w:r w:rsidR="001B3B97" w:rsidRPr="002D2F50">
        <w:rPr>
          <w:rFonts w:ascii="Arial" w:hAnsi="Arial" w:cs="Arial"/>
          <w:sz w:val="24"/>
          <w:szCs w:val="24"/>
        </w:rPr>
        <w:t xml:space="preserve"> occurrence of</w:t>
      </w:r>
      <w:r w:rsidRPr="002D2F50">
        <w:rPr>
          <w:rFonts w:ascii="Arial" w:hAnsi="Arial" w:cs="Arial"/>
          <w:sz w:val="24"/>
          <w:szCs w:val="24"/>
        </w:rPr>
        <w:t xml:space="preserve"> ADRs and their responsibility to report them.</w:t>
      </w:r>
    </w:p>
    <w:p w:rsidR="006455A1" w:rsidRDefault="00E2280B" w:rsidP="002C1DB4">
      <w:pPr>
        <w:spacing w:after="0"/>
        <w:jc w:val="both"/>
        <w:rPr>
          <w:rFonts w:ascii="Arial" w:hAnsi="Arial" w:cs="Arial"/>
          <w:sz w:val="24"/>
          <w:szCs w:val="24"/>
        </w:rPr>
      </w:pPr>
      <w:r w:rsidRPr="002D2F50">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550F6B1B" wp14:editId="4B8CCEFD">
                <wp:simplePos x="0" y="0"/>
                <wp:positionH relativeFrom="margin">
                  <wp:align>center</wp:align>
                </wp:positionH>
                <wp:positionV relativeFrom="paragraph">
                  <wp:posOffset>108585</wp:posOffset>
                </wp:positionV>
                <wp:extent cx="587121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5871210" cy="635"/>
                        </a:xfrm>
                        <a:prstGeom prst="rect">
                          <a:avLst/>
                        </a:prstGeom>
                        <a:solidFill>
                          <a:prstClr val="white"/>
                        </a:solidFill>
                        <a:ln>
                          <a:noFill/>
                        </a:ln>
                      </wps:spPr>
                      <wps:txbx>
                        <w:txbxContent>
                          <w:p w:rsidR="00CC08D5" w:rsidRPr="00F81C6B" w:rsidRDefault="00CC08D5" w:rsidP="002D2F50">
                            <w:pPr>
                              <w:spacing w:after="0"/>
                              <w:jc w:val="both"/>
                              <w:rPr>
                                <w:rFonts w:ascii="Arial" w:hAnsi="Arial" w:cs="Arial"/>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50F6B1B" id="_x0000_t202" coordsize="21600,21600" o:spt="202" path="m,l,21600r21600,l21600,xe">
                <v:stroke joinstyle="miter"/>
                <v:path gradientshapeok="t" o:connecttype="rect"/>
              </v:shapetype>
              <v:shape id="Text Box 1" o:spid="_x0000_s1026" type="#_x0000_t202" style="position:absolute;left:0;text-align:left;margin-left:0;margin-top:8.55pt;width:462.3pt;height:.05pt;z-index:251659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" stroked="f">
                <v:textbox style="mso-fit-shape-to-text:t" inset="0,0,0,0">
                  <w:txbxContent>
                    <w:p w:rsidR="00CC08D5" w:rsidRPr="00F81C6B" w:rsidRDefault="00CC08D5" w:rsidP="002D2F50">
                      <w:pPr>
                        <w:spacing w:after="0"/>
                        <w:jc w:val="both"/>
                        <w:rPr>
                          <w:rFonts w:ascii="Arial" w:hAnsi="Arial" w:cs="Arial"/>
                          <w:noProof/>
                        </w:rPr>
                      </w:pPr>
                    </w:p>
                  </w:txbxContent>
                </v:textbox>
                <w10:wrap anchorx="margin"/>
              </v:shape>
            </w:pict>
          </mc:Fallback>
        </mc:AlternateContent>
      </w:r>
    </w:p>
    <w:p w:rsidR="00F64CE0" w:rsidRDefault="00F64CE0" w:rsidP="00E96618">
      <w:pPr>
        <w:spacing w:after="0" w:line="240" w:lineRule="auto"/>
        <w:rPr>
          <w:rFonts w:ascii="Arial" w:hAnsi="Arial" w:cs="Arial"/>
          <w:sz w:val="24"/>
          <w:szCs w:val="24"/>
        </w:rPr>
      </w:pPr>
    </w:p>
    <w:p w:rsidR="00F64CE0" w:rsidRDefault="00F64CE0">
      <w:pPr>
        <w:spacing w:after="0" w:line="240" w:lineRule="auto"/>
        <w:rPr>
          <w:rFonts w:ascii="Arial" w:eastAsia="Times New Roman" w:hAnsi="Arial" w:cs="Arial"/>
          <w:sz w:val="24"/>
          <w:szCs w:val="24"/>
          <w:lang w:val="en-US"/>
        </w:rPr>
      </w:pPr>
      <w:r>
        <w:rPr>
          <w:rFonts w:ascii="Arial" w:hAnsi="Arial" w:cs="Arial"/>
        </w:rPr>
        <w:br w:type="page"/>
      </w:r>
    </w:p>
    <w:p w:rsidR="00F64CE0" w:rsidRPr="00F64CE0" w:rsidRDefault="00F64CE0" w:rsidP="00F64CE0">
      <w:pPr>
        <w:pStyle w:val="NormalWeb"/>
        <w:jc w:val="center"/>
        <w:rPr>
          <w:rFonts w:ascii="Arial" w:hAnsi="Arial" w:cs="Arial"/>
          <w:b/>
        </w:rPr>
      </w:pPr>
      <w:r>
        <w:rPr>
          <w:rFonts w:ascii="Arial" w:hAnsi="Arial" w:cs="Arial"/>
        </w:rPr>
        <w:fldChar w:fldCharType="begin"/>
      </w:r>
      <w:r>
        <w:rPr>
          <w:rFonts w:ascii="Arial" w:hAnsi="Arial" w:cs="Arial"/>
        </w:rPr>
        <w:instrText>ADDIN RW.BIB</w:instrText>
      </w:r>
      <w:r>
        <w:rPr>
          <w:rFonts w:ascii="Arial" w:hAnsi="Arial" w:cs="Arial"/>
        </w:rPr>
        <w:fldChar w:fldCharType="separate"/>
      </w:r>
      <w:r w:rsidRPr="00F64CE0">
        <w:rPr>
          <w:rFonts w:ascii="Arial" w:hAnsi="Arial" w:cs="Arial"/>
          <w:b/>
        </w:rPr>
        <w:t>References</w:t>
      </w:r>
    </w:p>
    <w:p w:rsidR="00F64CE0" w:rsidRPr="00621137" w:rsidRDefault="00F64CE0" w:rsidP="00F64CE0">
      <w:pPr>
        <w:pStyle w:val="NormalWeb"/>
        <w:rPr>
          <w:rFonts w:ascii="Arial" w:hAnsi="Arial" w:cs="Arial"/>
        </w:rPr>
      </w:pPr>
      <w:r w:rsidRPr="00621137">
        <w:rPr>
          <w:rFonts w:ascii="Arial" w:hAnsi="Arial" w:cs="Arial"/>
        </w:rPr>
        <w:t>1. Pirmohamed M., Walley T.J., Park</w:t>
      </w:r>
      <w:r>
        <w:rPr>
          <w:rFonts w:ascii="Arial" w:hAnsi="Arial" w:cs="Arial"/>
        </w:rPr>
        <w:t xml:space="preserve"> B.K.</w:t>
      </w:r>
      <w:r w:rsidRPr="00621137">
        <w:rPr>
          <w:rFonts w:ascii="Arial" w:hAnsi="Arial" w:cs="Arial"/>
        </w:rPr>
        <w:t xml:space="preserve"> et al. Adverse drug reactions as cause of admission to hospital: Prospective analysis of 18 820 patients. </w:t>
      </w:r>
      <w:r w:rsidRPr="0025357C">
        <w:rPr>
          <w:rFonts w:ascii="Arial" w:hAnsi="Arial" w:cs="Arial"/>
          <w:i/>
        </w:rPr>
        <w:t>BMJ.</w:t>
      </w:r>
      <w:r w:rsidRPr="00621137">
        <w:rPr>
          <w:rFonts w:ascii="Arial" w:hAnsi="Arial" w:cs="Arial"/>
        </w:rPr>
        <w:t xml:space="preserve"> 2004;</w:t>
      </w:r>
      <w:r w:rsidRPr="00F64CE0">
        <w:rPr>
          <w:rFonts w:ascii="Arial" w:hAnsi="Arial" w:cs="Arial"/>
          <w:b/>
        </w:rPr>
        <w:t xml:space="preserve"> 329</w:t>
      </w:r>
      <w:r w:rsidRPr="00621137">
        <w:rPr>
          <w:rFonts w:ascii="Arial" w:hAnsi="Arial" w:cs="Arial"/>
        </w:rPr>
        <w:t>:15-9</w:t>
      </w:r>
      <w:r>
        <w:rPr>
          <w:rFonts w:ascii="Arial" w:hAnsi="Arial" w:cs="Arial"/>
        </w:rPr>
        <w:t>.</w:t>
      </w:r>
    </w:p>
    <w:p w:rsidR="00F64CE0" w:rsidRPr="00621137" w:rsidRDefault="00F64CE0" w:rsidP="00F64CE0">
      <w:pPr>
        <w:pStyle w:val="NormalWeb"/>
        <w:rPr>
          <w:rFonts w:ascii="Arial" w:hAnsi="Arial" w:cs="Arial"/>
        </w:rPr>
      </w:pPr>
      <w:r w:rsidRPr="00621137">
        <w:rPr>
          <w:rFonts w:ascii="Arial" w:hAnsi="Arial" w:cs="Arial"/>
        </w:rPr>
        <w:t xml:space="preserve">2. Patel H, Bell D, Molokhia M, et al. Trends in hospital admissions for adverse drug reactions in England: analysis of national hospital episode statistics 1998-2005. </w:t>
      </w:r>
      <w:r w:rsidRPr="0025357C">
        <w:rPr>
          <w:rFonts w:ascii="Arial" w:hAnsi="Arial" w:cs="Arial"/>
          <w:i/>
        </w:rPr>
        <w:t>BMC Clin Pharmacol</w:t>
      </w:r>
      <w:r>
        <w:rPr>
          <w:rFonts w:ascii="Arial" w:hAnsi="Arial" w:cs="Arial"/>
        </w:rPr>
        <w:t xml:space="preserve">. 2007; </w:t>
      </w:r>
      <w:r w:rsidRPr="00F64CE0">
        <w:rPr>
          <w:rFonts w:ascii="Arial" w:hAnsi="Arial" w:cs="Arial"/>
          <w:b/>
        </w:rPr>
        <w:t>7:</w:t>
      </w:r>
      <w:r>
        <w:rPr>
          <w:rFonts w:ascii="Arial" w:hAnsi="Arial" w:cs="Arial"/>
        </w:rPr>
        <w:t xml:space="preserve"> 9</w:t>
      </w:r>
      <w:r w:rsidRPr="00621137">
        <w:rPr>
          <w:rFonts w:ascii="Arial" w:hAnsi="Arial" w:cs="Arial"/>
        </w:rPr>
        <w:t>.</w:t>
      </w:r>
    </w:p>
    <w:p w:rsidR="00F64CE0" w:rsidRPr="00621137" w:rsidRDefault="00F64CE0" w:rsidP="00F64CE0">
      <w:pPr>
        <w:pStyle w:val="NormalWeb"/>
        <w:rPr>
          <w:rFonts w:ascii="Arial" w:hAnsi="Arial" w:cs="Arial"/>
        </w:rPr>
      </w:pPr>
      <w:r w:rsidRPr="00621137">
        <w:rPr>
          <w:rFonts w:ascii="Arial" w:hAnsi="Arial" w:cs="Arial"/>
        </w:rPr>
        <w:t xml:space="preserve">3. Holdcroft A. UK drug analysis prints and anaesthetic adverse drug reactions. </w:t>
      </w:r>
      <w:r w:rsidRPr="0025357C">
        <w:rPr>
          <w:rFonts w:ascii="Arial" w:hAnsi="Arial" w:cs="Arial"/>
          <w:i/>
        </w:rPr>
        <w:t>Pharmacoepidemiol Drug Saf</w:t>
      </w:r>
      <w:r w:rsidRPr="00621137">
        <w:rPr>
          <w:rFonts w:ascii="Arial" w:hAnsi="Arial" w:cs="Arial"/>
        </w:rPr>
        <w:t>. 2007</w:t>
      </w:r>
      <w:r>
        <w:rPr>
          <w:rFonts w:ascii="Arial" w:hAnsi="Arial" w:cs="Arial"/>
        </w:rPr>
        <w:t>;</w:t>
      </w:r>
      <w:r w:rsidRPr="00621137">
        <w:rPr>
          <w:rFonts w:ascii="Arial" w:hAnsi="Arial" w:cs="Arial"/>
        </w:rPr>
        <w:t>16</w:t>
      </w:r>
      <w:r>
        <w:rPr>
          <w:rFonts w:ascii="Arial" w:hAnsi="Arial" w:cs="Arial"/>
        </w:rPr>
        <w:t xml:space="preserve"> (3) </w:t>
      </w:r>
      <w:r w:rsidRPr="00621137">
        <w:rPr>
          <w:rFonts w:ascii="Arial" w:hAnsi="Arial" w:cs="Arial"/>
        </w:rPr>
        <w:t>316-28.</w:t>
      </w:r>
    </w:p>
    <w:p w:rsidR="00F64CE0" w:rsidRPr="00621137" w:rsidRDefault="00F64CE0" w:rsidP="00F64CE0">
      <w:pPr>
        <w:pStyle w:val="NormalWeb"/>
        <w:rPr>
          <w:rFonts w:ascii="Arial" w:hAnsi="Arial" w:cs="Arial"/>
        </w:rPr>
      </w:pPr>
      <w:r w:rsidRPr="00621137">
        <w:rPr>
          <w:rFonts w:ascii="Arial" w:hAnsi="Arial" w:cs="Arial"/>
        </w:rPr>
        <w:t>4. Cook</w:t>
      </w:r>
      <w:r>
        <w:rPr>
          <w:rFonts w:ascii="Arial" w:hAnsi="Arial" w:cs="Arial"/>
        </w:rPr>
        <w:t xml:space="preserve"> T.M., Harper N.J.N., Farmer L.</w:t>
      </w:r>
      <w:r w:rsidRPr="00621137">
        <w:rPr>
          <w:rFonts w:ascii="Arial" w:hAnsi="Arial" w:cs="Arial"/>
        </w:rPr>
        <w:t xml:space="preserve"> et al. Anaesthesia, surgery, and life-threatening allergic reactions: protocol and methods of the 6th National Audit Project (NAP6) of the Royal College of Anaesthetists. </w:t>
      </w:r>
      <w:r w:rsidRPr="0025357C">
        <w:rPr>
          <w:rFonts w:ascii="Arial" w:hAnsi="Arial" w:cs="Arial"/>
          <w:i/>
        </w:rPr>
        <w:t>Br J Anaesth.</w:t>
      </w:r>
      <w:r w:rsidRPr="00621137">
        <w:rPr>
          <w:rFonts w:ascii="Arial" w:hAnsi="Arial" w:cs="Arial"/>
        </w:rPr>
        <w:t xml:space="preserve"> 2018;</w:t>
      </w:r>
      <w:r>
        <w:rPr>
          <w:rFonts w:ascii="Arial" w:hAnsi="Arial" w:cs="Arial"/>
        </w:rPr>
        <w:t xml:space="preserve"> </w:t>
      </w:r>
      <w:r w:rsidRPr="00F64CE0">
        <w:rPr>
          <w:rFonts w:ascii="Arial" w:hAnsi="Arial" w:cs="Arial"/>
          <w:b/>
        </w:rPr>
        <w:t>121:</w:t>
      </w:r>
      <w:r w:rsidRPr="00621137">
        <w:rPr>
          <w:rFonts w:ascii="Arial" w:hAnsi="Arial" w:cs="Arial"/>
        </w:rPr>
        <w:t>124-33.</w:t>
      </w:r>
    </w:p>
    <w:p w:rsidR="00F64CE0" w:rsidRPr="00621137" w:rsidRDefault="00F64CE0" w:rsidP="00F64CE0">
      <w:pPr>
        <w:pStyle w:val="NormalWeb"/>
        <w:rPr>
          <w:rFonts w:ascii="Arial" w:hAnsi="Arial" w:cs="Arial"/>
        </w:rPr>
      </w:pPr>
      <w:r w:rsidRPr="00621137">
        <w:rPr>
          <w:rFonts w:ascii="Arial" w:hAnsi="Arial" w:cs="Arial"/>
        </w:rPr>
        <w:t xml:space="preserve">5. Aronson JK, Ferner RE. Joining the DoTS: new approach to classifying adverse drug reactions. </w:t>
      </w:r>
      <w:r w:rsidRPr="0025357C">
        <w:rPr>
          <w:rFonts w:ascii="Arial" w:hAnsi="Arial" w:cs="Arial"/>
          <w:i/>
        </w:rPr>
        <w:t>BMJ</w:t>
      </w:r>
      <w:r>
        <w:rPr>
          <w:rFonts w:ascii="Arial" w:hAnsi="Arial" w:cs="Arial"/>
        </w:rPr>
        <w:t>. 2003</w:t>
      </w:r>
      <w:r w:rsidRPr="00621137">
        <w:rPr>
          <w:rFonts w:ascii="Arial" w:hAnsi="Arial" w:cs="Arial"/>
        </w:rPr>
        <w:t>;</w:t>
      </w:r>
      <w:r>
        <w:rPr>
          <w:rFonts w:ascii="Arial" w:hAnsi="Arial" w:cs="Arial"/>
        </w:rPr>
        <w:t xml:space="preserve"> </w:t>
      </w:r>
      <w:r w:rsidRPr="00F64CE0">
        <w:rPr>
          <w:rFonts w:ascii="Arial" w:hAnsi="Arial" w:cs="Arial"/>
          <w:b/>
        </w:rPr>
        <w:t>327</w:t>
      </w:r>
      <w:r w:rsidRPr="00621137">
        <w:rPr>
          <w:rFonts w:ascii="Arial" w:hAnsi="Arial" w:cs="Arial"/>
        </w:rPr>
        <w:t>:1222-5.</w:t>
      </w:r>
    </w:p>
    <w:p w:rsidR="00F64CE0" w:rsidRPr="00621137" w:rsidRDefault="00F64CE0" w:rsidP="00F64CE0">
      <w:pPr>
        <w:pStyle w:val="NormalWeb"/>
        <w:rPr>
          <w:rFonts w:ascii="Arial" w:hAnsi="Arial" w:cs="Arial"/>
        </w:rPr>
      </w:pPr>
      <w:r w:rsidRPr="00621137">
        <w:rPr>
          <w:rFonts w:ascii="Arial" w:hAnsi="Arial" w:cs="Arial"/>
        </w:rPr>
        <w:t xml:space="preserve"> </w:t>
      </w:r>
      <w:r>
        <w:rPr>
          <w:rFonts w:ascii="Arial" w:hAnsi="Arial" w:cs="Arial"/>
        </w:rPr>
        <w:t>6</w:t>
      </w:r>
      <w:r w:rsidRPr="00621137">
        <w:rPr>
          <w:rFonts w:ascii="Arial" w:hAnsi="Arial" w:cs="Arial"/>
        </w:rPr>
        <w:t xml:space="preserve">. Clarkson A, Choonara I. Surveillance for fatal suspected adverse drug reactions in the UK. </w:t>
      </w:r>
      <w:r w:rsidRPr="0025357C">
        <w:rPr>
          <w:rFonts w:ascii="Arial" w:hAnsi="Arial" w:cs="Arial"/>
          <w:i/>
        </w:rPr>
        <w:t>Arch Dis Child</w:t>
      </w:r>
      <w:r>
        <w:rPr>
          <w:rFonts w:ascii="Arial" w:hAnsi="Arial" w:cs="Arial"/>
        </w:rPr>
        <w:t>. 2002</w:t>
      </w:r>
      <w:r w:rsidRPr="00621137">
        <w:rPr>
          <w:rFonts w:ascii="Arial" w:hAnsi="Arial" w:cs="Arial"/>
        </w:rPr>
        <w:t>;</w:t>
      </w:r>
      <w:r>
        <w:rPr>
          <w:rFonts w:ascii="Arial" w:hAnsi="Arial" w:cs="Arial"/>
        </w:rPr>
        <w:t xml:space="preserve"> </w:t>
      </w:r>
      <w:r w:rsidRPr="00F64CE0">
        <w:rPr>
          <w:rFonts w:ascii="Arial" w:hAnsi="Arial" w:cs="Arial"/>
          <w:b/>
        </w:rPr>
        <w:t>87:</w:t>
      </w:r>
      <w:r w:rsidRPr="00621137">
        <w:rPr>
          <w:rFonts w:ascii="Arial" w:hAnsi="Arial" w:cs="Arial"/>
        </w:rPr>
        <w:t>462-6.</w:t>
      </w:r>
    </w:p>
    <w:p w:rsidR="00F64CE0" w:rsidRPr="00621137" w:rsidRDefault="00F64CE0" w:rsidP="00F64CE0">
      <w:pPr>
        <w:pStyle w:val="NormalWeb"/>
        <w:rPr>
          <w:rFonts w:ascii="Arial" w:hAnsi="Arial" w:cs="Arial"/>
        </w:rPr>
      </w:pPr>
      <w:r>
        <w:rPr>
          <w:rFonts w:ascii="Arial" w:hAnsi="Arial" w:cs="Arial"/>
        </w:rPr>
        <w:t>7.</w:t>
      </w:r>
      <w:r w:rsidRPr="00621137">
        <w:rPr>
          <w:rFonts w:ascii="Arial" w:hAnsi="Arial" w:cs="Arial"/>
        </w:rPr>
        <w:t xml:space="preserve"> Davies EC, Green CF, Taylor S, Williamson PR, Mottram DR, Pirmohamed M. Adverse drug reactions in hospital in-patients: a prospective analysis of 3695 patient-episodes. </w:t>
      </w:r>
      <w:r w:rsidRPr="0025357C">
        <w:rPr>
          <w:rFonts w:ascii="Arial" w:hAnsi="Arial" w:cs="Arial"/>
          <w:i/>
        </w:rPr>
        <w:t>PLoS One</w:t>
      </w:r>
      <w:r w:rsidRPr="00621137">
        <w:rPr>
          <w:rFonts w:ascii="Arial" w:hAnsi="Arial" w:cs="Arial"/>
        </w:rPr>
        <w:t>. 2009;</w:t>
      </w:r>
      <w:r>
        <w:rPr>
          <w:rFonts w:ascii="Arial" w:hAnsi="Arial" w:cs="Arial"/>
        </w:rPr>
        <w:t xml:space="preserve"> </w:t>
      </w:r>
      <w:r w:rsidRPr="00F64CE0">
        <w:rPr>
          <w:rFonts w:ascii="Arial" w:hAnsi="Arial" w:cs="Arial"/>
          <w:b/>
        </w:rPr>
        <w:t>4:</w:t>
      </w:r>
      <w:r>
        <w:rPr>
          <w:rFonts w:ascii="Arial" w:hAnsi="Arial" w:cs="Arial"/>
        </w:rPr>
        <w:t xml:space="preserve"> </w:t>
      </w:r>
      <w:r w:rsidRPr="00621137">
        <w:rPr>
          <w:rFonts w:ascii="Arial" w:hAnsi="Arial" w:cs="Arial"/>
        </w:rPr>
        <w:t>e4439.</w:t>
      </w:r>
    </w:p>
    <w:p w:rsidR="00F64CE0" w:rsidRPr="00621137" w:rsidRDefault="00F64CE0" w:rsidP="00F64CE0">
      <w:pPr>
        <w:pStyle w:val="NormalWeb"/>
        <w:rPr>
          <w:rFonts w:ascii="Arial" w:hAnsi="Arial" w:cs="Arial"/>
        </w:rPr>
      </w:pPr>
      <w:r>
        <w:rPr>
          <w:rFonts w:ascii="Arial" w:hAnsi="Arial" w:cs="Arial"/>
        </w:rPr>
        <w:t>8</w:t>
      </w:r>
      <w:r w:rsidRPr="00621137">
        <w:rPr>
          <w:rFonts w:ascii="Arial" w:hAnsi="Arial" w:cs="Arial"/>
        </w:rPr>
        <w:t xml:space="preserve">. Kane-Gill SL, Kirisci L, Verrico MM, Rothschild JM. Analysis of risk factors for adverse drug events in critically ill patients. </w:t>
      </w:r>
      <w:r w:rsidRPr="0025357C">
        <w:rPr>
          <w:rFonts w:ascii="Arial" w:hAnsi="Arial" w:cs="Arial"/>
          <w:i/>
        </w:rPr>
        <w:t>Crit Care Med.</w:t>
      </w:r>
      <w:r>
        <w:rPr>
          <w:rFonts w:ascii="Arial" w:hAnsi="Arial" w:cs="Arial"/>
        </w:rPr>
        <w:t xml:space="preserve"> 2012</w:t>
      </w:r>
      <w:r w:rsidRPr="00621137">
        <w:rPr>
          <w:rFonts w:ascii="Arial" w:hAnsi="Arial" w:cs="Arial"/>
        </w:rPr>
        <w:t>;</w:t>
      </w:r>
      <w:r w:rsidRPr="00F64CE0">
        <w:rPr>
          <w:rFonts w:ascii="Arial" w:hAnsi="Arial" w:cs="Arial"/>
          <w:b/>
        </w:rPr>
        <w:t>40:</w:t>
      </w:r>
      <w:r>
        <w:rPr>
          <w:rFonts w:ascii="Arial" w:hAnsi="Arial" w:cs="Arial"/>
        </w:rPr>
        <w:t xml:space="preserve"> </w:t>
      </w:r>
      <w:r w:rsidRPr="00621137">
        <w:rPr>
          <w:rFonts w:ascii="Arial" w:hAnsi="Arial" w:cs="Arial"/>
        </w:rPr>
        <w:t>823-8.</w:t>
      </w:r>
    </w:p>
    <w:p w:rsidR="00F64CE0" w:rsidRPr="00621137" w:rsidRDefault="00F64CE0" w:rsidP="00F64CE0">
      <w:pPr>
        <w:pStyle w:val="NormalWeb"/>
        <w:rPr>
          <w:rFonts w:ascii="Arial" w:hAnsi="Arial" w:cs="Arial"/>
        </w:rPr>
      </w:pPr>
      <w:r>
        <w:rPr>
          <w:rFonts w:ascii="Arial" w:hAnsi="Arial" w:cs="Arial"/>
        </w:rPr>
        <w:t xml:space="preserve">9. Lavan, A.H., Gallagher, P. </w:t>
      </w:r>
      <w:r w:rsidRPr="00A77B6F">
        <w:rPr>
          <w:rFonts w:ascii="Arial" w:hAnsi="Arial" w:cs="Arial"/>
        </w:rPr>
        <w:t>Predicting risk of adverse drug reactions in older adults</w:t>
      </w:r>
      <w:r>
        <w:rPr>
          <w:rFonts w:ascii="Arial" w:hAnsi="Arial" w:cs="Arial"/>
        </w:rPr>
        <w:t>.</w:t>
      </w:r>
      <w:r w:rsidRPr="0025357C">
        <w:rPr>
          <w:rFonts w:ascii="Arial" w:hAnsi="Arial" w:cs="Arial"/>
          <w:i/>
        </w:rPr>
        <w:t>Thera Adv Drug Saf.</w:t>
      </w:r>
      <w:r>
        <w:rPr>
          <w:rFonts w:ascii="Arial" w:hAnsi="Arial" w:cs="Arial"/>
        </w:rPr>
        <w:t xml:space="preserve"> 2016; </w:t>
      </w:r>
      <w:r w:rsidRPr="00F64CE0">
        <w:rPr>
          <w:rFonts w:ascii="Arial" w:hAnsi="Arial" w:cs="Arial"/>
          <w:b/>
        </w:rPr>
        <w:t>7:</w:t>
      </w:r>
      <w:r>
        <w:rPr>
          <w:rFonts w:ascii="Arial" w:hAnsi="Arial" w:cs="Arial"/>
        </w:rPr>
        <w:t xml:space="preserve"> 11-22.</w:t>
      </w:r>
    </w:p>
    <w:p w:rsidR="00F64CE0" w:rsidRPr="00621137" w:rsidRDefault="00F64CE0" w:rsidP="00F64CE0">
      <w:pPr>
        <w:pStyle w:val="NormalWeb"/>
        <w:rPr>
          <w:rFonts w:ascii="Arial" w:hAnsi="Arial" w:cs="Arial"/>
        </w:rPr>
      </w:pPr>
      <w:r>
        <w:rPr>
          <w:rFonts w:ascii="Arial" w:hAnsi="Arial" w:cs="Arial"/>
        </w:rPr>
        <w:t>10.</w:t>
      </w:r>
      <w:r w:rsidRPr="00621137">
        <w:rPr>
          <w:rFonts w:ascii="Arial" w:hAnsi="Arial" w:cs="Arial"/>
        </w:rPr>
        <w:t xml:space="preserve"> Patton K., Borshoff D.C. Adverse drug reactions. </w:t>
      </w:r>
      <w:r w:rsidRPr="0025357C">
        <w:rPr>
          <w:rFonts w:ascii="Arial" w:hAnsi="Arial" w:cs="Arial"/>
          <w:i/>
        </w:rPr>
        <w:t>Anaesthesia</w:t>
      </w:r>
      <w:r w:rsidRPr="00621137">
        <w:rPr>
          <w:rFonts w:ascii="Arial" w:hAnsi="Arial" w:cs="Arial"/>
        </w:rPr>
        <w:t>. 2018;</w:t>
      </w:r>
      <w:r>
        <w:rPr>
          <w:rFonts w:ascii="Arial" w:hAnsi="Arial" w:cs="Arial"/>
        </w:rPr>
        <w:t xml:space="preserve"> </w:t>
      </w:r>
      <w:r w:rsidRPr="00F64CE0">
        <w:rPr>
          <w:rFonts w:ascii="Arial" w:hAnsi="Arial" w:cs="Arial"/>
          <w:b/>
        </w:rPr>
        <w:t>73: Suppl 1:</w:t>
      </w:r>
      <w:r>
        <w:rPr>
          <w:rFonts w:ascii="Arial" w:hAnsi="Arial" w:cs="Arial"/>
        </w:rPr>
        <w:t xml:space="preserve"> </w:t>
      </w:r>
      <w:r w:rsidRPr="00621137">
        <w:rPr>
          <w:rFonts w:ascii="Arial" w:hAnsi="Arial" w:cs="Arial"/>
        </w:rPr>
        <w:t>76-84.</w:t>
      </w:r>
    </w:p>
    <w:p w:rsidR="006455A1" w:rsidRDefault="00F64CE0" w:rsidP="00F64CE0">
      <w:pPr>
        <w:spacing w:after="0" w:line="240" w:lineRule="auto"/>
        <w:rPr>
          <w:rFonts w:ascii="Arial" w:hAnsi="Arial" w:cs="Arial"/>
          <w:b/>
          <w:sz w:val="24"/>
          <w:szCs w:val="24"/>
        </w:rPr>
      </w:pPr>
      <w:r>
        <w:rPr>
          <w:rFonts w:ascii="Arial" w:hAnsi="Arial" w:cs="Arial"/>
          <w:sz w:val="24"/>
          <w:szCs w:val="24"/>
        </w:rPr>
        <w:fldChar w:fldCharType="end"/>
      </w:r>
      <w:r w:rsidR="003B1624" w:rsidRPr="002D2F50">
        <w:rPr>
          <w:rFonts w:ascii="Arial" w:hAnsi="Arial" w:cs="Arial"/>
          <w:sz w:val="24"/>
          <w:szCs w:val="24"/>
        </w:rPr>
        <w:br w:type="page"/>
      </w:r>
    </w:p>
    <w:p w:rsidR="00C752A8" w:rsidRPr="00F64CE0" w:rsidRDefault="00C752A8">
      <w:pPr>
        <w:spacing w:after="0" w:line="240" w:lineRule="auto"/>
        <w:rPr>
          <w:rFonts w:ascii="Arial" w:hAnsi="Arial" w:cs="Arial"/>
          <w:b/>
          <w:sz w:val="24"/>
          <w:szCs w:val="24"/>
        </w:rPr>
      </w:pPr>
      <w:r w:rsidRPr="00F64CE0">
        <w:rPr>
          <w:rFonts w:ascii="Arial" w:hAnsi="Arial" w:cs="Arial"/>
          <w:b/>
          <w:sz w:val="24"/>
          <w:szCs w:val="24"/>
        </w:rPr>
        <w:t>TABLE 1</w:t>
      </w:r>
      <w:r w:rsidR="001D029F" w:rsidRPr="00F64CE0">
        <w:rPr>
          <w:rFonts w:ascii="Arial" w:hAnsi="Arial" w:cs="Arial"/>
          <w:b/>
          <w:sz w:val="24"/>
          <w:szCs w:val="24"/>
        </w:rPr>
        <w:t>. Classification of drug reactions</w:t>
      </w:r>
    </w:p>
    <w:tbl>
      <w:tblPr>
        <w:tblpPr w:leftFromText="180" w:rightFromText="180" w:vertAnchor="page" w:horzAnchor="margin" w:tblpY="1711"/>
        <w:tblW w:w="9087" w:type="dxa"/>
        <w:tblLook w:val="04A0" w:firstRow="1" w:lastRow="0" w:firstColumn="1" w:lastColumn="0" w:noHBand="0" w:noVBand="1"/>
      </w:tblPr>
      <w:tblGrid>
        <w:gridCol w:w="458"/>
        <w:gridCol w:w="1968"/>
        <w:gridCol w:w="1444"/>
        <w:gridCol w:w="2479"/>
        <w:gridCol w:w="2738"/>
      </w:tblGrid>
      <w:tr w:rsidR="00F64CE0" w:rsidRPr="00CA502F" w:rsidTr="00F64CE0">
        <w:trPr>
          <w:trHeight w:val="315"/>
        </w:trPr>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F64CE0" w:rsidRPr="002D2F50" w:rsidRDefault="00F64CE0" w:rsidP="00F64CE0">
            <w:pPr>
              <w:spacing w:after="0" w:line="240" w:lineRule="auto"/>
              <w:jc w:val="center"/>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 </w:t>
            </w:r>
          </w:p>
        </w:tc>
        <w:tc>
          <w:tcPr>
            <w:tcW w:w="1968" w:type="dxa"/>
            <w:tcBorders>
              <w:top w:val="single" w:sz="8" w:space="0" w:color="000000"/>
              <w:left w:val="nil"/>
              <w:bottom w:val="single" w:sz="8" w:space="0" w:color="000000"/>
              <w:right w:val="single" w:sz="8" w:space="0" w:color="000000"/>
            </w:tcBorders>
            <w:shd w:val="clear" w:color="auto" w:fill="auto"/>
            <w:vAlign w:val="center"/>
          </w:tcPr>
          <w:p w:rsidR="00F64CE0" w:rsidRPr="002D2F50" w:rsidRDefault="00F64CE0" w:rsidP="00F64CE0">
            <w:pPr>
              <w:spacing w:after="0" w:line="240" w:lineRule="auto"/>
              <w:jc w:val="center"/>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Type of Reaction</w:t>
            </w:r>
          </w:p>
        </w:tc>
        <w:tc>
          <w:tcPr>
            <w:tcW w:w="1444" w:type="dxa"/>
            <w:tcBorders>
              <w:top w:val="single" w:sz="8" w:space="0" w:color="000000"/>
              <w:left w:val="nil"/>
              <w:bottom w:val="single" w:sz="8" w:space="0" w:color="000000"/>
              <w:right w:val="single" w:sz="8" w:space="0" w:color="000000"/>
            </w:tcBorders>
            <w:shd w:val="clear" w:color="auto" w:fill="auto"/>
            <w:vAlign w:val="center"/>
          </w:tcPr>
          <w:p w:rsidR="00F64CE0" w:rsidRPr="002D2F50" w:rsidRDefault="00F64CE0" w:rsidP="00F64CE0">
            <w:pPr>
              <w:spacing w:after="0" w:line="240" w:lineRule="auto"/>
              <w:jc w:val="center"/>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Mnemonic</w:t>
            </w:r>
          </w:p>
        </w:tc>
        <w:tc>
          <w:tcPr>
            <w:tcW w:w="2479" w:type="dxa"/>
            <w:tcBorders>
              <w:top w:val="single" w:sz="8" w:space="0" w:color="000000"/>
              <w:left w:val="nil"/>
              <w:bottom w:val="single" w:sz="8" w:space="0" w:color="000000"/>
              <w:right w:val="single" w:sz="8" w:space="0" w:color="000000"/>
            </w:tcBorders>
            <w:shd w:val="clear" w:color="auto" w:fill="auto"/>
            <w:vAlign w:val="center"/>
          </w:tcPr>
          <w:p w:rsidR="00F64CE0" w:rsidRPr="002D2F50" w:rsidRDefault="00F64CE0" w:rsidP="00F64CE0">
            <w:pPr>
              <w:spacing w:after="0" w:line="240" w:lineRule="auto"/>
              <w:jc w:val="center"/>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Features</w:t>
            </w:r>
          </w:p>
        </w:tc>
        <w:tc>
          <w:tcPr>
            <w:tcW w:w="2738" w:type="dxa"/>
            <w:tcBorders>
              <w:top w:val="single" w:sz="8" w:space="0" w:color="000000"/>
              <w:left w:val="nil"/>
              <w:bottom w:val="single" w:sz="8" w:space="0" w:color="000000"/>
              <w:right w:val="single" w:sz="8" w:space="0" w:color="000000"/>
            </w:tcBorders>
            <w:shd w:val="clear" w:color="auto" w:fill="auto"/>
            <w:vAlign w:val="center"/>
          </w:tcPr>
          <w:p w:rsidR="00F64CE0" w:rsidRPr="002D2F50" w:rsidRDefault="00F64CE0" w:rsidP="00F64CE0">
            <w:pPr>
              <w:spacing w:after="0" w:line="240" w:lineRule="auto"/>
              <w:jc w:val="center"/>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Examples relevant to Anaesthesia/Intensive Care</w:t>
            </w:r>
          </w:p>
        </w:tc>
      </w:tr>
      <w:tr w:rsidR="00F64CE0" w:rsidRPr="00CA502F" w:rsidTr="00F64CE0">
        <w:trPr>
          <w:trHeight w:val="300"/>
        </w:trPr>
        <w:tc>
          <w:tcPr>
            <w:tcW w:w="45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jc w:val="center"/>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A</w:t>
            </w:r>
          </w:p>
        </w:tc>
        <w:tc>
          <w:tcPr>
            <w:tcW w:w="196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Dose-related</w:t>
            </w:r>
          </w:p>
        </w:tc>
        <w:tc>
          <w:tcPr>
            <w:tcW w:w="1444"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Augmented</w:t>
            </w:r>
          </w:p>
        </w:tc>
        <w:tc>
          <w:tcPr>
            <w:tcW w:w="2479" w:type="dxa"/>
            <w:tcBorders>
              <w:top w:val="nil"/>
              <w:left w:val="nil"/>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Common</w:t>
            </w:r>
          </w:p>
        </w:tc>
        <w:tc>
          <w:tcPr>
            <w:tcW w:w="273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Hypotension after propofol, fasciculations with suxamethonium</w:t>
            </w:r>
          </w:p>
        </w:tc>
      </w:tr>
      <w:tr w:rsidR="00F64CE0" w:rsidRPr="00CA502F" w:rsidTr="00F64CE0">
        <w:trPr>
          <w:trHeight w:val="480"/>
        </w:trPr>
        <w:tc>
          <w:tcPr>
            <w:tcW w:w="45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r w:rsidRPr="00F17129">
              <w:rPr>
                <w:rFonts w:ascii="Arial" w:eastAsia="Times New Roman" w:hAnsi="Arial" w:cs="Arial"/>
                <w:color w:val="000000"/>
                <w:sz w:val="24"/>
                <w:szCs w:val="24"/>
                <w:lang w:eastAsia="en-GB"/>
              </w:rPr>
              <w:t>Related to pharmacological action of drug</w:t>
            </w:r>
          </w:p>
        </w:tc>
        <w:tc>
          <w:tcPr>
            <w:tcW w:w="273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00"/>
        </w:trPr>
        <w:tc>
          <w:tcPr>
            <w:tcW w:w="45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r w:rsidRPr="00F17129">
              <w:rPr>
                <w:rFonts w:ascii="Arial" w:eastAsia="Times New Roman" w:hAnsi="Arial" w:cs="Arial"/>
                <w:color w:val="000000"/>
                <w:sz w:val="24"/>
                <w:szCs w:val="24"/>
                <w:lang w:eastAsia="en-GB"/>
              </w:rPr>
              <w:t>Predictable</w:t>
            </w:r>
          </w:p>
        </w:tc>
        <w:tc>
          <w:tcPr>
            <w:tcW w:w="273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15"/>
        </w:trPr>
        <w:tc>
          <w:tcPr>
            <w:tcW w:w="45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single" w:sz="8" w:space="0" w:color="000000"/>
              <w:right w:val="single" w:sz="8" w:space="0" w:color="000000"/>
            </w:tcBorders>
            <w:shd w:val="clear" w:color="auto" w:fill="auto"/>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r w:rsidRPr="00F17129">
              <w:rPr>
                <w:rFonts w:ascii="Arial" w:eastAsia="Times New Roman" w:hAnsi="Arial" w:cs="Arial"/>
                <w:color w:val="000000"/>
                <w:sz w:val="24"/>
                <w:szCs w:val="24"/>
                <w:lang w:eastAsia="en-GB"/>
              </w:rPr>
              <w:t>Low mortality</w:t>
            </w:r>
          </w:p>
        </w:tc>
        <w:tc>
          <w:tcPr>
            <w:tcW w:w="2738" w:type="dxa"/>
            <w:vMerge/>
            <w:tcBorders>
              <w:top w:val="nil"/>
              <w:left w:val="single" w:sz="8" w:space="0" w:color="000000"/>
              <w:bottom w:val="single" w:sz="8" w:space="0" w:color="000000"/>
              <w:right w:val="single" w:sz="8" w:space="0" w:color="000000"/>
            </w:tcBorders>
            <w:vAlign w:val="center"/>
          </w:tcPr>
          <w:p w:rsidR="00F64CE0" w:rsidRPr="00F17129"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00"/>
        </w:trPr>
        <w:tc>
          <w:tcPr>
            <w:tcW w:w="458" w:type="dxa"/>
            <w:vMerge w:val="restart"/>
            <w:tcBorders>
              <w:top w:val="nil"/>
              <w:left w:val="single" w:sz="8" w:space="0" w:color="000000"/>
              <w:bottom w:val="nil"/>
              <w:right w:val="single" w:sz="8" w:space="0" w:color="000000"/>
            </w:tcBorders>
            <w:shd w:val="clear" w:color="auto" w:fill="auto"/>
            <w:vAlign w:val="center"/>
          </w:tcPr>
          <w:p w:rsidR="00F64CE0" w:rsidRPr="00621137" w:rsidRDefault="00F64CE0" w:rsidP="00F64CE0">
            <w:pPr>
              <w:spacing w:after="0" w:line="240" w:lineRule="auto"/>
              <w:jc w:val="center"/>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B</w:t>
            </w:r>
          </w:p>
        </w:tc>
        <w:tc>
          <w:tcPr>
            <w:tcW w:w="1968" w:type="dxa"/>
            <w:vMerge w:val="restart"/>
            <w:tcBorders>
              <w:top w:val="nil"/>
              <w:left w:val="single" w:sz="8" w:space="0" w:color="000000"/>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Non-dose-related</w:t>
            </w:r>
          </w:p>
        </w:tc>
        <w:tc>
          <w:tcPr>
            <w:tcW w:w="1444" w:type="dxa"/>
            <w:vMerge w:val="restart"/>
            <w:tcBorders>
              <w:top w:val="nil"/>
              <w:left w:val="single" w:sz="8" w:space="0" w:color="000000"/>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Bizarre</w:t>
            </w:r>
          </w:p>
        </w:tc>
        <w:tc>
          <w:tcPr>
            <w:tcW w:w="2479" w:type="dxa"/>
            <w:tcBorders>
              <w:top w:val="nil"/>
              <w:left w:val="nil"/>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Uncommon</w:t>
            </w:r>
          </w:p>
        </w:tc>
        <w:tc>
          <w:tcPr>
            <w:tcW w:w="273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Anaphylaxis, suxamethonium apnoea, malignant hyperpyrexia</w:t>
            </w:r>
          </w:p>
        </w:tc>
      </w:tr>
      <w:tr w:rsidR="00F64CE0" w:rsidRPr="00CA502F" w:rsidTr="00F64CE0">
        <w:trPr>
          <w:trHeight w:val="480"/>
        </w:trPr>
        <w:tc>
          <w:tcPr>
            <w:tcW w:w="458"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Unrelated to pharmacological action of drug</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00"/>
        </w:trPr>
        <w:tc>
          <w:tcPr>
            <w:tcW w:w="458"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Unpredictable</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15"/>
        </w:trPr>
        <w:tc>
          <w:tcPr>
            <w:tcW w:w="458"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nil"/>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High mortality</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00"/>
        </w:trPr>
        <w:tc>
          <w:tcPr>
            <w:tcW w:w="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jc w:val="center"/>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C</w:t>
            </w:r>
          </w:p>
        </w:tc>
        <w:tc>
          <w:tcPr>
            <w:tcW w:w="1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Dose-related &amp; time-related</w:t>
            </w:r>
          </w:p>
        </w:tc>
        <w:tc>
          <w:tcPr>
            <w:tcW w:w="1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Chronic</w:t>
            </w:r>
          </w:p>
        </w:tc>
        <w:tc>
          <w:tcPr>
            <w:tcW w:w="2479" w:type="dxa"/>
            <w:tcBorders>
              <w:top w:val="single" w:sz="8" w:space="0" w:color="000000"/>
              <w:left w:val="nil"/>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Uncommon</w:t>
            </w:r>
          </w:p>
        </w:tc>
        <w:tc>
          <w:tcPr>
            <w:tcW w:w="273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Propofol infusion syndrome</w:t>
            </w:r>
          </w:p>
        </w:tc>
      </w:tr>
      <w:tr w:rsidR="00F64CE0" w:rsidRPr="00CA502F" w:rsidTr="00F64CE0">
        <w:trPr>
          <w:trHeight w:val="315"/>
        </w:trPr>
        <w:tc>
          <w:tcPr>
            <w:tcW w:w="458" w:type="dxa"/>
            <w:vMerge/>
            <w:tcBorders>
              <w:top w:val="single" w:sz="8" w:space="0" w:color="000000"/>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single" w:sz="8" w:space="0" w:color="000000"/>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single" w:sz="8" w:space="0" w:color="000000"/>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single" w:sz="8" w:space="0" w:color="000000"/>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Related to cumulative dose</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300"/>
        </w:trPr>
        <w:tc>
          <w:tcPr>
            <w:tcW w:w="45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jc w:val="center"/>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D</w:t>
            </w:r>
          </w:p>
        </w:tc>
        <w:tc>
          <w:tcPr>
            <w:tcW w:w="196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Time-related</w:t>
            </w:r>
          </w:p>
        </w:tc>
        <w:tc>
          <w:tcPr>
            <w:tcW w:w="1444"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Delayed</w:t>
            </w:r>
          </w:p>
        </w:tc>
        <w:tc>
          <w:tcPr>
            <w:tcW w:w="2479" w:type="dxa"/>
            <w:tcBorders>
              <w:top w:val="nil"/>
              <w:left w:val="nil"/>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Uncommon</w:t>
            </w:r>
          </w:p>
        </w:tc>
        <w:tc>
          <w:tcPr>
            <w:tcW w:w="2738" w:type="dxa"/>
            <w:vMerge w:val="restart"/>
            <w:tcBorders>
              <w:top w:val="nil"/>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Tricholorethylene carcinogenesis, fluoride nephrotoxicity</w:t>
            </w:r>
          </w:p>
        </w:tc>
      </w:tr>
      <w:tr w:rsidR="00F64CE0" w:rsidRPr="00CA502F" w:rsidTr="00F64CE0">
        <w:trPr>
          <w:trHeight w:val="300"/>
        </w:trPr>
        <w:tc>
          <w:tcPr>
            <w:tcW w:w="45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Usually dose-related</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495"/>
        </w:trPr>
        <w:tc>
          <w:tcPr>
            <w:tcW w:w="45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single" w:sz="8" w:space="0" w:color="000000"/>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Occurs or becomes apparent some time after use of drug</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795"/>
        </w:trPr>
        <w:tc>
          <w:tcPr>
            <w:tcW w:w="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jc w:val="center"/>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E</w:t>
            </w:r>
          </w:p>
        </w:tc>
        <w:tc>
          <w:tcPr>
            <w:tcW w:w="19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Withdrawal</w:t>
            </w:r>
          </w:p>
        </w:tc>
        <w:tc>
          <w:tcPr>
            <w:tcW w:w="1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End of Use</w:t>
            </w:r>
          </w:p>
        </w:tc>
        <w:tc>
          <w:tcPr>
            <w:tcW w:w="2479" w:type="dxa"/>
            <w:tcBorders>
              <w:top w:val="single" w:sz="8" w:space="0" w:color="000000"/>
              <w:left w:val="nil"/>
              <w:bottom w:val="single" w:sz="8" w:space="0" w:color="000000"/>
              <w:right w:val="single" w:sz="8" w:space="0" w:color="000000"/>
            </w:tcBorders>
            <w:shd w:val="clear" w:color="auto" w:fill="auto"/>
            <w:vAlign w:val="center"/>
          </w:tcPr>
          <w:p w:rsidR="00F64CE0" w:rsidRPr="00621137" w:rsidRDefault="00F64CE0" w:rsidP="00F64CE0">
            <w:pPr>
              <w:rPr>
                <w:rFonts w:ascii="Arial" w:eastAsia="Times New Roman" w:hAnsi="Arial" w:cs="Arial"/>
                <w:i/>
                <w:color w:val="000000"/>
                <w:sz w:val="24"/>
                <w:szCs w:val="24"/>
                <w:lang w:eastAsia="en-GB"/>
              </w:rPr>
            </w:pPr>
            <w:r w:rsidRPr="00621137">
              <w:rPr>
                <w:rFonts w:ascii="Arial" w:eastAsia="Times New Roman" w:hAnsi="Arial" w:cs="Arial"/>
                <w:color w:val="000000"/>
                <w:sz w:val="24"/>
                <w:szCs w:val="24"/>
                <w:lang w:eastAsia="en-GB"/>
              </w:rPr>
              <w:t>Occurs soon after drug withdrawal</w:t>
            </w:r>
          </w:p>
        </w:tc>
        <w:tc>
          <w:tcPr>
            <w:tcW w:w="2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Rebound hypertension with clonidine cessation</w:t>
            </w:r>
          </w:p>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Opioid withdrawal syndrome</w:t>
            </w:r>
          </w:p>
        </w:tc>
      </w:tr>
      <w:tr w:rsidR="00F64CE0" w:rsidRPr="00CA502F" w:rsidTr="00F64CE0">
        <w:trPr>
          <w:trHeight w:val="300"/>
        </w:trPr>
        <w:tc>
          <w:tcPr>
            <w:tcW w:w="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jc w:val="center"/>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F</w:t>
            </w:r>
          </w:p>
        </w:tc>
        <w:tc>
          <w:tcPr>
            <w:tcW w:w="1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Unexpected failure of therapy</w:t>
            </w:r>
          </w:p>
        </w:tc>
        <w:tc>
          <w:tcPr>
            <w:tcW w:w="1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Failure</w:t>
            </w:r>
          </w:p>
        </w:tc>
        <w:tc>
          <w:tcPr>
            <w:tcW w:w="2479" w:type="dxa"/>
            <w:tcBorders>
              <w:top w:val="single" w:sz="8" w:space="0" w:color="000000"/>
              <w:left w:val="nil"/>
              <w:bottom w:val="nil"/>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Common</w:t>
            </w:r>
          </w:p>
        </w:tc>
        <w:tc>
          <w:tcPr>
            <w:tcW w:w="27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4CE0" w:rsidRPr="00621137" w:rsidRDefault="00F64CE0" w:rsidP="00F64CE0">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 xml:space="preserve">Rifampicin (or other enzyme inducing drug) associated therapeutic failure of oral contraceptive </w:t>
            </w:r>
          </w:p>
        </w:tc>
      </w:tr>
      <w:tr w:rsidR="00F64CE0" w:rsidRPr="00CA502F" w:rsidTr="00F64CE0">
        <w:trPr>
          <w:trHeight w:val="300"/>
        </w:trPr>
        <w:tc>
          <w:tcPr>
            <w:tcW w:w="45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nil"/>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Dose-related</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r>
      <w:tr w:rsidR="00F64CE0" w:rsidRPr="00CA502F" w:rsidTr="00F64CE0">
        <w:trPr>
          <w:trHeight w:val="495"/>
        </w:trPr>
        <w:tc>
          <w:tcPr>
            <w:tcW w:w="45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96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1444"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p>
        </w:tc>
        <w:tc>
          <w:tcPr>
            <w:tcW w:w="2479" w:type="dxa"/>
            <w:tcBorders>
              <w:top w:val="nil"/>
              <w:left w:val="nil"/>
              <w:bottom w:val="single" w:sz="8" w:space="0" w:color="000000"/>
              <w:right w:val="single" w:sz="8" w:space="0" w:color="000000"/>
            </w:tcBorders>
            <w:shd w:val="clear" w:color="auto" w:fill="auto"/>
            <w:vAlign w:val="center"/>
          </w:tcPr>
          <w:p w:rsidR="00F64CE0" w:rsidRPr="005956FC" w:rsidRDefault="00F64CE0"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Often caused by drug interactions</w:t>
            </w:r>
          </w:p>
        </w:tc>
        <w:tc>
          <w:tcPr>
            <w:tcW w:w="2738" w:type="dxa"/>
            <w:vMerge/>
            <w:tcBorders>
              <w:top w:val="nil"/>
              <w:left w:val="single" w:sz="8" w:space="0" w:color="000000"/>
              <w:bottom w:val="single" w:sz="8" w:space="0" w:color="000000"/>
              <w:right w:val="single" w:sz="8" w:space="0" w:color="000000"/>
            </w:tcBorders>
            <w:vAlign w:val="center"/>
          </w:tcPr>
          <w:p w:rsidR="00F64CE0" w:rsidRPr="005956FC" w:rsidRDefault="00F64CE0" w:rsidP="00F64CE0">
            <w:pPr>
              <w:keepNext/>
              <w:spacing w:after="0" w:line="240" w:lineRule="auto"/>
              <w:rPr>
                <w:rFonts w:ascii="Arial" w:eastAsia="Times New Roman" w:hAnsi="Arial" w:cs="Arial"/>
                <w:color w:val="000000"/>
                <w:sz w:val="24"/>
                <w:szCs w:val="24"/>
                <w:lang w:eastAsia="en-GB"/>
              </w:rPr>
            </w:pPr>
          </w:p>
        </w:tc>
      </w:tr>
    </w:tbl>
    <w:p w:rsidR="00F17129" w:rsidRPr="002D2F50" w:rsidRDefault="00F17129">
      <w:pPr>
        <w:spacing w:after="0" w:line="240" w:lineRule="auto"/>
        <w:rPr>
          <w:rFonts w:ascii="Arial" w:hAnsi="Arial" w:cs="Arial"/>
          <w:sz w:val="24"/>
          <w:szCs w:val="24"/>
        </w:rPr>
      </w:pPr>
    </w:p>
    <w:p w:rsidR="00F64CE0" w:rsidRPr="00F64CE0" w:rsidRDefault="00F64CE0" w:rsidP="00F64CE0">
      <w:pPr>
        <w:pStyle w:val="Caption"/>
        <w:rPr>
          <w:rFonts w:ascii="Arial" w:hAnsi="Arial" w:cs="Arial"/>
          <w:b w:val="0"/>
          <w:color w:val="auto"/>
          <w:sz w:val="24"/>
          <w:szCs w:val="24"/>
        </w:rPr>
      </w:pPr>
      <w:r w:rsidRPr="00F64CE0">
        <w:rPr>
          <w:rFonts w:ascii="Arial" w:hAnsi="Arial" w:cs="Arial"/>
          <w:b w:val="0"/>
          <w:color w:val="auto"/>
          <w:sz w:val="24"/>
          <w:szCs w:val="24"/>
        </w:rPr>
        <w:t xml:space="preserve">Adapted with permission </w:t>
      </w:r>
      <w:r>
        <w:rPr>
          <w:rFonts w:ascii="Arial" w:hAnsi="Arial" w:cs="Arial"/>
          <w:b w:val="0"/>
          <w:color w:val="auto"/>
          <w:sz w:val="24"/>
          <w:szCs w:val="24"/>
        </w:rPr>
        <w:t xml:space="preserve">from </w:t>
      </w:r>
      <w:r w:rsidRPr="00F64CE0">
        <w:rPr>
          <w:rFonts w:ascii="Arial" w:hAnsi="Arial" w:cs="Arial"/>
          <w:b w:val="0"/>
          <w:color w:val="auto"/>
          <w:sz w:val="24"/>
          <w:szCs w:val="24"/>
        </w:rPr>
        <w:t xml:space="preserve">Edwards IR, Aronson JK. Adverse drug reactions: definitions, diagnosis, and management. </w:t>
      </w:r>
      <w:r w:rsidRPr="00F64CE0">
        <w:rPr>
          <w:rFonts w:ascii="Arial" w:hAnsi="Arial" w:cs="Arial"/>
          <w:b w:val="0"/>
          <w:i/>
          <w:iCs/>
          <w:color w:val="auto"/>
          <w:sz w:val="24"/>
          <w:szCs w:val="24"/>
        </w:rPr>
        <w:t>Lancet</w:t>
      </w:r>
      <w:r w:rsidRPr="00F64CE0">
        <w:rPr>
          <w:rFonts w:ascii="Arial" w:hAnsi="Arial" w:cs="Arial"/>
          <w:b w:val="0"/>
          <w:color w:val="auto"/>
          <w:sz w:val="24"/>
          <w:szCs w:val="24"/>
        </w:rPr>
        <w:t>. 2000;</w:t>
      </w:r>
      <w:r>
        <w:rPr>
          <w:rFonts w:ascii="Arial" w:hAnsi="Arial" w:cs="Arial"/>
          <w:b w:val="0"/>
          <w:color w:val="auto"/>
          <w:sz w:val="24"/>
          <w:szCs w:val="24"/>
        </w:rPr>
        <w:t xml:space="preserve"> </w:t>
      </w:r>
      <w:r w:rsidRPr="00F64CE0">
        <w:rPr>
          <w:rFonts w:ascii="Arial" w:hAnsi="Arial" w:cs="Arial"/>
          <w:color w:val="auto"/>
          <w:sz w:val="24"/>
          <w:szCs w:val="24"/>
        </w:rPr>
        <w:t>356:</w:t>
      </w:r>
      <w:r>
        <w:rPr>
          <w:rFonts w:ascii="Arial" w:hAnsi="Arial" w:cs="Arial"/>
          <w:color w:val="auto"/>
          <w:sz w:val="24"/>
          <w:szCs w:val="24"/>
        </w:rPr>
        <w:t xml:space="preserve"> </w:t>
      </w:r>
      <w:r w:rsidRPr="00F64CE0">
        <w:rPr>
          <w:rFonts w:ascii="Arial" w:hAnsi="Arial" w:cs="Arial"/>
          <w:b w:val="0"/>
          <w:color w:val="auto"/>
          <w:sz w:val="24"/>
          <w:szCs w:val="24"/>
        </w:rPr>
        <w:t>1255-1259</w:t>
      </w:r>
      <w:r>
        <w:rPr>
          <w:rFonts w:ascii="Arial" w:hAnsi="Arial" w:cs="Arial"/>
          <w:b w:val="0"/>
          <w:color w:val="auto"/>
          <w:sz w:val="24"/>
          <w:szCs w:val="24"/>
        </w:rPr>
        <w:t>.</w:t>
      </w:r>
    </w:p>
    <w:p w:rsidR="003B1624" w:rsidRPr="002D2F50" w:rsidRDefault="003B1624">
      <w:pPr>
        <w:spacing w:after="0" w:line="240" w:lineRule="auto"/>
        <w:rPr>
          <w:rFonts w:ascii="Arial" w:hAnsi="Arial" w:cs="Arial"/>
          <w:sz w:val="24"/>
          <w:szCs w:val="24"/>
        </w:rPr>
      </w:pPr>
      <w:r w:rsidRPr="002D2F50">
        <w:rPr>
          <w:rFonts w:ascii="Arial" w:hAnsi="Arial" w:cs="Arial"/>
          <w:sz w:val="24"/>
          <w:szCs w:val="24"/>
        </w:rPr>
        <w:br w:type="page"/>
      </w:r>
    </w:p>
    <w:p w:rsidR="003B1624" w:rsidRPr="00F64CE0" w:rsidRDefault="00C752A8" w:rsidP="003B1624">
      <w:pPr>
        <w:spacing w:after="0"/>
        <w:jc w:val="both"/>
        <w:rPr>
          <w:rFonts w:ascii="Arial" w:hAnsi="Arial" w:cs="Arial"/>
          <w:b/>
          <w:sz w:val="24"/>
          <w:szCs w:val="24"/>
          <w:vertAlign w:val="superscript"/>
          <w:lang w:eastAsia="en-GB"/>
        </w:rPr>
      </w:pPr>
      <w:r w:rsidRPr="00F64CE0">
        <w:rPr>
          <w:rFonts w:ascii="Arial" w:hAnsi="Arial" w:cs="Arial"/>
          <w:b/>
          <w:bCs/>
          <w:sz w:val="24"/>
          <w:szCs w:val="24"/>
        </w:rPr>
        <w:t>TABLE</w:t>
      </w:r>
      <w:r w:rsidR="00FE3007">
        <w:rPr>
          <w:rFonts w:ascii="Arial" w:hAnsi="Arial" w:cs="Arial"/>
          <w:b/>
          <w:bCs/>
          <w:sz w:val="24"/>
          <w:szCs w:val="24"/>
        </w:rPr>
        <w:t xml:space="preserve"> </w:t>
      </w:r>
      <w:r w:rsidRPr="00F64CE0">
        <w:rPr>
          <w:rFonts w:ascii="Arial" w:hAnsi="Arial" w:cs="Arial"/>
          <w:b/>
          <w:bCs/>
          <w:sz w:val="24"/>
          <w:szCs w:val="24"/>
        </w:rPr>
        <w:t>2</w:t>
      </w:r>
      <w:r w:rsidR="001D029F" w:rsidRPr="00F64CE0">
        <w:rPr>
          <w:rFonts w:ascii="Arial" w:hAnsi="Arial" w:cs="Arial"/>
          <w:b/>
          <w:bCs/>
          <w:sz w:val="24"/>
          <w:szCs w:val="24"/>
        </w:rPr>
        <w:t xml:space="preserve">. </w:t>
      </w:r>
      <w:r w:rsidR="001D029F" w:rsidRPr="00F64CE0">
        <w:rPr>
          <w:rFonts w:ascii="Arial" w:hAnsi="Arial" w:cs="Arial"/>
          <w:b/>
          <w:sz w:val="24"/>
          <w:szCs w:val="24"/>
          <w:lang w:eastAsia="en-GB"/>
        </w:rPr>
        <w:t>DoTS (dosed relatedness, time course and susceptibility) classification of adverse drug reactions</w:t>
      </w:r>
      <w:r w:rsidR="006D5FF8" w:rsidRPr="00F64CE0">
        <w:rPr>
          <w:rFonts w:ascii="Arial" w:hAnsi="Arial" w:cs="Arial"/>
          <w:b/>
          <w:sz w:val="24"/>
          <w:szCs w:val="24"/>
          <w:lang w:eastAsia="en-GB"/>
        </w:rPr>
        <w:t>.</w:t>
      </w:r>
      <w:r w:rsidR="007625ED" w:rsidRPr="00F64CE0">
        <w:rPr>
          <w:rFonts w:ascii="Arial" w:hAnsi="Arial" w:cs="Arial"/>
          <w:b/>
          <w:sz w:val="24"/>
          <w:szCs w:val="24"/>
          <w:vertAlign w:val="superscript"/>
          <w:lang w:eastAsia="en-GB"/>
        </w:rPr>
        <w:fldChar w:fldCharType="begin"/>
      </w:r>
      <w:r w:rsidR="007625ED" w:rsidRPr="00F64CE0">
        <w:rPr>
          <w:rFonts w:ascii="Arial" w:hAnsi="Arial" w:cs="Arial"/>
          <w:b/>
          <w:sz w:val="24"/>
          <w:szCs w:val="24"/>
          <w:vertAlign w:val="superscript"/>
          <w:lang w:eastAsia="en-GB"/>
        </w:rPr>
        <w:instrText>ADDIN RW.CITE{{2852 Aronson,J.K. 2003}}</w:instrText>
      </w:r>
      <w:r w:rsidR="007625ED" w:rsidRPr="00F64CE0">
        <w:rPr>
          <w:rFonts w:ascii="Arial" w:hAnsi="Arial" w:cs="Arial"/>
          <w:b/>
          <w:sz w:val="24"/>
          <w:szCs w:val="24"/>
          <w:vertAlign w:val="superscript"/>
          <w:lang w:eastAsia="en-GB"/>
        </w:rPr>
        <w:fldChar w:fldCharType="separate"/>
      </w:r>
      <w:r w:rsidR="006D5FF8" w:rsidRPr="00F64CE0">
        <w:rPr>
          <w:rFonts w:ascii="Arial" w:hAnsi="Arial" w:cs="Arial"/>
          <w:b/>
          <w:sz w:val="24"/>
          <w:szCs w:val="24"/>
          <w:vertAlign w:val="superscript"/>
          <w:lang w:eastAsia="en-GB"/>
        </w:rPr>
        <w:t xml:space="preserve"> </w:t>
      </w:r>
      <w:r w:rsidR="007625ED" w:rsidRPr="00F64CE0">
        <w:rPr>
          <w:rFonts w:ascii="Arial" w:hAnsi="Arial" w:cs="Arial"/>
          <w:b/>
          <w:sz w:val="24"/>
          <w:szCs w:val="24"/>
          <w:vertAlign w:val="superscript"/>
          <w:lang w:eastAsia="en-GB"/>
        </w:rPr>
        <w:t>5</w:t>
      </w:r>
      <w:r w:rsidR="007625ED" w:rsidRPr="00F64CE0">
        <w:rPr>
          <w:rFonts w:ascii="Arial" w:hAnsi="Arial" w:cs="Arial"/>
          <w:b/>
          <w:sz w:val="24"/>
          <w:szCs w:val="24"/>
          <w:vertAlign w:val="superscript"/>
          <w:lang w:eastAsia="en-GB"/>
        </w:rPr>
        <w:fldChar w:fldCharType="end"/>
      </w:r>
    </w:p>
    <w:p w:rsidR="00F64CE0" w:rsidRPr="00621137" w:rsidRDefault="00F64CE0" w:rsidP="003B1624">
      <w:pPr>
        <w:spacing w:after="0"/>
        <w:jc w:val="both"/>
        <w:rPr>
          <w:rFonts w:ascii="Arial" w:hAnsi="Arial" w:cs="Arial"/>
          <w:bCs/>
          <w:sz w:val="24"/>
          <w:szCs w:val="24"/>
        </w:rPr>
      </w:pPr>
    </w:p>
    <w:tbl>
      <w:tblPr>
        <w:tblW w:w="8980" w:type="dxa"/>
        <w:tblInd w:w="93" w:type="dxa"/>
        <w:tblLook w:val="04A0" w:firstRow="1" w:lastRow="0" w:firstColumn="1" w:lastColumn="0" w:noHBand="0" w:noVBand="1"/>
      </w:tblPr>
      <w:tblGrid>
        <w:gridCol w:w="2177"/>
        <w:gridCol w:w="2200"/>
        <w:gridCol w:w="5060"/>
      </w:tblGrid>
      <w:tr w:rsidR="003B1624" w:rsidRPr="00CA502F" w:rsidTr="003B1624">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624" w:rsidRPr="00621137" w:rsidRDefault="003B1624" w:rsidP="003B1624">
            <w:pPr>
              <w:spacing w:after="0" w:line="240" w:lineRule="auto"/>
              <w:jc w:val="center"/>
              <w:rPr>
                <w:rFonts w:ascii="Arial" w:eastAsia="Times New Roman" w:hAnsi="Arial" w:cs="Arial"/>
                <w:b/>
                <w:bCs/>
                <w:color w:val="000000"/>
                <w:sz w:val="24"/>
                <w:szCs w:val="24"/>
                <w:lang w:eastAsia="en-GB"/>
              </w:rPr>
            </w:pPr>
            <w:r w:rsidRPr="00621137">
              <w:rPr>
                <w:rFonts w:ascii="Arial" w:eastAsia="Times New Roman" w:hAnsi="Arial" w:cs="Arial"/>
                <w:b/>
                <w:bCs/>
                <w:color w:val="000000"/>
                <w:sz w:val="24"/>
                <w:szCs w:val="24"/>
                <w:lang w:eastAsia="en-GB"/>
              </w:rPr>
              <w:t>Classification</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3B1624" w:rsidRPr="00621137" w:rsidRDefault="003B1624" w:rsidP="003B1624">
            <w:pPr>
              <w:spacing w:after="0" w:line="240" w:lineRule="auto"/>
              <w:jc w:val="center"/>
              <w:rPr>
                <w:rFonts w:ascii="Arial" w:eastAsia="Times New Roman" w:hAnsi="Arial" w:cs="Arial"/>
                <w:b/>
                <w:bCs/>
                <w:color w:val="000000"/>
                <w:sz w:val="24"/>
                <w:szCs w:val="24"/>
                <w:lang w:eastAsia="en-GB"/>
              </w:rPr>
            </w:pPr>
            <w:r w:rsidRPr="00621137">
              <w:rPr>
                <w:rFonts w:ascii="Arial" w:eastAsia="Times New Roman" w:hAnsi="Arial" w:cs="Arial"/>
                <w:b/>
                <w:bCs/>
                <w:color w:val="000000"/>
                <w:sz w:val="24"/>
                <w:szCs w:val="24"/>
                <w:lang w:eastAsia="en-GB"/>
              </w:rPr>
              <w:t>Sub-classification</w:t>
            </w:r>
          </w:p>
        </w:tc>
        <w:tc>
          <w:tcPr>
            <w:tcW w:w="5060" w:type="dxa"/>
            <w:tcBorders>
              <w:top w:val="single" w:sz="4" w:space="0" w:color="auto"/>
              <w:left w:val="nil"/>
              <w:bottom w:val="single" w:sz="4" w:space="0" w:color="auto"/>
              <w:right w:val="single" w:sz="4" w:space="0" w:color="auto"/>
            </w:tcBorders>
            <w:shd w:val="clear" w:color="auto" w:fill="auto"/>
            <w:noWrap/>
            <w:vAlign w:val="center"/>
          </w:tcPr>
          <w:p w:rsidR="003B1624" w:rsidRPr="00621137" w:rsidRDefault="003B1624" w:rsidP="003B1624">
            <w:pPr>
              <w:spacing w:after="0" w:line="240" w:lineRule="auto"/>
              <w:jc w:val="center"/>
              <w:rPr>
                <w:rFonts w:ascii="Arial" w:eastAsia="Times New Roman" w:hAnsi="Arial" w:cs="Arial"/>
                <w:b/>
                <w:bCs/>
                <w:color w:val="000000"/>
                <w:sz w:val="24"/>
                <w:szCs w:val="24"/>
                <w:lang w:eastAsia="en-GB"/>
              </w:rPr>
            </w:pPr>
            <w:r w:rsidRPr="00621137">
              <w:rPr>
                <w:rFonts w:ascii="Arial" w:eastAsia="Times New Roman" w:hAnsi="Arial" w:cs="Arial"/>
                <w:b/>
                <w:bCs/>
                <w:color w:val="000000"/>
                <w:sz w:val="24"/>
                <w:szCs w:val="24"/>
                <w:lang w:eastAsia="en-GB"/>
              </w:rPr>
              <w:t>Explanation / further classification</w:t>
            </w:r>
          </w:p>
        </w:tc>
      </w:tr>
      <w:tr w:rsidR="003B1624" w:rsidRPr="00CA502F" w:rsidTr="003B1624">
        <w:trPr>
          <w:trHeight w:val="300"/>
        </w:trPr>
        <w:tc>
          <w:tcPr>
            <w:tcW w:w="1720" w:type="dxa"/>
            <w:vMerge w:val="restart"/>
            <w:tcBorders>
              <w:top w:val="nil"/>
              <w:left w:val="single" w:sz="4" w:space="0" w:color="auto"/>
              <w:bottom w:val="single" w:sz="4" w:space="0" w:color="000000"/>
              <w:right w:val="nil"/>
            </w:tcBorders>
            <w:shd w:val="clear" w:color="auto" w:fill="auto"/>
            <w:noWrap/>
            <w:vAlign w:val="center"/>
          </w:tcPr>
          <w:p w:rsidR="003B1624" w:rsidRPr="00621137" w:rsidRDefault="003B1624" w:rsidP="003B1624">
            <w:pPr>
              <w:spacing w:after="0" w:line="240" w:lineRule="auto"/>
              <w:rPr>
                <w:rFonts w:ascii="Arial" w:eastAsia="Times New Roman" w:hAnsi="Arial" w:cs="Arial"/>
                <w:b/>
                <w:bCs/>
                <w:color w:val="000000"/>
                <w:sz w:val="24"/>
                <w:szCs w:val="24"/>
                <w:lang w:eastAsia="en-GB"/>
              </w:rPr>
            </w:pPr>
            <w:r w:rsidRPr="00621137">
              <w:rPr>
                <w:rFonts w:ascii="Arial" w:eastAsia="Times New Roman" w:hAnsi="Arial" w:cs="Arial"/>
                <w:b/>
                <w:bCs/>
                <w:color w:val="000000"/>
                <w:sz w:val="24"/>
                <w:szCs w:val="24"/>
                <w:lang w:eastAsia="en-GB"/>
              </w:rPr>
              <w:t>DOSE</w:t>
            </w:r>
          </w:p>
        </w:tc>
        <w:tc>
          <w:tcPr>
            <w:tcW w:w="2200" w:type="dxa"/>
            <w:tcBorders>
              <w:top w:val="single" w:sz="4" w:space="0" w:color="auto"/>
              <w:left w:val="single" w:sz="4" w:space="0" w:color="auto"/>
              <w:bottom w:val="single" w:sz="4" w:space="0" w:color="auto"/>
              <w:right w:val="nil"/>
            </w:tcBorders>
            <w:shd w:val="clear" w:color="auto" w:fill="auto"/>
            <w:noWrap/>
            <w:vAlign w:val="center"/>
          </w:tcPr>
          <w:p w:rsidR="003B1624" w:rsidRPr="00621137" w:rsidRDefault="003B1624" w:rsidP="003B1624">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Toxic</w:t>
            </w:r>
          </w:p>
        </w:tc>
        <w:tc>
          <w:tcPr>
            <w:tcW w:w="5060" w:type="dxa"/>
            <w:tcBorders>
              <w:top w:val="nil"/>
              <w:left w:val="single" w:sz="4" w:space="0" w:color="auto"/>
              <w:bottom w:val="single" w:sz="4" w:space="0" w:color="auto"/>
              <w:right w:val="single" w:sz="4" w:space="0" w:color="auto"/>
            </w:tcBorders>
            <w:shd w:val="clear" w:color="auto" w:fill="auto"/>
            <w:noWrap/>
            <w:vAlign w:val="center"/>
          </w:tcPr>
          <w:p w:rsidR="003B1624" w:rsidRPr="00621137" w:rsidRDefault="003B1624" w:rsidP="003B1624">
            <w:pPr>
              <w:spacing w:after="0" w:line="240" w:lineRule="auto"/>
              <w:rPr>
                <w:rFonts w:ascii="Arial" w:eastAsia="Times New Roman" w:hAnsi="Arial" w:cs="Arial"/>
                <w:color w:val="000000"/>
                <w:sz w:val="24"/>
                <w:szCs w:val="24"/>
                <w:lang w:eastAsia="en-GB"/>
              </w:rPr>
            </w:pPr>
            <w:r w:rsidRPr="00621137">
              <w:rPr>
                <w:rFonts w:ascii="Arial" w:eastAsia="Times New Roman" w:hAnsi="Arial" w:cs="Arial"/>
                <w:color w:val="000000"/>
                <w:sz w:val="24"/>
                <w:szCs w:val="24"/>
                <w:lang w:eastAsia="en-GB"/>
              </w:rPr>
              <w:t>Reactions occurring at supra-therapeutic doses</w:t>
            </w: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5956FC"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single" w:sz="4" w:space="0" w:color="auto"/>
              <w:left w:val="single" w:sz="4" w:space="0" w:color="auto"/>
              <w:bottom w:val="single" w:sz="4" w:space="0" w:color="auto"/>
              <w:right w:val="nil"/>
            </w:tcBorders>
            <w:shd w:val="clear" w:color="auto" w:fill="auto"/>
            <w:noWrap/>
            <w:vAlign w:val="center"/>
          </w:tcPr>
          <w:p w:rsidR="003B1624" w:rsidRPr="005956FC" w:rsidRDefault="003B1624" w:rsidP="003B1624">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Collateral</w:t>
            </w:r>
          </w:p>
        </w:tc>
        <w:tc>
          <w:tcPr>
            <w:tcW w:w="5060" w:type="dxa"/>
            <w:tcBorders>
              <w:top w:val="nil"/>
              <w:left w:val="single" w:sz="4" w:space="0" w:color="auto"/>
              <w:bottom w:val="single" w:sz="4" w:space="0" w:color="auto"/>
              <w:right w:val="single" w:sz="4" w:space="0" w:color="auto"/>
            </w:tcBorders>
            <w:shd w:val="clear" w:color="auto" w:fill="auto"/>
            <w:noWrap/>
            <w:vAlign w:val="center"/>
          </w:tcPr>
          <w:p w:rsidR="003B1624" w:rsidRPr="005956FC" w:rsidRDefault="003B1624" w:rsidP="003B1624">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Reactions occurring at standard doses</w:t>
            </w: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5956FC"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single" w:sz="4" w:space="0" w:color="auto"/>
              <w:left w:val="single" w:sz="4" w:space="0" w:color="auto"/>
              <w:bottom w:val="single" w:sz="4" w:space="0" w:color="auto"/>
              <w:right w:val="nil"/>
            </w:tcBorders>
            <w:shd w:val="clear" w:color="auto" w:fill="auto"/>
            <w:noWrap/>
            <w:vAlign w:val="center"/>
          </w:tcPr>
          <w:p w:rsidR="003B1624" w:rsidRPr="005956FC" w:rsidRDefault="003B1624" w:rsidP="003B1624">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Hyper-susceptibility</w:t>
            </w:r>
          </w:p>
        </w:tc>
        <w:tc>
          <w:tcPr>
            <w:tcW w:w="5060" w:type="dxa"/>
            <w:tcBorders>
              <w:top w:val="nil"/>
              <w:left w:val="single" w:sz="4" w:space="0" w:color="auto"/>
              <w:bottom w:val="single" w:sz="4" w:space="0" w:color="auto"/>
              <w:right w:val="single" w:sz="4" w:space="0" w:color="auto"/>
            </w:tcBorders>
            <w:shd w:val="clear" w:color="auto" w:fill="auto"/>
            <w:noWrap/>
            <w:vAlign w:val="center"/>
          </w:tcPr>
          <w:p w:rsidR="003B1624" w:rsidRPr="005956FC" w:rsidRDefault="003B1624" w:rsidP="003B1624">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Reactions at sub-therapeutic doses in susceptible individuals</w:t>
            </w:r>
          </w:p>
        </w:tc>
      </w:tr>
      <w:tr w:rsidR="003B1624" w:rsidRPr="00CA502F" w:rsidTr="003B1624">
        <w:trPr>
          <w:trHeight w:val="300"/>
        </w:trPr>
        <w:tc>
          <w:tcPr>
            <w:tcW w:w="1720" w:type="dxa"/>
            <w:vMerge w:val="restart"/>
            <w:tcBorders>
              <w:top w:val="nil"/>
              <w:left w:val="single" w:sz="4" w:space="0" w:color="auto"/>
              <w:bottom w:val="single" w:sz="4" w:space="0" w:color="000000"/>
              <w:right w:val="nil"/>
            </w:tcBorders>
            <w:shd w:val="clear" w:color="auto" w:fill="auto"/>
            <w:noWrap/>
            <w:vAlign w:val="center"/>
          </w:tcPr>
          <w:p w:rsidR="003B1624" w:rsidRPr="00F05BD8" w:rsidRDefault="003B1624" w:rsidP="003B1624">
            <w:pPr>
              <w:spacing w:after="0" w:line="240" w:lineRule="auto"/>
              <w:rPr>
                <w:rFonts w:ascii="Arial" w:eastAsia="Times New Roman" w:hAnsi="Arial" w:cs="Arial"/>
                <w:b/>
                <w:bCs/>
                <w:color w:val="000000"/>
                <w:sz w:val="24"/>
                <w:szCs w:val="24"/>
                <w:lang w:eastAsia="en-GB"/>
              </w:rPr>
            </w:pPr>
            <w:r w:rsidRPr="00F05BD8">
              <w:rPr>
                <w:rFonts w:ascii="Arial" w:eastAsia="Times New Roman" w:hAnsi="Arial" w:cs="Arial"/>
                <w:b/>
                <w:bCs/>
                <w:color w:val="000000"/>
                <w:sz w:val="24"/>
                <w:szCs w:val="24"/>
                <w:lang w:eastAsia="en-GB"/>
              </w:rPr>
              <w:t>TIME COURSE</w:t>
            </w:r>
          </w:p>
        </w:tc>
        <w:tc>
          <w:tcPr>
            <w:tcW w:w="2200" w:type="dxa"/>
            <w:tcBorders>
              <w:top w:val="single" w:sz="4" w:space="0" w:color="auto"/>
              <w:left w:val="single" w:sz="4" w:space="0" w:color="auto"/>
              <w:bottom w:val="single" w:sz="4" w:space="0" w:color="auto"/>
              <w:right w:val="nil"/>
            </w:tcBorders>
            <w:shd w:val="clear" w:color="auto" w:fill="auto"/>
            <w:noWrap/>
            <w:vAlign w:val="center"/>
          </w:tcPr>
          <w:p w:rsidR="003B1624" w:rsidRPr="00F05BD8" w:rsidRDefault="003B1624" w:rsidP="003B1624">
            <w:pPr>
              <w:spacing w:after="0" w:line="240" w:lineRule="auto"/>
              <w:rPr>
                <w:rFonts w:ascii="Arial" w:eastAsia="Times New Roman" w:hAnsi="Arial" w:cs="Arial"/>
                <w:color w:val="000000"/>
                <w:sz w:val="24"/>
                <w:szCs w:val="24"/>
                <w:lang w:eastAsia="en-GB"/>
              </w:rPr>
            </w:pPr>
            <w:r w:rsidRPr="00F05BD8">
              <w:rPr>
                <w:rFonts w:ascii="Arial" w:eastAsia="Times New Roman" w:hAnsi="Arial" w:cs="Arial"/>
                <w:color w:val="000000"/>
                <w:sz w:val="24"/>
                <w:szCs w:val="24"/>
                <w:lang w:eastAsia="en-GB"/>
              </w:rPr>
              <w:t>Time independent</w:t>
            </w:r>
          </w:p>
        </w:tc>
        <w:tc>
          <w:tcPr>
            <w:tcW w:w="5060" w:type="dxa"/>
            <w:tcBorders>
              <w:top w:val="nil"/>
              <w:left w:val="single" w:sz="4" w:space="0" w:color="auto"/>
              <w:bottom w:val="single" w:sz="4" w:space="0" w:color="auto"/>
              <w:right w:val="single" w:sz="4" w:space="0" w:color="auto"/>
            </w:tcBorders>
            <w:shd w:val="clear" w:color="auto" w:fill="auto"/>
            <w:vAlign w:val="center"/>
          </w:tcPr>
          <w:p w:rsidR="003B1624" w:rsidRPr="00F05BD8" w:rsidRDefault="003B1624" w:rsidP="003B1624">
            <w:pPr>
              <w:spacing w:after="0" w:line="240" w:lineRule="auto"/>
              <w:rPr>
                <w:rFonts w:ascii="Arial" w:eastAsia="Times New Roman" w:hAnsi="Arial" w:cs="Arial"/>
                <w:color w:val="000000"/>
                <w:sz w:val="24"/>
                <w:szCs w:val="24"/>
                <w:lang w:eastAsia="en-GB"/>
              </w:rPr>
            </w:pPr>
            <w:r w:rsidRPr="00F05BD8">
              <w:rPr>
                <w:rFonts w:ascii="Arial" w:eastAsia="Times New Roman" w:hAnsi="Arial" w:cs="Arial"/>
                <w:color w:val="000000"/>
                <w:sz w:val="24"/>
                <w:szCs w:val="24"/>
                <w:lang w:eastAsia="en-GB"/>
              </w:rPr>
              <w:t>Occur at any time during therapy</w:t>
            </w: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5956FC" w:rsidRDefault="003B1624" w:rsidP="003B1624">
            <w:pPr>
              <w:spacing w:after="0" w:line="240" w:lineRule="auto"/>
              <w:rPr>
                <w:rFonts w:ascii="Arial" w:eastAsia="Times New Roman" w:hAnsi="Arial" w:cs="Arial"/>
                <w:b/>
                <w:bCs/>
                <w:color w:val="000000"/>
                <w:sz w:val="24"/>
                <w:szCs w:val="24"/>
                <w:lang w:eastAsia="en-GB"/>
              </w:rPr>
            </w:pPr>
          </w:p>
        </w:tc>
        <w:tc>
          <w:tcPr>
            <w:tcW w:w="2200" w:type="dxa"/>
            <w:vMerge w:val="restart"/>
            <w:tcBorders>
              <w:top w:val="single" w:sz="4" w:space="0" w:color="auto"/>
              <w:left w:val="single" w:sz="4" w:space="0" w:color="auto"/>
              <w:bottom w:val="single" w:sz="4" w:space="0" w:color="000000"/>
              <w:right w:val="nil"/>
            </w:tcBorders>
            <w:shd w:val="clear" w:color="auto" w:fill="auto"/>
            <w:noWrap/>
            <w:vAlign w:val="center"/>
          </w:tcPr>
          <w:p w:rsidR="003B1624" w:rsidRPr="005956FC" w:rsidRDefault="003B1624" w:rsidP="00F64CE0">
            <w:pPr>
              <w:spacing w:after="0" w:line="240" w:lineRule="auto"/>
              <w:rPr>
                <w:rFonts w:ascii="Arial" w:eastAsia="Times New Roman" w:hAnsi="Arial" w:cs="Arial"/>
                <w:color w:val="000000"/>
                <w:sz w:val="24"/>
                <w:szCs w:val="24"/>
                <w:lang w:eastAsia="en-GB"/>
              </w:rPr>
            </w:pPr>
            <w:r w:rsidRPr="005956FC">
              <w:rPr>
                <w:rFonts w:ascii="Arial" w:eastAsia="Times New Roman" w:hAnsi="Arial" w:cs="Arial"/>
                <w:color w:val="000000"/>
                <w:sz w:val="24"/>
                <w:szCs w:val="24"/>
                <w:lang w:eastAsia="en-GB"/>
              </w:rPr>
              <w:t>Time</w:t>
            </w:r>
            <w:r w:rsidR="00F64CE0">
              <w:rPr>
                <w:rFonts w:ascii="Arial" w:eastAsia="Times New Roman" w:hAnsi="Arial" w:cs="Arial"/>
                <w:color w:val="000000"/>
                <w:sz w:val="24"/>
                <w:szCs w:val="24"/>
                <w:lang w:eastAsia="en-GB"/>
              </w:rPr>
              <w:t>-</w:t>
            </w:r>
            <w:r w:rsidRPr="005956FC">
              <w:rPr>
                <w:rFonts w:ascii="Arial" w:eastAsia="Times New Roman" w:hAnsi="Arial" w:cs="Arial"/>
                <w:color w:val="000000"/>
                <w:sz w:val="24"/>
                <w:szCs w:val="24"/>
                <w:lang w:eastAsia="en-GB"/>
              </w:rPr>
              <w:t>dependent</w:t>
            </w:r>
          </w:p>
        </w:tc>
        <w:tc>
          <w:tcPr>
            <w:tcW w:w="5060" w:type="dxa"/>
            <w:tcBorders>
              <w:top w:val="nil"/>
              <w:left w:val="single" w:sz="4" w:space="0" w:color="auto"/>
              <w:bottom w:val="nil"/>
              <w:right w:val="single" w:sz="4" w:space="0" w:color="auto"/>
            </w:tcBorders>
            <w:shd w:val="clear" w:color="auto" w:fill="auto"/>
            <w:vAlign w:val="center"/>
          </w:tcPr>
          <w:p w:rsidR="003B1624" w:rsidRPr="005956FC" w:rsidRDefault="005956FC" w:rsidP="003B162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Related to</w:t>
            </w:r>
            <w:r w:rsidR="003B1624" w:rsidRPr="005956FC">
              <w:rPr>
                <w:rFonts w:ascii="Arial" w:eastAsia="Times New Roman" w:hAnsi="Arial" w:cs="Arial"/>
                <w:color w:val="000000"/>
                <w:sz w:val="24"/>
                <w:szCs w:val="24"/>
                <w:lang w:eastAsia="en-GB"/>
              </w:rPr>
              <w:t xml:space="preserve"> </w:t>
            </w:r>
            <w:r w:rsidR="003B1624" w:rsidRPr="005956FC">
              <w:rPr>
                <w:rFonts w:ascii="Arial" w:eastAsia="Times New Roman" w:hAnsi="Arial" w:cs="Arial"/>
                <w:i/>
                <w:iCs/>
                <w:color w:val="000000"/>
                <w:sz w:val="24"/>
                <w:szCs w:val="24"/>
                <w:lang w:eastAsia="en-GB"/>
              </w:rPr>
              <w:t>rapid</w:t>
            </w:r>
            <w:r w:rsidR="003B1624" w:rsidRPr="005956FC">
              <w:rPr>
                <w:rFonts w:ascii="Arial" w:eastAsia="Times New Roman" w:hAnsi="Arial" w:cs="Arial"/>
                <w:color w:val="000000"/>
                <w:sz w:val="24"/>
                <w:szCs w:val="24"/>
                <w:lang w:eastAsia="en-GB"/>
              </w:rPr>
              <w:t xml:space="preserve"> administration</w:t>
            </w:r>
          </w:p>
        </w:tc>
      </w:tr>
      <w:tr w:rsidR="003B1624" w:rsidRPr="00CA502F" w:rsidTr="003B1624">
        <w:trPr>
          <w:trHeight w:val="48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vMerge/>
            <w:tcBorders>
              <w:top w:val="single" w:sz="4" w:space="0" w:color="auto"/>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5060" w:type="dxa"/>
            <w:tcBorders>
              <w:top w:val="nil"/>
              <w:left w:val="single" w:sz="4" w:space="0" w:color="auto"/>
              <w:bottom w:val="nil"/>
              <w:right w:val="single" w:sz="4" w:space="0" w:color="auto"/>
            </w:tcBorders>
            <w:shd w:val="clear" w:color="auto" w:fill="auto"/>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 xml:space="preserve">Occur after the </w:t>
            </w:r>
            <w:r w:rsidRPr="00F64CE0">
              <w:rPr>
                <w:rFonts w:ascii="Arial" w:eastAsia="Times New Roman" w:hAnsi="Arial" w:cs="Arial"/>
                <w:i/>
                <w:iCs/>
                <w:color w:val="000000"/>
                <w:sz w:val="24"/>
                <w:szCs w:val="24"/>
                <w:lang w:eastAsia="en-GB"/>
              </w:rPr>
              <w:t xml:space="preserve">first dose </w:t>
            </w:r>
            <w:r w:rsidRPr="00F64CE0">
              <w:rPr>
                <w:rFonts w:ascii="Arial" w:eastAsia="Times New Roman" w:hAnsi="Arial" w:cs="Arial"/>
                <w:color w:val="000000"/>
                <w:sz w:val="24"/>
                <w:szCs w:val="24"/>
                <w:lang w:eastAsia="en-GB"/>
              </w:rPr>
              <w:t>of a medication, but not always after subsequent doses</w:t>
            </w: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vMerge/>
            <w:tcBorders>
              <w:top w:val="single" w:sz="4" w:space="0" w:color="auto"/>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5060" w:type="dxa"/>
            <w:tcBorders>
              <w:top w:val="nil"/>
              <w:left w:val="single" w:sz="4" w:space="0" w:color="auto"/>
              <w:bottom w:val="nil"/>
              <w:right w:val="single" w:sz="4" w:space="0" w:color="auto"/>
            </w:tcBorders>
            <w:shd w:val="clear" w:color="auto" w:fill="auto"/>
            <w:vAlign w:val="center"/>
          </w:tcPr>
          <w:p w:rsidR="003B1624" w:rsidRPr="005956FC" w:rsidRDefault="003B1624" w:rsidP="005956FC">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i/>
                <w:iCs/>
                <w:color w:val="000000"/>
                <w:sz w:val="24"/>
                <w:szCs w:val="24"/>
                <w:lang w:eastAsia="en-GB"/>
              </w:rPr>
              <w:t>Early reactions</w:t>
            </w:r>
            <w:r w:rsidRPr="00F64CE0">
              <w:rPr>
                <w:rFonts w:ascii="Arial" w:eastAsia="Times New Roman" w:hAnsi="Arial" w:cs="Arial"/>
                <w:color w:val="000000"/>
                <w:sz w:val="24"/>
                <w:szCs w:val="24"/>
                <w:lang w:eastAsia="en-GB"/>
              </w:rPr>
              <w:t xml:space="preserve"> that resolve (usually </w:t>
            </w:r>
            <w:r w:rsidR="005956FC">
              <w:rPr>
                <w:rFonts w:ascii="Arial" w:eastAsia="Times New Roman" w:hAnsi="Arial" w:cs="Arial"/>
                <w:color w:val="000000"/>
                <w:sz w:val="24"/>
                <w:szCs w:val="24"/>
                <w:lang w:eastAsia="en-GB"/>
              </w:rPr>
              <w:t>because of</w:t>
            </w:r>
            <w:r w:rsidRPr="005956FC">
              <w:rPr>
                <w:rFonts w:ascii="Arial" w:eastAsia="Times New Roman" w:hAnsi="Arial" w:cs="Arial"/>
                <w:color w:val="000000"/>
                <w:sz w:val="24"/>
                <w:szCs w:val="24"/>
                <w:lang w:eastAsia="en-GB"/>
              </w:rPr>
              <w:t xml:space="preserve"> tolerance)</w:t>
            </w:r>
          </w:p>
        </w:tc>
      </w:tr>
      <w:tr w:rsidR="003B1624" w:rsidRPr="00CA502F" w:rsidTr="003B1624">
        <w:trPr>
          <w:trHeight w:val="48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vMerge/>
            <w:tcBorders>
              <w:top w:val="single" w:sz="4" w:space="0" w:color="auto"/>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5060" w:type="dxa"/>
            <w:tcBorders>
              <w:top w:val="nil"/>
              <w:left w:val="single" w:sz="4" w:space="0" w:color="auto"/>
              <w:bottom w:val="nil"/>
              <w:right w:val="single" w:sz="4" w:space="0" w:color="auto"/>
            </w:tcBorders>
            <w:shd w:val="clear" w:color="auto" w:fill="auto"/>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i/>
                <w:iCs/>
                <w:color w:val="000000"/>
                <w:sz w:val="24"/>
                <w:szCs w:val="24"/>
                <w:lang w:eastAsia="en-GB"/>
              </w:rPr>
              <w:t>Intermediate reactions</w:t>
            </w:r>
            <w:r w:rsidRPr="00F64CE0">
              <w:rPr>
                <w:rFonts w:ascii="Arial" w:eastAsia="Times New Roman" w:hAnsi="Arial" w:cs="Arial"/>
                <w:color w:val="000000"/>
                <w:sz w:val="24"/>
                <w:szCs w:val="24"/>
                <w:lang w:eastAsia="en-GB"/>
              </w:rPr>
              <w:t xml:space="preserve"> that occur after some time, usually non-allergic hypersensitivity reactions</w:t>
            </w:r>
          </w:p>
        </w:tc>
      </w:tr>
      <w:tr w:rsidR="003B1624" w:rsidRPr="00CA502F" w:rsidTr="003B1624">
        <w:trPr>
          <w:trHeight w:val="48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vMerge/>
            <w:tcBorders>
              <w:top w:val="single" w:sz="4" w:space="0" w:color="auto"/>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5060" w:type="dxa"/>
            <w:tcBorders>
              <w:top w:val="nil"/>
              <w:left w:val="single" w:sz="4" w:space="0" w:color="auto"/>
              <w:bottom w:val="nil"/>
              <w:right w:val="single" w:sz="4" w:space="0" w:color="auto"/>
            </w:tcBorders>
            <w:shd w:val="clear" w:color="auto" w:fill="auto"/>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i/>
                <w:iCs/>
                <w:color w:val="000000"/>
                <w:sz w:val="24"/>
                <w:szCs w:val="24"/>
                <w:lang w:eastAsia="en-GB"/>
              </w:rPr>
              <w:t>Late reactions</w:t>
            </w:r>
            <w:r w:rsidRPr="00F64CE0">
              <w:rPr>
                <w:rFonts w:ascii="Arial" w:eastAsia="Times New Roman" w:hAnsi="Arial" w:cs="Arial"/>
                <w:color w:val="000000"/>
                <w:sz w:val="24"/>
                <w:szCs w:val="24"/>
                <w:lang w:eastAsia="en-GB"/>
              </w:rPr>
              <w:t xml:space="preserve"> incidence increases with longer duration of drug administration, or withdrawal reactions</w:t>
            </w:r>
          </w:p>
        </w:tc>
      </w:tr>
      <w:tr w:rsidR="003B1624" w:rsidRPr="00CA502F" w:rsidTr="003B1624">
        <w:trPr>
          <w:trHeight w:val="48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vMerge/>
            <w:tcBorders>
              <w:top w:val="single" w:sz="4" w:space="0" w:color="auto"/>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5060" w:type="dxa"/>
            <w:tcBorders>
              <w:top w:val="nil"/>
              <w:left w:val="single" w:sz="4" w:space="0" w:color="auto"/>
              <w:bottom w:val="single" w:sz="4" w:space="0" w:color="auto"/>
              <w:right w:val="single" w:sz="4" w:space="0" w:color="auto"/>
            </w:tcBorders>
            <w:shd w:val="clear" w:color="auto" w:fill="auto"/>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i/>
                <w:iCs/>
                <w:color w:val="000000"/>
                <w:sz w:val="24"/>
                <w:szCs w:val="24"/>
                <w:lang w:eastAsia="en-GB"/>
              </w:rPr>
              <w:t>Delayed reactions</w:t>
            </w:r>
            <w:r w:rsidRPr="00F64CE0">
              <w:rPr>
                <w:rFonts w:ascii="Arial" w:eastAsia="Times New Roman" w:hAnsi="Arial" w:cs="Arial"/>
                <w:color w:val="000000"/>
                <w:sz w:val="24"/>
                <w:szCs w:val="24"/>
                <w:lang w:eastAsia="en-GB"/>
              </w:rPr>
              <w:t xml:space="preserve"> occur much later after admin</w:t>
            </w:r>
            <w:r w:rsidR="006F701A" w:rsidRPr="00F64CE0">
              <w:rPr>
                <w:rFonts w:ascii="Arial" w:eastAsia="Times New Roman" w:hAnsi="Arial" w:cs="Arial"/>
                <w:color w:val="000000"/>
                <w:sz w:val="24"/>
                <w:szCs w:val="24"/>
                <w:lang w:eastAsia="en-GB"/>
              </w:rPr>
              <w:t>i</w:t>
            </w:r>
            <w:r w:rsidRPr="00F64CE0">
              <w:rPr>
                <w:rFonts w:ascii="Arial" w:eastAsia="Times New Roman" w:hAnsi="Arial" w:cs="Arial"/>
                <w:color w:val="000000"/>
                <w:sz w:val="24"/>
                <w:szCs w:val="24"/>
                <w:lang w:eastAsia="en-GB"/>
              </w:rPr>
              <w:t>stration, even after cessation of the drug (e.g. carcinogenesis)</w:t>
            </w:r>
          </w:p>
        </w:tc>
      </w:tr>
      <w:tr w:rsidR="003B1624" w:rsidRPr="00CA502F" w:rsidTr="003B1624">
        <w:trPr>
          <w:trHeight w:val="300"/>
        </w:trPr>
        <w:tc>
          <w:tcPr>
            <w:tcW w:w="1720" w:type="dxa"/>
            <w:vMerge w:val="restart"/>
            <w:tcBorders>
              <w:top w:val="nil"/>
              <w:left w:val="single" w:sz="4" w:space="0" w:color="auto"/>
              <w:bottom w:val="single" w:sz="4" w:space="0" w:color="000000"/>
              <w:right w:val="nil"/>
            </w:tcBorders>
            <w:shd w:val="clear" w:color="auto" w:fill="auto"/>
            <w:noWrap/>
            <w:vAlign w:val="center"/>
          </w:tcPr>
          <w:p w:rsidR="003B1624" w:rsidRPr="002D2F50" w:rsidRDefault="003B1624" w:rsidP="003B1624">
            <w:pPr>
              <w:spacing w:after="0" w:line="240" w:lineRule="auto"/>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SUSCEPTIBILITY</w:t>
            </w:r>
          </w:p>
        </w:tc>
        <w:tc>
          <w:tcPr>
            <w:tcW w:w="2200" w:type="dxa"/>
            <w:tcBorders>
              <w:top w:val="single" w:sz="4" w:space="0" w:color="auto"/>
              <w:left w:val="single" w:sz="4" w:space="0" w:color="auto"/>
              <w:bottom w:val="nil"/>
              <w:right w:val="nil"/>
            </w:tcBorders>
            <w:shd w:val="clear" w:color="auto" w:fill="auto"/>
            <w:noWrap/>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Genetic</w:t>
            </w:r>
          </w:p>
        </w:tc>
        <w:tc>
          <w:tcPr>
            <w:tcW w:w="506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F64CE0">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Factors associated with risk of a reaction to a particular drug. May be single or multiple factors.</w:t>
            </w: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nil"/>
              <w:left w:val="single" w:sz="4" w:space="0" w:color="auto"/>
              <w:bottom w:val="nil"/>
              <w:right w:val="nil"/>
            </w:tcBorders>
            <w:shd w:val="clear" w:color="auto" w:fill="auto"/>
            <w:noWrap/>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Age</w:t>
            </w:r>
          </w:p>
        </w:tc>
        <w:tc>
          <w:tcPr>
            <w:tcW w:w="506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nil"/>
              <w:left w:val="single" w:sz="4" w:space="0" w:color="auto"/>
              <w:bottom w:val="nil"/>
              <w:right w:val="nil"/>
            </w:tcBorders>
            <w:shd w:val="clear" w:color="auto" w:fill="auto"/>
            <w:noWrap/>
            <w:vAlign w:val="center"/>
          </w:tcPr>
          <w:p w:rsidR="003B1624" w:rsidRPr="00F64CE0" w:rsidRDefault="00F64CE0" w:rsidP="003B162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Sex</w:t>
            </w:r>
          </w:p>
        </w:tc>
        <w:tc>
          <w:tcPr>
            <w:tcW w:w="506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nil"/>
              <w:left w:val="single" w:sz="4" w:space="0" w:color="auto"/>
              <w:bottom w:val="nil"/>
              <w:right w:val="nil"/>
            </w:tcBorders>
            <w:shd w:val="clear" w:color="auto" w:fill="auto"/>
            <w:noWrap/>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Physiological variation</w:t>
            </w:r>
          </w:p>
        </w:tc>
        <w:tc>
          <w:tcPr>
            <w:tcW w:w="506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nil"/>
              <w:left w:val="single" w:sz="4" w:space="0" w:color="auto"/>
              <w:bottom w:val="nil"/>
              <w:right w:val="nil"/>
            </w:tcBorders>
            <w:shd w:val="clear" w:color="auto" w:fill="auto"/>
            <w:noWrap/>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Exogenous factors</w:t>
            </w:r>
          </w:p>
        </w:tc>
        <w:tc>
          <w:tcPr>
            <w:tcW w:w="506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300"/>
        </w:trPr>
        <w:tc>
          <w:tcPr>
            <w:tcW w:w="1720" w:type="dxa"/>
            <w:vMerge/>
            <w:tcBorders>
              <w:top w:val="nil"/>
              <w:left w:val="single" w:sz="4" w:space="0" w:color="auto"/>
              <w:bottom w:val="single" w:sz="4" w:space="0" w:color="000000"/>
              <w:right w:val="nil"/>
            </w:tcBorders>
            <w:vAlign w:val="center"/>
          </w:tcPr>
          <w:p w:rsidR="003B1624" w:rsidRPr="00F64CE0" w:rsidRDefault="003B1624" w:rsidP="003B1624">
            <w:pPr>
              <w:spacing w:after="0" w:line="240" w:lineRule="auto"/>
              <w:rPr>
                <w:rFonts w:ascii="Arial" w:eastAsia="Times New Roman" w:hAnsi="Arial" w:cs="Arial"/>
                <w:b/>
                <w:bCs/>
                <w:color w:val="000000"/>
                <w:sz w:val="24"/>
                <w:szCs w:val="24"/>
                <w:lang w:eastAsia="en-GB"/>
              </w:rPr>
            </w:pPr>
          </w:p>
        </w:tc>
        <w:tc>
          <w:tcPr>
            <w:tcW w:w="2200" w:type="dxa"/>
            <w:tcBorders>
              <w:top w:val="nil"/>
              <w:left w:val="single" w:sz="4" w:space="0" w:color="auto"/>
              <w:bottom w:val="single" w:sz="4" w:space="0" w:color="auto"/>
              <w:right w:val="nil"/>
            </w:tcBorders>
            <w:shd w:val="clear" w:color="auto" w:fill="auto"/>
            <w:noWrap/>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Diseases</w:t>
            </w:r>
          </w:p>
        </w:tc>
        <w:tc>
          <w:tcPr>
            <w:tcW w:w="506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keepNext/>
              <w:spacing w:after="0" w:line="240" w:lineRule="auto"/>
              <w:rPr>
                <w:rFonts w:ascii="Arial" w:eastAsia="Times New Roman" w:hAnsi="Arial" w:cs="Arial"/>
                <w:color w:val="000000"/>
                <w:sz w:val="24"/>
                <w:szCs w:val="24"/>
                <w:lang w:eastAsia="en-GB"/>
              </w:rPr>
            </w:pPr>
          </w:p>
        </w:tc>
      </w:tr>
    </w:tbl>
    <w:p w:rsidR="003B1624" w:rsidRPr="002D2F50" w:rsidRDefault="003B1624" w:rsidP="003B1624">
      <w:pPr>
        <w:spacing w:after="0"/>
        <w:jc w:val="both"/>
        <w:rPr>
          <w:rFonts w:ascii="Arial" w:hAnsi="Arial" w:cs="Arial"/>
          <w:sz w:val="24"/>
          <w:szCs w:val="24"/>
        </w:rPr>
      </w:pPr>
    </w:p>
    <w:p w:rsidR="00C752A8" w:rsidRDefault="00C752A8" w:rsidP="003B1624">
      <w:pPr>
        <w:spacing w:after="0"/>
        <w:jc w:val="both"/>
        <w:rPr>
          <w:rFonts w:ascii="Arial" w:hAnsi="Arial" w:cs="Arial"/>
          <w:b/>
          <w:sz w:val="24"/>
          <w:szCs w:val="24"/>
          <w:lang w:eastAsia="en-GB"/>
        </w:rPr>
      </w:pPr>
      <w:r w:rsidRPr="002D2F50">
        <w:rPr>
          <w:rFonts w:ascii="Arial" w:hAnsi="Arial" w:cs="Arial"/>
          <w:sz w:val="24"/>
          <w:szCs w:val="24"/>
        </w:rPr>
        <w:br w:type="page"/>
      </w:r>
      <w:r w:rsidRPr="00F64CE0">
        <w:rPr>
          <w:rFonts w:ascii="Arial" w:hAnsi="Arial" w:cs="Arial"/>
          <w:b/>
          <w:sz w:val="24"/>
          <w:szCs w:val="24"/>
        </w:rPr>
        <w:t>TABLE 3</w:t>
      </w:r>
      <w:r w:rsidR="001D029F" w:rsidRPr="00F64CE0">
        <w:rPr>
          <w:rFonts w:ascii="Arial" w:hAnsi="Arial" w:cs="Arial"/>
          <w:b/>
          <w:sz w:val="24"/>
          <w:szCs w:val="24"/>
        </w:rPr>
        <w:t xml:space="preserve">. </w:t>
      </w:r>
      <w:r w:rsidR="001D029F" w:rsidRPr="00F64CE0">
        <w:rPr>
          <w:rFonts w:ascii="Arial" w:hAnsi="Arial" w:cs="Arial"/>
          <w:b/>
          <w:sz w:val="24"/>
          <w:szCs w:val="24"/>
          <w:lang w:eastAsia="en-GB"/>
        </w:rPr>
        <w:t>Examples of genetic differences in drug response or metabolism and main geographical or ethnic distribution</w:t>
      </w:r>
    </w:p>
    <w:p w:rsidR="00F64CE0" w:rsidRPr="00F64CE0" w:rsidRDefault="00F64CE0" w:rsidP="003B1624">
      <w:pPr>
        <w:spacing w:after="0"/>
        <w:jc w:val="both"/>
        <w:rPr>
          <w:rFonts w:ascii="Arial" w:hAnsi="Arial" w:cs="Arial"/>
          <w:b/>
          <w:sz w:val="24"/>
          <w:szCs w:val="24"/>
        </w:rPr>
      </w:pPr>
    </w:p>
    <w:tbl>
      <w:tblPr>
        <w:tblW w:w="9260" w:type="dxa"/>
        <w:tblInd w:w="93" w:type="dxa"/>
        <w:tblLook w:val="04A0" w:firstRow="1" w:lastRow="0" w:firstColumn="1" w:lastColumn="0" w:noHBand="0" w:noVBand="1"/>
      </w:tblPr>
      <w:tblGrid>
        <w:gridCol w:w="2640"/>
        <w:gridCol w:w="4500"/>
        <w:gridCol w:w="2120"/>
      </w:tblGrid>
      <w:tr w:rsidR="003B1624" w:rsidRPr="00CA502F" w:rsidTr="003B1624">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624" w:rsidRPr="002D2F50" w:rsidRDefault="003B1624" w:rsidP="00A47542">
            <w:pPr>
              <w:spacing w:after="0" w:line="240" w:lineRule="auto"/>
              <w:jc w:val="center"/>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 xml:space="preserve">Affected enyzme </w:t>
            </w:r>
            <w:r w:rsidR="00A47542">
              <w:rPr>
                <w:rFonts w:ascii="Arial" w:eastAsia="Times New Roman" w:hAnsi="Arial" w:cs="Arial"/>
                <w:b/>
                <w:bCs/>
                <w:color w:val="000000"/>
                <w:sz w:val="24"/>
                <w:szCs w:val="24"/>
                <w:lang w:eastAsia="en-GB"/>
              </w:rPr>
              <w:t>or</w:t>
            </w:r>
            <w:r w:rsidRPr="002D2F50">
              <w:rPr>
                <w:rFonts w:ascii="Arial" w:eastAsia="Times New Roman" w:hAnsi="Arial" w:cs="Arial"/>
                <w:b/>
                <w:bCs/>
                <w:color w:val="000000"/>
                <w:sz w:val="24"/>
                <w:szCs w:val="24"/>
                <w:lang w:eastAsia="en-GB"/>
              </w:rPr>
              <w:t xml:space="preserve"> pathway</w:t>
            </w:r>
          </w:p>
        </w:tc>
        <w:tc>
          <w:tcPr>
            <w:tcW w:w="4500" w:type="dxa"/>
            <w:tcBorders>
              <w:top w:val="single" w:sz="4" w:space="0" w:color="auto"/>
              <w:left w:val="nil"/>
              <w:bottom w:val="single" w:sz="4" w:space="0" w:color="auto"/>
              <w:right w:val="single" w:sz="4" w:space="0" w:color="auto"/>
            </w:tcBorders>
            <w:shd w:val="clear" w:color="auto" w:fill="auto"/>
            <w:noWrap/>
            <w:vAlign w:val="center"/>
          </w:tcPr>
          <w:p w:rsidR="003B1624" w:rsidRPr="002D2F50" w:rsidRDefault="003B1624" w:rsidP="003B1624">
            <w:pPr>
              <w:spacing w:after="0" w:line="240" w:lineRule="auto"/>
              <w:jc w:val="center"/>
              <w:rPr>
                <w:rFonts w:ascii="Arial" w:eastAsia="Times New Roman" w:hAnsi="Arial" w:cs="Arial"/>
                <w:b/>
                <w:bCs/>
                <w:color w:val="000000"/>
                <w:sz w:val="24"/>
                <w:szCs w:val="24"/>
                <w:lang w:eastAsia="en-GB"/>
              </w:rPr>
            </w:pPr>
            <w:r w:rsidRPr="002D2F50">
              <w:rPr>
                <w:rFonts w:ascii="Arial" w:eastAsia="Times New Roman" w:hAnsi="Arial" w:cs="Arial"/>
                <w:b/>
                <w:bCs/>
                <w:color w:val="000000"/>
                <w:sz w:val="24"/>
                <w:szCs w:val="24"/>
                <w:lang w:eastAsia="en-GB"/>
              </w:rPr>
              <w:t>Geographical Variance</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3B1624" w:rsidRPr="002D2F50" w:rsidRDefault="00A47542" w:rsidP="00A47542">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Affected or</w:t>
            </w:r>
            <w:r w:rsidR="003B1624" w:rsidRPr="002D2F50">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r</w:t>
            </w:r>
            <w:r w:rsidR="003B1624" w:rsidRPr="002D2F50">
              <w:rPr>
                <w:rFonts w:ascii="Arial" w:eastAsia="Times New Roman" w:hAnsi="Arial" w:cs="Arial"/>
                <w:b/>
                <w:bCs/>
                <w:color w:val="000000"/>
                <w:sz w:val="24"/>
                <w:szCs w:val="24"/>
                <w:lang w:eastAsia="en-GB"/>
              </w:rPr>
              <w:t>elated drugs</w:t>
            </w:r>
          </w:p>
        </w:tc>
      </w:tr>
      <w:tr w:rsidR="003B1624" w:rsidRPr="00CA502F" w:rsidTr="003B1624">
        <w:trPr>
          <w:trHeight w:val="480"/>
        </w:trPr>
        <w:tc>
          <w:tcPr>
            <w:tcW w:w="264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N-Acetyltransferase</w:t>
            </w:r>
          </w:p>
        </w:tc>
        <w:tc>
          <w:tcPr>
            <w:tcW w:w="4500" w:type="dxa"/>
            <w:tcBorders>
              <w:top w:val="nil"/>
              <w:left w:val="nil"/>
              <w:bottom w:val="nil"/>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Slow acetylator phenotype common in Caucasian &amp; African populations (50 - 65%)</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isoniazid, hydralazine</w:t>
            </w:r>
          </w:p>
        </w:tc>
      </w:tr>
      <w:tr w:rsidR="003B1624" w:rsidRPr="00CA502F" w:rsidTr="003B1624">
        <w:trPr>
          <w:trHeight w:val="300"/>
        </w:trPr>
        <w:tc>
          <w:tcPr>
            <w:tcW w:w="264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4500" w:type="dxa"/>
            <w:tcBorders>
              <w:top w:val="nil"/>
              <w:left w:val="nil"/>
              <w:bottom w:val="single" w:sz="4" w:space="0" w:color="auto"/>
              <w:right w:val="single" w:sz="4" w:space="0" w:color="auto"/>
            </w:tcBorders>
            <w:shd w:val="clear" w:color="auto" w:fill="auto"/>
            <w:vAlign w:val="center"/>
          </w:tcPr>
          <w:p w:rsidR="003B1624" w:rsidRPr="006D5FF8" w:rsidRDefault="006D5FF8" w:rsidP="003B162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Fast acetylator common in East </w:t>
            </w:r>
            <w:r w:rsidR="003B1624" w:rsidRPr="006D5FF8">
              <w:rPr>
                <w:rFonts w:ascii="Arial" w:eastAsia="Times New Roman" w:hAnsi="Arial" w:cs="Arial"/>
                <w:color w:val="000000"/>
                <w:sz w:val="24"/>
                <w:szCs w:val="24"/>
                <w:lang w:eastAsia="en-GB"/>
              </w:rPr>
              <w:t>Asians (80 - 90%)</w:t>
            </w:r>
          </w:p>
        </w:tc>
        <w:tc>
          <w:tcPr>
            <w:tcW w:w="2120" w:type="dxa"/>
            <w:vMerge/>
            <w:tcBorders>
              <w:top w:val="nil"/>
              <w:left w:val="single" w:sz="4" w:space="0" w:color="auto"/>
              <w:bottom w:val="single" w:sz="4" w:space="0" w:color="000000"/>
              <w:right w:val="single" w:sz="4" w:space="0" w:color="auto"/>
            </w:tcBorders>
            <w:vAlign w:val="center"/>
          </w:tcPr>
          <w:p w:rsidR="003B1624" w:rsidRPr="006D5FF8"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480"/>
        </w:trPr>
        <w:tc>
          <w:tcPr>
            <w:tcW w:w="2640" w:type="dxa"/>
            <w:tcBorders>
              <w:top w:val="nil"/>
              <w:left w:val="single" w:sz="4" w:space="0" w:color="auto"/>
              <w:bottom w:val="single" w:sz="4" w:space="0" w:color="auto"/>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CYP2C19</w:t>
            </w:r>
          </w:p>
        </w:tc>
        <w:tc>
          <w:tcPr>
            <w:tcW w:w="4500" w:type="dxa"/>
            <w:tcBorders>
              <w:top w:val="nil"/>
              <w:left w:val="nil"/>
              <w:bottom w:val="single" w:sz="4" w:space="0" w:color="auto"/>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Deficient enzymatic activity in Chinese populations (~20%)</w:t>
            </w:r>
          </w:p>
        </w:tc>
        <w:tc>
          <w:tcPr>
            <w:tcW w:w="2120" w:type="dxa"/>
            <w:tcBorders>
              <w:top w:val="nil"/>
              <w:left w:val="nil"/>
              <w:bottom w:val="single" w:sz="4" w:space="0" w:color="auto"/>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diazepam, tricyclic antidepressants</w:t>
            </w:r>
          </w:p>
        </w:tc>
      </w:tr>
      <w:tr w:rsidR="003B1624" w:rsidRPr="00CA502F" w:rsidTr="003B1624">
        <w:trPr>
          <w:trHeight w:val="480"/>
        </w:trPr>
        <w:tc>
          <w:tcPr>
            <w:tcW w:w="264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CYP2D6</w:t>
            </w:r>
          </w:p>
        </w:tc>
        <w:tc>
          <w:tcPr>
            <w:tcW w:w="4500" w:type="dxa"/>
            <w:tcBorders>
              <w:top w:val="nil"/>
              <w:left w:val="nil"/>
              <w:bottom w:val="nil"/>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poor metabolisers: Black (0 - 19%) &gt; White (5 - 10%) &gt; Asian (1%)</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codeine, tramadol, ondansetron, beta blockers</w:t>
            </w:r>
          </w:p>
        </w:tc>
      </w:tr>
      <w:tr w:rsidR="003B1624" w:rsidRPr="00CA502F" w:rsidTr="003B1624">
        <w:trPr>
          <w:trHeight w:val="480"/>
        </w:trPr>
        <w:tc>
          <w:tcPr>
            <w:tcW w:w="264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4500" w:type="dxa"/>
            <w:tcBorders>
              <w:top w:val="nil"/>
              <w:left w:val="nil"/>
              <w:bottom w:val="nil"/>
              <w:right w:val="single" w:sz="4" w:space="0" w:color="auto"/>
            </w:tcBorders>
            <w:shd w:val="clear" w:color="auto" w:fill="auto"/>
            <w:vAlign w:val="center"/>
          </w:tcPr>
          <w:p w:rsidR="003B1624" w:rsidRPr="006D5FF8" w:rsidRDefault="003B1624" w:rsidP="006D5FF8">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 xml:space="preserve">extensive metabolisers: Lower activity in Chinese </w:t>
            </w:r>
            <w:r w:rsidR="006D5FF8">
              <w:rPr>
                <w:rFonts w:ascii="Arial" w:eastAsia="Times New Roman" w:hAnsi="Arial" w:cs="Arial"/>
                <w:color w:val="000000"/>
                <w:sz w:val="24"/>
                <w:szCs w:val="24"/>
                <w:lang w:eastAsia="en-GB"/>
              </w:rPr>
              <w:t>compared with</w:t>
            </w:r>
            <w:r w:rsidRPr="006D5FF8">
              <w:rPr>
                <w:rFonts w:ascii="Arial" w:eastAsia="Times New Roman" w:hAnsi="Arial" w:cs="Arial"/>
                <w:color w:val="000000"/>
                <w:sz w:val="24"/>
                <w:szCs w:val="24"/>
                <w:lang w:eastAsia="en-GB"/>
              </w:rPr>
              <w:t xml:space="preserve"> Caucasian</w:t>
            </w:r>
          </w:p>
        </w:tc>
        <w:tc>
          <w:tcPr>
            <w:tcW w:w="2120" w:type="dxa"/>
            <w:vMerge/>
            <w:tcBorders>
              <w:top w:val="nil"/>
              <w:left w:val="single" w:sz="4" w:space="0" w:color="auto"/>
              <w:bottom w:val="single" w:sz="4" w:space="0" w:color="000000"/>
              <w:right w:val="single" w:sz="4" w:space="0" w:color="auto"/>
            </w:tcBorders>
            <w:vAlign w:val="center"/>
          </w:tcPr>
          <w:p w:rsidR="003B1624" w:rsidRPr="006D5FF8"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480"/>
        </w:trPr>
        <w:tc>
          <w:tcPr>
            <w:tcW w:w="264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4500" w:type="dxa"/>
            <w:tcBorders>
              <w:top w:val="nil"/>
              <w:left w:val="nil"/>
              <w:bottom w:val="single" w:sz="4" w:space="0" w:color="auto"/>
              <w:right w:val="single" w:sz="4" w:space="0" w:color="auto"/>
            </w:tcBorders>
            <w:shd w:val="clear" w:color="auto" w:fill="auto"/>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ultrarapid metabolisers: Saudi Arabia &amp; Ethiopian populations</w:t>
            </w:r>
          </w:p>
        </w:tc>
        <w:tc>
          <w:tcPr>
            <w:tcW w:w="212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480"/>
        </w:trPr>
        <w:tc>
          <w:tcPr>
            <w:tcW w:w="264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plasma pseudocholinesterase</w:t>
            </w:r>
          </w:p>
        </w:tc>
        <w:tc>
          <w:tcPr>
            <w:tcW w:w="4500" w:type="dxa"/>
            <w:tcBorders>
              <w:top w:val="nil"/>
              <w:left w:val="nil"/>
              <w:bottom w:val="nil"/>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E1a mutation associated with deficient enzyme activity</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suxamethonium, mivacurium</w:t>
            </w:r>
          </w:p>
        </w:tc>
      </w:tr>
      <w:tr w:rsidR="003B1624" w:rsidRPr="00CA502F" w:rsidTr="003B1624">
        <w:trPr>
          <w:trHeight w:val="480"/>
        </w:trPr>
        <w:tc>
          <w:tcPr>
            <w:tcW w:w="2640" w:type="dxa"/>
            <w:vMerge/>
            <w:tcBorders>
              <w:top w:val="nil"/>
              <w:left w:val="single" w:sz="4" w:space="0" w:color="auto"/>
              <w:bottom w:val="single" w:sz="4" w:space="0" w:color="000000"/>
              <w:right w:val="single" w:sz="4" w:space="0" w:color="auto"/>
            </w:tcBorders>
            <w:vAlign w:val="center"/>
          </w:tcPr>
          <w:p w:rsidR="003B1624" w:rsidRPr="006D5FF8" w:rsidRDefault="003B1624" w:rsidP="003B1624">
            <w:pPr>
              <w:spacing w:after="0" w:line="240" w:lineRule="auto"/>
              <w:rPr>
                <w:rFonts w:ascii="Arial" w:eastAsia="Times New Roman" w:hAnsi="Arial" w:cs="Arial"/>
                <w:color w:val="000000"/>
                <w:sz w:val="24"/>
                <w:szCs w:val="24"/>
                <w:lang w:eastAsia="en-GB"/>
              </w:rPr>
            </w:pPr>
          </w:p>
        </w:tc>
        <w:tc>
          <w:tcPr>
            <w:tcW w:w="4500" w:type="dxa"/>
            <w:tcBorders>
              <w:top w:val="nil"/>
              <w:left w:val="nil"/>
              <w:bottom w:val="single" w:sz="4" w:space="0" w:color="auto"/>
              <w:right w:val="single" w:sz="4" w:space="0" w:color="auto"/>
            </w:tcBorders>
            <w:shd w:val="clear" w:color="auto" w:fill="auto"/>
            <w:vAlign w:val="center"/>
          </w:tcPr>
          <w:p w:rsidR="003B1624" w:rsidRPr="006D5FF8" w:rsidRDefault="003B1624" w:rsidP="003B1624">
            <w:pPr>
              <w:spacing w:after="0" w:line="240" w:lineRule="auto"/>
              <w:rPr>
                <w:rFonts w:ascii="Arial" w:eastAsia="Times New Roman" w:hAnsi="Arial" w:cs="Arial"/>
                <w:color w:val="000000"/>
                <w:sz w:val="24"/>
                <w:szCs w:val="24"/>
                <w:lang w:eastAsia="en-GB"/>
              </w:rPr>
            </w:pPr>
            <w:r w:rsidRPr="006D5FF8">
              <w:rPr>
                <w:rFonts w:ascii="Arial" w:eastAsia="Times New Roman" w:hAnsi="Arial" w:cs="Arial"/>
                <w:color w:val="000000"/>
                <w:sz w:val="24"/>
                <w:szCs w:val="24"/>
                <w:lang w:eastAsia="en-GB"/>
              </w:rPr>
              <w:t>Asian &amp; Middle Eastern &gt; Caucasian (4%) &gt; Black population</w:t>
            </w:r>
          </w:p>
        </w:tc>
        <w:tc>
          <w:tcPr>
            <w:tcW w:w="2120" w:type="dxa"/>
            <w:vMerge/>
            <w:tcBorders>
              <w:top w:val="nil"/>
              <w:left w:val="single" w:sz="4" w:space="0" w:color="auto"/>
              <w:bottom w:val="single" w:sz="4" w:space="0" w:color="000000"/>
              <w:right w:val="single" w:sz="4" w:space="0" w:color="auto"/>
            </w:tcBorders>
            <w:vAlign w:val="center"/>
          </w:tcPr>
          <w:p w:rsidR="003B1624" w:rsidRPr="006D5FF8"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300"/>
        </w:trPr>
        <w:tc>
          <w:tcPr>
            <w:tcW w:w="264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G6PD deficiency</w:t>
            </w:r>
          </w:p>
        </w:tc>
        <w:tc>
          <w:tcPr>
            <w:tcW w:w="4500" w:type="dxa"/>
            <w:tcBorders>
              <w:top w:val="nil"/>
              <w:left w:val="nil"/>
              <w:bottom w:val="nil"/>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Haemolytic anaemia in susceptible individuals</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sulphonamides,  nitrofurantoin</w:t>
            </w:r>
          </w:p>
        </w:tc>
      </w:tr>
      <w:tr w:rsidR="003B1624" w:rsidRPr="00CA502F" w:rsidTr="003B1624">
        <w:trPr>
          <w:trHeight w:val="480"/>
        </w:trPr>
        <w:tc>
          <w:tcPr>
            <w:tcW w:w="264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4500" w:type="dxa"/>
            <w:tcBorders>
              <w:top w:val="nil"/>
              <w:left w:val="nil"/>
              <w:bottom w:val="single" w:sz="4" w:space="0" w:color="auto"/>
              <w:right w:val="single" w:sz="4" w:space="0" w:color="auto"/>
            </w:tcBorders>
            <w:shd w:val="clear" w:color="auto" w:fill="auto"/>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Commonest in Mediterranean, African and Asian populations</w:t>
            </w:r>
          </w:p>
        </w:tc>
        <w:tc>
          <w:tcPr>
            <w:tcW w:w="212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r>
      <w:tr w:rsidR="003B1624" w:rsidRPr="00CA502F" w:rsidTr="003B1624">
        <w:trPr>
          <w:trHeight w:val="300"/>
        </w:trPr>
        <w:tc>
          <w:tcPr>
            <w:tcW w:w="264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Porphobilinogen deaminase deficiency</w:t>
            </w:r>
          </w:p>
        </w:tc>
        <w:tc>
          <w:tcPr>
            <w:tcW w:w="4500" w:type="dxa"/>
            <w:tcBorders>
              <w:top w:val="nil"/>
              <w:left w:val="nil"/>
              <w:bottom w:val="nil"/>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Acute intermittent porphyria</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rsidR="003B1624" w:rsidRPr="002D2F50" w:rsidRDefault="003B1624" w:rsidP="003B1624">
            <w:pPr>
              <w:spacing w:after="0" w:line="240" w:lineRule="auto"/>
              <w:rPr>
                <w:rFonts w:ascii="Arial" w:eastAsia="Times New Roman" w:hAnsi="Arial" w:cs="Arial"/>
                <w:color w:val="000000"/>
                <w:sz w:val="24"/>
                <w:szCs w:val="24"/>
                <w:lang w:eastAsia="en-GB"/>
              </w:rPr>
            </w:pPr>
            <w:r w:rsidRPr="002D2F50">
              <w:rPr>
                <w:rFonts w:ascii="Arial" w:eastAsia="Times New Roman" w:hAnsi="Arial" w:cs="Arial"/>
                <w:color w:val="000000"/>
                <w:sz w:val="24"/>
                <w:szCs w:val="24"/>
                <w:lang w:eastAsia="en-GB"/>
              </w:rPr>
              <w:t>barbiturates, nitrofurantoin</w:t>
            </w:r>
          </w:p>
        </w:tc>
      </w:tr>
      <w:tr w:rsidR="003B1624" w:rsidRPr="00CA502F" w:rsidTr="003B1624">
        <w:trPr>
          <w:trHeight w:val="480"/>
        </w:trPr>
        <w:tc>
          <w:tcPr>
            <w:tcW w:w="264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spacing w:after="0" w:line="240" w:lineRule="auto"/>
              <w:rPr>
                <w:rFonts w:ascii="Arial" w:eastAsia="Times New Roman" w:hAnsi="Arial" w:cs="Arial"/>
                <w:color w:val="000000"/>
                <w:sz w:val="24"/>
                <w:szCs w:val="24"/>
                <w:lang w:eastAsia="en-GB"/>
              </w:rPr>
            </w:pPr>
          </w:p>
        </w:tc>
        <w:tc>
          <w:tcPr>
            <w:tcW w:w="4500" w:type="dxa"/>
            <w:tcBorders>
              <w:top w:val="nil"/>
              <w:left w:val="nil"/>
              <w:bottom w:val="single" w:sz="4" w:space="0" w:color="auto"/>
              <w:right w:val="single" w:sz="4" w:space="0" w:color="auto"/>
            </w:tcBorders>
            <w:shd w:val="clear" w:color="auto" w:fill="auto"/>
            <w:vAlign w:val="center"/>
          </w:tcPr>
          <w:p w:rsidR="003B1624" w:rsidRPr="00F64CE0" w:rsidRDefault="003B1624" w:rsidP="00F64CE0">
            <w:pPr>
              <w:spacing w:after="0" w:line="240" w:lineRule="auto"/>
              <w:rPr>
                <w:rFonts w:ascii="Arial" w:eastAsia="Times New Roman" w:hAnsi="Arial" w:cs="Arial"/>
                <w:color w:val="000000"/>
                <w:sz w:val="24"/>
                <w:szCs w:val="24"/>
                <w:lang w:eastAsia="en-GB"/>
              </w:rPr>
            </w:pPr>
            <w:r w:rsidRPr="00F64CE0">
              <w:rPr>
                <w:rFonts w:ascii="Arial" w:eastAsia="Times New Roman" w:hAnsi="Arial" w:cs="Arial"/>
                <w:color w:val="000000"/>
                <w:sz w:val="24"/>
                <w:szCs w:val="24"/>
                <w:lang w:eastAsia="en-GB"/>
              </w:rPr>
              <w:t xml:space="preserve">Commonest in Switzerland, Sweden and </w:t>
            </w:r>
            <w:r w:rsidR="00F64CE0">
              <w:rPr>
                <w:rFonts w:ascii="Arial" w:eastAsia="Times New Roman" w:hAnsi="Arial" w:cs="Arial"/>
                <w:color w:val="000000"/>
                <w:sz w:val="24"/>
                <w:szCs w:val="24"/>
                <w:lang w:eastAsia="en-GB"/>
              </w:rPr>
              <w:t>t</w:t>
            </w:r>
            <w:r w:rsidRPr="00F64CE0">
              <w:rPr>
                <w:rFonts w:ascii="Arial" w:eastAsia="Times New Roman" w:hAnsi="Arial" w:cs="Arial"/>
                <w:color w:val="000000"/>
                <w:sz w:val="24"/>
                <w:szCs w:val="24"/>
                <w:lang w:eastAsia="en-GB"/>
              </w:rPr>
              <w:t xml:space="preserve">he Netherlands </w:t>
            </w:r>
          </w:p>
        </w:tc>
        <w:tc>
          <w:tcPr>
            <w:tcW w:w="2120" w:type="dxa"/>
            <w:vMerge/>
            <w:tcBorders>
              <w:top w:val="nil"/>
              <w:left w:val="single" w:sz="4" w:space="0" w:color="auto"/>
              <w:bottom w:val="single" w:sz="4" w:space="0" w:color="000000"/>
              <w:right w:val="single" w:sz="4" w:space="0" w:color="auto"/>
            </w:tcBorders>
            <w:vAlign w:val="center"/>
          </w:tcPr>
          <w:p w:rsidR="003B1624" w:rsidRPr="00F64CE0" w:rsidRDefault="003B1624" w:rsidP="003B1624">
            <w:pPr>
              <w:keepNext/>
              <w:spacing w:after="0" w:line="240" w:lineRule="auto"/>
              <w:rPr>
                <w:rFonts w:ascii="Arial" w:eastAsia="Times New Roman" w:hAnsi="Arial" w:cs="Arial"/>
                <w:color w:val="000000"/>
                <w:sz w:val="24"/>
                <w:szCs w:val="24"/>
                <w:lang w:eastAsia="en-GB"/>
              </w:rPr>
            </w:pPr>
          </w:p>
        </w:tc>
      </w:tr>
    </w:tbl>
    <w:p w:rsidR="00F64CE0" w:rsidRDefault="00F64CE0" w:rsidP="00C752A8">
      <w:pPr>
        <w:spacing w:after="0"/>
        <w:jc w:val="both"/>
        <w:rPr>
          <w:rFonts w:ascii="Arial" w:hAnsi="Arial" w:cs="Arial"/>
          <w:sz w:val="24"/>
          <w:szCs w:val="24"/>
        </w:rPr>
      </w:pPr>
    </w:p>
    <w:p w:rsidR="00F64CE0" w:rsidRDefault="00F64CE0" w:rsidP="00C752A8">
      <w:pPr>
        <w:spacing w:after="0"/>
        <w:jc w:val="both"/>
        <w:rPr>
          <w:rFonts w:ascii="Arial" w:hAnsi="Arial" w:cs="Arial"/>
          <w:sz w:val="24"/>
          <w:szCs w:val="24"/>
        </w:rPr>
      </w:pPr>
    </w:p>
    <w:p w:rsidR="003B1624" w:rsidRPr="00F64CE0" w:rsidRDefault="00C752A8" w:rsidP="00C752A8">
      <w:pPr>
        <w:spacing w:after="0"/>
        <w:jc w:val="both"/>
        <w:rPr>
          <w:rFonts w:ascii="Arial" w:hAnsi="Arial" w:cs="Arial"/>
          <w:b/>
          <w:sz w:val="24"/>
          <w:szCs w:val="24"/>
          <w:lang w:eastAsia="en-GB"/>
        </w:rPr>
      </w:pPr>
      <w:r w:rsidRPr="00F64CE0">
        <w:rPr>
          <w:rFonts w:ascii="Arial" w:hAnsi="Arial" w:cs="Arial"/>
          <w:b/>
          <w:sz w:val="24"/>
          <w:szCs w:val="24"/>
        </w:rPr>
        <w:t>TABLE 4</w:t>
      </w:r>
      <w:r w:rsidR="001D029F" w:rsidRPr="00F64CE0">
        <w:rPr>
          <w:rFonts w:ascii="Arial" w:hAnsi="Arial" w:cs="Arial"/>
          <w:b/>
          <w:sz w:val="24"/>
          <w:szCs w:val="24"/>
        </w:rPr>
        <w:t xml:space="preserve">. </w:t>
      </w:r>
      <w:r w:rsidR="001D029F" w:rsidRPr="00F64CE0">
        <w:rPr>
          <w:rFonts w:ascii="Arial" w:hAnsi="Arial" w:cs="Arial"/>
          <w:b/>
          <w:sz w:val="24"/>
          <w:szCs w:val="24"/>
          <w:lang w:eastAsia="en-GB"/>
        </w:rPr>
        <w:t>Immune-mediated hypersensitivity reactions</w:t>
      </w:r>
    </w:p>
    <w:p w:rsidR="00F64CE0" w:rsidRPr="00020A3F" w:rsidRDefault="00F64CE0" w:rsidP="00C752A8">
      <w:pPr>
        <w:spacing w:after="0"/>
        <w:jc w:val="both"/>
        <w:rPr>
          <w:rFonts w:ascii="Arial" w:hAnsi="Arial" w:cs="Arial"/>
          <w:sz w:val="24"/>
          <w:szCs w:val="24"/>
        </w:rPr>
      </w:pPr>
    </w:p>
    <w:tbl>
      <w:tblPr>
        <w:tblW w:w="9067" w:type="dxa"/>
        <w:tblLook w:val="0000" w:firstRow="0" w:lastRow="0" w:firstColumn="0" w:lastColumn="0" w:noHBand="0" w:noVBand="0"/>
      </w:tblPr>
      <w:tblGrid>
        <w:gridCol w:w="838"/>
        <w:gridCol w:w="1577"/>
        <w:gridCol w:w="5237"/>
        <w:gridCol w:w="1415"/>
      </w:tblGrid>
      <w:tr w:rsidR="003B1624" w:rsidRPr="00CA502F" w:rsidTr="006D5FF8">
        <w:trPr>
          <w:trHeight w:val="480"/>
        </w:trPr>
        <w:tc>
          <w:tcPr>
            <w:tcW w:w="838" w:type="dxa"/>
            <w:tcBorders>
              <w:top w:val="single" w:sz="4" w:space="0" w:color="auto"/>
              <w:left w:val="single" w:sz="4" w:space="0" w:color="auto"/>
              <w:bottom w:val="single" w:sz="4" w:space="0" w:color="auto"/>
              <w:right w:val="single" w:sz="4" w:space="0" w:color="auto"/>
            </w:tcBorders>
            <w:vAlign w:val="center"/>
          </w:tcPr>
          <w:p w:rsidR="003B1624" w:rsidRPr="00020A3F" w:rsidRDefault="003B1624" w:rsidP="003B1624">
            <w:pPr>
              <w:spacing w:after="0" w:line="240" w:lineRule="auto"/>
              <w:jc w:val="center"/>
              <w:rPr>
                <w:rFonts w:ascii="Arial" w:hAnsi="Arial" w:cs="Arial"/>
                <w:color w:val="000000"/>
                <w:sz w:val="24"/>
                <w:szCs w:val="24"/>
                <w:lang w:eastAsia="en-GB"/>
              </w:rPr>
            </w:pPr>
            <w:r w:rsidRPr="00020A3F">
              <w:rPr>
                <w:rFonts w:ascii="Arial" w:hAnsi="Arial" w:cs="Arial"/>
                <w:color w:val="000000"/>
                <w:sz w:val="24"/>
                <w:szCs w:val="24"/>
                <w:lang w:eastAsia="en-GB"/>
              </w:rPr>
              <w:t>I</w:t>
            </w:r>
          </w:p>
        </w:tc>
        <w:tc>
          <w:tcPr>
            <w:tcW w:w="1567" w:type="dxa"/>
            <w:tcBorders>
              <w:top w:val="single" w:sz="4" w:space="0" w:color="auto"/>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Anaphylactic</w:t>
            </w:r>
          </w:p>
        </w:tc>
        <w:tc>
          <w:tcPr>
            <w:tcW w:w="5245" w:type="dxa"/>
            <w:tcBorders>
              <w:top w:val="single" w:sz="4" w:space="0" w:color="auto"/>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Anaphylaxis, angioedema, atopy</w:t>
            </w:r>
          </w:p>
        </w:tc>
        <w:tc>
          <w:tcPr>
            <w:tcW w:w="1417" w:type="dxa"/>
            <w:tcBorders>
              <w:top w:val="single" w:sz="4" w:space="0" w:color="auto"/>
              <w:left w:val="nil"/>
              <w:bottom w:val="single" w:sz="4" w:space="0" w:color="auto"/>
              <w:right w:val="single" w:sz="4" w:space="0" w:color="auto"/>
            </w:tcBorders>
            <w:vAlign w:val="center"/>
          </w:tcPr>
          <w:p w:rsidR="003B1624" w:rsidRPr="00020A3F" w:rsidRDefault="003B1624" w:rsidP="003B1624">
            <w:pPr>
              <w:spacing w:after="0" w:line="240" w:lineRule="auto"/>
              <w:jc w:val="both"/>
              <w:rPr>
                <w:rFonts w:ascii="Arial" w:hAnsi="Arial" w:cs="Arial"/>
                <w:color w:val="000000"/>
                <w:sz w:val="24"/>
                <w:szCs w:val="24"/>
                <w:lang w:eastAsia="en-GB"/>
              </w:rPr>
            </w:pPr>
            <w:r w:rsidRPr="00020A3F">
              <w:rPr>
                <w:rFonts w:ascii="Arial" w:hAnsi="Arial" w:cs="Arial"/>
                <w:color w:val="000000"/>
                <w:sz w:val="24"/>
                <w:szCs w:val="24"/>
                <w:lang w:eastAsia="en-GB"/>
              </w:rPr>
              <w:t>IgE</w:t>
            </w:r>
          </w:p>
        </w:tc>
      </w:tr>
      <w:tr w:rsidR="003B1624" w:rsidRPr="00CA502F" w:rsidTr="006D5FF8">
        <w:trPr>
          <w:trHeight w:val="720"/>
        </w:trPr>
        <w:tc>
          <w:tcPr>
            <w:tcW w:w="838" w:type="dxa"/>
            <w:tcBorders>
              <w:top w:val="nil"/>
              <w:left w:val="single" w:sz="4" w:space="0" w:color="auto"/>
              <w:bottom w:val="single" w:sz="4" w:space="0" w:color="auto"/>
              <w:right w:val="single" w:sz="4" w:space="0" w:color="auto"/>
            </w:tcBorders>
            <w:vAlign w:val="center"/>
          </w:tcPr>
          <w:p w:rsidR="003B1624" w:rsidRPr="00020A3F" w:rsidRDefault="003B1624" w:rsidP="003B1624">
            <w:pPr>
              <w:spacing w:after="0" w:line="240" w:lineRule="auto"/>
              <w:jc w:val="center"/>
              <w:rPr>
                <w:rFonts w:ascii="Arial" w:hAnsi="Arial" w:cs="Arial"/>
                <w:color w:val="000000"/>
                <w:sz w:val="24"/>
                <w:szCs w:val="24"/>
                <w:lang w:eastAsia="en-GB"/>
              </w:rPr>
            </w:pPr>
            <w:r w:rsidRPr="00020A3F">
              <w:rPr>
                <w:rFonts w:ascii="Arial" w:hAnsi="Arial" w:cs="Arial"/>
                <w:color w:val="000000"/>
                <w:sz w:val="24"/>
                <w:szCs w:val="24"/>
                <w:lang w:eastAsia="en-GB"/>
              </w:rPr>
              <w:t>II</w:t>
            </w:r>
          </w:p>
        </w:tc>
        <w:tc>
          <w:tcPr>
            <w:tcW w:w="1567"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Cytotoxic</w:t>
            </w:r>
          </w:p>
        </w:tc>
        <w:tc>
          <w:tcPr>
            <w:tcW w:w="5245"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Goodpasture's syndrome, transfusion reaction</w:t>
            </w:r>
          </w:p>
        </w:tc>
        <w:tc>
          <w:tcPr>
            <w:tcW w:w="1417"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jc w:val="both"/>
              <w:rPr>
                <w:rFonts w:ascii="Arial" w:hAnsi="Arial" w:cs="Arial"/>
                <w:color w:val="000000"/>
                <w:sz w:val="24"/>
                <w:szCs w:val="24"/>
                <w:lang w:eastAsia="en-GB"/>
              </w:rPr>
            </w:pPr>
            <w:r w:rsidRPr="00020A3F">
              <w:rPr>
                <w:rFonts w:ascii="Arial" w:hAnsi="Arial" w:cs="Arial"/>
                <w:color w:val="000000"/>
                <w:sz w:val="24"/>
                <w:szCs w:val="24"/>
                <w:lang w:eastAsia="en-GB"/>
              </w:rPr>
              <w:t>IgG, IgM</w:t>
            </w:r>
          </w:p>
        </w:tc>
      </w:tr>
      <w:tr w:rsidR="003B1624" w:rsidRPr="00CA502F" w:rsidTr="006D5FF8">
        <w:trPr>
          <w:trHeight w:val="480"/>
        </w:trPr>
        <w:tc>
          <w:tcPr>
            <w:tcW w:w="838" w:type="dxa"/>
            <w:tcBorders>
              <w:top w:val="nil"/>
              <w:left w:val="single" w:sz="4" w:space="0" w:color="auto"/>
              <w:bottom w:val="single" w:sz="4" w:space="0" w:color="auto"/>
              <w:right w:val="single" w:sz="4" w:space="0" w:color="auto"/>
            </w:tcBorders>
            <w:vAlign w:val="center"/>
          </w:tcPr>
          <w:p w:rsidR="003B1624" w:rsidRPr="00020A3F" w:rsidRDefault="003B1624" w:rsidP="003B1624">
            <w:pPr>
              <w:spacing w:after="0" w:line="240" w:lineRule="auto"/>
              <w:jc w:val="center"/>
              <w:rPr>
                <w:rFonts w:ascii="Arial" w:hAnsi="Arial" w:cs="Arial"/>
                <w:color w:val="000000"/>
                <w:sz w:val="24"/>
                <w:szCs w:val="24"/>
                <w:lang w:eastAsia="en-GB"/>
              </w:rPr>
            </w:pPr>
            <w:r w:rsidRPr="00020A3F">
              <w:rPr>
                <w:rFonts w:ascii="Arial" w:hAnsi="Arial" w:cs="Arial"/>
                <w:color w:val="000000"/>
                <w:sz w:val="24"/>
                <w:szCs w:val="24"/>
                <w:lang w:eastAsia="en-GB"/>
              </w:rPr>
              <w:t>III</w:t>
            </w:r>
          </w:p>
        </w:tc>
        <w:tc>
          <w:tcPr>
            <w:tcW w:w="1567"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Immune Complex</w:t>
            </w:r>
          </w:p>
        </w:tc>
        <w:tc>
          <w:tcPr>
            <w:tcW w:w="5245"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SLE, rheumatoid arthritis</w:t>
            </w:r>
          </w:p>
        </w:tc>
        <w:tc>
          <w:tcPr>
            <w:tcW w:w="1417"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jc w:val="both"/>
              <w:rPr>
                <w:rFonts w:ascii="Arial" w:hAnsi="Arial" w:cs="Arial"/>
                <w:color w:val="000000"/>
                <w:sz w:val="24"/>
                <w:szCs w:val="24"/>
                <w:lang w:eastAsia="en-GB"/>
              </w:rPr>
            </w:pPr>
            <w:r w:rsidRPr="00020A3F">
              <w:rPr>
                <w:rFonts w:ascii="Arial" w:hAnsi="Arial" w:cs="Arial"/>
                <w:color w:val="000000"/>
                <w:sz w:val="24"/>
                <w:szCs w:val="24"/>
                <w:lang w:eastAsia="en-GB"/>
              </w:rPr>
              <w:t>IgG, IgM</w:t>
            </w:r>
          </w:p>
        </w:tc>
      </w:tr>
      <w:tr w:rsidR="003B1624" w:rsidRPr="00CA502F" w:rsidTr="006D5FF8">
        <w:trPr>
          <w:trHeight w:val="480"/>
        </w:trPr>
        <w:tc>
          <w:tcPr>
            <w:tcW w:w="838" w:type="dxa"/>
            <w:tcBorders>
              <w:top w:val="nil"/>
              <w:left w:val="single" w:sz="4" w:space="0" w:color="auto"/>
              <w:bottom w:val="single" w:sz="4" w:space="0" w:color="auto"/>
              <w:right w:val="single" w:sz="4" w:space="0" w:color="auto"/>
            </w:tcBorders>
            <w:vAlign w:val="center"/>
          </w:tcPr>
          <w:p w:rsidR="003B1624" w:rsidRPr="00020A3F" w:rsidRDefault="003B1624" w:rsidP="003B1624">
            <w:pPr>
              <w:spacing w:after="0" w:line="240" w:lineRule="auto"/>
              <w:jc w:val="center"/>
              <w:rPr>
                <w:rFonts w:ascii="Arial" w:hAnsi="Arial" w:cs="Arial"/>
                <w:color w:val="000000"/>
                <w:sz w:val="24"/>
                <w:szCs w:val="24"/>
                <w:lang w:eastAsia="en-GB"/>
              </w:rPr>
            </w:pPr>
            <w:r w:rsidRPr="00020A3F">
              <w:rPr>
                <w:rFonts w:ascii="Arial" w:hAnsi="Arial" w:cs="Arial"/>
                <w:color w:val="000000"/>
                <w:sz w:val="24"/>
                <w:szCs w:val="24"/>
                <w:lang w:eastAsia="en-GB"/>
              </w:rPr>
              <w:t>IV</w:t>
            </w:r>
          </w:p>
        </w:tc>
        <w:tc>
          <w:tcPr>
            <w:tcW w:w="1567"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Delayed</w:t>
            </w:r>
          </w:p>
        </w:tc>
        <w:tc>
          <w:tcPr>
            <w:tcW w:w="5245" w:type="dxa"/>
            <w:tcBorders>
              <w:top w:val="nil"/>
              <w:left w:val="nil"/>
              <w:bottom w:val="single" w:sz="4" w:space="0" w:color="auto"/>
              <w:right w:val="single" w:sz="4" w:space="0" w:color="auto"/>
            </w:tcBorders>
            <w:vAlign w:val="center"/>
          </w:tcPr>
          <w:p w:rsidR="003B1624" w:rsidRPr="00020A3F" w:rsidRDefault="003B1624" w:rsidP="003B1624">
            <w:pPr>
              <w:spacing w:after="0" w:line="240" w:lineRule="auto"/>
              <w:rPr>
                <w:rFonts w:ascii="Arial" w:hAnsi="Arial" w:cs="Arial"/>
                <w:color w:val="000000"/>
                <w:sz w:val="24"/>
                <w:szCs w:val="24"/>
                <w:lang w:eastAsia="en-GB"/>
              </w:rPr>
            </w:pPr>
            <w:r w:rsidRPr="00020A3F">
              <w:rPr>
                <w:rFonts w:ascii="Arial" w:hAnsi="Arial" w:cs="Arial"/>
                <w:color w:val="000000"/>
                <w:sz w:val="24"/>
                <w:szCs w:val="24"/>
                <w:lang w:eastAsia="en-GB"/>
              </w:rPr>
              <w:t>Contact dermatitis, tuberculin test</w:t>
            </w:r>
          </w:p>
        </w:tc>
        <w:tc>
          <w:tcPr>
            <w:tcW w:w="1417" w:type="dxa"/>
            <w:tcBorders>
              <w:top w:val="nil"/>
              <w:left w:val="nil"/>
              <w:bottom w:val="single" w:sz="4" w:space="0" w:color="auto"/>
              <w:right w:val="single" w:sz="4" w:space="0" w:color="auto"/>
            </w:tcBorders>
            <w:vAlign w:val="center"/>
          </w:tcPr>
          <w:p w:rsidR="003B1624" w:rsidRPr="00020A3F" w:rsidRDefault="003B1624" w:rsidP="003B1624">
            <w:pPr>
              <w:keepNext/>
              <w:spacing w:after="0" w:line="240" w:lineRule="auto"/>
              <w:jc w:val="both"/>
              <w:rPr>
                <w:rFonts w:ascii="Arial" w:hAnsi="Arial" w:cs="Arial"/>
                <w:color w:val="000000"/>
                <w:sz w:val="24"/>
                <w:szCs w:val="24"/>
                <w:lang w:eastAsia="en-GB"/>
              </w:rPr>
            </w:pPr>
            <w:r w:rsidRPr="00020A3F">
              <w:rPr>
                <w:rFonts w:ascii="Arial" w:hAnsi="Arial" w:cs="Arial"/>
                <w:color w:val="000000"/>
                <w:sz w:val="24"/>
                <w:szCs w:val="24"/>
                <w:lang w:eastAsia="en-GB"/>
              </w:rPr>
              <w:t>T-cells</w:t>
            </w:r>
          </w:p>
        </w:tc>
      </w:tr>
    </w:tbl>
    <w:p w:rsidR="006D5FF8" w:rsidRDefault="006D5FF8" w:rsidP="006D5FF8">
      <w:pPr>
        <w:jc w:val="both"/>
        <w:rPr>
          <w:rFonts w:ascii="Arial" w:hAnsi="Arial" w:cs="Arial"/>
          <w:sz w:val="24"/>
          <w:szCs w:val="24"/>
        </w:rPr>
      </w:pPr>
    </w:p>
    <w:p w:rsidR="00F64CE0" w:rsidRDefault="00F64CE0" w:rsidP="006D5FF8">
      <w:pPr>
        <w:jc w:val="both"/>
        <w:rPr>
          <w:rFonts w:ascii="Arial" w:hAnsi="Arial" w:cs="Arial"/>
          <w:sz w:val="24"/>
          <w:szCs w:val="24"/>
        </w:rPr>
      </w:pPr>
    </w:p>
    <w:p w:rsidR="00F64CE0" w:rsidRDefault="00F64CE0" w:rsidP="006D5FF8">
      <w:pPr>
        <w:jc w:val="both"/>
        <w:rPr>
          <w:rFonts w:ascii="Arial" w:hAnsi="Arial" w:cs="Arial"/>
          <w:sz w:val="24"/>
          <w:szCs w:val="24"/>
        </w:rPr>
      </w:pPr>
    </w:p>
    <w:p w:rsidR="006455A1" w:rsidRPr="00F64CE0" w:rsidRDefault="00777891" w:rsidP="006D5FF8">
      <w:pPr>
        <w:jc w:val="both"/>
        <w:rPr>
          <w:rFonts w:ascii="Arial" w:hAnsi="Arial" w:cs="Arial"/>
          <w:b/>
          <w:sz w:val="24"/>
          <w:szCs w:val="24"/>
        </w:rPr>
      </w:pPr>
      <w:r w:rsidRPr="00F64CE0">
        <w:rPr>
          <w:rFonts w:ascii="Arial" w:hAnsi="Arial" w:cs="Arial"/>
          <w:b/>
          <w:sz w:val="24"/>
          <w:szCs w:val="24"/>
        </w:rPr>
        <w:t>Box 1</w:t>
      </w:r>
      <w:r w:rsidR="006D5FF8" w:rsidRPr="00F64CE0">
        <w:rPr>
          <w:rFonts w:ascii="Arial" w:hAnsi="Arial" w:cs="Arial"/>
          <w:b/>
          <w:sz w:val="24"/>
          <w:szCs w:val="24"/>
        </w:rPr>
        <w:t xml:space="preserve">. Agents most commonly responsible for anaphylactic drug reactions in the perioperative period </w:t>
      </w:r>
      <w:r w:rsidR="00A47542">
        <w:rPr>
          <w:rFonts w:ascii="Arial" w:hAnsi="Arial" w:cs="Arial"/>
          <w:b/>
          <w:sz w:val="24"/>
          <w:szCs w:val="24"/>
        </w:rPr>
        <w:t>in</w:t>
      </w:r>
      <w:bookmarkStart w:id="2" w:name="_GoBack"/>
      <w:bookmarkEnd w:id="2"/>
      <w:r w:rsidR="006D5FF8" w:rsidRPr="00F64CE0">
        <w:rPr>
          <w:rFonts w:ascii="Arial" w:hAnsi="Arial" w:cs="Arial"/>
          <w:b/>
          <w:sz w:val="24"/>
          <w:szCs w:val="24"/>
        </w:rPr>
        <w:t xml:space="preserve"> the NAP6 report.</w:t>
      </w:r>
      <w:r w:rsidR="006D5FF8" w:rsidRPr="00F64CE0">
        <w:rPr>
          <w:rFonts w:ascii="Arial" w:hAnsi="Arial" w:cs="Arial"/>
          <w:b/>
          <w:sz w:val="24"/>
          <w:szCs w:val="24"/>
          <w:vertAlign w:val="superscript"/>
        </w:rPr>
        <w:t>4</w:t>
      </w:r>
    </w:p>
    <w:tbl>
      <w:tblPr>
        <w:tblStyle w:val="TableGrid"/>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77891" w:rsidRPr="00CA502F" w:rsidTr="006D5FF8">
        <w:tc>
          <w:tcPr>
            <w:tcW w:w="9016" w:type="dxa"/>
          </w:tcPr>
          <w:p w:rsidR="00777891" w:rsidRPr="00020A3F" w:rsidRDefault="00777891" w:rsidP="00777891">
            <w:pPr>
              <w:widowControl w:val="0"/>
              <w:autoSpaceDE w:val="0"/>
              <w:autoSpaceDN w:val="0"/>
              <w:adjustRightInd w:val="0"/>
              <w:rPr>
                <w:rFonts w:ascii="Arial" w:hAnsi="Arial" w:cs="Arial"/>
                <w:sz w:val="24"/>
                <w:szCs w:val="24"/>
              </w:rPr>
            </w:pPr>
            <w:r w:rsidRPr="00020A3F">
              <w:rPr>
                <w:rFonts w:ascii="Arial" w:hAnsi="Arial" w:cs="Arial"/>
                <w:sz w:val="24"/>
                <w:szCs w:val="24"/>
              </w:rPr>
              <w:t xml:space="preserve">Antibiotics </w:t>
            </w:r>
            <w:r>
              <w:rPr>
                <w:rFonts w:ascii="Arial" w:hAnsi="Arial" w:cs="Arial"/>
                <w:sz w:val="24"/>
                <w:szCs w:val="24"/>
              </w:rPr>
              <w:t>(</w:t>
            </w:r>
            <w:r w:rsidRPr="00020A3F">
              <w:rPr>
                <w:rFonts w:ascii="Arial" w:hAnsi="Arial" w:cs="Arial"/>
                <w:sz w:val="24"/>
                <w:szCs w:val="24"/>
              </w:rPr>
              <w:t>47%</w:t>
            </w:r>
            <w:r>
              <w:rPr>
                <w:rFonts w:ascii="Arial" w:hAnsi="Arial" w:cs="Arial"/>
                <w:sz w:val="24"/>
                <w:szCs w:val="24"/>
              </w:rPr>
              <w:t>)</w:t>
            </w:r>
            <w:r w:rsidRPr="00020A3F">
              <w:rPr>
                <w:rFonts w:ascii="Arial" w:hAnsi="Arial" w:cs="Arial"/>
                <w:sz w:val="24"/>
                <w:szCs w:val="24"/>
              </w:rPr>
              <w:tab/>
            </w:r>
          </w:p>
        </w:tc>
      </w:tr>
      <w:tr w:rsidR="00777891" w:rsidRPr="00CA502F" w:rsidTr="006D5FF8">
        <w:tc>
          <w:tcPr>
            <w:tcW w:w="9016" w:type="dxa"/>
          </w:tcPr>
          <w:p w:rsidR="00777891" w:rsidRPr="00020A3F" w:rsidRDefault="00777891" w:rsidP="00777891">
            <w:pPr>
              <w:widowControl w:val="0"/>
              <w:autoSpaceDE w:val="0"/>
              <w:autoSpaceDN w:val="0"/>
              <w:adjustRightInd w:val="0"/>
              <w:rPr>
                <w:rFonts w:ascii="Arial" w:hAnsi="Arial" w:cs="Arial"/>
                <w:sz w:val="24"/>
                <w:szCs w:val="24"/>
              </w:rPr>
            </w:pPr>
            <w:r>
              <w:rPr>
                <w:rFonts w:ascii="Arial" w:hAnsi="Arial" w:cs="Arial"/>
                <w:sz w:val="24"/>
                <w:szCs w:val="24"/>
              </w:rPr>
              <w:t>Neuromuscular blocking agents</w:t>
            </w:r>
            <w:r w:rsidRPr="00020A3F">
              <w:rPr>
                <w:rFonts w:ascii="Arial" w:hAnsi="Arial" w:cs="Arial"/>
                <w:sz w:val="24"/>
                <w:szCs w:val="24"/>
              </w:rPr>
              <w:t xml:space="preserve"> </w:t>
            </w:r>
            <w:r>
              <w:rPr>
                <w:rFonts w:ascii="Arial" w:hAnsi="Arial" w:cs="Arial"/>
                <w:sz w:val="24"/>
                <w:szCs w:val="24"/>
              </w:rPr>
              <w:t>(</w:t>
            </w:r>
            <w:r w:rsidRPr="00020A3F">
              <w:rPr>
                <w:rFonts w:ascii="Arial" w:hAnsi="Arial" w:cs="Arial"/>
                <w:sz w:val="24"/>
                <w:szCs w:val="24"/>
              </w:rPr>
              <w:t>33%</w:t>
            </w:r>
            <w:r>
              <w:rPr>
                <w:rFonts w:ascii="Arial" w:hAnsi="Arial" w:cs="Arial"/>
                <w:sz w:val="24"/>
                <w:szCs w:val="24"/>
              </w:rPr>
              <w:t>)</w:t>
            </w:r>
          </w:p>
        </w:tc>
      </w:tr>
      <w:tr w:rsidR="00777891" w:rsidRPr="00CA502F" w:rsidTr="006D5FF8">
        <w:tc>
          <w:tcPr>
            <w:tcW w:w="9016" w:type="dxa"/>
          </w:tcPr>
          <w:p w:rsidR="00777891" w:rsidRPr="00020A3F" w:rsidRDefault="00777891" w:rsidP="00777891">
            <w:pPr>
              <w:widowControl w:val="0"/>
              <w:autoSpaceDE w:val="0"/>
              <w:autoSpaceDN w:val="0"/>
              <w:adjustRightInd w:val="0"/>
              <w:rPr>
                <w:rFonts w:ascii="Arial" w:hAnsi="Arial" w:cs="Arial"/>
                <w:sz w:val="24"/>
                <w:szCs w:val="24"/>
              </w:rPr>
            </w:pPr>
            <w:r w:rsidRPr="00020A3F">
              <w:rPr>
                <w:rFonts w:ascii="Arial" w:hAnsi="Arial" w:cs="Arial"/>
                <w:sz w:val="24"/>
                <w:szCs w:val="24"/>
              </w:rPr>
              <w:t xml:space="preserve">Chlorhexidine </w:t>
            </w:r>
            <w:r>
              <w:rPr>
                <w:rFonts w:ascii="Arial" w:hAnsi="Arial" w:cs="Arial"/>
                <w:sz w:val="24"/>
                <w:szCs w:val="24"/>
              </w:rPr>
              <w:t>(</w:t>
            </w:r>
            <w:r w:rsidRPr="00020A3F">
              <w:rPr>
                <w:rFonts w:ascii="Arial" w:hAnsi="Arial" w:cs="Arial"/>
                <w:sz w:val="24"/>
                <w:szCs w:val="24"/>
              </w:rPr>
              <w:t>9%</w:t>
            </w:r>
            <w:r>
              <w:rPr>
                <w:rFonts w:ascii="Arial" w:hAnsi="Arial" w:cs="Arial"/>
                <w:sz w:val="24"/>
                <w:szCs w:val="24"/>
              </w:rPr>
              <w:t>)</w:t>
            </w:r>
          </w:p>
        </w:tc>
      </w:tr>
      <w:tr w:rsidR="00777891" w:rsidRPr="00CA502F" w:rsidTr="006D5FF8">
        <w:tc>
          <w:tcPr>
            <w:tcW w:w="9016" w:type="dxa"/>
          </w:tcPr>
          <w:p w:rsidR="00777891" w:rsidRPr="00020A3F" w:rsidRDefault="00777891" w:rsidP="00777891">
            <w:pPr>
              <w:widowControl w:val="0"/>
              <w:autoSpaceDE w:val="0"/>
              <w:autoSpaceDN w:val="0"/>
              <w:adjustRightInd w:val="0"/>
              <w:rPr>
                <w:rFonts w:ascii="Arial" w:hAnsi="Arial" w:cs="Arial"/>
                <w:sz w:val="24"/>
                <w:szCs w:val="24"/>
              </w:rPr>
            </w:pPr>
            <w:r w:rsidRPr="00020A3F">
              <w:rPr>
                <w:rFonts w:ascii="Arial" w:hAnsi="Arial" w:cs="Arial"/>
                <w:sz w:val="24"/>
                <w:szCs w:val="24"/>
              </w:rPr>
              <w:t xml:space="preserve">Patent </w:t>
            </w:r>
            <w:r>
              <w:rPr>
                <w:rFonts w:ascii="Arial" w:hAnsi="Arial" w:cs="Arial"/>
                <w:sz w:val="24"/>
                <w:szCs w:val="24"/>
              </w:rPr>
              <w:t>b</w:t>
            </w:r>
            <w:r w:rsidRPr="00020A3F">
              <w:rPr>
                <w:rFonts w:ascii="Arial" w:hAnsi="Arial" w:cs="Arial"/>
                <w:sz w:val="24"/>
                <w:szCs w:val="24"/>
              </w:rPr>
              <w:t xml:space="preserve">lue </w:t>
            </w:r>
            <w:r>
              <w:rPr>
                <w:rFonts w:ascii="Arial" w:hAnsi="Arial" w:cs="Arial"/>
                <w:sz w:val="24"/>
                <w:szCs w:val="24"/>
              </w:rPr>
              <w:t>d</w:t>
            </w:r>
            <w:r w:rsidRPr="00020A3F">
              <w:rPr>
                <w:rFonts w:ascii="Arial" w:hAnsi="Arial" w:cs="Arial"/>
                <w:sz w:val="24"/>
                <w:szCs w:val="24"/>
              </w:rPr>
              <w:t xml:space="preserve">ye </w:t>
            </w:r>
            <w:r>
              <w:rPr>
                <w:rFonts w:ascii="Arial" w:hAnsi="Arial" w:cs="Arial"/>
                <w:sz w:val="24"/>
                <w:szCs w:val="24"/>
              </w:rPr>
              <w:t>(</w:t>
            </w:r>
            <w:r w:rsidRPr="00020A3F">
              <w:rPr>
                <w:rFonts w:ascii="Arial" w:hAnsi="Arial" w:cs="Arial"/>
                <w:sz w:val="24"/>
                <w:szCs w:val="24"/>
              </w:rPr>
              <w:t>5%</w:t>
            </w:r>
            <w:r>
              <w:rPr>
                <w:rFonts w:ascii="Arial" w:hAnsi="Arial" w:cs="Arial"/>
                <w:sz w:val="24"/>
                <w:szCs w:val="24"/>
              </w:rPr>
              <w:t>)</w:t>
            </w:r>
          </w:p>
        </w:tc>
      </w:tr>
    </w:tbl>
    <w:p w:rsidR="006455A1" w:rsidRDefault="006455A1" w:rsidP="00730ACA">
      <w:pPr>
        <w:spacing w:after="0"/>
        <w:jc w:val="both"/>
        <w:rPr>
          <w:rFonts w:ascii="Arial" w:hAnsi="Arial" w:cs="Arial"/>
          <w:sz w:val="24"/>
          <w:szCs w:val="24"/>
        </w:rPr>
      </w:pPr>
    </w:p>
    <w:p w:rsidR="00F64CE0" w:rsidRDefault="00F64CE0" w:rsidP="00730ACA">
      <w:pPr>
        <w:spacing w:after="0"/>
        <w:jc w:val="both"/>
        <w:rPr>
          <w:rFonts w:ascii="Arial" w:hAnsi="Arial" w:cs="Arial"/>
          <w:b/>
          <w:sz w:val="24"/>
          <w:szCs w:val="24"/>
        </w:rPr>
      </w:pPr>
    </w:p>
    <w:p w:rsidR="00C752A8" w:rsidRPr="00F64CE0" w:rsidRDefault="000E7D0A" w:rsidP="00730ACA">
      <w:pPr>
        <w:spacing w:after="0"/>
        <w:jc w:val="both"/>
        <w:rPr>
          <w:rFonts w:ascii="Arial" w:hAnsi="Arial" w:cs="Arial"/>
          <w:b/>
          <w:sz w:val="24"/>
          <w:szCs w:val="24"/>
        </w:rPr>
      </w:pPr>
      <w:r w:rsidRPr="00F64CE0">
        <w:rPr>
          <w:rFonts w:ascii="Arial" w:hAnsi="Arial" w:cs="Arial"/>
          <w:b/>
          <w:sz w:val="24"/>
          <w:szCs w:val="24"/>
        </w:rPr>
        <w:t xml:space="preserve">Box </w:t>
      </w:r>
      <w:r w:rsidR="00777891" w:rsidRPr="00F64CE0">
        <w:rPr>
          <w:rFonts w:ascii="Arial" w:hAnsi="Arial" w:cs="Arial"/>
          <w:b/>
          <w:sz w:val="24"/>
          <w:szCs w:val="24"/>
        </w:rPr>
        <w:t>2</w:t>
      </w:r>
      <w:r w:rsidR="006D5FF8" w:rsidRPr="00F64CE0">
        <w:rPr>
          <w:rFonts w:ascii="Arial" w:hAnsi="Arial" w:cs="Arial"/>
          <w:b/>
          <w:sz w:val="24"/>
          <w:szCs w:val="24"/>
        </w:rPr>
        <w:t>.</w:t>
      </w:r>
      <w:r w:rsidR="006D5FF8" w:rsidRPr="00F64CE0">
        <w:rPr>
          <w:rFonts w:ascii="Arial" w:hAnsi="Arial" w:cs="Arial"/>
          <w:b/>
          <w:color w:val="000000"/>
          <w:sz w:val="24"/>
          <w:szCs w:val="24"/>
          <w:lang w:eastAsia="en-GB"/>
        </w:rPr>
        <w:t xml:space="preserve"> Essential information for completion of a Yellow Card</w:t>
      </w:r>
    </w:p>
    <w:p w:rsidR="000E7D0A" w:rsidRPr="00020A3F" w:rsidRDefault="000E7D0A" w:rsidP="00730ACA">
      <w:pPr>
        <w:spacing w:after="0"/>
        <w:jc w:val="both"/>
        <w:rPr>
          <w:rFonts w:ascii="Arial" w:hAnsi="Arial" w:cs="Arial"/>
          <w:sz w:val="24"/>
          <w:szCs w:val="24"/>
        </w:rPr>
      </w:pPr>
    </w:p>
    <w:tbl>
      <w:tblPr>
        <w:tblpPr w:leftFromText="180" w:rightFromText="180" w:vertAnchor="text" w:horzAnchor="margin" w:tblpY="39"/>
        <w:tblW w:w="92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
        <w:gridCol w:w="8826"/>
      </w:tblGrid>
      <w:tr w:rsidR="00730ACA" w:rsidRPr="00CA502F" w:rsidTr="006D5FF8">
        <w:trPr>
          <w:trHeight w:val="300"/>
        </w:trPr>
        <w:tc>
          <w:tcPr>
            <w:tcW w:w="417" w:type="dxa"/>
            <w:noWrap/>
            <w:vAlign w:val="bottom"/>
          </w:tcPr>
          <w:p w:rsidR="00730ACA" w:rsidRPr="006D5FF8" w:rsidRDefault="00730ACA" w:rsidP="006D5FF8">
            <w:pPr>
              <w:spacing w:before="120" w:after="120" w:line="240" w:lineRule="auto"/>
              <w:rPr>
                <w:rFonts w:ascii="Arial" w:hAnsi="Arial" w:cs="Arial"/>
                <w:color w:val="000000"/>
                <w:sz w:val="24"/>
                <w:szCs w:val="24"/>
                <w:lang w:eastAsia="en-GB"/>
              </w:rPr>
            </w:pPr>
          </w:p>
        </w:tc>
        <w:tc>
          <w:tcPr>
            <w:tcW w:w="8826" w:type="dxa"/>
            <w:vAlign w:val="bottom"/>
          </w:tcPr>
          <w:p w:rsidR="00730ACA" w:rsidRPr="006D5FF8" w:rsidRDefault="00730ACA" w:rsidP="006D5FF8">
            <w:pPr>
              <w:spacing w:before="120" w:after="120" w:line="240" w:lineRule="auto"/>
              <w:rPr>
                <w:rFonts w:ascii="Arial" w:hAnsi="Arial" w:cs="Arial"/>
                <w:color w:val="000000"/>
                <w:sz w:val="24"/>
                <w:szCs w:val="24"/>
                <w:lang w:eastAsia="en-GB"/>
              </w:rPr>
            </w:pPr>
            <w:r w:rsidRPr="006D5FF8">
              <w:rPr>
                <w:rFonts w:ascii="Arial" w:hAnsi="Arial" w:cs="Arial"/>
                <w:color w:val="000000"/>
                <w:sz w:val="24"/>
                <w:szCs w:val="24"/>
                <w:lang w:eastAsia="en-GB"/>
              </w:rPr>
              <w:t xml:space="preserve">The adverse event </w:t>
            </w:r>
            <w:r w:rsidR="006D5FF8" w:rsidRPr="006D5FF8">
              <w:rPr>
                <w:rFonts w:ascii="Arial" w:hAnsi="Arial" w:cs="Arial"/>
                <w:color w:val="000000"/>
                <w:sz w:val="24"/>
                <w:szCs w:val="24"/>
                <w:lang w:eastAsia="en-GB"/>
              </w:rPr>
              <w:t>or</w:t>
            </w:r>
            <w:r w:rsidRPr="006D5FF8">
              <w:rPr>
                <w:rFonts w:ascii="Arial" w:hAnsi="Arial" w:cs="Arial"/>
                <w:color w:val="000000"/>
                <w:sz w:val="24"/>
                <w:szCs w:val="24"/>
                <w:lang w:eastAsia="en-GB"/>
              </w:rPr>
              <w:t xml:space="preserve"> reaction</w:t>
            </w:r>
            <w:r w:rsidR="006D5FF8" w:rsidRPr="006D5FF8">
              <w:rPr>
                <w:rFonts w:ascii="Arial" w:hAnsi="Arial" w:cs="Arial"/>
                <w:color w:val="000000"/>
                <w:sz w:val="24"/>
                <w:szCs w:val="24"/>
                <w:lang w:eastAsia="en-GB"/>
              </w:rPr>
              <w:t xml:space="preserve">; </w:t>
            </w:r>
            <w:r w:rsidR="00AF07D8" w:rsidRPr="006D5FF8">
              <w:rPr>
                <w:rFonts w:ascii="Arial" w:hAnsi="Arial" w:cs="Arial"/>
                <w:color w:val="000000"/>
                <w:sz w:val="24"/>
                <w:szCs w:val="24"/>
                <w:lang w:eastAsia="en-GB"/>
              </w:rPr>
              <w:t>seriousness and treatment given</w:t>
            </w:r>
          </w:p>
        </w:tc>
      </w:tr>
      <w:tr w:rsidR="00730ACA" w:rsidRPr="00CA502F" w:rsidTr="006D5FF8">
        <w:trPr>
          <w:trHeight w:val="300"/>
        </w:trPr>
        <w:tc>
          <w:tcPr>
            <w:tcW w:w="417" w:type="dxa"/>
            <w:noWrap/>
            <w:vAlign w:val="bottom"/>
          </w:tcPr>
          <w:p w:rsidR="00730ACA" w:rsidRPr="006D5FF8" w:rsidRDefault="00730ACA" w:rsidP="006D5FF8">
            <w:pPr>
              <w:pStyle w:val="ListParagraph"/>
              <w:spacing w:before="120" w:after="120" w:line="240" w:lineRule="auto"/>
              <w:rPr>
                <w:rFonts w:ascii="Arial" w:hAnsi="Arial" w:cs="Arial"/>
                <w:color w:val="000000"/>
                <w:sz w:val="24"/>
                <w:szCs w:val="24"/>
                <w:lang w:eastAsia="en-GB"/>
              </w:rPr>
            </w:pPr>
          </w:p>
        </w:tc>
        <w:tc>
          <w:tcPr>
            <w:tcW w:w="8826" w:type="dxa"/>
            <w:vAlign w:val="bottom"/>
          </w:tcPr>
          <w:p w:rsidR="00730ACA" w:rsidRPr="006D5FF8" w:rsidRDefault="00730ACA" w:rsidP="006D5FF8">
            <w:pPr>
              <w:spacing w:before="120" w:after="120" w:line="240" w:lineRule="auto"/>
              <w:rPr>
                <w:rFonts w:ascii="Arial" w:hAnsi="Arial" w:cs="Arial"/>
                <w:color w:val="000000"/>
                <w:sz w:val="24"/>
                <w:szCs w:val="24"/>
                <w:lang w:eastAsia="en-GB"/>
              </w:rPr>
            </w:pPr>
            <w:r w:rsidRPr="006D5FF8">
              <w:rPr>
                <w:rFonts w:ascii="Arial" w:hAnsi="Arial" w:cs="Arial"/>
                <w:color w:val="000000"/>
                <w:sz w:val="24"/>
                <w:szCs w:val="24"/>
                <w:lang w:eastAsia="en-GB"/>
              </w:rPr>
              <w:t>Information about the affected individual (age, sex, initials)</w:t>
            </w:r>
          </w:p>
        </w:tc>
      </w:tr>
      <w:tr w:rsidR="00730ACA" w:rsidRPr="00CA502F" w:rsidTr="006D5FF8">
        <w:trPr>
          <w:trHeight w:val="300"/>
        </w:trPr>
        <w:tc>
          <w:tcPr>
            <w:tcW w:w="417" w:type="dxa"/>
            <w:noWrap/>
            <w:vAlign w:val="bottom"/>
          </w:tcPr>
          <w:p w:rsidR="00730ACA" w:rsidRPr="006D5FF8" w:rsidRDefault="00730ACA" w:rsidP="006D5FF8">
            <w:pPr>
              <w:spacing w:before="120" w:after="120" w:line="240" w:lineRule="auto"/>
              <w:rPr>
                <w:rFonts w:ascii="Arial" w:hAnsi="Arial" w:cs="Arial"/>
                <w:color w:val="000000"/>
                <w:sz w:val="24"/>
                <w:szCs w:val="24"/>
                <w:lang w:eastAsia="en-GB"/>
              </w:rPr>
            </w:pPr>
          </w:p>
        </w:tc>
        <w:tc>
          <w:tcPr>
            <w:tcW w:w="8826" w:type="dxa"/>
            <w:vAlign w:val="bottom"/>
          </w:tcPr>
          <w:p w:rsidR="00730ACA" w:rsidRPr="006D5FF8" w:rsidRDefault="00730ACA" w:rsidP="006D5FF8">
            <w:pPr>
              <w:spacing w:before="120" w:after="120" w:line="240" w:lineRule="auto"/>
              <w:rPr>
                <w:rFonts w:ascii="Arial" w:hAnsi="Arial" w:cs="Arial"/>
                <w:color w:val="000000"/>
                <w:sz w:val="24"/>
                <w:szCs w:val="24"/>
                <w:lang w:eastAsia="en-GB"/>
              </w:rPr>
            </w:pPr>
            <w:r w:rsidRPr="006D5FF8">
              <w:rPr>
                <w:rFonts w:ascii="Arial" w:hAnsi="Arial" w:cs="Arial"/>
                <w:color w:val="000000"/>
                <w:sz w:val="24"/>
                <w:szCs w:val="24"/>
                <w:lang w:eastAsia="en-GB"/>
              </w:rPr>
              <w:t>The name of the suspected drug</w:t>
            </w:r>
          </w:p>
        </w:tc>
      </w:tr>
      <w:tr w:rsidR="00730ACA" w:rsidRPr="00CA502F" w:rsidTr="006D5FF8">
        <w:trPr>
          <w:trHeight w:val="600"/>
        </w:trPr>
        <w:tc>
          <w:tcPr>
            <w:tcW w:w="417" w:type="dxa"/>
            <w:tcBorders>
              <w:bottom w:val="single" w:sz="4" w:space="0" w:color="auto"/>
            </w:tcBorders>
            <w:noWrap/>
            <w:vAlign w:val="center"/>
          </w:tcPr>
          <w:p w:rsidR="00730ACA" w:rsidRPr="006D5FF8" w:rsidRDefault="00730ACA" w:rsidP="006D5FF8">
            <w:pPr>
              <w:pStyle w:val="ListParagraph"/>
              <w:numPr>
                <w:ilvl w:val="0"/>
                <w:numId w:val="8"/>
              </w:numPr>
              <w:spacing w:before="120" w:after="120" w:line="240" w:lineRule="auto"/>
              <w:rPr>
                <w:rFonts w:ascii="Arial" w:hAnsi="Arial" w:cs="Arial"/>
                <w:color w:val="000000"/>
                <w:sz w:val="24"/>
                <w:szCs w:val="24"/>
                <w:lang w:eastAsia="en-GB"/>
              </w:rPr>
            </w:pPr>
          </w:p>
        </w:tc>
        <w:tc>
          <w:tcPr>
            <w:tcW w:w="8826" w:type="dxa"/>
            <w:tcBorders>
              <w:bottom w:val="single" w:sz="4" w:space="0" w:color="auto"/>
            </w:tcBorders>
            <w:vAlign w:val="bottom"/>
          </w:tcPr>
          <w:p w:rsidR="00730ACA" w:rsidRPr="006D5FF8" w:rsidRDefault="00730ACA" w:rsidP="006D5FF8">
            <w:pPr>
              <w:keepNext/>
              <w:spacing w:before="120" w:after="120" w:line="240" w:lineRule="auto"/>
              <w:rPr>
                <w:rFonts w:ascii="Arial" w:hAnsi="Arial" w:cs="Arial"/>
                <w:color w:val="000000"/>
                <w:sz w:val="24"/>
                <w:szCs w:val="24"/>
                <w:lang w:eastAsia="en-GB"/>
              </w:rPr>
            </w:pPr>
            <w:r w:rsidRPr="006D5FF8">
              <w:rPr>
                <w:rFonts w:ascii="Arial" w:hAnsi="Arial" w:cs="Arial"/>
                <w:color w:val="000000"/>
                <w:sz w:val="24"/>
                <w:szCs w:val="24"/>
                <w:lang w:eastAsia="en-GB"/>
              </w:rPr>
              <w:t xml:space="preserve">The reporter's name </w:t>
            </w:r>
            <w:r w:rsidR="006F701A" w:rsidRPr="006D5FF8">
              <w:rPr>
                <w:rFonts w:ascii="Arial" w:hAnsi="Arial" w:cs="Arial"/>
                <w:color w:val="000000"/>
                <w:sz w:val="24"/>
                <w:szCs w:val="24"/>
                <w:lang w:eastAsia="en-GB"/>
              </w:rPr>
              <w:t xml:space="preserve">&amp; </w:t>
            </w:r>
            <w:r w:rsidRPr="006D5FF8">
              <w:rPr>
                <w:rFonts w:ascii="Arial" w:hAnsi="Arial" w:cs="Arial"/>
                <w:color w:val="000000"/>
                <w:sz w:val="24"/>
                <w:szCs w:val="24"/>
                <w:lang w:eastAsia="en-GB"/>
              </w:rPr>
              <w:t>address</w:t>
            </w:r>
            <w:r w:rsidR="006F701A" w:rsidRPr="006D5FF8">
              <w:rPr>
                <w:rFonts w:ascii="Arial" w:hAnsi="Arial" w:cs="Arial"/>
                <w:color w:val="000000"/>
                <w:sz w:val="24"/>
                <w:szCs w:val="24"/>
                <w:lang w:eastAsia="en-GB"/>
              </w:rPr>
              <w:t>,</w:t>
            </w:r>
            <w:r w:rsidRPr="006D5FF8">
              <w:rPr>
                <w:rFonts w:ascii="Arial" w:hAnsi="Arial" w:cs="Arial"/>
                <w:color w:val="000000"/>
                <w:sz w:val="24"/>
                <w:szCs w:val="24"/>
                <w:lang w:eastAsia="en-GB"/>
              </w:rPr>
              <w:t xml:space="preserve"> so that the report can be acknowledged and enable the MHRA to request further information if required</w:t>
            </w:r>
          </w:p>
        </w:tc>
      </w:tr>
    </w:tbl>
    <w:p w:rsidR="006455A1" w:rsidRDefault="006455A1">
      <w:pPr>
        <w:widowControl w:val="0"/>
        <w:autoSpaceDE w:val="0"/>
        <w:autoSpaceDN w:val="0"/>
        <w:adjustRightInd w:val="0"/>
        <w:rPr>
          <w:rFonts w:ascii="Arial" w:hAnsi="Arial" w:cs="Arial"/>
          <w:sz w:val="24"/>
          <w:szCs w:val="24"/>
          <w:vertAlign w:val="superscript"/>
        </w:rPr>
      </w:pPr>
    </w:p>
    <w:p w:rsidR="00777891" w:rsidRDefault="00777891">
      <w:pPr>
        <w:spacing w:after="0" w:line="240" w:lineRule="auto"/>
        <w:rPr>
          <w:rFonts w:ascii="Arial" w:eastAsia="Times New Roman" w:hAnsi="Arial" w:cs="Arial"/>
          <w:sz w:val="24"/>
          <w:szCs w:val="24"/>
          <w:lang w:val="en-US"/>
        </w:rPr>
      </w:pPr>
    </w:p>
    <w:sectPr w:rsidR="00777891" w:rsidSect="007A1E12">
      <w:pgSz w:w="11906" w:h="16838" w:code="9"/>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D5" w:rsidRDefault="00CC08D5" w:rsidP="00535CBC">
      <w:pPr>
        <w:spacing w:after="0" w:line="240" w:lineRule="auto"/>
      </w:pPr>
      <w:r>
        <w:separator/>
      </w:r>
    </w:p>
  </w:endnote>
  <w:endnote w:type="continuationSeparator" w:id="0">
    <w:p w:rsidR="00CC08D5" w:rsidRDefault="00CC08D5" w:rsidP="0053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D5" w:rsidRDefault="00CC08D5" w:rsidP="00535CBC">
      <w:pPr>
        <w:spacing w:after="0" w:line="240" w:lineRule="auto"/>
      </w:pPr>
      <w:r>
        <w:separator/>
      </w:r>
    </w:p>
  </w:footnote>
  <w:footnote w:type="continuationSeparator" w:id="0">
    <w:p w:rsidR="00CC08D5" w:rsidRDefault="00CC08D5" w:rsidP="00535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745"/>
    <w:multiLevelType w:val="hybridMultilevel"/>
    <w:tmpl w:val="6A06F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E3D34"/>
    <w:multiLevelType w:val="hybridMultilevel"/>
    <w:tmpl w:val="4AD894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D1F5978"/>
    <w:multiLevelType w:val="hybridMultilevel"/>
    <w:tmpl w:val="22D8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D2AAE"/>
    <w:multiLevelType w:val="hybridMultilevel"/>
    <w:tmpl w:val="2B8E73C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5377442C"/>
    <w:multiLevelType w:val="hybridMultilevel"/>
    <w:tmpl w:val="E54642A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5B66239B"/>
    <w:multiLevelType w:val="hybridMultilevel"/>
    <w:tmpl w:val="50D43C6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71D848A5"/>
    <w:multiLevelType w:val="hybridMultilevel"/>
    <w:tmpl w:val="2682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F7480"/>
    <w:multiLevelType w:val="hybridMultilevel"/>
    <w:tmpl w:val="589E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B1"/>
    <w:rsid w:val="0000009F"/>
    <w:rsid w:val="000053DD"/>
    <w:rsid w:val="00005B64"/>
    <w:rsid w:val="00011131"/>
    <w:rsid w:val="00013B57"/>
    <w:rsid w:val="000156F5"/>
    <w:rsid w:val="00020A3F"/>
    <w:rsid w:val="00021E1F"/>
    <w:rsid w:val="000220F1"/>
    <w:rsid w:val="00027EE8"/>
    <w:rsid w:val="00033FD3"/>
    <w:rsid w:val="00044855"/>
    <w:rsid w:val="000461C0"/>
    <w:rsid w:val="00055AFE"/>
    <w:rsid w:val="0006595D"/>
    <w:rsid w:val="00073022"/>
    <w:rsid w:val="00083AB2"/>
    <w:rsid w:val="00092836"/>
    <w:rsid w:val="000A396C"/>
    <w:rsid w:val="000A5F2B"/>
    <w:rsid w:val="000B26A2"/>
    <w:rsid w:val="000B393D"/>
    <w:rsid w:val="000B4C0D"/>
    <w:rsid w:val="000B6B23"/>
    <w:rsid w:val="000C02C2"/>
    <w:rsid w:val="000C0ABA"/>
    <w:rsid w:val="000C160B"/>
    <w:rsid w:val="000C5320"/>
    <w:rsid w:val="000C5F43"/>
    <w:rsid w:val="000D55D4"/>
    <w:rsid w:val="000D568A"/>
    <w:rsid w:val="000E11AE"/>
    <w:rsid w:val="000E7D0A"/>
    <w:rsid w:val="000F2A7F"/>
    <w:rsid w:val="000F77DA"/>
    <w:rsid w:val="00101CB6"/>
    <w:rsid w:val="00104ABF"/>
    <w:rsid w:val="00114BB9"/>
    <w:rsid w:val="00115E27"/>
    <w:rsid w:val="00120641"/>
    <w:rsid w:val="00125AAE"/>
    <w:rsid w:val="00140824"/>
    <w:rsid w:val="00156238"/>
    <w:rsid w:val="00157106"/>
    <w:rsid w:val="00172445"/>
    <w:rsid w:val="00175706"/>
    <w:rsid w:val="001801A5"/>
    <w:rsid w:val="00185B7E"/>
    <w:rsid w:val="00196B99"/>
    <w:rsid w:val="001A246D"/>
    <w:rsid w:val="001A2FA6"/>
    <w:rsid w:val="001B306B"/>
    <w:rsid w:val="001B3B97"/>
    <w:rsid w:val="001B3F8C"/>
    <w:rsid w:val="001B45A9"/>
    <w:rsid w:val="001B7546"/>
    <w:rsid w:val="001D029F"/>
    <w:rsid w:val="001D2928"/>
    <w:rsid w:val="001D59BC"/>
    <w:rsid w:val="001E036C"/>
    <w:rsid w:val="001E54AE"/>
    <w:rsid w:val="001E5B5A"/>
    <w:rsid w:val="001F7488"/>
    <w:rsid w:val="002003B7"/>
    <w:rsid w:val="0021002B"/>
    <w:rsid w:val="00211CC8"/>
    <w:rsid w:val="002202D5"/>
    <w:rsid w:val="00221D47"/>
    <w:rsid w:val="00222960"/>
    <w:rsid w:val="00226F45"/>
    <w:rsid w:val="002312BD"/>
    <w:rsid w:val="0023468C"/>
    <w:rsid w:val="002454E8"/>
    <w:rsid w:val="00246C43"/>
    <w:rsid w:val="0025357C"/>
    <w:rsid w:val="002615C7"/>
    <w:rsid w:val="00262DD7"/>
    <w:rsid w:val="0026790A"/>
    <w:rsid w:val="00267A0D"/>
    <w:rsid w:val="002741B3"/>
    <w:rsid w:val="002808FD"/>
    <w:rsid w:val="00281C29"/>
    <w:rsid w:val="002877E1"/>
    <w:rsid w:val="002A0CA1"/>
    <w:rsid w:val="002A19F3"/>
    <w:rsid w:val="002B0395"/>
    <w:rsid w:val="002B2BEA"/>
    <w:rsid w:val="002C1B54"/>
    <w:rsid w:val="002C1DB4"/>
    <w:rsid w:val="002D01A2"/>
    <w:rsid w:val="002D2F50"/>
    <w:rsid w:val="002D3B96"/>
    <w:rsid w:val="002D495B"/>
    <w:rsid w:val="002D736F"/>
    <w:rsid w:val="002E2A43"/>
    <w:rsid w:val="002E2BFC"/>
    <w:rsid w:val="002E476C"/>
    <w:rsid w:val="002F4B0F"/>
    <w:rsid w:val="0030675C"/>
    <w:rsid w:val="00310D11"/>
    <w:rsid w:val="00315411"/>
    <w:rsid w:val="0032561C"/>
    <w:rsid w:val="00325883"/>
    <w:rsid w:val="0034440B"/>
    <w:rsid w:val="00351A3E"/>
    <w:rsid w:val="00353A63"/>
    <w:rsid w:val="003561AF"/>
    <w:rsid w:val="003617B7"/>
    <w:rsid w:val="003632E2"/>
    <w:rsid w:val="00364114"/>
    <w:rsid w:val="0036659B"/>
    <w:rsid w:val="003719BB"/>
    <w:rsid w:val="003722FD"/>
    <w:rsid w:val="003952B1"/>
    <w:rsid w:val="00395D31"/>
    <w:rsid w:val="003B10C5"/>
    <w:rsid w:val="003B1624"/>
    <w:rsid w:val="003B6C37"/>
    <w:rsid w:val="003C598C"/>
    <w:rsid w:val="003D49B6"/>
    <w:rsid w:val="003D61F8"/>
    <w:rsid w:val="003E3E0D"/>
    <w:rsid w:val="003E3FF4"/>
    <w:rsid w:val="003F0E78"/>
    <w:rsid w:val="003F1BDA"/>
    <w:rsid w:val="003F5BA7"/>
    <w:rsid w:val="00404283"/>
    <w:rsid w:val="004112AB"/>
    <w:rsid w:val="00415E01"/>
    <w:rsid w:val="004174E2"/>
    <w:rsid w:val="00422A66"/>
    <w:rsid w:val="0042436D"/>
    <w:rsid w:val="00424F78"/>
    <w:rsid w:val="00425F7E"/>
    <w:rsid w:val="0044503C"/>
    <w:rsid w:val="00446A8B"/>
    <w:rsid w:val="00450D30"/>
    <w:rsid w:val="00461B89"/>
    <w:rsid w:val="00471066"/>
    <w:rsid w:val="004722FE"/>
    <w:rsid w:val="00472893"/>
    <w:rsid w:val="004816B2"/>
    <w:rsid w:val="00497341"/>
    <w:rsid w:val="004A440A"/>
    <w:rsid w:val="004B67C5"/>
    <w:rsid w:val="004C25D0"/>
    <w:rsid w:val="004C2705"/>
    <w:rsid w:val="004E1BA5"/>
    <w:rsid w:val="004E6D0E"/>
    <w:rsid w:val="00503B66"/>
    <w:rsid w:val="005212B3"/>
    <w:rsid w:val="00525559"/>
    <w:rsid w:val="0053007F"/>
    <w:rsid w:val="00530784"/>
    <w:rsid w:val="00530EB9"/>
    <w:rsid w:val="00535CBC"/>
    <w:rsid w:val="00540E85"/>
    <w:rsid w:val="0054635C"/>
    <w:rsid w:val="00554BCD"/>
    <w:rsid w:val="00557BAD"/>
    <w:rsid w:val="00567332"/>
    <w:rsid w:val="00571F06"/>
    <w:rsid w:val="00575A97"/>
    <w:rsid w:val="00576357"/>
    <w:rsid w:val="00577265"/>
    <w:rsid w:val="005834E4"/>
    <w:rsid w:val="00587E51"/>
    <w:rsid w:val="0059371D"/>
    <w:rsid w:val="005956FC"/>
    <w:rsid w:val="005A1E90"/>
    <w:rsid w:val="005A278E"/>
    <w:rsid w:val="005B0321"/>
    <w:rsid w:val="005B3C80"/>
    <w:rsid w:val="005B7D23"/>
    <w:rsid w:val="005C0CD7"/>
    <w:rsid w:val="005C1D06"/>
    <w:rsid w:val="005C4853"/>
    <w:rsid w:val="005D2EE7"/>
    <w:rsid w:val="005D63E3"/>
    <w:rsid w:val="005E1546"/>
    <w:rsid w:val="005E539D"/>
    <w:rsid w:val="005E5D51"/>
    <w:rsid w:val="00600A84"/>
    <w:rsid w:val="00600AC6"/>
    <w:rsid w:val="00615771"/>
    <w:rsid w:val="00621137"/>
    <w:rsid w:val="00625583"/>
    <w:rsid w:val="006316E7"/>
    <w:rsid w:val="00641E4A"/>
    <w:rsid w:val="00645204"/>
    <w:rsid w:val="006455A1"/>
    <w:rsid w:val="00655D56"/>
    <w:rsid w:val="00655F8D"/>
    <w:rsid w:val="00661456"/>
    <w:rsid w:val="00665A4E"/>
    <w:rsid w:val="00666DC2"/>
    <w:rsid w:val="00666E08"/>
    <w:rsid w:val="006676A2"/>
    <w:rsid w:val="0067702F"/>
    <w:rsid w:val="006A0709"/>
    <w:rsid w:val="006A36EB"/>
    <w:rsid w:val="006C3DF9"/>
    <w:rsid w:val="006D417C"/>
    <w:rsid w:val="006D4367"/>
    <w:rsid w:val="006D43B9"/>
    <w:rsid w:val="006D5FF8"/>
    <w:rsid w:val="006E3AA3"/>
    <w:rsid w:val="006E6B1C"/>
    <w:rsid w:val="006F67CF"/>
    <w:rsid w:val="006F701A"/>
    <w:rsid w:val="0070083E"/>
    <w:rsid w:val="0070178E"/>
    <w:rsid w:val="0071475F"/>
    <w:rsid w:val="00724C5F"/>
    <w:rsid w:val="00726A98"/>
    <w:rsid w:val="00730ACA"/>
    <w:rsid w:val="00734B4D"/>
    <w:rsid w:val="00735711"/>
    <w:rsid w:val="007401C1"/>
    <w:rsid w:val="007405C3"/>
    <w:rsid w:val="00744B43"/>
    <w:rsid w:val="0075306C"/>
    <w:rsid w:val="007625ED"/>
    <w:rsid w:val="00770DD2"/>
    <w:rsid w:val="00777891"/>
    <w:rsid w:val="00781D49"/>
    <w:rsid w:val="007833B7"/>
    <w:rsid w:val="007866DA"/>
    <w:rsid w:val="00787191"/>
    <w:rsid w:val="00790FCC"/>
    <w:rsid w:val="00793E2F"/>
    <w:rsid w:val="007A1E12"/>
    <w:rsid w:val="007B0948"/>
    <w:rsid w:val="007B1444"/>
    <w:rsid w:val="007B7D7E"/>
    <w:rsid w:val="007C1D9E"/>
    <w:rsid w:val="007D0C2F"/>
    <w:rsid w:val="007D2B0B"/>
    <w:rsid w:val="007D3915"/>
    <w:rsid w:val="007E5EB4"/>
    <w:rsid w:val="007F0CFB"/>
    <w:rsid w:val="007F5747"/>
    <w:rsid w:val="007F6ADC"/>
    <w:rsid w:val="00801108"/>
    <w:rsid w:val="00811DDC"/>
    <w:rsid w:val="00816072"/>
    <w:rsid w:val="0082014E"/>
    <w:rsid w:val="00820216"/>
    <w:rsid w:val="008309BD"/>
    <w:rsid w:val="0085415E"/>
    <w:rsid w:val="008B40C0"/>
    <w:rsid w:val="008B4528"/>
    <w:rsid w:val="008B7251"/>
    <w:rsid w:val="008C4965"/>
    <w:rsid w:val="008D3CA3"/>
    <w:rsid w:val="008E0167"/>
    <w:rsid w:val="008E1F82"/>
    <w:rsid w:val="008E4BF7"/>
    <w:rsid w:val="00914E16"/>
    <w:rsid w:val="0092264B"/>
    <w:rsid w:val="00923D2C"/>
    <w:rsid w:val="00925C09"/>
    <w:rsid w:val="00930601"/>
    <w:rsid w:val="009307C0"/>
    <w:rsid w:val="00930DD7"/>
    <w:rsid w:val="0093156C"/>
    <w:rsid w:val="00932C5C"/>
    <w:rsid w:val="009351D8"/>
    <w:rsid w:val="009358CD"/>
    <w:rsid w:val="009559B2"/>
    <w:rsid w:val="00961952"/>
    <w:rsid w:val="00965362"/>
    <w:rsid w:val="00966960"/>
    <w:rsid w:val="00971417"/>
    <w:rsid w:val="0097169F"/>
    <w:rsid w:val="00974944"/>
    <w:rsid w:val="00977B80"/>
    <w:rsid w:val="00980A8E"/>
    <w:rsid w:val="009824D7"/>
    <w:rsid w:val="009863A4"/>
    <w:rsid w:val="00990851"/>
    <w:rsid w:val="00996823"/>
    <w:rsid w:val="00996C54"/>
    <w:rsid w:val="009A166E"/>
    <w:rsid w:val="009B7708"/>
    <w:rsid w:val="009C5D4C"/>
    <w:rsid w:val="009D4BD3"/>
    <w:rsid w:val="009D584E"/>
    <w:rsid w:val="009E47BD"/>
    <w:rsid w:val="009E564C"/>
    <w:rsid w:val="009E6D65"/>
    <w:rsid w:val="00A0117C"/>
    <w:rsid w:val="00A04106"/>
    <w:rsid w:val="00A14ED7"/>
    <w:rsid w:val="00A25E32"/>
    <w:rsid w:val="00A25E5A"/>
    <w:rsid w:val="00A2680F"/>
    <w:rsid w:val="00A33BB8"/>
    <w:rsid w:val="00A365FC"/>
    <w:rsid w:val="00A41F8C"/>
    <w:rsid w:val="00A44696"/>
    <w:rsid w:val="00A47542"/>
    <w:rsid w:val="00A55585"/>
    <w:rsid w:val="00A630B7"/>
    <w:rsid w:val="00A65B63"/>
    <w:rsid w:val="00A65C37"/>
    <w:rsid w:val="00A66EB9"/>
    <w:rsid w:val="00A71E7F"/>
    <w:rsid w:val="00A778AF"/>
    <w:rsid w:val="00A77B6F"/>
    <w:rsid w:val="00A818D5"/>
    <w:rsid w:val="00A8487C"/>
    <w:rsid w:val="00A904DC"/>
    <w:rsid w:val="00A93B24"/>
    <w:rsid w:val="00AA3CA8"/>
    <w:rsid w:val="00AA75E4"/>
    <w:rsid w:val="00AB31D1"/>
    <w:rsid w:val="00AB63D3"/>
    <w:rsid w:val="00AC35CB"/>
    <w:rsid w:val="00AC4D24"/>
    <w:rsid w:val="00AF07D8"/>
    <w:rsid w:val="00AF1BB5"/>
    <w:rsid w:val="00AF62DE"/>
    <w:rsid w:val="00AF657F"/>
    <w:rsid w:val="00B055D3"/>
    <w:rsid w:val="00B119E6"/>
    <w:rsid w:val="00B17CDE"/>
    <w:rsid w:val="00B2180D"/>
    <w:rsid w:val="00B22F60"/>
    <w:rsid w:val="00B32B74"/>
    <w:rsid w:val="00B32F3C"/>
    <w:rsid w:val="00B33C2B"/>
    <w:rsid w:val="00B4072C"/>
    <w:rsid w:val="00B415E2"/>
    <w:rsid w:val="00B45E5D"/>
    <w:rsid w:val="00B6571E"/>
    <w:rsid w:val="00B72323"/>
    <w:rsid w:val="00B72F43"/>
    <w:rsid w:val="00B75321"/>
    <w:rsid w:val="00B80A09"/>
    <w:rsid w:val="00B83B5C"/>
    <w:rsid w:val="00B8707E"/>
    <w:rsid w:val="00BA3F09"/>
    <w:rsid w:val="00BA530D"/>
    <w:rsid w:val="00BA56B0"/>
    <w:rsid w:val="00BB0CC0"/>
    <w:rsid w:val="00BB2C4C"/>
    <w:rsid w:val="00BB376A"/>
    <w:rsid w:val="00BC3995"/>
    <w:rsid w:val="00BC6930"/>
    <w:rsid w:val="00BC7545"/>
    <w:rsid w:val="00BD08BC"/>
    <w:rsid w:val="00BD4391"/>
    <w:rsid w:val="00BD4CE5"/>
    <w:rsid w:val="00BD4EBC"/>
    <w:rsid w:val="00BD5C27"/>
    <w:rsid w:val="00BE1190"/>
    <w:rsid w:val="00BE2CFD"/>
    <w:rsid w:val="00BE3CB5"/>
    <w:rsid w:val="00BE40C9"/>
    <w:rsid w:val="00BF5D48"/>
    <w:rsid w:val="00C01235"/>
    <w:rsid w:val="00C117A2"/>
    <w:rsid w:val="00C35534"/>
    <w:rsid w:val="00C42A78"/>
    <w:rsid w:val="00C44FA6"/>
    <w:rsid w:val="00C45F00"/>
    <w:rsid w:val="00C54093"/>
    <w:rsid w:val="00C55F9F"/>
    <w:rsid w:val="00C61210"/>
    <w:rsid w:val="00C6418F"/>
    <w:rsid w:val="00C70BC4"/>
    <w:rsid w:val="00C72BB0"/>
    <w:rsid w:val="00C75027"/>
    <w:rsid w:val="00C752A8"/>
    <w:rsid w:val="00C91FD5"/>
    <w:rsid w:val="00C93296"/>
    <w:rsid w:val="00C94A13"/>
    <w:rsid w:val="00C94E75"/>
    <w:rsid w:val="00C9742B"/>
    <w:rsid w:val="00CA502F"/>
    <w:rsid w:val="00CA744A"/>
    <w:rsid w:val="00CB0DEB"/>
    <w:rsid w:val="00CB33CF"/>
    <w:rsid w:val="00CB5FA4"/>
    <w:rsid w:val="00CC08D5"/>
    <w:rsid w:val="00CE03C7"/>
    <w:rsid w:val="00CE358E"/>
    <w:rsid w:val="00CE5A6F"/>
    <w:rsid w:val="00CF01ED"/>
    <w:rsid w:val="00CF2DB1"/>
    <w:rsid w:val="00CF6EE2"/>
    <w:rsid w:val="00D114FE"/>
    <w:rsid w:val="00D16A52"/>
    <w:rsid w:val="00D16FA0"/>
    <w:rsid w:val="00D17FC4"/>
    <w:rsid w:val="00D22A17"/>
    <w:rsid w:val="00D30A42"/>
    <w:rsid w:val="00D46A4A"/>
    <w:rsid w:val="00D57B9F"/>
    <w:rsid w:val="00D65E1B"/>
    <w:rsid w:val="00D70B39"/>
    <w:rsid w:val="00D76DF8"/>
    <w:rsid w:val="00D77F2A"/>
    <w:rsid w:val="00D8384C"/>
    <w:rsid w:val="00D86FD2"/>
    <w:rsid w:val="00D87174"/>
    <w:rsid w:val="00D907A9"/>
    <w:rsid w:val="00D915B9"/>
    <w:rsid w:val="00D9180A"/>
    <w:rsid w:val="00D9202D"/>
    <w:rsid w:val="00D92F7F"/>
    <w:rsid w:val="00D934B1"/>
    <w:rsid w:val="00D950B6"/>
    <w:rsid w:val="00D97CDC"/>
    <w:rsid w:val="00DA03FF"/>
    <w:rsid w:val="00DA31AB"/>
    <w:rsid w:val="00DA4182"/>
    <w:rsid w:val="00DA48D9"/>
    <w:rsid w:val="00DA4ED5"/>
    <w:rsid w:val="00DB0AB2"/>
    <w:rsid w:val="00DC3C06"/>
    <w:rsid w:val="00DC4721"/>
    <w:rsid w:val="00DD4914"/>
    <w:rsid w:val="00DD6034"/>
    <w:rsid w:val="00DE25F9"/>
    <w:rsid w:val="00DF1D51"/>
    <w:rsid w:val="00DF219D"/>
    <w:rsid w:val="00DF6DAC"/>
    <w:rsid w:val="00E17DE0"/>
    <w:rsid w:val="00E2280B"/>
    <w:rsid w:val="00E34DCC"/>
    <w:rsid w:val="00E37BEC"/>
    <w:rsid w:val="00E64412"/>
    <w:rsid w:val="00E67C06"/>
    <w:rsid w:val="00E702AB"/>
    <w:rsid w:val="00E721B6"/>
    <w:rsid w:val="00E72290"/>
    <w:rsid w:val="00E82751"/>
    <w:rsid w:val="00E862A8"/>
    <w:rsid w:val="00E9047C"/>
    <w:rsid w:val="00E9187F"/>
    <w:rsid w:val="00E928B3"/>
    <w:rsid w:val="00E95087"/>
    <w:rsid w:val="00E96618"/>
    <w:rsid w:val="00E97DFA"/>
    <w:rsid w:val="00EA0DF1"/>
    <w:rsid w:val="00EA55E1"/>
    <w:rsid w:val="00EA57E4"/>
    <w:rsid w:val="00EB5A6F"/>
    <w:rsid w:val="00EC0682"/>
    <w:rsid w:val="00ED0A5D"/>
    <w:rsid w:val="00ED61AC"/>
    <w:rsid w:val="00ED61BA"/>
    <w:rsid w:val="00EE3356"/>
    <w:rsid w:val="00EE4A02"/>
    <w:rsid w:val="00EE5488"/>
    <w:rsid w:val="00EF174A"/>
    <w:rsid w:val="00EF48EA"/>
    <w:rsid w:val="00EF6DDF"/>
    <w:rsid w:val="00F000B4"/>
    <w:rsid w:val="00F03142"/>
    <w:rsid w:val="00F05BD8"/>
    <w:rsid w:val="00F17129"/>
    <w:rsid w:val="00F226CE"/>
    <w:rsid w:val="00F25511"/>
    <w:rsid w:val="00F33E71"/>
    <w:rsid w:val="00F35A74"/>
    <w:rsid w:val="00F40950"/>
    <w:rsid w:val="00F452D5"/>
    <w:rsid w:val="00F60E17"/>
    <w:rsid w:val="00F63E58"/>
    <w:rsid w:val="00F64CE0"/>
    <w:rsid w:val="00F71298"/>
    <w:rsid w:val="00F77600"/>
    <w:rsid w:val="00FB6176"/>
    <w:rsid w:val="00FB7C63"/>
    <w:rsid w:val="00FC3E07"/>
    <w:rsid w:val="00FD22C3"/>
    <w:rsid w:val="00FD2F8F"/>
    <w:rsid w:val="00FE3007"/>
    <w:rsid w:val="00FF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0FF91"/>
  <w15:docId w15:val="{B62AF1B0-5D4D-4E71-B824-1BDB8EC4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B4"/>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locked/>
    <w:rsid w:val="00615771"/>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Heading2">
    <w:name w:val="heading 2"/>
    <w:basedOn w:val="Normal"/>
    <w:next w:val="Normal"/>
    <w:link w:val="Heading2Char"/>
    <w:qFormat/>
    <w:locked/>
    <w:rsid w:val="00730AC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35C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35CBC"/>
    <w:rPr>
      <w:sz w:val="20"/>
      <w:szCs w:val="20"/>
    </w:rPr>
  </w:style>
  <w:style w:type="character" w:styleId="EndnoteReference">
    <w:name w:val="endnote reference"/>
    <w:basedOn w:val="DefaultParagraphFont"/>
    <w:uiPriority w:val="99"/>
    <w:semiHidden/>
    <w:rsid w:val="00535CBC"/>
    <w:rPr>
      <w:vertAlign w:val="superscript"/>
    </w:rPr>
  </w:style>
  <w:style w:type="paragraph" w:styleId="BalloonText">
    <w:name w:val="Balloon Text"/>
    <w:basedOn w:val="Normal"/>
    <w:link w:val="BalloonTextChar"/>
    <w:uiPriority w:val="99"/>
    <w:semiHidden/>
    <w:rsid w:val="0053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CBC"/>
    <w:rPr>
      <w:rFonts w:ascii="Tahoma" w:hAnsi="Tahoma" w:cs="Tahoma"/>
      <w:sz w:val="16"/>
      <w:szCs w:val="16"/>
    </w:rPr>
  </w:style>
  <w:style w:type="paragraph" w:styleId="Caption">
    <w:name w:val="caption"/>
    <w:basedOn w:val="Normal"/>
    <w:next w:val="Normal"/>
    <w:uiPriority w:val="99"/>
    <w:qFormat/>
    <w:rsid w:val="00730ACA"/>
    <w:pPr>
      <w:spacing w:line="240" w:lineRule="auto"/>
    </w:pPr>
    <w:rPr>
      <w:b/>
      <w:bCs/>
      <w:color w:val="4F81BD"/>
      <w:sz w:val="18"/>
      <w:szCs w:val="18"/>
    </w:rPr>
  </w:style>
  <w:style w:type="table" w:styleId="TableGrid">
    <w:name w:val="Table Grid"/>
    <w:basedOn w:val="TableNormal"/>
    <w:uiPriority w:val="99"/>
    <w:rsid w:val="00B119E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119E6"/>
    <w:pPr>
      <w:ind w:left="720"/>
    </w:pPr>
  </w:style>
  <w:style w:type="paragraph" w:styleId="Header">
    <w:name w:val="header"/>
    <w:basedOn w:val="Normal"/>
    <w:link w:val="HeaderChar"/>
    <w:uiPriority w:val="99"/>
    <w:semiHidden/>
    <w:rsid w:val="00A555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55585"/>
  </w:style>
  <w:style w:type="paragraph" w:styleId="Footer">
    <w:name w:val="footer"/>
    <w:basedOn w:val="Normal"/>
    <w:link w:val="FooterChar"/>
    <w:uiPriority w:val="99"/>
    <w:semiHidden/>
    <w:rsid w:val="00A555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55585"/>
  </w:style>
  <w:style w:type="paragraph" w:styleId="Bibliography">
    <w:name w:val="Bibliography"/>
    <w:basedOn w:val="Normal"/>
    <w:next w:val="Normal"/>
    <w:uiPriority w:val="99"/>
    <w:rsid w:val="002C1DB4"/>
    <w:pPr>
      <w:tabs>
        <w:tab w:val="left" w:pos="384"/>
      </w:tabs>
      <w:spacing w:after="240" w:line="240" w:lineRule="auto"/>
      <w:ind w:left="384" w:hanging="384"/>
    </w:pPr>
  </w:style>
  <w:style w:type="character" w:styleId="Hyperlink">
    <w:name w:val="Hyperlink"/>
    <w:basedOn w:val="DefaultParagraphFont"/>
    <w:uiPriority w:val="99"/>
    <w:rsid w:val="009D584E"/>
    <w:rPr>
      <w:color w:val="0000FF"/>
      <w:u w:val="single"/>
    </w:rPr>
  </w:style>
  <w:style w:type="character" w:customStyle="1" w:styleId="Heading1Char">
    <w:name w:val="Heading 1 Char"/>
    <w:basedOn w:val="DefaultParagraphFont"/>
    <w:link w:val="Heading1"/>
    <w:uiPriority w:val="9"/>
    <w:rsid w:val="00615771"/>
    <w:rPr>
      <w:rFonts w:ascii="Cambria" w:eastAsia="Times New Roman" w:hAnsi="Cambria" w:cs="Times New Roman"/>
      <w:b/>
      <w:bCs/>
      <w:color w:val="365F91"/>
      <w:sz w:val="28"/>
      <w:szCs w:val="28"/>
      <w:lang w:val="en-US" w:eastAsia="en-US" w:bidi="en-US"/>
    </w:rPr>
  </w:style>
  <w:style w:type="character" w:styleId="CommentReference">
    <w:name w:val="annotation reference"/>
    <w:basedOn w:val="DefaultParagraphFont"/>
    <w:uiPriority w:val="99"/>
    <w:semiHidden/>
    <w:unhideWhenUsed/>
    <w:rsid w:val="009E564C"/>
    <w:rPr>
      <w:sz w:val="16"/>
      <w:szCs w:val="16"/>
    </w:rPr>
  </w:style>
  <w:style w:type="paragraph" w:styleId="CommentText">
    <w:name w:val="annotation text"/>
    <w:basedOn w:val="Normal"/>
    <w:link w:val="CommentTextChar"/>
    <w:uiPriority w:val="99"/>
    <w:unhideWhenUsed/>
    <w:rsid w:val="009E564C"/>
    <w:pPr>
      <w:spacing w:line="240" w:lineRule="auto"/>
    </w:pPr>
    <w:rPr>
      <w:sz w:val="20"/>
      <w:szCs w:val="20"/>
    </w:rPr>
  </w:style>
  <w:style w:type="character" w:customStyle="1" w:styleId="CommentTextChar">
    <w:name w:val="Comment Text Char"/>
    <w:basedOn w:val="DefaultParagraphFont"/>
    <w:link w:val="CommentText"/>
    <w:uiPriority w:val="99"/>
    <w:rsid w:val="009E564C"/>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9E564C"/>
    <w:rPr>
      <w:b/>
      <w:bCs/>
    </w:rPr>
  </w:style>
  <w:style w:type="character" w:customStyle="1" w:styleId="CommentSubjectChar">
    <w:name w:val="Comment Subject Char"/>
    <w:basedOn w:val="CommentTextChar"/>
    <w:link w:val="CommentSubject"/>
    <w:uiPriority w:val="99"/>
    <w:semiHidden/>
    <w:rsid w:val="009E564C"/>
    <w:rPr>
      <w:rFonts w:cs="Calibri"/>
      <w:b/>
      <w:bCs/>
      <w:sz w:val="20"/>
      <w:szCs w:val="20"/>
      <w:lang w:eastAsia="en-US"/>
    </w:rPr>
  </w:style>
  <w:style w:type="character" w:styleId="Strong">
    <w:name w:val="Strong"/>
    <w:basedOn w:val="DefaultParagraphFont"/>
    <w:qFormat/>
    <w:locked/>
    <w:rsid w:val="00730ACA"/>
    <w:rPr>
      <w:b/>
      <w:bCs/>
    </w:rPr>
  </w:style>
  <w:style w:type="character" w:customStyle="1" w:styleId="Heading2Char">
    <w:name w:val="Heading 2 Char"/>
    <w:basedOn w:val="DefaultParagraphFont"/>
    <w:link w:val="Heading2"/>
    <w:rsid w:val="00730ACA"/>
    <w:rPr>
      <w:rFonts w:ascii="Cambria" w:eastAsia="Times New Roman" w:hAnsi="Cambria" w:cs="Times New Roman"/>
      <w:b/>
      <w:bCs/>
      <w:color w:val="4F81BD"/>
      <w:sz w:val="26"/>
      <w:szCs w:val="26"/>
      <w:lang w:eastAsia="en-US"/>
    </w:rPr>
  </w:style>
  <w:style w:type="paragraph" w:styleId="FootnoteText">
    <w:name w:val="footnote text"/>
    <w:basedOn w:val="Normal"/>
    <w:semiHidden/>
    <w:rsid w:val="00EE3356"/>
    <w:rPr>
      <w:sz w:val="20"/>
      <w:szCs w:val="20"/>
    </w:rPr>
  </w:style>
  <w:style w:type="character" w:styleId="FootnoteReference">
    <w:name w:val="footnote reference"/>
    <w:basedOn w:val="DefaultParagraphFont"/>
    <w:semiHidden/>
    <w:rsid w:val="00EE3356"/>
    <w:rPr>
      <w:vertAlign w:val="superscript"/>
    </w:rPr>
  </w:style>
  <w:style w:type="character" w:styleId="FollowedHyperlink">
    <w:name w:val="FollowedHyperlink"/>
    <w:basedOn w:val="DefaultParagraphFont"/>
    <w:uiPriority w:val="99"/>
    <w:semiHidden/>
    <w:unhideWhenUsed/>
    <w:rsid w:val="009B7708"/>
    <w:rPr>
      <w:color w:val="800080" w:themeColor="followedHyperlink"/>
      <w:u w:val="single"/>
    </w:rPr>
  </w:style>
  <w:style w:type="paragraph" w:styleId="Revision">
    <w:name w:val="Revision"/>
    <w:hidden/>
    <w:uiPriority w:val="99"/>
    <w:semiHidden/>
    <w:rsid w:val="00744B43"/>
    <w:rPr>
      <w:rFonts w:cs="Calibri"/>
      <w:sz w:val="22"/>
      <w:szCs w:val="22"/>
      <w:lang w:eastAsia="en-US"/>
    </w:rPr>
  </w:style>
  <w:style w:type="paragraph" w:styleId="NormalWeb">
    <w:name w:val="Normal (Web)"/>
    <w:basedOn w:val="Normal"/>
    <w:uiPriority w:val="99"/>
    <w:semiHidden/>
    <w:unhideWhenUsed/>
    <w:rsid w:val="005C48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B3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7020">
      <w:bodyDiv w:val="1"/>
      <w:marLeft w:val="0"/>
      <w:marRight w:val="0"/>
      <w:marTop w:val="0"/>
      <w:marBottom w:val="0"/>
      <w:divBdr>
        <w:top w:val="none" w:sz="0" w:space="0" w:color="auto"/>
        <w:left w:val="none" w:sz="0" w:space="0" w:color="auto"/>
        <w:bottom w:val="none" w:sz="0" w:space="0" w:color="auto"/>
        <w:right w:val="none" w:sz="0" w:space="0" w:color="auto"/>
      </w:divBdr>
    </w:div>
    <w:div w:id="127433943">
      <w:bodyDiv w:val="1"/>
      <w:marLeft w:val="0"/>
      <w:marRight w:val="0"/>
      <w:marTop w:val="0"/>
      <w:marBottom w:val="0"/>
      <w:divBdr>
        <w:top w:val="none" w:sz="0" w:space="0" w:color="auto"/>
        <w:left w:val="none" w:sz="0" w:space="0" w:color="auto"/>
        <w:bottom w:val="none" w:sz="0" w:space="0" w:color="auto"/>
        <w:right w:val="none" w:sz="0" w:space="0" w:color="auto"/>
      </w:divBdr>
    </w:div>
    <w:div w:id="261426385">
      <w:bodyDiv w:val="1"/>
      <w:marLeft w:val="0"/>
      <w:marRight w:val="0"/>
      <w:marTop w:val="0"/>
      <w:marBottom w:val="0"/>
      <w:divBdr>
        <w:top w:val="none" w:sz="0" w:space="0" w:color="auto"/>
        <w:left w:val="none" w:sz="0" w:space="0" w:color="auto"/>
        <w:bottom w:val="none" w:sz="0" w:space="0" w:color="auto"/>
        <w:right w:val="none" w:sz="0" w:space="0" w:color="auto"/>
      </w:divBdr>
    </w:div>
    <w:div w:id="304045121">
      <w:bodyDiv w:val="1"/>
      <w:marLeft w:val="0"/>
      <w:marRight w:val="0"/>
      <w:marTop w:val="0"/>
      <w:marBottom w:val="0"/>
      <w:divBdr>
        <w:top w:val="none" w:sz="0" w:space="0" w:color="auto"/>
        <w:left w:val="none" w:sz="0" w:space="0" w:color="auto"/>
        <w:bottom w:val="none" w:sz="0" w:space="0" w:color="auto"/>
        <w:right w:val="none" w:sz="0" w:space="0" w:color="auto"/>
      </w:divBdr>
    </w:div>
    <w:div w:id="336425073">
      <w:bodyDiv w:val="1"/>
      <w:marLeft w:val="0"/>
      <w:marRight w:val="0"/>
      <w:marTop w:val="0"/>
      <w:marBottom w:val="0"/>
      <w:divBdr>
        <w:top w:val="none" w:sz="0" w:space="0" w:color="auto"/>
        <w:left w:val="none" w:sz="0" w:space="0" w:color="auto"/>
        <w:bottom w:val="none" w:sz="0" w:space="0" w:color="auto"/>
        <w:right w:val="none" w:sz="0" w:space="0" w:color="auto"/>
      </w:divBdr>
    </w:div>
    <w:div w:id="337007775">
      <w:bodyDiv w:val="1"/>
      <w:marLeft w:val="0"/>
      <w:marRight w:val="0"/>
      <w:marTop w:val="0"/>
      <w:marBottom w:val="0"/>
      <w:divBdr>
        <w:top w:val="none" w:sz="0" w:space="0" w:color="auto"/>
        <w:left w:val="none" w:sz="0" w:space="0" w:color="auto"/>
        <w:bottom w:val="none" w:sz="0" w:space="0" w:color="auto"/>
        <w:right w:val="none" w:sz="0" w:space="0" w:color="auto"/>
      </w:divBdr>
    </w:div>
    <w:div w:id="376127683">
      <w:bodyDiv w:val="1"/>
      <w:marLeft w:val="0"/>
      <w:marRight w:val="0"/>
      <w:marTop w:val="0"/>
      <w:marBottom w:val="0"/>
      <w:divBdr>
        <w:top w:val="none" w:sz="0" w:space="0" w:color="auto"/>
        <w:left w:val="none" w:sz="0" w:space="0" w:color="auto"/>
        <w:bottom w:val="none" w:sz="0" w:space="0" w:color="auto"/>
        <w:right w:val="none" w:sz="0" w:space="0" w:color="auto"/>
      </w:divBdr>
    </w:div>
    <w:div w:id="394592534">
      <w:bodyDiv w:val="1"/>
      <w:marLeft w:val="0"/>
      <w:marRight w:val="0"/>
      <w:marTop w:val="0"/>
      <w:marBottom w:val="0"/>
      <w:divBdr>
        <w:top w:val="none" w:sz="0" w:space="0" w:color="auto"/>
        <w:left w:val="none" w:sz="0" w:space="0" w:color="auto"/>
        <w:bottom w:val="none" w:sz="0" w:space="0" w:color="auto"/>
        <w:right w:val="none" w:sz="0" w:space="0" w:color="auto"/>
      </w:divBdr>
    </w:div>
    <w:div w:id="415900828">
      <w:bodyDiv w:val="1"/>
      <w:marLeft w:val="0"/>
      <w:marRight w:val="0"/>
      <w:marTop w:val="0"/>
      <w:marBottom w:val="0"/>
      <w:divBdr>
        <w:top w:val="none" w:sz="0" w:space="0" w:color="auto"/>
        <w:left w:val="none" w:sz="0" w:space="0" w:color="auto"/>
        <w:bottom w:val="none" w:sz="0" w:space="0" w:color="auto"/>
        <w:right w:val="none" w:sz="0" w:space="0" w:color="auto"/>
      </w:divBdr>
    </w:div>
    <w:div w:id="420755713">
      <w:bodyDiv w:val="1"/>
      <w:marLeft w:val="0"/>
      <w:marRight w:val="0"/>
      <w:marTop w:val="0"/>
      <w:marBottom w:val="0"/>
      <w:divBdr>
        <w:top w:val="none" w:sz="0" w:space="0" w:color="auto"/>
        <w:left w:val="none" w:sz="0" w:space="0" w:color="auto"/>
        <w:bottom w:val="none" w:sz="0" w:space="0" w:color="auto"/>
        <w:right w:val="none" w:sz="0" w:space="0" w:color="auto"/>
      </w:divBdr>
    </w:div>
    <w:div w:id="432475384">
      <w:bodyDiv w:val="1"/>
      <w:marLeft w:val="0"/>
      <w:marRight w:val="0"/>
      <w:marTop w:val="0"/>
      <w:marBottom w:val="0"/>
      <w:divBdr>
        <w:top w:val="none" w:sz="0" w:space="0" w:color="auto"/>
        <w:left w:val="none" w:sz="0" w:space="0" w:color="auto"/>
        <w:bottom w:val="none" w:sz="0" w:space="0" w:color="auto"/>
        <w:right w:val="none" w:sz="0" w:space="0" w:color="auto"/>
      </w:divBdr>
    </w:div>
    <w:div w:id="521288556">
      <w:bodyDiv w:val="1"/>
      <w:marLeft w:val="0"/>
      <w:marRight w:val="0"/>
      <w:marTop w:val="0"/>
      <w:marBottom w:val="0"/>
      <w:divBdr>
        <w:top w:val="none" w:sz="0" w:space="0" w:color="auto"/>
        <w:left w:val="none" w:sz="0" w:space="0" w:color="auto"/>
        <w:bottom w:val="none" w:sz="0" w:space="0" w:color="auto"/>
        <w:right w:val="none" w:sz="0" w:space="0" w:color="auto"/>
      </w:divBdr>
      <w:divsChild>
        <w:div w:id="1514418694">
          <w:marLeft w:val="0"/>
          <w:marRight w:val="0"/>
          <w:marTop w:val="0"/>
          <w:marBottom w:val="0"/>
          <w:divBdr>
            <w:top w:val="none" w:sz="0" w:space="0" w:color="auto"/>
            <w:left w:val="none" w:sz="0" w:space="0" w:color="auto"/>
            <w:bottom w:val="none" w:sz="0" w:space="0" w:color="auto"/>
            <w:right w:val="none" w:sz="0" w:space="0" w:color="auto"/>
          </w:divBdr>
          <w:divsChild>
            <w:div w:id="975373708">
              <w:marLeft w:val="0"/>
              <w:marRight w:val="0"/>
              <w:marTop w:val="0"/>
              <w:marBottom w:val="0"/>
              <w:divBdr>
                <w:top w:val="none" w:sz="0" w:space="0" w:color="auto"/>
                <w:left w:val="none" w:sz="0" w:space="0" w:color="auto"/>
                <w:bottom w:val="none" w:sz="0" w:space="0" w:color="auto"/>
                <w:right w:val="none" w:sz="0" w:space="0" w:color="auto"/>
              </w:divBdr>
              <w:divsChild>
                <w:div w:id="7597210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9950016">
      <w:bodyDiv w:val="1"/>
      <w:marLeft w:val="0"/>
      <w:marRight w:val="0"/>
      <w:marTop w:val="0"/>
      <w:marBottom w:val="0"/>
      <w:divBdr>
        <w:top w:val="none" w:sz="0" w:space="0" w:color="auto"/>
        <w:left w:val="none" w:sz="0" w:space="0" w:color="auto"/>
        <w:bottom w:val="none" w:sz="0" w:space="0" w:color="auto"/>
        <w:right w:val="none" w:sz="0" w:space="0" w:color="auto"/>
      </w:divBdr>
    </w:div>
    <w:div w:id="599293336">
      <w:marLeft w:val="0"/>
      <w:marRight w:val="0"/>
      <w:marTop w:val="0"/>
      <w:marBottom w:val="0"/>
      <w:divBdr>
        <w:top w:val="none" w:sz="0" w:space="0" w:color="auto"/>
        <w:left w:val="none" w:sz="0" w:space="0" w:color="auto"/>
        <w:bottom w:val="none" w:sz="0" w:space="0" w:color="auto"/>
        <w:right w:val="none" w:sz="0" w:space="0" w:color="auto"/>
      </w:divBdr>
      <w:divsChild>
        <w:div w:id="599293334">
          <w:marLeft w:val="0"/>
          <w:marRight w:val="0"/>
          <w:marTop w:val="0"/>
          <w:marBottom w:val="0"/>
          <w:divBdr>
            <w:top w:val="none" w:sz="0" w:space="0" w:color="auto"/>
            <w:left w:val="none" w:sz="0" w:space="0" w:color="auto"/>
            <w:bottom w:val="none" w:sz="0" w:space="0" w:color="auto"/>
            <w:right w:val="none" w:sz="0" w:space="0" w:color="auto"/>
          </w:divBdr>
          <w:divsChild>
            <w:div w:id="599293337">
              <w:marLeft w:val="0"/>
              <w:marRight w:val="0"/>
              <w:marTop w:val="0"/>
              <w:marBottom w:val="0"/>
              <w:divBdr>
                <w:top w:val="none" w:sz="0" w:space="0" w:color="auto"/>
                <w:left w:val="none" w:sz="0" w:space="0" w:color="auto"/>
                <w:bottom w:val="none" w:sz="0" w:space="0" w:color="auto"/>
                <w:right w:val="none" w:sz="0" w:space="0" w:color="auto"/>
              </w:divBdr>
              <w:divsChild>
                <w:div w:id="599293335">
                  <w:marLeft w:val="0"/>
                  <w:marRight w:val="0"/>
                  <w:marTop w:val="0"/>
                  <w:marBottom w:val="0"/>
                  <w:divBdr>
                    <w:top w:val="none" w:sz="0" w:space="0" w:color="auto"/>
                    <w:left w:val="none" w:sz="0" w:space="0" w:color="auto"/>
                    <w:bottom w:val="none" w:sz="0" w:space="0" w:color="auto"/>
                    <w:right w:val="none" w:sz="0" w:space="0" w:color="auto"/>
                  </w:divBdr>
                  <w:divsChild>
                    <w:div w:id="599293338">
                      <w:marLeft w:val="0"/>
                      <w:marRight w:val="0"/>
                      <w:marTop w:val="0"/>
                      <w:marBottom w:val="0"/>
                      <w:divBdr>
                        <w:top w:val="none" w:sz="0" w:space="0" w:color="auto"/>
                        <w:left w:val="none" w:sz="0" w:space="0" w:color="auto"/>
                        <w:bottom w:val="none" w:sz="0" w:space="0" w:color="auto"/>
                        <w:right w:val="none" w:sz="0" w:space="0" w:color="auto"/>
                      </w:divBdr>
                      <w:divsChild>
                        <w:div w:id="5992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93340">
      <w:marLeft w:val="0"/>
      <w:marRight w:val="0"/>
      <w:marTop w:val="0"/>
      <w:marBottom w:val="0"/>
      <w:divBdr>
        <w:top w:val="none" w:sz="0" w:space="0" w:color="auto"/>
        <w:left w:val="none" w:sz="0" w:space="0" w:color="auto"/>
        <w:bottom w:val="none" w:sz="0" w:space="0" w:color="auto"/>
        <w:right w:val="none" w:sz="0" w:space="0" w:color="auto"/>
      </w:divBdr>
      <w:divsChild>
        <w:div w:id="599293339">
          <w:marLeft w:val="0"/>
          <w:marRight w:val="0"/>
          <w:marTop w:val="0"/>
          <w:marBottom w:val="0"/>
          <w:divBdr>
            <w:top w:val="single" w:sz="6" w:space="2" w:color="6B90DA"/>
            <w:left w:val="none" w:sz="0" w:space="0" w:color="auto"/>
            <w:bottom w:val="none" w:sz="0" w:space="0" w:color="auto"/>
            <w:right w:val="none" w:sz="0" w:space="0" w:color="auto"/>
          </w:divBdr>
        </w:div>
      </w:divsChild>
    </w:div>
    <w:div w:id="599293341">
      <w:marLeft w:val="0"/>
      <w:marRight w:val="0"/>
      <w:marTop w:val="0"/>
      <w:marBottom w:val="0"/>
      <w:divBdr>
        <w:top w:val="none" w:sz="0" w:space="0" w:color="auto"/>
        <w:left w:val="none" w:sz="0" w:space="0" w:color="auto"/>
        <w:bottom w:val="none" w:sz="0" w:space="0" w:color="auto"/>
        <w:right w:val="none" w:sz="0" w:space="0" w:color="auto"/>
      </w:divBdr>
    </w:div>
    <w:div w:id="599293342">
      <w:marLeft w:val="0"/>
      <w:marRight w:val="0"/>
      <w:marTop w:val="0"/>
      <w:marBottom w:val="0"/>
      <w:divBdr>
        <w:top w:val="none" w:sz="0" w:space="0" w:color="auto"/>
        <w:left w:val="none" w:sz="0" w:space="0" w:color="auto"/>
        <w:bottom w:val="none" w:sz="0" w:space="0" w:color="auto"/>
        <w:right w:val="none" w:sz="0" w:space="0" w:color="auto"/>
      </w:divBdr>
    </w:div>
    <w:div w:id="599293343">
      <w:marLeft w:val="0"/>
      <w:marRight w:val="0"/>
      <w:marTop w:val="0"/>
      <w:marBottom w:val="0"/>
      <w:divBdr>
        <w:top w:val="none" w:sz="0" w:space="0" w:color="auto"/>
        <w:left w:val="none" w:sz="0" w:space="0" w:color="auto"/>
        <w:bottom w:val="none" w:sz="0" w:space="0" w:color="auto"/>
        <w:right w:val="none" w:sz="0" w:space="0" w:color="auto"/>
      </w:divBdr>
    </w:div>
    <w:div w:id="599293344">
      <w:marLeft w:val="0"/>
      <w:marRight w:val="0"/>
      <w:marTop w:val="0"/>
      <w:marBottom w:val="0"/>
      <w:divBdr>
        <w:top w:val="none" w:sz="0" w:space="0" w:color="auto"/>
        <w:left w:val="none" w:sz="0" w:space="0" w:color="auto"/>
        <w:bottom w:val="none" w:sz="0" w:space="0" w:color="auto"/>
        <w:right w:val="none" w:sz="0" w:space="0" w:color="auto"/>
      </w:divBdr>
    </w:div>
    <w:div w:id="599293345">
      <w:marLeft w:val="0"/>
      <w:marRight w:val="0"/>
      <w:marTop w:val="0"/>
      <w:marBottom w:val="0"/>
      <w:divBdr>
        <w:top w:val="none" w:sz="0" w:space="0" w:color="auto"/>
        <w:left w:val="none" w:sz="0" w:space="0" w:color="auto"/>
        <w:bottom w:val="none" w:sz="0" w:space="0" w:color="auto"/>
        <w:right w:val="none" w:sz="0" w:space="0" w:color="auto"/>
      </w:divBdr>
    </w:div>
    <w:div w:id="599293346">
      <w:marLeft w:val="0"/>
      <w:marRight w:val="0"/>
      <w:marTop w:val="0"/>
      <w:marBottom w:val="0"/>
      <w:divBdr>
        <w:top w:val="none" w:sz="0" w:space="0" w:color="auto"/>
        <w:left w:val="none" w:sz="0" w:space="0" w:color="auto"/>
        <w:bottom w:val="none" w:sz="0" w:space="0" w:color="auto"/>
        <w:right w:val="none" w:sz="0" w:space="0" w:color="auto"/>
      </w:divBdr>
    </w:div>
    <w:div w:id="631793900">
      <w:bodyDiv w:val="1"/>
      <w:marLeft w:val="0"/>
      <w:marRight w:val="0"/>
      <w:marTop w:val="0"/>
      <w:marBottom w:val="0"/>
      <w:divBdr>
        <w:top w:val="none" w:sz="0" w:space="0" w:color="auto"/>
        <w:left w:val="none" w:sz="0" w:space="0" w:color="auto"/>
        <w:bottom w:val="none" w:sz="0" w:space="0" w:color="auto"/>
        <w:right w:val="none" w:sz="0" w:space="0" w:color="auto"/>
      </w:divBdr>
    </w:div>
    <w:div w:id="729117560">
      <w:bodyDiv w:val="1"/>
      <w:marLeft w:val="0"/>
      <w:marRight w:val="0"/>
      <w:marTop w:val="0"/>
      <w:marBottom w:val="0"/>
      <w:divBdr>
        <w:top w:val="none" w:sz="0" w:space="0" w:color="auto"/>
        <w:left w:val="none" w:sz="0" w:space="0" w:color="auto"/>
        <w:bottom w:val="none" w:sz="0" w:space="0" w:color="auto"/>
        <w:right w:val="none" w:sz="0" w:space="0" w:color="auto"/>
      </w:divBdr>
    </w:div>
    <w:div w:id="732704860">
      <w:bodyDiv w:val="1"/>
      <w:marLeft w:val="0"/>
      <w:marRight w:val="0"/>
      <w:marTop w:val="0"/>
      <w:marBottom w:val="0"/>
      <w:divBdr>
        <w:top w:val="none" w:sz="0" w:space="0" w:color="auto"/>
        <w:left w:val="none" w:sz="0" w:space="0" w:color="auto"/>
        <w:bottom w:val="none" w:sz="0" w:space="0" w:color="auto"/>
        <w:right w:val="none" w:sz="0" w:space="0" w:color="auto"/>
      </w:divBdr>
    </w:div>
    <w:div w:id="744766227">
      <w:bodyDiv w:val="1"/>
      <w:marLeft w:val="0"/>
      <w:marRight w:val="0"/>
      <w:marTop w:val="0"/>
      <w:marBottom w:val="0"/>
      <w:divBdr>
        <w:top w:val="none" w:sz="0" w:space="0" w:color="auto"/>
        <w:left w:val="none" w:sz="0" w:space="0" w:color="auto"/>
        <w:bottom w:val="none" w:sz="0" w:space="0" w:color="auto"/>
        <w:right w:val="none" w:sz="0" w:space="0" w:color="auto"/>
      </w:divBdr>
    </w:div>
    <w:div w:id="801965415">
      <w:bodyDiv w:val="1"/>
      <w:marLeft w:val="0"/>
      <w:marRight w:val="0"/>
      <w:marTop w:val="0"/>
      <w:marBottom w:val="0"/>
      <w:divBdr>
        <w:top w:val="none" w:sz="0" w:space="0" w:color="auto"/>
        <w:left w:val="none" w:sz="0" w:space="0" w:color="auto"/>
        <w:bottom w:val="none" w:sz="0" w:space="0" w:color="auto"/>
        <w:right w:val="none" w:sz="0" w:space="0" w:color="auto"/>
      </w:divBdr>
    </w:div>
    <w:div w:id="943807258">
      <w:bodyDiv w:val="1"/>
      <w:marLeft w:val="0"/>
      <w:marRight w:val="0"/>
      <w:marTop w:val="0"/>
      <w:marBottom w:val="0"/>
      <w:divBdr>
        <w:top w:val="none" w:sz="0" w:space="0" w:color="auto"/>
        <w:left w:val="none" w:sz="0" w:space="0" w:color="auto"/>
        <w:bottom w:val="none" w:sz="0" w:space="0" w:color="auto"/>
        <w:right w:val="none" w:sz="0" w:space="0" w:color="auto"/>
      </w:divBdr>
    </w:div>
    <w:div w:id="1090853781">
      <w:bodyDiv w:val="1"/>
      <w:marLeft w:val="0"/>
      <w:marRight w:val="0"/>
      <w:marTop w:val="0"/>
      <w:marBottom w:val="0"/>
      <w:divBdr>
        <w:top w:val="none" w:sz="0" w:space="0" w:color="auto"/>
        <w:left w:val="none" w:sz="0" w:space="0" w:color="auto"/>
        <w:bottom w:val="none" w:sz="0" w:space="0" w:color="auto"/>
        <w:right w:val="none" w:sz="0" w:space="0" w:color="auto"/>
      </w:divBdr>
    </w:div>
    <w:div w:id="1163664267">
      <w:bodyDiv w:val="1"/>
      <w:marLeft w:val="0"/>
      <w:marRight w:val="0"/>
      <w:marTop w:val="0"/>
      <w:marBottom w:val="0"/>
      <w:divBdr>
        <w:top w:val="none" w:sz="0" w:space="0" w:color="auto"/>
        <w:left w:val="none" w:sz="0" w:space="0" w:color="auto"/>
        <w:bottom w:val="none" w:sz="0" w:space="0" w:color="auto"/>
        <w:right w:val="none" w:sz="0" w:space="0" w:color="auto"/>
      </w:divBdr>
    </w:div>
    <w:div w:id="1240481825">
      <w:bodyDiv w:val="1"/>
      <w:marLeft w:val="0"/>
      <w:marRight w:val="0"/>
      <w:marTop w:val="0"/>
      <w:marBottom w:val="0"/>
      <w:divBdr>
        <w:top w:val="none" w:sz="0" w:space="0" w:color="auto"/>
        <w:left w:val="none" w:sz="0" w:space="0" w:color="auto"/>
        <w:bottom w:val="none" w:sz="0" w:space="0" w:color="auto"/>
        <w:right w:val="none" w:sz="0" w:space="0" w:color="auto"/>
      </w:divBdr>
    </w:div>
    <w:div w:id="1272735967">
      <w:bodyDiv w:val="1"/>
      <w:marLeft w:val="0"/>
      <w:marRight w:val="0"/>
      <w:marTop w:val="0"/>
      <w:marBottom w:val="0"/>
      <w:divBdr>
        <w:top w:val="none" w:sz="0" w:space="0" w:color="auto"/>
        <w:left w:val="none" w:sz="0" w:space="0" w:color="auto"/>
        <w:bottom w:val="none" w:sz="0" w:space="0" w:color="auto"/>
        <w:right w:val="none" w:sz="0" w:space="0" w:color="auto"/>
      </w:divBdr>
    </w:div>
    <w:div w:id="1403067158">
      <w:bodyDiv w:val="1"/>
      <w:marLeft w:val="0"/>
      <w:marRight w:val="0"/>
      <w:marTop w:val="0"/>
      <w:marBottom w:val="0"/>
      <w:divBdr>
        <w:top w:val="none" w:sz="0" w:space="0" w:color="auto"/>
        <w:left w:val="none" w:sz="0" w:space="0" w:color="auto"/>
        <w:bottom w:val="none" w:sz="0" w:space="0" w:color="auto"/>
        <w:right w:val="none" w:sz="0" w:space="0" w:color="auto"/>
      </w:divBdr>
    </w:div>
    <w:div w:id="1430735368">
      <w:bodyDiv w:val="1"/>
      <w:marLeft w:val="0"/>
      <w:marRight w:val="0"/>
      <w:marTop w:val="0"/>
      <w:marBottom w:val="0"/>
      <w:divBdr>
        <w:top w:val="none" w:sz="0" w:space="0" w:color="auto"/>
        <w:left w:val="none" w:sz="0" w:space="0" w:color="auto"/>
        <w:bottom w:val="none" w:sz="0" w:space="0" w:color="auto"/>
        <w:right w:val="none" w:sz="0" w:space="0" w:color="auto"/>
      </w:divBdr>
    </w:div>
    <w:div w:id="1528716734">
      <w:bodyDiv w:val="1"/>
      <w:marLeft w:val="0"/>
      <w:marRight w:val="0"/>
      <w:marTop w:val="0"/>
      <w:marBottom w:val="0"/>
      <w:divBdr>
        <w:top w:val="none" w:sz="0" w:space="0" w:color="auto"/>
        <w:left w:val="none" w:sz="0" w:space="0" w:color="auto"/>
        <w:bottom w:val="none" w:sz="0" w:space="0" w:color="auto"/>
        <w:right w:val="none" w:sz="0" w:space="0" w:color="auto"/>
      </w:divBdr>
    </w:div>
    <w:div w:id="1528717752">
      <w:bodyDiv w:val="1"/>
      <w:marLeft w:val="0"/>
      <w:marRight w:val="0"/>
      <w:marTop w:val="0"/>
      <w:marBottom w:val="0"/>
      <w:divBdr>
        <w:top w:val="none" w:sz="0" w:space="0" w:color="auto"/>
        <w:left w:val="none" w:sz="0" w:space="0" w:color="auto"/>
        <w:bottom w:val="none" w:sz="0" w:space="0" w:color="auto"/>
        <w:right w:val="none" w:sz="0" w:space="0" w:color="auto"/>
      </w:divBdr>
    </w:div>
    <w:div w:id="1528984205">
      <w:bodyDiv w:val="1"/>
      <w:marLeft w:val="0"/>
      <w:marRight w:val="0"/>
      <w:marTop w:val="0"/>
      <w:marBottom w:val="0"/>
      <w:divBdr>
        <w:top w:val="none" w:sz="0" w:space="0" w:color="auto"/>
        <w:left w:val="none" w:sz="0" w:space="0" w:color="auto"/>
        <w:bottom w:val="none" w:sz="0" w:space="0" w:color="auto"/>
        <w:right w:val="none" w:sz="0" w:space="0" w:color="auto"/>
      </w:divBdr>
    </w:div>
    <w:div w:id="1646349899">
      <w:bodyDiv w:val="1"/>
      <w:marLeft w:val="0"/>
      <w:marRight w:val="0"/>
      <w:marTop w:val="0"/>
      <w:marBottom w:val="0"/>
      <w:divBdr>
        <w:top w:val="none" w:sz="0" w:space="0" w:color="auto"/>
        <w:left w:val="none" w:sz="0" w:space="0" w:color="auto"/>
        <w:bottom w:val="none" w:sz="0" w:space="0" w:color="auto"/>
        <w:right w:val="none" w:sz="0" w:space="0" w:color="auto"/>
      </w:divBdr>
      <w:divsChild>
        <w:div w:id="37366119">
          <w:marLeft w:val="0"/>
          <w:marRight w:val="1"/>
          <w:marTop w:val="0"/>
          <w:marBottom w:val="0"/>
          <w:divBdr>
            <w:top w:val="none" w:sz="0" w:space="0" w:color="auto"/>
            <w:left w:val="none" w:sz="0" w:space="0" w:color="auto"/>
            <w:bottom w:val="none" w:sz="0" w:space="0" w:color="auto"/>
            <w:right w:val="none" w:sz="0" w:space="0" w:color="auto"/>
          </w:divBdr>
          <w:divsChild>
            <w:div w:id="2085518985">
              <w:marLeft w:val="0"/>
              <w:marRight w:val="0"/>
              <w:marTop w:val="0"/>
              <w:marBottom w:val="0"/>
              <w:divBdr>
                <w:top w:val="none" w:sz="0" w:space="0" w:color="auto"/>
                <w:left w:val="none" w:sz="0" w:space="0" w:color="auto"/>
                <w:bottom w:val="none" w:sz="0" w:space="0" w:color="auto"/>
                <w:right w:val="none" w:sz="0" w:space="0" w:color="auto"/>
              </w:divBdr>
              <w:divsChild>
                <w:div w:id="1173033011">
                  <w:marLeft w:val="0"/>
                  <w:marRight w:val="1"/>
                  <w:marTop w:val="0"/>
                  <w:marBottom w:val="0"/>
                  <w:divBdr>
                    <w:top w:val="none" w:sz="0" w:space="0" w:color="auto"/>
                    <w:left w:val="none" w:sz="0" w:space="0" w:color="auto"/>
                    <w:bottom w:val="none" w:sz="0" w:space="0" w:color="auto"/>
                    <w:right w:val="none" w:sz="0" w:space="0" w:color="auto"/>
                  </w:divBdr>
                  <w:divsChild>
                    <w:div w:id="1501500175">
                      <w:marLeft w:val="0"/>
                      <w:marRight w:val="0"/>
                      <w:marTop w:val="0"/>
                      <w:marBottom w:val="0"/>
                      <w:divBdr>
                        <w:top w:val="none" w:sz="0" w:space="0" w:color="auto"/>
                        <w:left w:val="none" w:sz="0" w:space="0" w:color="auto"/>
                        <w:bottom w:val="none" w:sz="0" w:space="0" w:color="auto"/>
                        <w:right w:val="none" w:sz="0" w:space="0" w:color="auto"/>
                      </w:divBdr>
                      <w:divsChild>
                        <w:div w:id="2113429236">
                          <w:marLeft w:val="0"/>
                          <w:marRight w:val="0"/>
                          <w:marTop w:val="0"/>
                          <w:marBottom w:val="0"/>
                          <w:divBdr>
                            <w:top w:val="none" w:sz="0" w:space="0" w:color="auto"/>
                            <w:left w:val="none" w:sz="0" w:space="0" w:color="auto"/>
                            <w:bottom w:val="none" w:sz="0" w:space="0" w:color="auto"/>
                            <w:right w:val="none" w:sz="0" w:space="0" w:color="auto"/>
                          </w:divBdr>
                          <w:divsChild>
                            <w:div w:id="941104927">
                              <w:marLeft w:val="0"/>
                              <w:marRight w:val="0"/>
                              <w:marTop w:val="120"/>
                              <w:marBottom w:val="360"/>
                              <w:divBdr>
                                <w:top w:val="none" w:sz="0" w:space="0" w:color="auto"/>
                                <w:left w:val="none" w:sz="0" w:space="0" w:color="auto"/>
                                <w:bottom w:val="none" w:sz="0" w:space="0" w:color="auto"/>
                                <w:right w:val="none" w:sz="0" w:space="0" w:color="auto"/>
                              </w:divBdr>
                              <w:divsChild>
                                <w:div w:id="262307223">
                                  <w:marLeft w:val="0"/>
                                  <w:marRight w:val="0"/>
                                  <w:marTop w:val="0"/>
                                  <w:marBottom w:val="0"/>
                                  <w:divBdr>
                                    <w:top w:val="none" w:sz="0" w:space="0" w:color="auto"/>
                                    <w:left w:val="none" w:sz="0" w:space="0" w:color="auto"/>
                                    <w:bottom w:val="none" w:sz="0" w:space="0" w:color="auto"/>
                                    <w:right w:val="none" w:sz="0" w:space="0" w:color="auto"/>
                                  </w:divBdr>
                                </w:div>
                                <w:div w:id="10185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0668">
      <w:bodyDiv w:val="1"/>
      <w:marLeft w:val="0"/>
      <w:marRight w:val="0"/>
      <w:marTop w:val="0"/>
      <w:marBottom w:val="0"/>
      <w:divBdr>
        <w:top w:val="none" w:sz="0" w:space="0" w:color="auto"/>
        <w:left w:val="none" w:sz="0" w:space="0" w:color="auto"/>
        <w:bottom w:val="none" w:sz="0" w:space="0" w:color="auto"/>
        <w:right w:val="none" w:sz="0" w:space="0" w:color="auto"/>
      </w:divBdr>
    </w:div>
    <w:div w:id="1779136362">
      <w:bodyDiv w:val="1"/>
      <w:marLeft w:val="0"/>
      <w:marRight w:val="0"/>
      <w:marTop w:val="0"/>
      <w:marBottom w:val="0"/>
      <w:divBdr>
        <w:top w:val="none" w:sz="0" w:space="0" w:color="auto"/>
        <w:left w:val="none" w:sz="0" w:space="0" w:color="auto"/>
        <w:bottom w:val="none" w:sz="0" w:space="0" w:color="auto"/>
        <w:right w:val="none" w:sz="0" w:space="0" w:color="auto"/>
      </w:divBdr>
    </w:div>
    <w:div w:id="1792433252">
      <w:bodyDiv w:val="1"/>
      <w:marLeft w:val="0"/>
      <w:marRight w:val="0"/>
      <w:marTop w:val="0"/>
      <w:marBottom w:val="0"/>
      <w:divBdr>
        <w:top w:val="none" w:sz="0" w:space="0" w:color="auto"/>
        <w:left w:val="none" w:sz="0" w:space="0" w:color="auto"/>
        <w:bottom w:val="none" w:sz="0" w:space="0" w:color="auto"/>
        <w:right w:val="none" w:sz="0" w:space="0" w:color="auto"/>
      </w:divBdr>
    </w:div>
    <w:div w:id="1798252144">
      <w:bodyDiv w:val="1"/>
      <w:marLeft w:val="0"/>
      <w:marRight w:val="0"/>
      <w:marTop w:val="0"/>
      <w:marBottom w:val="0"/>
      <w:divBdr>
        <w:top w:val="none" w:sz="0" w:space="0" w:color="auto"/>
        <w:left w:val="none" w:sz="0" w:space="0" w:color="auto"/>
        <w:bottom w:val="none" w:sz="0" w:space="0" w:color="auto"/>
        <w:right w:val="none" w:sz="0" w:space="0" w:color="auto"/>
      </w:divBdr>
    </w:div>
    <w:div w:id="1844541208">
      <w:bodyDiv w:val="1"/>
      <w:marLeft w:val="0"/>
      <w:marRight w:val="0"/>
      <w:marTop w:val="0"/>
      <w:marBottom w:val="0"/>
      <w:divBdr>
        <w:top w:val="none" w:sz="0" w:space="0" w:color="auto"/>
        <w:left w:val="none" w:sz="0" w:space="0" w:color="auto"/>
        <w:bottom w:val="none" w:sz="0" w:space="0" w:color="auto"/>
        <w:right w:val="none" w:sz="0" w:space="0" w:color="auto"/>
      </w:divBdr>
    </w:div>
    <w:div w:id="1961379445">
      <w:bodyDiv w:val="1"/>
      <w:marLeft w:val="0"/>
      <w:marRight w:val="0"/>
      <w:marTop w:val="0"/>
      <w:marBottom w:val="0"/>
      <w:divBdr>
        <w:top w:val="none" w:sz="0" w:space="0" w:color="auto"/>
        <w:left w:val="none" w:sz="0" w:space="0" w:color="auto"/>
        <w:bottom w:val="none" w:sz="0" w:space="0" w:color="auto"/>
        <w:right w:val="none" w:sz="0" w:space="0" w:color="auto"/>
      </w:divBdr>
    </w:div>
    <w:div w:id="1980719774">
      <w:bodyDiv w:val="1"/>
      <w:marLeft w:val="0"/>
      <w:marRight w:val="0"/>
      <w:marTop w:val="0"/>
      <w:marBottom w:val="0"/>
      <w:divBdr>
        <w:top w:val="none" w:sz="0" w:space="0" w:color="auto"/>
        <w:left w:val="none" w:sz="0" w:space="0" w:color="auto"/>
        <w:bottom w:val="none" w:sz="0" w:space="0" w:color="auto"/>
        <w:right w:val="none" w:sz="0" w:space="0" w:color="auto"/>
      </w:divBdr>
    </w:div>
    <w:div w:id="20834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nap6</b:Tag>
    <b:RefOrder>2</b:RefOrder>
  </b:Source>
  <b:Source>
    <b:Tag>PWE10</b:Tag>
    <b:SourceType>JournalArticle</b:SourceType>
    <b:Guid>{8C7FCF17-8120-4BB6-BC40-E92C4BDDC8B1}</b:Guid>
    <b:Author>
      <b:Author>
        <b:NameList>
          <b:Person>
            <b:Last>P.W.Ewan</b:Last>
            <b:First>P.Dugue</b:First>
          </b:Person>
          <b:Person>
            <b:Last>R.Mirakian</b:Last>
          </b:Person>
        </b:NameList>
      </b:Author>
    </b:Author>
    <b:Title>BSACI guidelines for the investigation of suspected anaphylaxis during general anaesthesia</b:Title>
    <b:JournalName>Clinical &amp; Experimental Allergy</b:JournalName>
    <b:Year>2010</b:Year>
    <b:Pages>15-31</b:Pages>
    <b:RefOrder>3</b:RefOrder>
  </b:Source>
  <b:Source>
    <b:Tag>pat18</b:Tag>
    <b:SourceType>JournalArticle</b:SourceType>
    <b:Guid>{CDF66DEA-2C23-4B0D-88B8-7EAFCB3E25A6}</b:Guid>
    <b:Title>Adverse drug reactions</b:Title>
    <b:Year>2018</b:Year>
    <b:Author>
      <b:Author>
        <b:NameList>
          <b:Person>
            <b:Last>Patton</b:Last>
            <b:First>K.</b:First>
          </b:Person>
        </b:NameList>
      </b:Author>
    </b:Author>
    <b:JournalName>Anaesthesia</b:JournalName>
    <b:RefOrder>4</b:RefOrder>
  </b:Source>
  <b:Source>
    <b:Tag>Med15</b:Tag>
    <b:SourceType>InternetSite</b:SourceType>
    <b:Guid>{32029112-A3E3-4DD9-8D41-0F3505980C55}</b:Guid>
    <b:Title>Medicines and Healthcare products Regulatory Agency. The Yellow Card Scheme: guidance for health professionals</b:Title>
    <b:Year>2015</b:Year>
    <b:InternetSiteTitle>Medicines and Healthcare products Regulatory Agency.</b:InternetSiteTitle>
    <b:URL>https://www.gov.uk/guidance/the-yellow-card-scheme-guidance-for-healthcare-professionals</b:URL>
    <b:RefOrder>5</b:RefOrder>
  </b:Source>
</b:Sources>
</file>

<file path=customXml/itemProps1.xml><?xml version="1.0" encoding="utf-8"?>
<ds:datastoreItem xmlns:ds="http://schemas.openxmlformats.org/officeDocument/2006/customXml" ds:itemID="{18754CC2-8F6D-410B-8E90-7BE3BC99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3287</Words>
  <Characters>20169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23410</CharactersWithSpaces>
  <SharedDoc>false</SharedDoc>
  <HLinks>
    <vt:vector size="6" baseType="variant">
      <vt:variant>
        <vt:i4>7405672</vt:i4>
      </vt:variant>
      <vt:variant>
        <vt:i4>27</vt:i4>
      </vt:variant>
      <vt:variant>
        <vt:i4>0</vt:i4>
      </vt:variant>
      <vt:variant>
        <vt:i4>5</vt:i4>
      </vt:variant>
      <vt:variant>
        <vt:lpwstr>https://yellowcard.mhra.gov.uk/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ss676</dc:creator>
  <cp:lastModifiedBy>Thompson, Jonathan (Prof.)</cp:lastModifiedBy>
  <cp:revision>8</cp:revision>
  <cp:lastPrinted>2017-01-16T12:42:00Z</cp:lastPrinted>
  <dcterms:created xsi:type="dcterms:W3CDTF">2019-07-30T08:40:00Z</dcterms:created>
  <dcterms:modified xsi:type="dcterms:W3CDTF">2019-07-30T12:25:00Z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id="LcxQDiQi"/&gt;&lt;style id="http://www.zotero.org/styles/anaesthesia-and-intensive-care-medicine" hasBibliography="1" bibliographyStyleHasBeenSet="1"/&gt;&lt;prefs&gt;&lt;pref name="fieldType" value="Field"/&gt;&lt;pref</vt:lpwstr>
  </property>
  <property fmtid="{D5CDD505-2E9C-101B-9397-08002B2CF9AE}" pid="3" name="ZOTERO_PREF_2">
    <vt:lpwstr> name="storeReferences" value="false"/&gt;&lt;pref name="automaticJournalAbbreviations" value="false"/&gt;&lt;pref name="noteType" value="0"/&gt;&lt;/prefs&gt;&lt;/data&gt;</vt:lpwstr>
  </property>
  <property fmtid="{D5CDD505-2E9C-101B-9397-08002B2CF9AE}" pid="4" name="WnCUserId">
    <vt:lpwstr>121</vt:lpwstr>
  </property>
  <property fmtid="{D5CDD505-2E9C-101B-9397-08002B2CF9AE}" pid="5" name="WnCSubscriberId">
    <vt:lpwstr>7499</vt:lpwstr>
  </property>
  <property fmtid="{D5CDD505-2E9C-101B-9397-08002B2CF9AE}" pid="6" name="WnCOutputStyleId">
    <vt:lpwstr>219</vt:lpwstr>
  </property>
  <property fmtid="{D5CDD505-2E9C-101B-9397-08002B2CF9AE}" pid="7" name="RWProductId">
    <vt:lpwstr>WnC</vt:lpwstr>
  </property>
  <property fmtid="{D5CDD505-2E9C-101B-9397-08002B2CF9AE}" pid="8" name="WinDIP File ID">
    <vt:lpwstr>b1064ffe-4e69-4bb9-b0f8-27d5e55a6fed</vt:lpwstr>
  </property>
  <property fmtid="{D5CDD505-2E9C-101B-9397-08002B2CF9AE}" pid="9" name="WnC4Folder">
    <vt:lpwstr>Documents///Hina article with refs FINAL</vt:lpwstr>
  </property>
</Properties>
</file>