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A9538" w14:textId="761F2161" w:rsidR="00994D4B" w:rsidRPr="004D5859" w:rsidRDefault="009760AB" w:rsidP="00655DBF">
      <w:pPr>
        <w:spacing w:line="480" w:lineRule="auto"/>
        <w:rPr>
          <w:rFonts w:ascii="Times New Roman" w:hAnsi="Times New Roman" w:cs="Times New Roman"/>
          <w:b/>
        </w:rPr>
      </w:pPr>
      <w:r w:rsidRPr="004D5859">
        <w:rPr>
          <w:rFonts w:ascii="Times New Roman" w:hAnsi="Times New Roman" w:cs="Times New Roman"/>
          <w:b/>
        </w:rPr>
        <w:t>B</w:t>
      </w:r>
      <w:r w:rsidR="0001522B" w:rsidRPr="004D5859">
        <w:rPr>
          <w:rFonts w:ascii="Times New Roman" w:hAnsi="Times New Roman" w:cs="Times New Roman"/>
          <w:b/>
        </w:rPr>
        <w:t xml:space="preserve">rain imaging </w:t>
      </w:r>
      <w:r w:rsidR="00A549FE" w:rsidRPr="004D5859">
        <w:rPr>
          <w:rFonts w:ascii="Times New Roman" w:hAnsi="Times New Roman" w:cs="Times New Roman"/>
          <w:b/>
        </w:rPr>
        <w:t xml:space="preserve">abnormalities </w:t>
      </w:r>
      <w:r w:rsidR="001D5837" w:rsidRPr="004D5859">
        <w:rPr>
          <w:rFonts w:ascii="Times New Roman" w:hAnsi="Times New Roman" w:cs="Times New Roman"/>
          <w:b/>
        </w:rPr>
        <w:t xml:space="preserve">and </w:t>
      </w:r>
      <w:r w:rsidR="0001522B" w:rsidRPr="004D5859">
        <w:rPr>
          <w:rFonts w:ascii="Times New Roman" w:hAnsi="Times New Roman" w:cs="Times New Roman"/>
          <w:b/>
        </w:rPr>
        <w:t xml:space="preserve">outcome </w:t>
      </w:r>
      <w:r w:rsidR="001D5837" w:rsidRPr="004D5859">
        <w:rPr>
          <w:rFonts w:ascii="Times New Roman" w:hAnsi="Times New Roman" w:cs="Times New Roman"/>
          <w:b/>
        </w:rPr>
        <w:t>after</w:t>
      </w:r>
      <w:r w:rsidR="00B71FE0" w:rsidRPr="004D5859">
        <w:rPr>
          <w:rFonts w:ascii="Times New Roman" w:hAnsi="Times New Roman" w:cs="Times New Roman"/>
          <w:b/>
        </w:rPr>
        <w:t xml:space="preserve"> acute </w:t>
      </w:r>
      <w:r w:rsidR="004D5859">
        <w:rPr>
          <w:rFonts w:ascii="Times New Roman" w:hAnsi="Times New Roman" w:cs="Times New Roman"/>
          <w:b/>
        </w:rPr>
        <w:t>ischaemic</w:t>
      </w:r>
      <w:r w:rsidR="00B71FE0" w:rsidRPr="004D5859">
        <w:rPr>
          <w:rFonts w:ascii="Times New Roman" w:hAnsi="Times New Roman" w:cs="Times New Roman"/>
          <w:b/>
        </w:rPr>
        <w:t xml:space="preserve"> stroke</w:t>
      </w:r>
      <w:r w:rsidR="0001522B" w:rsidRPr="004D5859">
        <w:rPr>
          <w:rFonts w:ascii="Times New Roman" w:hAnsi="Times New Roman" w:cs="Times New Roman"/>
          <w:b/>
        </w:rPr>
        <w:t xml:space="preserve">: </w:t>
      </w:r>
      <w:r w:rsidR="00EC3A99" w:rsidRPr="004D5859">
        <w:rPr>
          <w:rFonts w:ascii="Times New Roman" w:hAnsi="Times New Roman" w:cs="Times New Roman"/>
          <w:b/>
        </w:rPr>
        <w:t xml:space="preserve">the </w:t>
      </w:r>
      <w:r w:rsidR="00A549FE" w:rsidRPr="004D5859">
        <w:rPr>
          <w:rFonts w:ascii="Times New Roman" w:hAnsi="Times New Roman" w:cs="Times New Roman"/>
          <w:b/>
        </w:rPr>
        <w:t>ENCHANTED trial</w:t>
      </w:r>
      <w:r w:rsidR="0001522B" w:rsidRPr="004D5859">
        <w:rPr>
          <w:rFonts w:ascii="Times New Roman" w:hAnsi="Times New Roman" w:cs="Times New Roman"/>
          <w:b/>
        </w:rPr>
        <w:t xml:space="preserve"> </w:t>
      </w:r>
    </w:p>
    <w:p w14:paraId="28AB40C3" w14:textId="77777777" w:rsidR="00994D4B" w:rsidRPr="004D5859" w:rsidRDefault="00994D4B" w:rsidP="00655DBF">
      <w:pPr>
        <w:spacing w:line="480" w:lineRule="auto"/>
        <w:rPr>
          <w:rFonts w:ascii="Times New Roman" w:hAnsi="Times New Roman" w:cs="Times New Roman"/>
        </w:rPr>
      </w:pPr>
    </w:p>
    <w:p w14:paraId="4CE05440" w14:textId="63E6C75A" w:rsidR="00994D4B" w:rsidRPr="004D5859" w:rsidRDefault="00077FFE" w:rsidP="00655DBF">
      <w:pPr>
        <w:spacing w:line="480" w:lineRule="auto"/>
        <w:rPr>
          <w:rFonts w:ascii="Times New Roman" w:hAnsi="Times New Roman" w:cs="Times New Roman"/>
        </w:rPr>
      </w:pPr>
      <w:r w:rsidRPr="004D5859">
        <w:rPr>
          <w:rFonts w:ascii="Times New Roman" w:hAnsi="Times New Roman" w:cs="Times New Roman"/>
        </w:rPr>
        <w:t xml:space="preserve">Candice </w:t>
      </w:r>
      <w:proofErr w:type="spellStart"/>
      <w:r w:rsidR="00994D4B" w:rsidRPr="004D5859">
        <w:rPr>
          <w:rFonts w:ascii="Times New Roman" w:hAnsi="Times New Roman" w:cs="Times New Roman"/>
        </w:rPr>
        <w:t>Delcourt</w:t>
      </w:r>
      <w:proofErr w:type="spellEnd"/>
      <w:r w:rsidR="00E93E84" w:rsidRPr="004D5859">
        <w:rPr>
          <w:rFonts w:ascii="Times New Roman" w:hAnsi="Times New Roman" w:cs="Times New Roman"/>
        </w:rPr>
        <w:t xml:space="preserve">, </w:t>
      </w:r>
      <w:r w:rsidR="001D5837" w:rsidRPr="004D5859">
        <w:rPr>
          <w:rFonts w:ascii="Times New Roman" w:hAnsi="Times New Roman" w:cs="Times New Roman"/>
        </w:rPr>
        <w:t xml:space="preserve">MD </w:t>
      </w:r>
      <w:r w:rsidR="00E93E84" w:rsidRPr="004D5859">
        <w:rPr>
          <w:rFonts w:ascii="Times New Roman" w:hAnsi="Times New Roman" w:cs="Times New Roman"/>
        </w:rPr>
        <w:t>PhD</w:t>
      </w:r>
      <w:r w:rsidR="0066327C" w:rsidRPr="004D5859">
        <w:rPr>
          <w:rFonts w:ascii="Times New Roman" w:hAnsi="Times New Roman" w:cs="Times New Roman"/>
          <w:vertAlign w:val="superscript"/>
        </w:rPr>
        <w:t>1,2,3</w:t>
      </w:r>
      <w:r w:rsidR="00994D4B" w:rsidRPr="004D5859">
        <w:rPr>
          <w:rFonts w:ascii="Times New Roman" w:hAnsi="Times New Roman" w:cs="Times New Roman"/>
        </w:rPr>
        <w:t xml:space="preserve">, </w:t>
      </w:r>
      <w:r w:rsidRPr="004D5859">
        <w:rPr>
          <w:rFonts w:ascii="Times New Roman" w:hAnsi="Times New Roman" w:cs="Times New Roman"/>
        </w:rPr>
        <w:t xml:space="preserve">Xia </w:t>
      </w:r>
      <w:r w:rsidR="00994D4B" w:rsidRPr="004D5859">
        <w:rPr>
          <w:rFonts w:ascii="Times New Roman" w:hAnsi="Times New Roman" w:cs="Times New Roman"/>
        </w:rPr>
        <w:t>Wang</w:t>
      </w:r>
      <w:r w:rsidR="00E93E84" w:rsidRPr="004D5859">
        <w:rPr>
          <w:rFonts w:ascii="Times New Roman" w:hAnsi="Times New Roman" w:cs="Times New Roman"/>
        </w:rPr>
        <w:t>, PhD</w:t>
      </w:r>
      <w:r w:rsidR="0066327C" w:rsidRPr="004D5859">
        <w:rPr>
          <w:rFonts w:ascii="Times New Roman" w:hAnsi="Times New Roman" w:cs="Times New Roman"/>
          <w:vertAlign w:val="superscript"/>
        </w:rPr>
        <w:t>1</w:t>
      </w:r>
      <w:r w:rsidR="00994D4B" w:rsidRPr="004D5859">
        <w:rPr>
          <w:rFonts w:ascii="Times New Roman" w:hAnsi="Times New Roman" w:cs="Times New Roman"/>
        </w:rPr>
        <w:t xml:space="preserve">, </w:t>
      </w:r>
      <w:proofErr w:type="spellStart"/>
      <w:r w:rsidRPr="004D5859">
        <w:rPr>
          <w:rFonts w:ascii="Times New Roman" w:hAnsi="Times New Roman" w:cs="Times New Roman"/>
        </w:rPr>
        <w:t>Zien</w:t>
      </w:r>
      <w:proofErr w:type="spellEnd"/>
      <w:r w:rsidRPr="004D5859">
        <w:rPr>
          <w:rFonts w:ascii="Times New Roman" w:hAnsi="Times New Roman" w:cs="Times New Roman"/>
        </w:rPr>
        <w:t xml:space="preserve"> </w:t>
      </w:r>
      <w:r w:rsidR="00994D4B" w:rsidRPr="004D5859">
        <w:rPr>
          <w:rFonts w:ascii="Times New Roman" w:hAnsi="Times New Roman" w:cs="Times New Roman"/>
        </w:rPr>
        <w:t>Zhou</w:t>
      </w:r>
      <w:r w:rsidR="00E93E84" w:rsidRPr="004D5859">
        <w:rPr>
          <w:rFonts w:ascii="Times New Roman" w:hAnsi="Times New Roman" w:cs="Times New Roman"/>
        </w:rPr>
        <w:t>, MD</w:t>
      </w:r>
      <w:r w:rsidR="0066327C" w:rsidRPr="004D5859">
        <w:rPr>
          <w:rFonts w:ascii="Times New Roman" w:hAnsi="Times New Roman" w:cs="Times New Roman"/>
          <w:vertAlign w:val="superscript"/>
        </w:rPr>
        <w:t>1,4</w:t>
      </w:r>
      <w:r w:rsidR="00994D4B" w:rsidRPr="004D5859">
        <w:rPr>
          <w:rFonts w:ascii="Times New Roman" w:hAnsi="Times New Roman" w:cs="Times New Roman"/>
        </w:rPr>
        <w:t xml:space="preserve">, </w:t>
      </w:r>
      <w:r w:rsidRPr="004D5859">
        <w:rPr>
          <w:rFonts w:ascii="Times New Roman" w:hAnsi="Times New Roman" w:cs="Times New Roman"/>
        </w:rPr>
        <w:t xml:space="preserve">Joanna </w:t>
      </w:r>
      <w:r w:rsidR="00994D4B" w:rsidRPr="004D5859">
        <w:rPr>
          <w:rFonts w:ascii="Times New Roman" w:hAnsi="Times New Roman" w:cs="Times New Roman"/>
        </w:rPr>
        <w:t>Wardlaw</w:t>
      </w:r>
      <w:r w:rsidR="00E93E84" w:rsidRPr="004D5859">
        <w:rPr>
          <w:rFonts w:ascii="Times New Roman" w:hAnsi="Times New Roman" w:cs="Times New Roman"/>
        </w:rPr>
        <w:t>, MD</w:t>
      </w:r>
      <w:r w:rsidR="0066327C" w:rsidRPr="004D5859">
        <w:rPr>
          <w:rFonts w:ascii="Times New Roman" w:hAnsi="Times New Roman" w:cs="Times New Roman"/>
          <w:vertAlign w:val="superscript"/>
        </w:rPr>
        <w:t>5,6</w:t>
      </w:r>
      <w:r w:rsidR="00994D4B" w:rsidRPr="004D5859">
        <w:rPr>
          <w:rFonts w:ascii="Times New Roman" w:hAnsi="Times New Roman" w:cs="Times New Roman"/>
        </w:rPr>
        <w:t xml:space="preserve">, </w:t>
      </w:r>
      <w:r w:rsidRPr="004D5859">
        <w:rPr>
          <w:rFonts w:ascii="Times New Roman" w:hAnsi="Times New Roman" w:cs="Times New Roman"/>
        </w:rPr>
        <w:t xml:space="preserve">Grant </w:t>
      </w:r>
      <w:r w:rsidR="00994D4B" w:rsidRPr="004D5859">
        <w:rPr>
          <w:rFonts w:ascii="Times New Roman" w:hAnsi="Times New Roman" w:cs="Times New Roman"/>
        </w:rPr>
        <w:t>Mai</w:t>
      </w:r>
      <w:r w:rsidRPr="004D5859">
        <w:rPr>
          <w:rFonts w:ascii="Times New Roman" w:hAnsi="Times New Roman" w:cs="Times New Roman"/>
        </w:rPr>
        <w:t>r</w:t>
      </w:r>
      <w:r w:rsidR="00E93E84" w:rsidRPr="004D5859">
        <w:rPr>
          <w:rFonts w:ascii="Times New Roman" w:hAnsi="Times New Roman" w:cs="Times New Roman"/>
        </w:rPr>
        <w:t>, MD</w:t>
      </w:r>
      <w:r w:rsidR="0066327C" w:rsidRPr="004D5859">
        <w:rPr>
          <w:rFonts w:ascii="Times New Roman" w:hAnsi="Times New Roman" w:cs="Times New Roman"/>
          <w:vertAlign w:val="superscript"/>
        </w:rPr>
        <w:t>5</w:t>
      </w:r>
      <w:r w:rsidR="00994D4B" w:rsidRPr="004D5859">
        <w:rPr>
          <w:rFonts w:ascii="Times New Roman" w:hAnsi="Times New Roman" w:cs="Times New Roman"/>
        </w:rPr>
        <w:t xml:space="preserve">, </w:t>
      </w:r>
      <w:r w:rsidRPr="004D5859">
        <w:rPr>
          <w:rFonts w:ascii="Times New Roman" w:hAnsi="Times New Roman" w:cs="Times New Roman"/>
        </w:rPr>
        <w:t xml:space="preserve">Thompson </w:t>
      </w:r>
      <w:r w:rsidR="00994D4B" w:rsidRPr="004D5859">
        <w:rPr>
          <w:rFonts w:ascii="Times New Roman" w:hAnsi="Times New Roman" w:cs="Times New Roman"/>
        </w:rPr>
        <w:t>Robinson</w:t>
      </w:r>
      <w:r w:rsidR="00E93E84" w:rsidRPr="004D5859">
        <w:rPr>
          <w:rFonts w:ascii="Times New Roman" w:hAnsi="Times New Roman" w:cs="Times New Roman"/>
        </w:rPr>
        <w:t>, MD</w:t>
      </w:r>
      <w:r w:rsidR="00E93E84" w:rsidRPr="004D5859">
        <w:rPr>
          <w:rFonts w:ascii="Times New Roman" w:hAnsi="Times New Roman" w:cs="Times New Roman"/>
          <w:vertAlign w:val="superscript"/>
        </w:rPr>
        <w:t>7</w:t>
      </w:r>
      <w:r w:rsidR="00994D4B" w:rsidRPr="004D5859">
        <w:rPr>
          <w:rFonts w:ascii="Times New Roman" w:hAnsi="Times New Roman" w:cs="Times New Roman"/>
        </w:rPr>
        <w:t xml:space="preserve">, </w:t>
      </w:r>
      <w:proofErr w:type="spellStart"/>
      <w:r w:rsidRPr="004D5859">
        <w:rPr>
          <w:rFonts w:ascii="Times New Roman" w:hAnsi="Times New Roman" w:cs="Times New Roman"/>
        </w:rPr>
        <w:t>Xiaoying</w:t>
      </w:r>
      <w:proofErr w:type="spellEnd"/>
      <w:r w:rsidRPr="004D5859">
        <w:rPr>
          <w:rFonts w:ascii="Times New Roman" w:hAnsi="Times New Roman" w:cs="Times New Roman"/>
        </w:rPr>
        <w:t xml:space="preserve"> </w:t>
      </w:r>
      <w:proofErr w:type="spellStart"/>
      <w:r w:rsidR="00994D4B" w:rsidRPr="004D5859">
        <w:rPr>
          <w:rFonts w:ascii="Times New Roman" w:hAnsi="Times New Roman" w:cs="Times New Roman"/>
        </w:rPr>
        <w:t>Chen</w:t>
      </w:r>
      <w:r w:rsidR="00E93E84" w:rsidRPr="004D5859">
        <w:rPr>
          <w:rFonts w:ascii="Times New Roman" w:hAnsi="Times New Roman" w:cs="Times New Roman"/>
        </w:rPr>
        <w:t>,BPh</w:t>
      </w:r>
      <w:proofErr w:type="spellEnd"/>
      <w:r w:rsidR="00022DA0" w:rsidRPr="004D5859">
        <w:rPr>
          <w:rFonts w:ascii="Times New Roman" w:hAnsi="Times New Roman" w:cs="Times New Roman"/>
        </w:rPr>
        <w:t xml:space="preserve"> BMgt</w:t>
      </w:r>
      <w:r w:rsidR="0066327C" w:rsidRPr="004D5859">
        <w:rPr>
          <w:rFonts w:ascii="Times New Roman" w:hAnsi="Times New Roman" w:cs="Times New Roman"/>
          <w:vertAlign w:val="superscript"/>
        </w:rPr>
        <w:t>1,3</w:t>
      </w:r>
      <w:r w:rsidR="00994D4B" w:rsidRPr="004D5859">
        <w:rPr>
          <w:rFonts w:ascii="Times New Roman" w:hAnsi="Times New Roman" w:cs="Times New Roman"/>
        </w:rPr>
        <w:t xml:space="preserve">, </w:t>
      </w:r>
      <w:proofErr w:type="spellStart"/>
      <w:r w:rsidRPr="004D5859">
        <w:rPr>
          <w:rFonts w:ascii="Times New Roman" w:hAnsi="Times New Roman" w:cs="Times New Roman"/>
        </w:rPr>
        <w:t>Sohei</w:t>
      </w:r>
      <w:proofErr w:type="spellEnd"/>
      <w:r w:rsidRPr="004D5859">
        <w:rPr>
          <w:rFonts w:ascii="Times New Roman" w:hAnsi="Times New Roman" w:cs="Times New Roman"/>
        </w:rPr>
        <w:t xml:space="preserve"> </w:t>
      </w:r>
      <w:r w:rsidR="00994D4B" w:rsidRPr="004D5859">
        <w:rPr>
          <w:rFonts w:ascii="Times New Roman" w:hAnsi="Times New Roman" w:cs="Times New Roman"/>
        </w:rPr>
        <w:t>Yoshimura</w:t>
      </w:r>
      <w:r w:rsidR="00E93E84" w:rsidRPr="004D5859">
        <w:rPr>
          <w:rFonts w:ascii="Times New Roman" w:hAnsi="Times New Roman" w:cs="Times New Roman"/>
        </w:rPr>
        <w:t xml:space="preserve">, </w:t>
      </w:r>
      <w:r w:rsidR="001D5837" w:rsidRPr="004D5859">
        <w:rPr>
          <w:rFonts w:ascii="Times New Roman" w:hAnsi="Times New Roman" w:cs="Times New Roman"/>
        </w:rPr>
        <w:t xml:space="preserve">MD </w:t>
      </w:r>
      <w:r w:rsidR="00E93E84" w:rsidRPr="004D5859">
        <w:rPr>
          <w:rFonts w:ascii="Times New Roman" w:hAnsi="Times New Roman" w:cs="Times New Roman"/>
        </w:rPr>
        <w:t>PhD</w:t>
      </w:r>
      <w:r w:rsidR="0066327C" w:rsidRPr="004D5859">
        <w:rPr>
          <w:rFonts w:ascii="Times New Roman" w:hAnsi="Times New Roman" w:cs="Times New Roman"/>
          <w:vertAlign w:val="superscript"/>
        </w:rPr>
        <w:t>1,8</w:t>
      </w:r>
      <w:r w:rsidR="00994D4B" w:rsidRPr="004D5859">
        <w:rPr>
          <w:rFonts w:ascii="Times New Roman" w:hAnsi="Times New Roman" w:cs="Times New Roman"/>
        </w:rPr>
        <w:t xml:space="preserve">, </w:t>
      </w:r>
      <w:r w:rsidRPr="004D5859">
        <w:rPr>
          <w:rFonts w:ascii="Times New Roman" w:hAnsi="Times New Roman" w:cs="Times New Roman"/>
        </w:rPr>
        <w:t xml:space="preserve">Takako </w:t>
      </w:r>
      <w:r w:rsidR="00994D4B" w:rsidRPr="004D5859">
        <w:rPr>
          <w:rFonts w:ascii="Times New Roman" w:hAnsi="Times New Roman" w:cs="Times New Roman"/>
        </w:rPr>
        <w:t>Torii-Yoshimura</w:t>
      </w:r>
      <w:r w:rsidR="00E93E84" w:rsidRPr="004D5859">
        <w:rPr>
          <w:rFonts w:ascii="Times New Roman" w:hAnsi="Times New Roman" w:cs="Times New Roman"/>
        </w:rPr>
        <w:t>, MD</w:t>
      </w:r>
      <w:r w:rsidR="002A3091" w:rsidRPr="004D5859">
        <w:rPr>
          <w:rFonts w:ascii="Times New Roman" w:hAnsi="Times New Roman" w:cs="Times New Roman"/>
          <w:vertAlign w:val="superscript"/>
        </w:rPr>
        <w:t>1,</w:t>
      </w:r>
      <w:r w:rsidR="0066327C" w:rsidRPr="004D5859">
        <w:rPr>
          <w:rFonts w:ascii="Times New Roman" w:hAnsi="Times New Roman" w:cs="Times New Roman"/>
          <w:vertAlign w:val="superscript"/>
        </w:rPr>
        <w:t>9,10</w:t>
      </w:r>
      <w:r w:rsidR="00994D4B" w:rsidRPr="004D5859">
        <w:rPr>
          <w:rFonts w:ascii="Times New Roman" w:hAnsi="Times New Roman" w:cs="Times New Roman"/>
        </w:rPr>
        <w:t xml:space="preserve">, </w:t>
      </w:r>
      <w:r w:rsidRPr="004D5859">
        <w:rPr>
          <w:rFonts w:ascii="Times New Roman" w:hAnsi="Times New Roman" w:cs="Times New Roman"/>
        </w:rPr>
        <w:t xml:space="preserve">Cheryl </w:t>
      </w:r>
      <w:proofErr w:type="spellStart"/>
      <w:r w:rsidR="00994D4B" w:rsidRPr="004D5859">
        <w:rPr>
          <w:rFonts w:ascii="Times New Roman" w:hAnsi="Times New Roman" w:cs="Times New Roman"/>
        </w:rPr>
        <w:t>Carcel</w:t>
      </w:r>
      <w:proofErr w:type="spellEnd"/>
      <w:r w:rsidR="00E93E84" w:rsidRPr="004D5859">
        <w:rPr>
          <w:rFonts w:ascii="Times New Roman" w:hAnsi="Times New Roman" w:cs="Times New Roman"/>
        </w:rPr>
        <w:t>, MD</w:t>
      </w:r>
      <w:r w:rsidR="0066327C" w:rsidRPr="004D5859">
        <w:rPr>
          <w:rFonts w:ascii="Times New Roman" w:hAnsi="Times New Roman" w:cs="Times New Roman"/>
          <w:vertAlign w:val="superscript"/>
        </w:rPr>
        <w:t>1,3</w:t>
      </w:r>
      <w:r w:rsidR="00994D4B" w:rsidRPr="004D5859">
        <w:rPr>
          <w:rFonts w:ascii="Times New Roman" w:hAnsi="Times New Roman" w:cs="Times New Roman"/>
        </w:rPr>
        <w:t xml:space="preserve">, </w:t>
      </w:r>
      <w:proofErr w:type="spellStart"/>
      <w:r w:rsidRPr="004D5859">
        <w:rPr>
          <w:rFonts w:ascii="Times New Roman" w:hAnsi="Times New Roman" w:cs="Times New Roman"/>
        </w:rPr>
        <w:t>Zeljka</w:t>
      </w:r>
      <w:proofErr w:type="spellEnd"/>
      <w:r w:rsidRPr="004D5859">
        <w:rPr>
          <w:rFonts w:ascii="Times New Roman" w:hAnsi="Times New Roman" w:cs="Times New Roman"/>
        </w:rPr>
        <w:t xml:space="preserve"> </w:t>
      </w:r>
      <w:proofErr w:type="spellStart"/>
      <w:r w:rsidR="00994D4B" w:rsidRPr="004D5859">
        <w:rPr>
          <w:rFonts w:ascii="Times New Roman" w:hAnsi="Times New Roman" w:cs="Times New Roman"/>
        </w:rPr>
        <w:t>Calic</w:t>
      </w:r>
      <w:proofErr w:type="spellEnd"/>
      <w:r w:rsidR="00E93E84" w:rsidRPr="004D5859">
        <w:rPr>
          <w:rFonts w:ascii="Times New Roman" w:hAnsi="Times New Roman" w:cs="Times New Roman"/>
        </w:rPr>
        <w:t>, MD</w:t>
      </w:r>
      <w:r w:rsidR="0066327C" w:rsidRPr="004D5859">
        <w:rPr>
          <w:rFonts w:ascii="Times New Roman" w:hAnsi="Times New Roman" w:cs="Times New Roman"/>
          <w:vertAlign w:val="superscript"/>
        </w:rPr>
        <w:t>11</w:t>
      </w:r>
      <w:r w:rsidR="00994D4B" w:rsidRPr="004D5859">
        <w:rPr>
          <w:rFonts w:ascii="Times New Roman" w:hAnsi="Times New Roman" w:cs="Times New Roman"/>
        </w:rPr>
        <w:t xml:space="preserve">, </w:t>
      </w:r>
      <w:r w:rsidRPr="004D5859">
        <w:rPr>
          <w:rFonts w:ascii="Times New Roman" w:hAnsi="Times New Roman" w:cs="Times New Roman"/>
        </w:rPr>
        <w:t xml:space="preserve">Wee Yong </w:t>
      </w:r>
      <w:r w:rsidR="00994D4B" w:rsidRPr="004D5859">
        <w:rPr>
          <w:rFonts w:ascii="Times New Roman" w:hAnsi="Times New Roman" w:cs="Times New Roman"/>
        </w:rPr>
        <w:t>Tan</w:t>
      </w:r>
      <w:r w:rsidR="00E93E84" w:rsidRPr="004D5859">
        <w:rPr>
          <w:rFonts w:ascii="Times New Roman" w:hAnsi="Times New Roman" w:cs="Times New Roman"/>
        </w:rPr>
        <w:t>, MD</w:t>
      </w:r>
      <w:r w:rsidR="0066327C" w:rsidRPr="004D5859">
        <w:rPr>
          <w:rFonts w:ascii="Times New Roman" w:hAnsi="Times New Roman" w:cs="Times New Roman"/>
          <w:vertAlign w:val="superscript"/>
        </w:rPr>
        <w:t>12</w:t>
      </w:r>
      <w:r w:rsidR="00994D4B" w:rsidRPr="004D5859">
        <w:rPr>
          <w:rFonts w:ascii="Times New Roman" w:hAnsi="Times New Roman" w:cs="Times New Roman"/>
        </w:rPr>
        <w:t xml:space="preserve">, </w:t>
      </w:r>
      <w:r w:rsidRPr="004D5859">
        <w:rPr>
          <w:rFonts w:ascii="Times New Roman" w:hAnsi="Times New Roman" w:cs="Times New Roman"/>
        </w:rPr>
        <w:t xml:space="preserve">Alejandra </w:t>
      </w:r>
      <w:proofErr w:type="spellStart"/>
      <w:r w:rsidR="00994D4B" w:rsidRPr="004D5859">
        <w:rPr>
          <w:rFonts w:ascii="Times New Roman" w:hAnsi="Times New Roman" w:cs="Times New Roman"/>
        </w:rPr>
        <w:t>Malavera</w:t>
      </w:r>
      <w:proofErr w:type="spellEnd"/>
      <w:r w:rsidR="00E93E84" w:rsidRPr="004D5859">
        <w:rPr>
          <w:rFonts w:ascii="Times New Roman" w:hAnsi="Times New Roman" w:cs="Times New Roman"/>
        </w:rPr>
        <w:t>, MD</w:t>
      </w:r>
      <w:r w:rsidR="0066327C" w:rsidRPr="004D5859">
        <w:rPr>
          <w:rFonts w:ascii="Times New Roman" w:hAnsi="Times New Roman" w:cs="Times New Roman"/>
          <w:vertAlign w:val="superscript"/>
        </w:rPr>
        <w:t>1</w:t>
      </w:r>
      <w:r w:rsidR="00994D4B" w:rsidRPr="004D5859">
        <w:rPr>
          <w:rFonts w:ascii="Times New Roman" w:hAnsi="Times New Roman" w:cs="Times New Roman"/>
        </w:rPr>
        <w:t xml:space="preserve">, </w:t>
      </w:r>
      <w:r w:rsidRPr="004D5859">
        <w:rPr>
          <w:rFonts w:ascii="Times New Roman" w:hAnsi="Times New Roman" w:cs="Times New Roman"/>
        </w:rPr>
        <w:t xml:space="preserve">Craig S </w:t>
      </w:r>
      <w:r w:rsidR="00994D4B" w:rsidRPr="004D5859">
        <w:rPr>
          <w:rFonts w:ascii="Times New Roman" w:hAnsi="Times New Roman" w:cs="Times New Roman"/>
        </w:rPr>
        <w:t>Anderson</w:t>
      </w:r>
      <w:r w:rsidR="00E93E84" w:rsidRPr="004D5859">
        <w:rPr>
          <w:rFonts w:ascii="Times New Roman" w:hAnsi="Times New Roman" w:cs="Times New Roman"/>
        </w:rPr>
        <w:t xml:space="preserve">, </w:t>
      </w:r>
      <w:r w:rsidR="001D5837" w:rsidRPr="004D5859">
        <w:rPr>
          <w:rFonts w:ascii="Times New Roman" w:hAnsi="Times New Roman" w:cs="Times New Roman"/>
        </w:rPr>
        <w:t xml:space="preserve">MD </w:t>
      </w:r>
      <w:r w:rsidR="00E93E84" w:rsidRPr="004D5859">
        <w:rPr>
          <w:rFonts w:ascii="Times New Roman" w:hAnsi="Times New Roman" w:cs="Times New Roman"/>
        </w:rPr>
        <w:t>PhD</w:t>
      </w:r>
      <w:r w:rsidR="0066327C" w:rsidRPr="004D5859">
        <w:rPr>
          <w:rFonts w:ascii="Times New Roman" w:hAnsi="Times New Roman" w:cs="Times New Roman"/>
          <w:vertAlign w:val="superscript"/>
        </w:rPr>
        <w:t>1,2,13</w:t>
      </w:r>
      <w:r w:rsidR="00994D4B" w:rsidRPr="004D5859">
        <w:rPr>
          <w:rFonts w:ascii="Times New Roman" w:hAnsi="Times New Roman" w:cs="Times New Roman"/>
        </w:rPr>
        <w:t xml:space="preserve">, </w:t>
      </w:r>
      <w:r w:rsidRPr="004D5859">
        <w:rPr>
          <w:rFonts w:ascii="Times New Roman" w:hAnsi="Times New Roman" w:cs="Times New Roman"/>
        </w:rPr>
        <w:t xml:space="preserve">Richard I </w:t>
      </w:r>
      <w:r w:rsidR="00994D4B" w:rsidRPr="004D5859">
        <w:rPr>
          <w:rFonts w:ascii="Times New Roman" w:hAnsi="Times New Roman" w:cs="Times New Roman"/>
        </w:rPr>
        <w:t>Lindley</w:t>
      </w:r>
      <w:r w:rsidR="00E93E84" w:rsidRPr="004D5859">
        <w:rPr>
          <w:rFonts w:ascii="Times New Roman" w:hAnsi="Times New Roman" w:cs="Times New Roman"/>
        </w:rPr>
        <w:t>, MD</w:t>
      </w:r>
      <w:r w:rsidR="0066327C" w:rsidRPr="004D5859">
        <w:rPr>
          <w:rFonts w:ascii="Times New Roman" w:hAnsi="Times New Roman" w:cs="Times New Roman"/>
          <w:vertAlign w:val="superscript"/>
        </w:rPr>
        <w:t>14</w:t>
      </w:r>
      <w:r w:rsidR="00994D4B" w:rsidRPr="004D5859">
        <w:rPr>
          <w:rFonts w:ascii="Times New Roman" w:hAnsi="Times New Roman" w:cs="Times New Roman"/>
        </w:rPr>
        <w:t>.</w:t>
      </w:r>
    </w:p>
    <w:p w14:paraId="47F792D8" w14:textId="77777777" w:rsidR="0066327C" w:rsidRPr="004D5859" w:rsidRDefault="0066327C" w:rsidP="00655DBF">
      <w:pPr>
        <w:spacing w:after="120" w:line="480" w:lineRule="auto"/>
        <w:rPr>
          <w:rFonts w:ascii="Times New Roman" w:hAnsi="Times New Roman"/>
          <w:bCs/>
        </w:rPr>
      </w:pPr>
    </w:p>
    <w:p w14:paraId="13033F20" w14:textId="78A668B3" w:rsidR="0066327C" w:rsidRPr="004D5859" w:rsidRDefault="00CD23BC" w:rsidP="00CD23BC">
      <w:pPr>
        <w:rPr>
          <w:rFonts w:ascii="Times New Roman" w:hAnsi="Times New Roman"/>
        </w:rPr>
      </w:pPr>
      <w:r w:rsidRPr="004D5859">
        <w:rPr>
          <w:rFonts w:ascii="Times New Roman" w:hAnsi="Times New Roman" w:hint="eastAsia"/>
          <w:vertAlign w:val="superscript"/>
        </w:rPr>
        <w:t>1</w:t>
      </w:r>
      <w:r w:rsidR="0066327C" w:rsidRPr="004D5859">
        <w:rPr>
          <w:rFonts w:ascii="Times New Roman" w:hAnsi="Times New Roman"/>
        </w:rPr>
        <w:t>The George Institute for Global Health, Faculty of Medicine, University of New South Wales Sydney, Australia</w:t>
      </w:r>
      <w:r w:rsidRPr="004D5859">
        <w:rPr>
          <w:rFonts w:ascii="Times New Roman" w:hAnsi="Times New Roman"/>
        </w:rPr>
        <w:t xml:space="preserve">; </w:t>
      </w:r>
      <w:r w:rsidRPr="004D5859">
        <w:rPr>
          <w:rFonts w:ascii="Times New Roman" w:hAnsi="Times New Roman"/>
          <w:vertAlign w:val="superscript"/>
        </w:rPr>
        <w:t>2</w:t>
      </w:r>
      <w:r w:rsidR="0066327C" w:rsidRPr="004D5859">
        <w:rPr>
          <w:rFonts w:ascii="Times New Roman" w:hAnsi="Times New Roman"/>
        </w:rPr>
        <w:t>Department of Neurology, Royal Prince Alfred Hospital, Sydney Health Partners, Sydney, Australia</w:t>
      </w:r>
      <w:r w:rsidRPr="004D5859">
        <w:rPr>
          <w:rFonts w:ascii="Times New Roman" w:hAnsi="Times New Roman"/>
        </w:rPr>
        <w:t xml:space="preserve">; </w:t>
      </w:r>
      <w:r w:rsidRPr="004D5859">
        <w:rPr>
          <w:rFonts w:ascii="Times New Roman" w:hAnsi="Times New Roman"/>
          <w:vertAlign w:val="superscript"/>
        </w:rPr>
        <w:t>3</w:t>
      </w:r>
      <w:r w:rsidR="00022DA0" w:rsidRPr="004D5859">
        <w:rPr>
          <w:rFonts w:ascii="Times New Roman" w:hAnsi="Times New Roman"/>
        </w:rPr>
        <w:t>Faculty of Medicine and Health</w:t>
      </w:r>
      <w:r w:rsidR="0066327C" w:rsidRPr="004D5859">
        <w:rPr>
          <w:rFonts w:ascii="Times New Roman" w:hAnsi="Times New Roman" w:hint="eastAsia"/>
        </w:rPr>
        <w:t>, University of Sydney, Sydney, Australia</w:t>
      </w:r>
      <w:r w:rsidRPr="004D5859">
        <w:rPr>
          <w:rFonts w:ascii="Times New Roman" w:hAnsi="Times New Roman"/>
        </w:rPr>
        <w:t xml:space="preserve">; </w:t>
      </w:r>
      <w:r w:rsidRPr="004D5859">
        <w:rPr>
          <w:rFonts w:ascii="Times New Roman" w:hAnsi="Times New Roman"/>
          <w:vertAlign w:val="superscript"/>
        </w:rPr>
        <w:t>4</w:t>
      </w:r>
      <w:r w:rsidR="0066327C" w:rsidRPr="004D5859">
        <w:rPr>
          <w:rFonts w:ascii="Times New Roman" w:hAnsi="Times New Roman"/>
        </w:rPr>
        <w:t xml:space="preserve">Department of Radiology, Ren Ji Hospital, School of Medicine, Shanghai Jiao Tong University, Shanghai, </w:t>
      </w:r>
      <w:r w:rsidR="0066327C" w:rsidRPr="004D5859">
        <w:rPr>
          <w:rFonts w:ascii="Times New Roman" w:hAnsi="Times New Roman"/>
          <w:iCs/>
          <w:color w:val="000000"/>
        </w:rPr>
        <w:t>PR</w:t>
      </w:r>
      <w:r w:rsidR="0066327C" w:rsidRPr="004D5859">
        <w:rPr>
          <w:rFonts w:ascii="Times New Roman" w:hAnsi="Times New Roman"/>
        </w:rPr>
        <w:t xml:space="preserve"> China</w:t>
      </w:r>
      <w:r w:rsidRPr="004D5859">
        <w:rPr>
          <w:rFonts w:ascii="Times New Roman" w:hAnsi="Times New Roman"/>
        </w:rPr>
        <w:t xml:space="preserve">; </w:t>
      </w:r>
      <w:r w:rsidRPr="004D5859">
        <w:rPr>
          <w:rFonts w:ascii="Times New Roman" w:hAnsi="Times New Roman"/>
          <w:vertAlign w:val="superscript"/>
        </w:rPr>
        <w:t>5</w:t>
      </w:r>
      <w:r w:rsidR="0066327C" w:rsidRPr="004D5859">
        <w:rPr>
          <w:rFonts w:ascii="Times New Roman" w:hAnsi="Times New Roman"/>
        </w:rPr>
        <w:t>Edinburgh Imaging, Centr</w:t>
      </w:r>
      <w:r w:rsidR="00E86048" w:rsidRPr="004D5859">
        <w:rPr>
          <w:rFonts w:ascii="Times New Roman" w:hAnsi="Times New Roman"/>
        </w:rPr>
        <w:t>e</w:t>
      </w:r>
      <w:r w:rsidR="0066327C" w:rsidRPr="004D5859">
        <w:rPr>
          <w:rFonts w:ascii="Times New Roman" w:hAnsi="Times New Roman"/>
        </w:rPr>
        <w:t xml:space="preserve"> for Clinical Brain Sciences, University of Edinburgh, UK</w:t>
      </w:r>
      <w:r w:rsidRPr="004D5859">
        <w:rPr>
          <w:rFonts w:ascii="Times New Roman" w:hAnsi="Times New Roman"/>
        </w:rPr>
        <w:t xml:space="preserve">; </w:t>
      </w:r>
      <w:r w:rsidRPr="004D5859">
        <w:rPr>
          <w:rFonts w:ascii="Times New Roman" w:hAnsi="Times New Roman"/>
          <w:vertAlign w:val="superscript"/>
        </w:rPr>
        <w:t>6</w:t>
      </w:r>
      <w:r w:rsidR="0066327C" w:rsidRPr="004D5859">
        <w:rPr>
          <w:rFonts w:ascii="Times New Roman" w:hAnsi="Times New Roman"/>
        </w:rPr>
        <w:t>UK Dementia Research Institute, University of Edinburgh, UK</w:t>
      </w:r>
      <w:r w:rsidRPr="004D5859">
        <w:rPr>
          <w:rFonts w:ascii="Times New Roman" w:hAnsi="Times New Roman"/>
        </w:rPr>
        <w:t xml:space="preserve">; </w:t>
      </w:r>
      <w:r w:rsidRPr="004D5859">
        <w:rPr>
          <w:rFonts w:ascii="Times New Roman" w:hAnsi="Times New Roman"/>
          <w:vertAlign w:val="superscript"/>
        </w:rPr>
        <w:t>7</w:t>
      </w:r>
      <w:r w:rsidR="0066327C" w:rsidRPr="004D5859">
        <w:rPr>
          <w:rFonts w:ascii="Times New Roman" w:hAnsi="Times New Roman"/>
        </w:rPr>
        <w:t>Department of Cardiovascular Sciences and NIHR Leicester Biomedical Research Centr</w:t>
      </w:r>
      <w:r w:rsidR="00EC3A99" w:rsidRPr="004D5859">
        <w:rPr>
          <w:rFonts w:ascii="Times New Roman" w:hAnsi="Times New Roman"/>
        </w:rPr>
        <w:t>e</w:t>
      </w:r>
      <w:r w:rsidR="0066327C" w:rsidRPr="004D5859">
        <w:rPr>
          <w:rFonts w:ascii="Times New Roman" w:hAnsi="Times New Roman"/>
        </w:rPr>
        <w:t>, University of Leicester, Leicester, UK</w:t>
      </w:r>
      <w:r w:rsidRPr="004D5859">
        <w:rPr>
          <w:rFonts w:ascii="Times New Roman" w:hAnsi="Times New Roman"/>
        </w:rPr>
        <w:t xml:space="preserve">; </w:t>
      </w:r>
      <w:r w:rsidRPr="004D5859">
        <w:rPr>
          <w:rFonts w:ascii="Times New Roman" w:hAnsi="Times New Roman"/>
          <w:vertAlign w:val="superscript"/>
        </w:rPr>
        <w:t>8</w:t>
      </w:r>
      <w:r w:rsidR="0066327C" w:rsidRPr="004D5859">
        <w:rPr>
          <w:rFonts w:ascii="Times New Roman" w:hAnsi="Times New Roman"/>
        </w:rPr>
        <w:t xml:space="preserve">Department of Cerebrovascular Medicine, National Cerebral and Cardiovascular </w:t>
      </w:r>
      <w:proofErr w:type="spellStart"/>
      <w:r w:rsidR="0066327C" w:rsidRPr="004D5859">
        <w:rPr>
          <w:rFonts w:ascii="Times New Roman" w:hAnsi="Times New Roman"/>
        </w:rPr>
        <w:t>Center</w:t>
      </w:r>
      <w:proofErr w:type="spellEnd"/>
      <w:r w:rsidR="0066327C" w:rsidRPr="004D5859">
        <w:rPr>
          <w:rFonts w:ascii="Times New Roman" w:hAnsi="Times New Roman"/>
        </w:rPr>
        <w:t>, Osaka, Japan</w:t>
      </w:r>
      <w:r w:rsidRPr="004D5859">
        <w:rPr>
          <w:rFonts w:ascii="Times New Roman" w:hAnsi="Times New Roman"/>
        </w:rPr>
        <w:t xml:space="preserve">; </w:t>
      </w:r>
      <w:r w:rsidRPr="004D5859">
        <w:rPr>
          <w:rFonts w:ascii="Times New Roman" w:hAnsi="Times New Roman"/>
          <w:vertAlign w:val="superscript"/>
        </w:rPr>
        <w:t>9</w:t>
      </w:r>
      <w:r w:rsidR="0066327C" w:rsidRPr="004D5859">
        <w:rPr>
          <w:rFonts w:ascii="Times New Roman" w:hAnsi="Times New Roman"/>
        </w:rPr>
        <w:t xml:space="preserve">Division of Neurology, Department of Stroke and Cerebrovascular Diseases, National Cerebral and Cardiovascular </w:t>
      </w:r>
      <w:proofErr w:type="spellStart"/>
      <w:r w:rsidR="0066327C" w:rsidRPr="004D5859">
        <w:rPr>
          <w:rFonts w:ascii="Times New Roman" w:hAnsi="Times New Roman"/>
        </w:rPr>
        <w:t>Center</w:t>
      </w:r>
      <w:proofErr w:type="spellEnd"/>
      <w:r w:rsidR="0066327C" w:rsidRPr="004D5859">
        <w:rPr>
          <w:rFonts w:ascii="Times New Roman" w:hAnsi="Times New Roman"/>
        </w:rPr>
        <w:t>, Osaka, Japan</w:t>
      </w:r>
      <w:r w:rsidRPr="004D5859">
        <w:rPr>
          <w:rFonts w:ascii="Times New Roman" w:hAnsi="Times New Roman"/>
        </w:rPr>
        <w:t xml:space="preserve">; </w:t>
      </w:r>
      <w:r w:rsidRPr="004D5859">
        <w:rPr>
          <w:rFonts w:ascii="Times New Roman" w:hAnsi="Times New Roman"/>
          <w:vertAlign w:val="superscript"/>
        </w:rPr>
        <w:t>10</w:t>
      </w:r>
      <w:r w:rsidR="0066327C" w:rsidRPr="004D5859">
        <w:rPr>
          <w:rFonts w:ascii="Times New Roman" w:hAnsi="Times New Roman"/>
        </w:rPr>
        <w:t>Department of Neurology and Neuroscience, Nagoya City University Graduate School of Medical Science, Nagoya, Japan</w:t>
      </w:r>
      <w:r w:rsidRPr="004D5859">
        <w:rPr>
          <w:rFonts w:ascii="Times New Roman" w:hAnsi="Times New Roman"/>
        </w:rPr>
        <w:t xml:space="preserve">; </w:t>
      </w:r>
      <w:r w:rsidRPr="004D5859">
        <w:rPr>
          <w:rFonts w:ascii="Times New Roman" w:hAnsi="Times New Roman"/>
          <w:vertAlign w:val="superscript"/>
        </w:rPr>
        <w:t>11</w:t>
      </w:r>
      <w:r w:rsidR="0066327C" w:rsidRPr="004D5859">
        <w:rPr>
          <w:rFonts w:ascii="Times New Roman" w:hAnsi="Times New Roman"/>
        </w:rPr>
        <w:t>Department of Neurology, Liverpool Hospital, Liverpool, NSW, Australia</w:t>
      </w:r>
      <w:r w:rsidRPr="004D5859">
        <w:rPr>
          <w:rFonts w:ascii="Times New Roman" w:hAnsi="Times New Roman"/>
        </w:rPr>
        <w:t xml:space="preserve">; </w:t>
      </w:r>
      <w:r w:rsidRPr="004D5859">
        <w:rPr>
          <w:rFonts w:ascii="Times New Roman" w:hAnsi="Times New Roman"/>
          <w:vertAlign w:val="superscript"/>
        </w:rPr>
        <w:t>12</w:t>
      </w:r>
      <w:r w:rsidR="005276AF" w:rsidRPr="004D5859">
        <w:rPr>
          <w:rFonts w:ascii="Times New Roman" w:eastAsia="Times New Roman" w:hAnsi="Times New Roman" w:cs="Times New Roman"/>
          <w:color w:val="212529"/>
          <w:shd w:val="clear" w:color="auto" w:fill="FFFFFF"/>
        </w:rPr>
        <w:t xml:space="preserve">Thomson Hospital Kota Damansara, Selangor </w:t>
      </w:r>
      <w:proofErr w:type="spellStart"/>
      <w:r w:rsidR="005276AF" w:rsidRPr="004D5859">
        <w:rPr>
          <w:rFonts w:ascii="Times New Roman" w:eastAsia="Times New Roman" w:hAnsi="Times New Roman" w:cs="Times New Roman"/>
          <w:color w:val="212529"/>
          <w:shd w:val="clear" w:color="auto" w:fill="FFFFFF"/>
        </w:rPr>
        <w:t>Darul</w:t>
      </w:r>
      <w:proofErr w:type="spellEnd"/>
      <w:r w:rsidR="005276AF" w:rsidRPr="004D5859">
        <w:rPr>
          <w:rFonts w:ascii="Times New Roman" w:eastAsia="Times New Roman" w:hAnsi="Times New Roman" w:cs="Times New Roman"/>
          <w:color w:val="212529"/>
          <w:shd w:val="clear" w:color="auto" w:fill="FFFFFF"/>
        </w:rPr>
        <w:t xml:space="preserve"> Ehsan, Malaysia</w:t>
      </w:r>
      <w:r w:rsidRPr="004D5859">
        <w:rPr>
          <w:rFonts w:ascii="Times New Roman" w:eastAsia="Times New Roman" w:hAnsi="Times New Roman" w:cs="Times New Roman"/>
          <w:color w:val="212529"/>
          <w:shd w:val="clear" w:color="auto" w:fill="FFFFFF"/>
        </w:rPr>
        <w:t xml:space="preserve">; </w:t>
      </w:r>
      <w:r w:rsidRPr="004D5859">
        <w:rPr>
          <w:rFonts w:ascii="Times New Roman" w:eastAsia="Times New Roman" w:hAnsi="Times New Roman" w:cs="Times New Roman"/>
          <w:color w:val="212529"/>
          <w:shd w:val="clear" w:color="auto" w:fill="FFFFFF"/>
          <w:vertAlign w:val="superscript"/>
        </w:rPr>
        <w:t>13</w:t>
      </w:r>
      <w:r w:rsidR="0066327C" w:rsidRPr="004D5859">
        <w:rPr>
          <w:rFonts w:ascii="Times New Roman" w:hAnsi="Times New Roman" w:cs="Times New Roman"/>
        </w:rPr>
        <w:t>The George Institute China at Peking University</w:t>
      </w:r>
      <w:r w:rsidR="0066327C" w:rsidRPr="004D5859">
        <w:rPr>
          <w:rFonts w:ascii="Times New Roman" w:hAnsi="Times New Roman"/>
        </w:rPr>
        <w:t xml:space="preserve"> Health Science </w:t>
      </w:r>
      <w:proofErr w:type="spellStart"/>
      <w:r w:rsidR="0066327C" w:rsidRPr="004D5859">
        <w:rPr>
          <w:rFonts w:ascii="Times New Roman" w:hAnsi="Times New Roman"/>
        </w:rPr>
        <w:t>Center</w:t>
      </w:r>
      <w:proofErr w:type="spellEnd"/>
      <w:r w:rsidR="0066327C" w:rsidRPr="004D5859">
        <w:rPr>
          <w:rFonts w:ascii="Times New Roman" w:hAnsi="Times New Roman"/>
        </w:rPr>
        <w:t xml:space="preserve">, Beijing, </w:t>
      </w:r>
      <w:r w:rsidR="0066327C" w:rsidRPr="004D5859">
        <w:rPr>
          <w:rFonts w:ascii="Times New Roman" w:hAnsi="Times New Roman"/>
          <w:iCs/>
          <w:color w:val="000000"/>
        </w:rPr>
        <w:t>PR</w:t>
      </w:r>
      <w:r w:rsidR="0066327C" w:rsidRPr="004D5859">
        <w:rPr>
          <w:rFonts w:ascii="Times New Roman" w:hAnsi="Times New Roman"/>
        </w:rPr>
        <w:t xml:space="preserve"> China</w:t>
      </w:r>
      <w:r w:rsidRPr="004D5859">
        <w:rPr>
          <w:rFonts w:ascii="Times New Roman" w:hAnsi="Times New Roman"/>
        </w:rPr>
        <w:t xml:space="preserve">; </w:t>
      </w:r>
      <w:r w:rsidRPr="004D5859">
        <w:rPr>
          <w:rFonts w:ascii="Times New Roman" w:hAnsi="Times New Roman"/>
          <w:vertAlign w:val="superscript"/>
        </w:rPr>
        <w:t>14</w:t>
      </w:r>
      <w:r w:rsidR="0066327C" w:rsidRPr="004D5859">
        <w:rPr>
          <w:rFonts w:ascii="Times New Roman" w:hAnsi="Times New Roman"/>
        </w:rPr>
        <w:t>The George Institute for Global Health and University of Sydney, Sydney, Australia</w:t>
      </w:r>
      <w:r w:rsidR="0066327C" w:rsidRPr="004D5859">
        <w:rPr>
          <w:rFonts w:ascii="Times New Roman" w:hAnsi="Times New Roman" w:hint="eastAsia"/>
        </w:rPr>
        <w:t>.</w:t>
      </w:r>
    </w:p>
    <w:p w14:paraId="550D0C2A" w14:textId="77777777" w:rsidR="00994D4B" w:rsidRPr="004D5859" w:rsidRDefault="00994D4B" w:rsidP="00CA0635">
      <w:pPr>
        <w:rPr>
          <w:rFonts w:ascii="Times New Roman" w:hAnsi="Times New Roman" w:cs="Times New Roman"/>
        </w:rPr>
      </w:pPr>
    </w:p>
    <w:p w14:paraId="4086C926" w14:textId="5E8AD1A7" w:rsidR="0042050A" w:rsidRPr="004D5859" w:rsidRDefault="0042050A" w:rsidP="00E93E84">
      <w:pPr>
        <w:widowControl w:val="0"/>
        <w:spacing w:line="360" w:lineRule="auto"/>
        <w:jc w:val="both"/>
        <w:rPr>
          <w:rFonts w:ascii="Times New Roman" w:hAnsi="Times New Roman"/>
        </w:rPr>
      </w:pPr>
      <w:r w:rsidRPr="004D5859">
        <w:rPr>
          <w:rFonts w:ascii="Times New Roman" w:hAnsi="Times New Roman"/>
        </w:rPr>
        <w:t xml:space="preserve">Manuscript word count (not including title, abstract, acknowledgment, references, tables, and figure legends): </w:t>
      </w:r>
      <w:r w:rsidR="002B0183">
        <w:rPr>
          <w:rFonts w:ascii="Times New Roman" w:hAnsi="Times New Roman"/>
        </w:rPr>
        <w:t>2530</w:t>
      </w:r>
    </w:p>
    <w:p w14:paraId="0BC1D6F7" w14:textId="32043B63" w:rsidR="0042050A" w:rsidRDefault="0042050A" w:rsidP="0042050A">
      <w:pPr>
        <w:spacing w:after="120"/>
        <w:rPr>
          <w:rFonts w:ascii="Times New Roman" w:hAnsi="Times New Roman"/>
        </w:rPr>
      </w:pPr>
      <w:r w:rsidRPr="004D5859">
        <w:rPr>
          <w:rFonts w:ascii="Times New Roman" w:hAnsi="Times New Roman"/>
        </w:rPr>
        <w:t xml:space="preserve">Abstract word count: </w:t>
      </w:r>
      <w:r w:rsidR="002B0183">
        <w:rPr>
          <w:rFonts w:ascii="Times New Roman" w:hAnsi="Times New Roman"/>
        </w:rPr>
        <w:t>265</w:t>
      </w:r>
    </w:p>
    <w:p w14:paraId="13F9F7B6" w14:textId="7A4202C7" w:rsidR="00BF3E3E" w:rsidRDefault="00BF3E3E" w:rsidP="0042050A">
      <w:pPr>
        <w:spacing w:after="120"/>
        <w:rPr>
          <w:rFonts w:ascii="Times New Roman" w:hAnsi="Times New Roman"/>
        </w:rPr>
      </w:pPr>
      <w:r>
        <w:rPr>
          <w:rFonts w:ascii="Times New Roman" w:hAnsi="Times New Roman"/>
        </w:rPr>
        <w:t>References: 19</w:t>
      </w:r>
    </w:p>
    <w:p w14:paraId="06A547B5" w14:textId="3461A236" w:rsidR="00FA5D4B" w:rsidRDefault="00FA5D4B" w:rsidP="0042050A">
      <w:pPr>
        <w:spacing w:after="120"/>
        <w:rPr>
          <w:rFonts w:ascii="Times New Roman" w:hAnsi="Times New Roman"/>
        </w:rPr>
      </w:pPr>
      <w:r>
        <w:rPr>
          <w:rFonts w:ascii="Times New Roman" w:hAnsi="Times New Roman"/>
        </w:rPr>
        <w:t>Figure: 1</w:t>
      </w:r>
    </w:p>
    <w:p w14:paraId="41033DAB" w14:textId="2096FB1E" w:rsidR="00FA5D4B" w:rsidRPr="004D5859" w:rsidRDefault="00FA5D4B" w:rsidP="0042050A">
      <w:pPr>
        <w:spacing w:after="120"/>
        <w:rPr>
          <w:rFonts w:ascii="Times New Roman" w:hAnsi="Times New Roman"/>
        </w:rPr>
      </w:pPr>
      <w:r>
        <w:rPr>
          <w:rFonts w:ascii="Times New Roman" w:hAnsi="Times New Roman"/>
        </w:rPr>
        <w:t>Tables: 5</w:t>
      </w:r>
    </w:p>
    <w:p w14:paraId="266085D8" w14:textId="40DC50A1" w:rsidR="0042050A" w:rsidRPr="004D5859" w:rsidRDefault="0042050A" w:rsidP="0042050A">
      <w:pPr>
        <w:spacing w:after="120"/>
        <w:rPr>
          <w:rFonts w:ascii="Times New Roman" w:hAnsi="Times New Roman"/>
        </w:rPr>
      </w:pPr>
    </w:p>
    <w:p w14:paraId="64C9AA4C" w14:textId="3058EF0F" w:rsidR="00976388" w:rsidRPr="004D5859" w:rsidRDefault="00A000C2" w:rsidP="00976388">
      <w:pPr>
        <w:spacing w:line="480" w:lineRule="auto"/>
        <w:rPr>
          <w:rFonts w:ascii="Times New Roman" w:hAnsi="Times New Roman" w:cs="Times New Roman"/>
        </w:rPr>
      </w:pPr>
      <w:r w:rsidRPr="00655DBF">
        <w:rPr>
          <w:rFonts w:ascii="Times New Roman" w:eastAsia="SimSun" w:hAnsi="Times New Roman" w:cs="Times New Roman"/>
          <w:b/>
          <w:iCs/>
          <w:color w:val="000000"/>
          <w:kern w:val="2"/>
          <w:lang w:eastAsia="zh-CN"/>
        </w:rPr>
        <w:t>Key words</w:t>
      </w:r>
      <w:r w:rsidR="00976388" w:rsidRPr="00655DBF">
        <w:rPr>
          <w:rFonts w:ascii="Times New Roman" w:eastAsia="SimSun" w:hAnsi="Times New Roman" w:cs="Times New Roman"/>
          <w:b/>
          <w:iCs/>
          <w:color w:val="000000"/>
          <w:kern w:val="2"/>
          <w:lang w:eastAsia="zh-CN"/>
        </w:rPr>
        <w:t>:</w:t>
      </w:r>
      <w:r w:rsidR="00976388" w:rsidRPr="004D5859">
        <w:rPr>
          <w:rFonts w:ascii="Times New Roman" w:eastAsia="SimSun" w:hAnsi="Times New Roman" w:cs="Times New Roman"/>
          <w:b/>
          <w:iCs/>
          <w:color w:val="000000"/>
          <w:kern w:val="2"/>
          <w:lang w:eastAsia="zh-CN"/>
        </w:rPr>
        <w:t xml:space="preserve"> </w:t>
      </w:r>
      <w:r w:rsidR="004B5F58" w:rsidRPr="004D5859">
        <w:rPr>
          <w:rFonts w:ascii="Times New Roman" w:eastAsia="SimSun" w:hAnsi="Times New Roman" w:cs="Times New Roman"/>
          <w:iCs/>
          <w:color w:val="000000"/>
          <w:kern w:val="2"/>
          <w:lang w:eastAsia="zh-CN"/>
        </w:rPr>
        <w:t>Imaging, infarction</w:t>
      </w:r>
      <w:r w:rsidR="00655DBF">
        <w:rPr>
          <w:rFonts w:ascii="Times New Roman" w:eastAsia="SimSun" w:hAnsi="Times New Roman" w:cs="Times New Roman"/>
          <w:iCs/>
          <w:color w:val="000000"/>
          <w:kern w:val="2"/>
          <w:lang w:eastAsia="zh-CN"/>
        </w:rPr>
        <w:t>, prognosis, outcome, trial</w:t>
      </w:r>
      <w:r w:rsidR="004B5F58" w:rsidRPr="004D5859">
        <w:rPr>
          <w:rFonts w:ascii="Times New Roman" w:eastAsia="SimSun" w:hAnsi="Times New Roman" w:cs="Times New Roman"/>
          <w:iCs/>
          <w:color w:val="000000"/>
          <w:kern w:val="2"/>
          <w:lang w:eastAsia="zh-CN"/>
        </w:rPr>
        <w:t xml:space="preserve"> </w:t>
      </w:r>
    </w:p>
    <w:p w14:paraId="2300E54B" w14:textId="77777777" w:rsidR="00CD23BC" w:rsidRPr="004D5859" w:rsidRDefault="00CD23BC" w:rsidP="00655DBF">
      <w:pPr>
        <w:rPr>
          <w:rFonts w:ascii="Times New Roman" w:eastAsia="SimSun" w:hAnsi="Times New Roman" w:cs="Times New Roman"/>
          <w:iCs/>
          <w:color w:val="000000"/>
          <w:kern w:val="2"/>
          <w:lang w:eastAsia="zh-CN"/>
        </w:rPr>
      </w:pPr>
      <w:r w:rsidRPr="004D5859">
        <w:rPr>
          <w:rFonts w:ascii="Times New Roman" w:eastAsia="SimSun" w:hAnsi="Times New Roman" w:cs="Times New Roman"/>
          <w:iCs/>
          <w:color w:val="000000"/>
          <w:kern w:val="2"/>
          <w:lang w:eastAsia="zh-CN"/>
        </w:rPr>
        <w:t>Corresponding author:</w:t>
      </w:r>
    </w:p>
    <w:p w14:paraId="7469320E" w14:textId="77777777" w:rsidR="00CD23BC" w:rsidRPr="004D5859" w:rsidRDefault="00CD23BC" w:rsidP="00655DBF">
      <w:pPr>
        <w:widowControl w:val="0"/>
        <w:rPr>
          <w:rFonts w:ascii="Times New Roman" w:eastAsia="SimSun" w:hAnsi="Times New Roman" w:cs="Times New Roman"/>
          <w:iCs/>
          <w:color w:val="000000"/>
          <w:kern w:val="2"/>
          <w:lang w:eastAsia="zh-CN"/>
        </w:rPr>
      </w:pPr>
      <w:r w:rsidRPr="004D5859">
        <w:rPr>
          <w:rFonts w:ascii="Times New Roman" w:eastAsia="SimSun" w:hAnsi="Times New Roman" w:cs="Times New Roman"/>
          <w:iCs/>
          <w:color w:val="000000"/>
          <w:kern w:val="2"/>
          <w:lang w:eastAsia="zh-CN"/>
        </w:rPr>
        <w:t>Professor</w:t>
      </w:r>
      <w:r w:rsidRPr="004D5859">
        <w:rPr>
          <w:rFonts w:ascii="Times New Roman" w:eastAsia="SimSun" w:hAnsi="Times New Roman" w:cs="Times New Roman"/>
          <w:kern w:val="2"/>
          <w:lang w:eastAsia="zh-CN"/>
        </w:rPr>
        <w:t xml:space="preserve"> </w:t>
      </w:r>
      <w:r w:rsidRPr="004D5859">
        <w:rPr>
          <w:rFonts w:ascii="Times New Roman" w:eastAsia="SimSun" w:hAnsi="Times New Roman" w:cs="Times New Roman"/>
          <w:bCs/>
          <w:kern w:val="2"/>
          <w:lang w:eastAsia="zh-CN"/>
        </w:rPr>
        <w:t>Richard I Lindley</w:t>
      </w:r>
      <w:r w:rsidRPr="004D5859">
        <w:rPr>
          <w:rFonts w:ascii="Times New Roman" w:eastAsia="SimSun" w:hAnsi="Times New Roman" w:cs="Times New Roman"/>
          <w:bCs/>
          <w:kern w:val="2"/>
          <w:lang w:eastAsia="zh-CN"/>
        </w:rPr>
        <w:br/>
      </w:r>
      <w:r w:rsidRPr="004D5859">
        <w:rPr>
          <w:rFonts w:ascii="Times New Roman" w:eastAsia="SimSun" w:hAnsi="Times New Roman" w:cs="Times New Roman"/>
          <w:iCs/>
          <w:color w:val="000000"/>
          <w:kern w:val="2"/>
          <w:lang w:eastAsia="zh-CN"/>
        </w:rPr>
        <w:lastRenderedPageBreak/>
        <w:t>The George Institute for Global Health Australia</w:t>
      </w:r>
      <w:r w:rsidRPr="004D5859">
        <w:rPr>
          <w:rFonts w:ascii="Times New Roman" w:eastAsia="SimSun" w:hAnsi="Times New Roman" w:cs="Times New Roman"/>
          <w:iCs/>
          <w:color w:val="000000"/>
          <w:kern w:val="2"/>
          <w:lang w:eastAsia="zh-CN"/>
        </w:rPr>
        <w:br/>
        <w:t xml:space="preserve">PO Box M201, Missenden Road, NSW 2050, AUSTRALIA </w:t>
      </w:r>
    </w:p>
    <w:p w14:paraId="02B22BB1" w14:textId="77777777" w:rsidR="00CD23BC" w:rsidRPr="00655DBF" w:rsidRDefault="00CD23BC" w:rsidP="00655DBF">
      <w:pPr>
        <w:widowControl w:val="0"/>
        <w:rPr>
          <w:rFonts w:ascii="Times New Roman" w:eastAsia="SimSun" w:hAnsi="Times New Roman" w:cs="Times New Roman"/>
          <w:iCs/>
          <w:color w:val="000000"/>
          <w:kern w:val="2"/>
          <w:lang w:val="fr-FR" w:eastAsia="zh-CN"/>
        </w:rPr>
      </w:pPr>
      <w:r w:rsidRPr="00655DBF">
        <w:rPr>
          <w:rFonts w:ascii="Times New Roman" w:eastAsia="MS Mincho" w:hAnsi="Times New Roman" w:cs="Times New Roman"/>
          <w:color w:val="000000" w:themeColor="text1"/>
          <w:lang w:val="fr-FR" w:eastAsia="ja-JP"/>
        </w:rPr>
        <w:t xml:space="preserve">T: +61-2-9993-4500;  F: +61-2-9993-4502; </w:t>
      </w:r>
      <w:r w:rsidRPr="00655DBF">
        <w:rPr>
          <w:rFonts w:ascii="Times New Roman" w:eastAsia="SimSun" w:hAnsi="Times New Roman" w:cs="Times New Roman"/>
          <w:iCs/>
          <w:color w:val="0563C1"/>
          <w:kern w:val="2"/>
          <w:u w:val="single"/>
          <w:lang w:val="fr-FR" w:eastAsia="zh-CN"/>
        </w:rPr>
        <w:t>rlindley@georgeinstitute.org.au</w:t>
      </w:r>
    </w:p>
    <w:p w14:paraId="2CEAE7EB" w14:textId="77777777" w:rsidR="0042050A" w:rsidRPr="00655DBF" w:rsidRDefault="0042050A" w:rsidP="00AC6203">
      <w:pPr>
        <w:widowControl w:val="0"/>
        <w:spacing w:line="360" w:lineRule="auto"/>
        <w:jc w:val="both"/>
        <w:rPr>
          <w:rFonts w:ascii="Times New Roman" w:eastAsia="SimSun" w:hAnsi="Times New Roman" w:cs="Times New Roman"/>
          <w:iCs/>
          <w:color w:val="000000"/>
          <w:kern w:val="2"/>
          <w:lang w:val="fr-FR" w:eastAsia="zh-CN"/>
        </w:rPr>
      </w:pPr>
    </w:p>
    <w:p w14:paraId="19EA8989" w14:textId="77777777" w:rsidR="004B5F58" w:rsidRPr="00655DBF" w:rsidRDefault="004B5F58" w:rsidP="00AC6203">
      <w:pPr>
        <w:widowControl w:val="0"/>
        <w:spacing w:line="360" w:lineRule="auto"/>
        <w:jc w:val="both"/>
        <w:rPr>
          <w:rFonts w:ascii="Times New Roman" w:eastAsia="SimSun" w:hAnsi="Times New Roman" w:cs="Times New Roman"/>
          <w:iCs/>
          <w:color w:val="000000"/>
          <w:kern w:val="2"/>
          <w:lang w:val="fr-FR" w:eastAsia="zh-CN"/>
        </w:rPr>
      </w:pPr>
    </w:p>
    <w:p w14:paraId="55AB0F01" w14:textId="77777777" w:rsidR="004B5F58" w:rsidRPr="00655DBF" w:rsidRDefault="004B5F58" w:rsidP="00AC6203">
      <w:pPr>
        <w:widowControl w:val="0"/>
        <w:spacing w:line="360" w:lineRule="auto"/>
        <w:jc w:val="both"/>
        <w:rPr>
          <w:rFonts w:ascii="Times New Roman" w:eastAsia="SimSun" w:hAnsi="Times New Roman" w:cs="Times New Roman"/>
          <w:iCs/>
          <w:color w:val="000000"/>
          <w:kern w:val="2"/>
          <w:lang w:val="fr-FR" w:eastAsia="zh-CN"/>
        </w:rPr>
      </w:pPr>
    </w:p>
    <w:p w14:paraId="6DD7B7C8" w14:textId="77777777" w:rsidR="00783EC2" w:rsidRPr="00655DBF" w:rsidRDefault="00783EC2" w:rsidP="00E93E84">
      <w:pPr>
        <w:widowControl w:val="0"/>
        <w:spacing w:line="360" w:lineRule="auto"/>
        <w:jc w:val="both"/>
        <w:rPr>
          <w:rFonts w:ascii="Times New Roman" w:eastAsia="SimSun" w:hAnsi="Times New Roman" w:cs="Times New Roman"/>
          <w:iCs/>
          <w:color w:val="000000"/>
          <w:kern w:val="2"/>
          <w:lang w:val="fr-FR" w:eastAsia="zh-CN"/>
        </w:rPr>
      </w:pPr>
    </w:p>
    <w:p w14:paraId="28FF51BD" w14:textId="77777777" w:rsidR="0042050A" w:rsidRPr="00655DBF" w:rsidRDefault="0042050A" w:rsidP="0042050A">
      <w:pPr>
        <w:rPr>
          <w:rFonts w:ascii="Times New Roman" w:hAnsi="Times New Roman"/>
          <w:lang w:val="fr-FR"/>
        </w:rPr>
      </w:pPr>
    </w:p>
    <w:p w14:paraId="6F56C57A" w14:textId="77777777" w:rsidR="0042050A" w:rsidRPr="00655DBF" w:rsidRDefault="0042050A" w:rsidP="0042050A">
      <w:pPr>
        <w:rPr>
          <w:rStyle w:val="Hyperlink"/>
          <w:rFonts w:ascii="Times New Roman" w:hAnsi="Times New Roman"/>
          <w:lang w:val="fr-FR"/>
        </w:rPr>
      </w:pPr>
    </w:p>
    <w:p w14:paraId="0856F8C7" w14:textId="77777777" w:rsidR="00655DBF" w:rsidRDefault="00655DBF">
      <w:pPr>
        <w:rPr>
          <w:rFonts w:ascii="Times New Roman" w:hAnsi="Times New Roman" w:cs="Times New Roman"/>
          <w:b/>
        </w:rPr>
      </w:pPr>
      <w:r>
        <w:rPr>
          <w:rFonts w:ascii="Times New Roman" w:hAnsi="Times New Roman" w:cs="Times New Roman"/>
          <w:b/>
        </w:rPr>
        <w:br w:type="page"/>
      </w:r>
    </w:p>
    <w:p w14:paraId="29D35D42" w14:textId="3F42FFAA" w:rsidR="00994D4B" w:rsidRPr="004D5859" w:rsidRDefault="00EE3001" w:rsidP="00D119A3">
      <w:pPr>
        <w:spacing w:after="120" w:line="480" w:lineRule="auto"/>
        <w:rPr>
          <w:rFonts w:ascii="Times New Roman" w:hAnsi="Times New Roman" w:cs="Times New Roman"/>
          <w:b/>
        </w:rPr>
      </w:pPr>
      <w:r w:rsidRPr="004D5859">
        <w:rPr>
          <w:rFonts w:ascii="Times New Roman" w:hAnsi="Times New Roman" w:cs="Times New Roman"/>
          <w:b/>
        </w:rPr>
        <w:lastRenderedPageBreak/>
        <w:t>ABSTRACT</w:t>
      </w:r>
    </w:p>
    <w:p w14:paraId="5A5EFB78" w14:textId="7FCE1F22" w:rsidR="00752747" w:rsidRPr="004D5859" w:rsidRDefault="006640E5" w:rsidP="001174F9">
      <w:pPr>
        <w:spacing w:after="120" w:line="480" w:lineRule="auto"/>
        <w:rPr>
          <w:rFonts w:ascii="Tahoma" w:eastAsia="Times New Roman" w:hAnsi="Tahoma" w:cs="Tahoma"/>
          <w:color w:val="212121"/>
        </w:rPr>
      </w:pPr>
      <w:r w:rsidRPr="004D5859">
        <w:rPr>
          <w:rFonts w:ascii="Times New Roman" w:eastAsia="Times New Roman" w:hAnsi="Times New Roman" w:cs="Tahoma"/>
          <w:b/>
          <w:bCs/>
          <w:iCs/>
          <w:color w:val="000000"/>
        </w:rPr>
        <w:t>Objective</w:t>
      </w:r>
      <w:r w:rsidR="000B569F" w:rsidRPr="004D5859">
        <w:rPr>
          <w:rFonts w:ascii="Times New Roman" w:eastAsia="Times New Roman" w:hAnsi="Times New Roman" w:cs="Tahoma"/>
          <w:b/>
          <w:bCs/>
          <w:iCs/>
          <w:color w:val="000000"/>
        </w:rPr>
        <w:t>:</w:t>
      </w:r>
      <w:r w:rsidR="000B569F" w:rsidRPr="004D5859">
        <w:rPr>
          <w:rFonts w:ascii="Times New Roman" w:eastAsia="Times New Roman" w:hAnsi="Times New Roman" w:cs="Tahoma"/>
          <w:b/>
          <w:bCs/>
          <w:i/>
          <w:iCs/>
          <w:color w:val="000000"/>
        </w:rPr>
        <w:t xml:space="preserve"> </w:t>
      </w:r>
      <w:r w:rsidRPr="004D5859">
        <w:rPr>
          <w:rFonts w:ascii="Times New Roman" w:eastAsia="Times New Roman" w:hAnsi="Times New Roman" w:cs="Tahoma"/>
          <w:bCs/>
          <w:iCs/>
          <w:color w:val="000000"/>
        </w:rPr>
        <w:t>To test the hypothesis that</w:t>
      </w:r>
      <w:r w:rsidR="00752747" w:rsidRPr="004D5859">
        <w:rPr>
          <w:rFonts w:ascii="Times New Roman" w:eastAsia="Times New Roman" w:hAnsi="Times New Roman" w:cs="Tahoma"/>
          <w:color w:val="000000"/>
        </w:rPr>
        <w:t xml:space="preserve"> imaging signs of ‘brain frailty’ and acute isch</w:t>
      </w:r>
      <w:r w:rsidR="004D5859">
        <w:rPr>
          <w:rFonts w:ascii="Times New Roman" w:eastAsia="Times New Roman" w:hAnsi="Times New Roman" w:cs="Tahoma"/>
          <w:color w:val="000000"/>
        </w:rPr>
        <w:t>a</w:t>
      </w:r>
      <w:r w:rsidR="00752747" w:rsidRPr="004D5859">
        <w:rPr>
          <w:rFonts w:ascii="Times New Roman" w:eastAsia="Times New Roman" w:hAnsi="Times New Roman" w:cs="Tahoma"/>
          <w:color w:val="000000"/>
        </w:rPr>
        <w:t xml:space="preserve">emia predict </w:t>
      </w:r>
      <w:r w:rsidR="000B569F" w:rsidRPr="004D5859">
        <w:rPr>
          <w:rFonts w:ascii="Times New Roman" w:eastAsia="Times New Roman" w:hAnsi="Times New Roman" w:cs="Tahoma"/>
          <w:color w:val="000000"/>
        </w:rPr>
        <w:t xml:space="preserve">clinical outcomes and </w:t>
      </w:r>
      <w:r w:rsidR="00EC2FEA" w:rsidRPr="004D5859">
        <w:rPr>
          <w:rFonts w:ascii="Times New Roman" w:eastAsia="Times New Roman" w:hAnsi="Times New Roman" w:cs="Tahoma"/>
          <w:color w:val="000000"/>
        </w:rPr>
        <w:t xml:space="preserve">symptomatic </w:t>
      </w:r>
      <w:r w:rsidR="00752747" w:rsidRPr="004D5859">
        <w:rPr>
          <w:rFonts w:ascii="Times New Roman" w:eastAsia="Times New Roman" w:hAnsi="Times New Roman" w:cs="Tahoma"/>
          <w:color w:val="000000"/>
        </w:rPr>
        <w:t xml:space="preserve">intracranial </w:t>
      </w:r>
      <w:r w:rsidR="004D5859">
        <w:rPr>
          <w:rFonts w:ascii="Times New Roman" w:eastAsia="Times New Roman" w:hAnsi="Times New Roman" w:cs="Tahoma"/>
          <w:color w:val="000000"/>
        </w:rPr>
        <w:t>haemorrhage</w:t>
      </w:r>
      <w:r w:rsidR="00EC2FEA" w:rsidRPr="004D5859">
        <w:rPr>
          <w:rFonts w:ascii="Times New Roman" w:eastAsia="Times New Roman" w:hAnsi="Times New Roman" w:cs="Tahoma"/>
          <w:color w:val="000000"/>
        </w:rPr>
        <w:t xml:space="preserve"> (</w:t>
      </w:r>
      <w:proofErr w:type="spellStart"/>
      <w:r w:rsidR="00EC2FEA" w:rsidRPr="004D5859">
        <w:rPr>
          <w:rFonts w:ascii="Times New Roman" w:eastAsia="Times New Roman" w:hAnsi="Times New Roman" w:cs="Tahoma"/>
          <w:color w:val="000000"/>
        </w:rPr>
        <w:t>sICH</w:t>
      </w:r>
      <w:proofErr w:type="spellEnd"/>
      <w:r w:rsidR="00EC2FEA" w:rsidRPr="004D5859">
        <w:rPr>
          <w:rFonts w:ascii="Times New Roman" w:eastAsia="Times New Roman" w:hAnsi="Times New Roman" w:cs="Tahoma"/>
          <w:color w:val="000000"/>
        </w:rPr>
        <w:t>)</w:t>
      </w:r>
      <w:r w:rsidR="00752747" w:rsidRPr="004D5859">
        <w:rPr>
          <w:rFonts w:ascii="Times New Roman" w:eastAsia="Times New Roman" w:hAnsi="Times New Roman" w:cs="Tahoma"/>
          <w:color w:val="000000"/>
        </w:rPr>
        <w:t xml:space="preserve"> after thrombolysis for acute </w:t>
      </w:r>
      <w:r w:rsidR="004D5859">
        <w:rPr>
          <w:rFonts w:ascii="Times New Roman" w:eastAsia="Times New Roman" w:hAnsi="Times New Roman" w:cs="Tahoma"/>
          <w:color w:val="000000"/>
        </w:rPr>
        <w:t>ischaemic</w:t>
      </w:r>
      <w:r w:rsidR="00752747" w:rsidRPr="004D5859">
        <w:rPr>
          <w:rFonts w:ascii="Times New Roman" w:eastAsia="Times New Roman" w:hAnsi="Times New Roman" w:cs="Tahoma"/>
          <w:color w:val="000000"/>
        </w:rPr>
        <w:t xml:space="preserve"> stroke (AIS</w:t>
      </w:r>
      <w:r w:rsidRPr="004D5859">
        <w:rPr>
          <w:rFonts w:ascii="Times New Roman" w:eastAsia="Times New Roman" w:hAnsi="Times New Roman" w:cs="Tahoma"/>
          <w:color w:val="000000"/>
        </w:rPr>
        <w:t>)</w:t>
      </w:r>
      <w:r w:rsidR="00752747" w:rsidRPr="004D5859">
        <w:rPr>
          <w:rFonts w:ascii="Times New Roman" w:eastAsia="Times New Roman" w:hAnsi="Times New Roman" w:cs="Tahoma"/>
          <w:color w:val="000000"/>
        </w:rPr>
        <w:t xml:space="preserve"> in the </w:t>
      </w:r>
      <w:r w:rsidR="006C2C01" w:rsidRPr="004D5859">
        <w:rPr>
          <w:rFonts w:ascii="Times New Roman" w:eastAsia="Times New Roman" w:hAnsi="Times New Roman" w:cs="Tahoma"/>
          <w:color w:val="000000"/>
        </w:rPr>
        <w:t xml:space="preserve">alteplase-dose arm of </w:t>
      </w:r>
      <w:proofErr w:type="spellStart"/>
      <w:r w:rsidR="00752747" w:rsidRPr="004D5859">
        <w:rPr>
          <w:rFonts w:ascii="Times New Roman" w:eastAsia="Times New Roman" w:hAnsi="Times New Roman" w:cs="Tahoma"/>
          <w:color w:val="000000"/>
        </w:rPr>
        <w:t>E</w:t>
      </w:r>
      <w:r w:rsidR="0057310C" w:rsidRPr="004D5859">
        <w:rPr>
          <w:rFonts w:ascii="Times New Roman" w:eastAsia="Times New Roman" w:hAnsi="Times New Roman" w:cs="Tahoma"/>
          <w:color w:val="000000"/>
        </w:rPr>
        <w:t>N</w:t>
      </w:r>
      <w:r w:rsidR="00752747" w:rsidRPr="004D5859">
        <w:rPr>
          <w:rFonts w:ascii="Times New Roman" w:eastAsia="Times New Roman" w:hAnsi="Times New Roman" w:cs="Tahoma"/>
          <w:color w:val="000000"/>
        </w:rPr>
        <w:t>hanced</w:t>
      </w:r>
      <w:proofErr w:type="spellEnd"/>
      <w:r w:rsidR="00752747" w:rsidRPr="004D5859">
        <w:rPr>
          <w:rFonts w:ascii="Times New Roman" w:eastAsia="Times New Roman" w:hAnsi="Times New Roman" w:cs="Tahoma"/>
          <w:color w:val="000000"/>
        </w:rPr>
        <w:t xml:space="preserve"> Control of Hypertension </w:t>
      </w:r>
      <w:proofErr w:type="spellStart"/>
      <w:r w:rsidR="0057310C" w:rsidRPr="004D5859">
        <w:rPr>
          <w:rFonts w:ascii="Times New Roman" w:eastAsia="Times New Roman" w:hAnsi="Times New Roman" w:cs="Tahoma"/>
          <w:color w:val="000000"/>
        </w:rPr>
        <w:t>AN</w:t>
      </w:r>
      <w:r w:rsidR="00752747" w:rsidRPr="004D5859">
        <w:rPr>
          <w:rFonts w:ascii="Times New Roman" w:eastAsia="Times New Roman" w:hAnsi="Times New Roman" w:cs="Tahoma"/>
          <w:color w:val="000000"/>
        </w:rPr>
        <w:t>d</w:t>
      </w:r>
      <w:proofErr w:type="spellEnd"/>
      <w:r w:rsidR="00752747" w:rsidRPr="004D5859">
        <w:rPr>
          <w:rFonts w:ascii="Times New Roman" w:eastAsia="Times New Roman" w:hAnsi="Times New Roman" w:cs="Tahoma"/>
          <w:color w:val="000000"/>
        </w:rPr>
        <w:t xml:space="preserve"> Thrombolysis </w:t>
      </w:r>
      <w:proofErr w:type="spellStart"/>
      <w:r w:rsidR="008C7A56" w:rsidRPr="004D5859">
        <w:rPr>
          <w:rFonts w:ascii="Times New Roman" w:eastAsia="Times New Roman" w:hAnsi="Times New Roman" w:cs="Tahoma"/>
          <w:color w:val="000000"/>
        </w:rPr>
        <w:t>s</w:t>
      </w:r>
      <w:r w:rsidR="00752747" w:rsidRPr="004D5859">
        <w:rPr>
          <w:rFonts w:ascii="Times New Roman" w:eastAsia="Times New Roman" w:hAnsi="Times New Roman" w:cs="Tahoma"/>
          <w:color w:val="000000"/>
        </w:rPr>
        <w:t>trok</w:t>
      </w:r>
      <w:r w:rsidR="0057310C" w:rsidRPr="004D5859">
        <w:rPr>
          <w:rFonts w:ascii="Times New Roman" w:eastAsia="Times New Roman" w:hAnsi="Times New Roman" w:cs="Tahoma"/>
          <w:color w:val="000000"/>
        </w:rPr>
        <w:t>E</w:t>
      </w:r>
      <w:proofErr w:type="spellEnd"/>
      <w:r w:rsidR="00752747" w:rsidRPr="004D5859">
        <w:rPr>
          <w:rFonts w:ascii="Times New Roman" w:eastAsia="Times New Roman" w:hAnsi="Times New Roman" w:cs="Tahoma"/>
          <w:color w:val="000000"/>
        </w:rPr>
        <w:t xml:space="preserve"> </w:t>
      </w:r>
      <w:proofErr w:type="spellStart"/>
      <w:r w:rsidR="0057310C" w:rsidRPr="004D5859">
        <w:rPr>
          <w:rFonts w:ascii="Times New Roman" w:eastAsia="Times New Roman" w:hAnsi="Times New Roman" w:cs="Tahoma"/>
          <w:color w:val="000000"/>
        </w:rPr>
        <w:t>s</w:t>
      </w:r>
      <w:r w:rsidR="00752747" w:rsidRPr="004D5859">
        <w:rPr>
          <w:rFonts w:ascii="Times New Roman" w:eastAsia="Times New Roman" w:hAnsi="Times New Roman" w:cs="Tahoma"/>
          <w:color w:val="000000"/>
        </w:rPr>
        <w:t>tu</w:t>
      </w:r>
      <w:r w:rsidR="0057310C" w:rsidRPr="004D5859">
        <w:rPr>
          <w:rFonts w:ascii="Times New Roman" w:eastAsia="Times New Roman" w:hAnsi="Times New Roman" w:cs="Tahoma"/>
          <w:color w:val="000000"/>
        </w:rPr>
        <w:t>D</w:t>
      </w:r>
      <w:r w:rsidR="00752747" w:rsidRPr="004D5859">
        <w:rPr>
          <w:rFonts w:ascii="Times New Roman" w:eastAsia="Times New Roman" w:hAnsi="Times New Roman" w:cs="Tahoma"/>
          <w:color w:val="000000"/>
        </w:rPr>
        <w:t>y</w:t>
      </w:r>
      <w:proofErr w:type="spellEnd"/>
      <w:r w:rsidR="00752747" w:rsidRPr="004D5859">
        <w:rPr>
          <w:rFonts w:ascii="Times New Roman" w:eastAsia="Times New Roman" w:hAnsi="Times New Roman" w:cs="Tahoma"/>
          <w:color w:val="000000"/>
        </w:rPr>
        <w:t xml:space="preserve"> (ENCHANTED). </w:t>
      </w:r>
    </w:p>
    <w:p w14:paraId="08E21D2A" w14:textId="77983944" w:rsidR="00752747" w:rsidRPr="004D5859" w:rsidRDefault="00752747" w:rsidP="001174F9">
      <w:pPr>
        <w:spacing w:after="120" w:line="480" w:lineRule="auto"/>
        <w:rPr>
          <w:rFonts w:ascii="Tahoma" w:eastAsia="Times New Roman" w:hAnsi="Tahoma" w:cs="Tahoma"/>
          <w:color w:val="212121"/>
        </w:rPr>
      </w:pPr>
      <w:r w:rsidRPr="004D5859">
        <w:rPr>
          <w:rFonts w:ascii="Times New Roman" w:eastAsia="Times New Roman" w:hAnsi="Times New Roman" w:cs="Tahoma"/>
          <w:b/>
          <w:bCs/>
          <w:iCs/>
          <w:color w:val="000000"/>
        </w:rPr>
        <w:t>Methods</w:t>
      </w:r>
      <w:r w:rsidR="000B569F" w:rsidRPr="004D5859">
        <w:rPr>
          <w:rFonts w:ascii="Times New Roman" w:eastAsia="Times New Roman" w:hAnsi="Times New Roman" w:cs="Tahoma"/>
          <w:b/>
          <w:bCs/>
          <w:iCs/>
          <w:color w:val="000000"/>
        </w:rPr>
        <w:t>:</w:t>
      </w:r>
      <w:r w:rsidR="000B569F" w:rsidRPr="004D5859">
        <w:rPr>
          <w:rFonts w:ascii="Times New Roman" w:eastAsia="Times New Roman" w:hAnsi="Times New Roman" w:cs="Tahoma"/>
          <w:b/>
          <w:bCs/>
          <w:i/>
          <w:iCs/>
          <w:color w:val="000000"/>
        </w:rPr>
        <w:t xml:space="preserve"> </w:t>
      </w:r>
      <w:r w:rsidR="006C2C01" w:rsidRPr="004D5859">
        <w:rPr>
          <w:rFonts w:ascii="Times New Roman" w:eastAsia="Times New Roman" w:hAnsi="Times New Roman" w:cs="Tahoma"/>
          <w:color w:val="000000"/>
        </w:rPr>
        <w:t>B</w:t>
      </w:r>
      <w:r w:rsidRPr="004D5859">
        <w:rPr>
          <w:rFonts w:ascii="Times New Roman" w:eastAsia="Times New Roman" w:hAnsi="Times New Roman" w:cs="Tahoma"/>
          <w:color w:val="000000"/>
        </w:rPr>
        <w:t xml:space="preserve">linded assessors coded baseline images for acute </w:t>
      </w:r>
      <w:r w:rsidR="004D5859">
        <w:rPr>
          <w:rFonts w:ascii="Times New Roman" w:eastAsia="Times New Roman" w:hAnsi="Times New Roman" w:cs="Tahoma"/>
          <w:color w:val="000000"/>
        </w:rPr>
        <w:t>ischaemic</w:t>
      </w:r>
      <w:r w:rsidRPr="004D5859">
        <w:rPr>
          <w:rFonts w:ascii="Times New Roman" w:eastAsia="Times New Roman" w:hAnsi="Times New Roman" w:cs="Tahoma"/>
          <w:color w:val="000000"/>
        </w:rPr>
        <w:t xml:space="preserve"> signs (presence, extent, swelling and attenuation of acute lesions; and hyper-attenuated arteries) and pre-existing changes (atrophy, leukoaraiosis and old </w:t>
      </w:r>
      <w:r w:rsidR="004D5859">
        <w:rPr>
          <w:rFonts w:ascii="Times New Roman" w:eastAsia="Times New Roman" w:hAnsi="Times New Roman" w:cs="Tahoma"/>
          <w:color w:val="000000"/>
        </w:rPr>
        <w:t>ischaemic</w:t>
      </w:r>
      <w:r w:rsidRPr="004D5859">
        <w:rPr>
          <w:rFonts w:ascii="Times New Roman" w:eastAsia="Times New Roman" w:hAnsi="Times New Roman" w:cs="Tahoma"/>
          <w:color w:val="000000"/>
        </w:rPr>
        <w:t xml:space="preserve"> lesions).</w:t>
      </w:r>
      <w:r w:rsidR="000B569F" w:rsidRPr="004D5859">
        <w:rPr>
          <w:rFonts w:ascii="Times New Roman" w:eastAsia="Times New Roman" w:hAnsi="Times New Roman" w:cs="Tahoma"/>
          <w:color w:val="000000"/>
        </w:rPr>
        <w:t xml:space="preserve"> </w:t>
      </w:r>
      <w:r w:rsidRPr="004D5859">
        <w:rPr>
          <w:rFonts w:ascii="Times New Roman" w:eastAsia="Times New Roman" w:hAnsi="Times New Roman" w:cs="Tahoma"/>
          <w:color w:val="000000"/>
        </w:rPr>
        <w:t xml:space="preserve">Logistic regression models assessed associations between imaging features and death at 7 and 90 days; good recovery (modified Rankin </w:t>
      </w:r>
      <w:r w:rsidR="000B569F" w:rsidRPr="004D5859">
        <w:rPr>
          <w:rFonts w:ascii="Times New Roman" w:eastAsia="Times New Roman" w:hAnsi="Times New Roman" w:cs="Tahoma"/>
          <w:color w:val="000000"/>
        </w:rPr>
        <w:t xml:space="preserve">scale </w:t>
      </w:r>
      <w:r w:rsidR="004D5859">
        <w:rPr>
          <w:rFonts w:ascii="Times New Roman" w:eastAsia="Times New Roman" w:hAnsi="Times New Roman" w:cs="Tahoma"/>
          <w:color w:val="000000"/>
        </w:rPr>
        <w:t>scores 0-2 at 90 days)</w:t>
      </w:r>
      <w:r w:rsidR="002007C6" w:rsidRPr="004D5859">
        <w:rPr>
          <w:rFonts w:ascii="Times New Roman" w:eastAsia="Times New Roman" w:hAnsi="Times New Roman" w:cs="Tahoma"/>
          <w:color w:val="000000"/>
        </w:rPr>
        <w:t xml:space="preserve"> </w:t>
      </w:r>
      <w:r w:rsidRPr="004D5859">
        <w:rPr>
          <w:rFonts w:ascii="Times New Roman" w:eastAsia="Times New Roman" w:hAnsi="Times New Roman" w:cs="Tahoma"/>
          <w:color w:val="000000"/>
        </w:rPr>
        <w:t xml:space="preserve">and </w:t>
      </w:r>
      <w:proofErr w:type="spellStart"/>
      <w:r w:rsidR="00EC2FEA" w:rsidRPr="004D5859">
        <w:rPr>
          <w:rFonts w:ascii="Times New Roman" w:eastAsia="Times New Roman" w:hAnsi="Times New Roman" w:cs="Tahoma"/>
          <w:color w:val="000000"/>
        </w:rPr>
        <w:t>sICH</w:t>
      </w:r>
      <w:proofErr w:type="spellEnd"/>
      <w:r w:rsidRPr="004D5859">
        <w:rPr>
          <w:rFonts w:ascii="Times New Roman" w:eastAsia="Times New Roman" w:hAnsi="Times New Roman" w:cs="Tahoma"/>
          <w:color w:val="000000"/>
        </w:rPr>
        <w:t>.</w:t>
      </w:r>
      <w:r w:rsidR="000B569F" w:rsidRPr="004D5859">
        <w:rPr>
          <w:rFonts w:ascii="Times New Roman" w:eastAsia="Times New Roman" w:hAnsi="Times New Roman" w:cs="Tahoma"/>
          <w:color w:val="000000"/>
        </w:rPr>
        <w:t xml:space="preserve"> </w:t>
      </w:r>
      <w:r w:rsidRPr="004D5859">
        <w:rPr>
          <w:rFonts w:ascii="Times New Roman" w:eastAsia="Times New Roman" w:hAnsi="Times New Roman" w:cs="Tahoma"/>
          <w:color w:val="000000"/>
        </w:rPr>
        <w:t xml:space="preserve">Data are reported with </w:t>
      </w:r>
      <w:r w:rsidR="00234BC9">
        <w:rPr>
          <w:rFonts w:ascii="Times New Roman" w:eastAsia="Times New Roman" w:hAnsi="Times New Roman" w:cs="Tahoma"/>
          <w:color w:val="000000"/>
        </w:rPr>
        <w:t xml:space="preserve">adjusted </w:t>
      </w:r>
      <w:r w:rsidRPr="004D5859">
        <w:rPr>
          <w:rFonts w:ascii="Times New Roman" w:eastAsia="Times New Roman" w:hAnsi="Times New Roman" w:cs="Tahoma"/>
          <w:color w:val="000000"/>
        </w:rPr>
        <w:t>odds ratios (OR) and 95% confidence intervals (CI).</w:t>
      </w:r>
    </w:p>
    <w:p w14:paraId="65857D51" w14:textId="41C005CD" w:rsidR="00752747" w:rsidRPr="004D5859" w:rsidRDefault="00976388" w:rsidP="001174F9">
      <w:pPr>
        <w:spacing w:after="120" w:line="480" w:lineRule="auto"/>
        <w:rPr>
          <w:rFonts w:ascii="Tahoma" w:eastAsia="Times New Roman" w:hAnsi="Tahoma" w:cs="Tahoma"/>
          <w:color w:val="212121"/>
        </w:rPr>
      </w:pPr>
      <w:r w:rsidRPr="004D5859">
        <w:rPr>
          <w:rFonts w:ascii="Times New Roman" w:eastAsia="Times New Roman" w:hAnsi="Times New Roman" w:cs="Tahoma"/>
          <w:b/>
          <w:bCs/>
          <w:iCs/>
          <w:color w:val="000000"/>
        </w:rPr>
        <w:t>Results</w:t>
      </w:r>
      <w:r w:rsidR="000B569F" w:rsidRPr="004D5859">
        <w:rPr>
          <w:rFonts w:ascii="Times New Roman" w:eastAsia="Times New Roman" w:hAnsi="Times New Roman" w:cs="Tahoma"/>
          <w:b/>
          <w:bCs/>
          <w:iCs/>
          <w:color w:val="000000"/>
        </w:rPr>
        <w:t>:</w:t>
      </w:r>
      <w:r w:rsidR="000B569F" w:rsidRPr="004D5859">
        <w:rPr>
          <w:rFonts w:ascii="Times New Roman" w:eastAsia="Times New Roman" w:hAnsi="Times New Roman" w:cs="Tahoma"/>
          <w:b/>
          <w:bCs/>
          <w:i/>
          <w:iCs/>
          <w:color w:val="000000"/>
        </w:rPr>
        <w:t xml:space="preserve"> </w:t>
      </w:r>
      <w:r w:rsidR="00752747" w:rsidRPr="004D5859">
        <w:rPr>
          <w:rFonts w:ascii="Times New Roman" w:eastAsia="Times New Roman" w:hAnsi="Times New Roman" w:cs="Tahoma"/>
          <w:color w:val="000000"/>
        </w:rPr>
        <w:t>2916 patients (67±13 y</w:t>
      </w:r>
      <w:r w:rsidR="00EC2FEA" w:rsidRPr="004D5859">
        <w:rPr>
          <w:rFonts w:ascii="Times New Roman" w:eastAsia="Times New Roman" w:hAnsi="Times New Roman" w:cs="Tahoma"/>
          <w:color w:val="000000"/>
        </w:rPr>
        <w:t>ear</w:t>
      </w:r>
      <w:r w:rsidR="00752747" w:rsidRPr="004D5859">
        <w:rPr>
          <w:rFonts w:ascii="Times New Roman" w:eastAsia="Times New Roman" w:hAnsi="Times New Roman" w:cs="Tahoma"/>
          <w:color w:val="000000"/>
        </w:rPr>
        <w:t xml:space="preserve">s, National Institutes of Health Stroke Scale 8 [5-14]) were included. Visible </w:t>
      </w:r>
      <w:r w:rsidR="004D5859">
        <w:rPr>
          <w:rFonts w:ascii="Times New Roman" w:eastAsia="Times New Roman" w:hAnsi="Times New Roman" w:cs="Tahoma"/>
          <w:color w:val="000000"/>
        </w:rPr>
        <w:t>ischaemic</w:t>
      </w:r>
      <w:r w:rsidR="00752747" w:rsidRPr="004D5859">
        <w:rPr>
          <w:rFonts w:ascii="Times New Roman" w:eastAsia="Times New Roman" w:hAnsi="Times New Roman" w:cs="Tahoma"/>
          <w:color w:val="000000"/>
        </w:rPr>
        <w:t xml:space="preserve"> lesions, severe hypoattenuation, large </w:t>
      </w:r>
      <w:r w:rsidR="004D5859">
        <w:rPr>
          <w:rFonts w:ascii="Times New Roman" w:eastAsia="Times New Roman" w:hAnsi="Times New Roman" w:cs="Tahoma"/>
          <w:color w:val="000000"/>
        </w:rPr>
        <w:t>ischaemic</w:t>
      </w:r>
      <w:r w:rsidR="00752747" w:rsidRPr="004D5859">
        <w:rPr>
          <w:rFonts w:ascii="Times New Roman" w:eastAsia="Times New Roman" w:hAnsi="Times New Roman" w:cs="Tahoma"/>
          <w:color w:val="000000"/>
        </w:rPr>
        <w:t xml:space="preserve"> lesion, swelling and hyper-attenuated arteries were associated with </w:t>
      </w:r>
      <w:r w:rsidR="00EC2FEA" w:rsidRPr="004D5859">
        <w:rPr>
          <w:rFonts w:ascii="Times New Roman" w:eastAsia="Times New Roman" w:hAnsi="Times New Roman" w:cs="Tahoma"/>
          <w:color w:val="000000"/>
        </w:rPr>
        <w:t>7 day-</w:t>
      </w:r>
      <w:r w:rsidR="00752747" w:rsidRPr="004D5859">
        <w:rPr>
          <w:rFonts w:ascii="Times New Roman" w:eastAsia="Times New Roman" w:hAnsi="Times New Roman" w:cs="Tahoma"/>
          <w:color w:val="000000"/>
        </w:rPr>
        <w:t xml:space="preserve">death </w:t>
      </w:r>
      <w:r w:rsidR="0081663D" w:rsidRPr="004D5859">
        <w:rPr>
          <w:rFonts w:ascii="Times New Roman" w:eastAsia="Times New Roman" w:hAnsi="Times New Roman" w:cs="Tahoma"/>
          <w:color w:val="000000"/>
        </w:rPr>
        <w:t xml:space="preserve">(OR [95% CI]: 1·52 [1·06-2·18]; 1·51 [1·01-2·18]; 2·67 [1·52-4·71]; 1·49 [1·03-2·14] and 2·17 [1·48-3·18]) </w:t>
      </w:r>
      <w:r w:rsidR="00752747" w:rsidRPr="004D5859">
        <w:rPr>
          <w:rFonts w:ascii="Times New Roman" w:eastAsia="Times New Roman" w:hAnsi="Times New Roman" w:cs="Tahoma"/>
          <w:color w:val="000000"/>
        </w:rPr>
        <w:t xml:space="preserve">and </w:t>
      </w:r>
      <w:r w:rsidR="00715753" w:rsidRPr="004D5859">
        <w:rPr>
          <w:rFonts w:ascii="Times New Roman" w:eastAsia="Times New Roman" w:hAnsi="Times New Roman" w:cs="Tahoma"/>
          <w:color w:val="000000"/>
        </w:rPr>
        <w:t xml:space="preserve">inversely </w:t>
      </w:r>
      <w:r w:rsidR="00752747" w:rsidRPr="004D5859">
        <w:rPr>
          <w:rFonts w:ascii="Times New Roman" w:eastAsia="Times New Roman" w:hAnsi="Times New Roman" w:cs="Tahoma"/>
          <w:color w:val="000000"/>
        </w:rPr>
        <w:t>with good outcome.</w:t>
      </w:r>
      <w:r w:rsidR="000B569F" w:rsidRPr="004D5859">
        <w:rPr>
          <w:rFonts w:ascii="Times New Roman" w:eastAsia="Times New Roman" w:hAnsi="Times New Roman" w:cs="Tahoma"/>
          <w:color w:val="000000"/>
        </w:rPr>
        <w:t xml:space="preserve"> </w:t>
      </w:r>
      <w:r w:rsidR="00752747" w:rsidRPr="004D5859">
        <w:rPr>
          <w:rFonts w:ascii="Times New Roman" w:eastAsia="Times New Roman" w:hAnsi="Times New Roman" w:cs="Tahoma"/>
          <w:color w:val="000000"/>
        </w:rPr>
        <w:t xml:space="preserve">Severe atrophy was inversely associated with </w:t>
      </w:r>
      <w:r w:rsidR="00EC2FEA" w:rsidRPr="004D5859">
        <w:rPr>
          <w:rFonts w:ascii="Times New Roman" w:eastAsia="Times New Roman" w:hAnsi="Times New Roman" w:cs="Tahoma"/>
          <w:color w:val="000000"/>
        </w:rPr>
        <w:t>7 day-</w:t>
      </w:r>
      <w:r w:rsidR="00752747" w:rsidRPr="004D5859">
        <w:rPr>
          <w:rFonts w:ascii="Times New Roman" w:eastAsia="Times New Roman" w:hAnsi="Times New Roman" w:cs="Tahoma"/>
          <w:color w:val="000000"/>
        </w:rPr>
        <w:t xml:space="preserve">death </w:t>
      </w:r>
      <w:r w:rsidR="0081663D" w:rsidRPr="004D5859">
        <w:rPr>
          <w:rFonts w:ascii="Times New Roman" w:eastAsia="Times New Roman" w:hAnsi="Times New Roman" w:cs="Tahoma"/>
          <w:color w:val="000000"/>
        </w:rPr>
        <w:t>(0·52 [0·29-0·</w:t>
      </w:r>
      <w:r w:rsidR="00A61646" w:rsidRPr="004D5859">
        <w:rPr>
          <w:rFonts w:ascii="Times New Roman" w:eastAsia="Times New Roman" w:hAnsi="Times New Roman" w:cs="Tahoma"/>
          <w:color w:val="000000"/>
        </w:rPr>
        <w:t xml:space="preserve">96]). </w:t>
      </w:r>
      <w:r w:rsidR="0081663D" w:rsidRPr="004D5859">
        <w:rPr>
          <w:rFonts w:ascii="Times New Roman" w:eastAsia="Times New Roman" w:hAnsi="Times New Roman" w:cs="Tahoma"/>
          <w:color w:val="000000"/>
        </w:rPr>
        <w:t xml:space="preserve">Atrophy (1·52 [1·08-2·15]) and severe leukoaraiosis (1·74 [1·20-2·54]) were associated with </w:t>
      </w:r>
      <w:r w:rsidR="00EC2FEA" w:rsidRPr="004D5859">
        <w:rPr>
          <w:rFonts w:ascii="Times New Roman" w:eastAsia="Times New Roman" w:hAnsi="Times New Roman" w:cs="Tahoma"/>
          <w:color w:val="000000"/>
        </w:rPr>
        <w:t>90 day-</w:t>
      </w:r>
      <w:r w:rsidR="0081663D" w:rsidRPr="004D5859">
        <w:rPr>
          <w:rFonts w:ascii="Times New Roman" w:eastAsia="Times New Roman" w:hAnsi="Times New Roman" w:cs="Tahoma"/>
          <w:color w:val="000000"/>
        </w:rPr>
        <w:t xml:space="preserve">death. Hyper-attenuated arteries were associated with </w:t>
      </w:r>
      <w:proofErr w:type="spellStart"/>
      <w:r w:rsidR="0081663D" w:rsidRPr="004D5859">
        <w:rPr>
          <w:rFonts w:ascii="Times New Roman" w:eastAsia="Times New Roman" w:hAnsi="Times New Roman" w:cs="Tahoma"/>
          <w:color w:val="000000"/>
        </w:rPr>
        <w:t>sICH</w:t>
      </w:r>
      <w:proofErr w:type="spellEnd"/>
      <w:r w:rsidR="0081663D" w:rsidRPr="004D5859">
        <w:rPr>
          <w:rFonts w:ascii="Times New Roman" w:eastAsia="Times New Roman" w:hAnsi="Times New Roman" w:cs="Tahoma"/>
          <w:color w:val="000000"/>
        </w:rPr>
        <w:t xml:space="preserve"> (1·71 [1·01-2·89]). </w:t>
      </w:r>
      <w:r w:rsidR="00752747" w:rsidRPr="004D5859">
        <w:rPr>
          <w:rFonts w:ascii="Times New Roman" w:eastAsia="Times New Roman" w:hAnsi="Times New Roman" w:cs="Tahoma"/>
          <w:color w:val="000000"/>
        </w:rPr>
        <w:t xml:space="preserve">No imaging features modified the effect of </w:t>
      </w:r>
      <w:proofErr w:type="spellStart"/>
      <w:r w:rsidR="00752747" w:rsidRPr="004D5859">
        <w:rPr>
          <w:rFonts w:ascii="Times New Roman" w:eastAsia="Times New Roman" w:hAnsi="Times New Roman" w:cs="Tahoma"/>
          <w:color w:val="000000"/>
        </w:rPr>
        <w:t>alteplase</w:t>
      </w:r>
      <w:proofErr w:type="spellEnd"/>
      <w:r w:rsidR="00AD0DF7">
        <w:rPr>
          <w:rFonts w:ascii="Times New Roman" w:eastAsia="Times New Roman" w:hAnsi="Times New Roman" w:cs="Tahoma"/>
          <w:color w:val="000000"/>
        </w:rPr>
        <w:t xml:space="preserve"> dose</w:t>
      </w:r>
      <w:r w:rsidR="00752747" w:rsidRPr="004D5859">
        <w:rPr>
          <w:rFonts w:ascii="Times New Roman" w:eastAsia="Times New Roman" w:hAnsi="Times New Roman" w:cs="Tahoma"/>
          <w:color w:val="000000"/>
        </w:rPr>
        <w:t>.</w:t>
      </w:r>
    </w:p>
    <w:p w14:paraId="0E9C61E5" w14:textId="302B25BB" w:rsidR="00611FFA" w:rsidRPr="00611FFA" w:rsidRDefault="00976388" w:rsidP="00611FFA">
      <w:pPr>
        <w:spacing w:after="120" w:line="480" w:lineRule="auto"/>
        <w:rPr>
          <w:rFonts w:ascii="Times New Roman" w:eastAsia="Times New Roman" w:hAnsi="Times New Roman" w:cs="Tahoma"/>
          <w:color w:val="000000"/>
          <w:lang w:val="en-AU"/>
        </w:rPr>
      </w:pPr>
      <w:r w:rsidRPr="004D5859">
        <w:rPr>
          <w:rFonts w:ascii="Times New Roman" w:eastAsia="Times New Roman" w:hAnsi="Times New Roman" w:cs="Tahoma"/>
          <w:b/>
          <w:bCs/>
          <w:iCs/>
          <w:color w:val="000000"/>
        </w:rPr>
        <w:t>Conclusions:</w:t>
      </w:r>
      <w:r w:rsidR="000B569F" w:rsidRPr="004D5859">
        <w:rPr>
          <w:rFonts w:ascii="Times New Roman" w:eastAsia="Times New Roman" w:hAnsi="Times New Roman" w:cs="Tahoma"/>
          <w:color w:val="000000"/>
        </w:rPr>
        <w:t xml:space="preserve"> </w:t>
      </w:r>
      <w:r w:rsidR="00752747" w:rsidRPr="004D5859">
        <w:rPr>
          <w:rFonts w:ascii="Times New Roman" w:eastAsia="Times New Roman" w:hAnsi="Times New Roman" w:cs="Tahoma"/>
          <w:color w:val="000000"/>
        </w:rPr>
        <w:t xml:space="preserve">Non-expert defined </w:t>
      </w:r>
      <w:proofErr w:type="gramStart"/>
      <w:r w:rsidR="00752747" w:rsidRPr="004D5859">
        <w:rPr>
          <w:rFonts w:ascii="Times New Roman" w:eastAsia="Times New Roman" w:hAnsi="Times New Roman" w:cs="Tahoma"/>
          <w:color w:val="000000"/>
        </w:rPr>
        <w:t>brain imaging</w:t>
      </w:r>
      <w:proofErr w:type="gramEnd"/>
      <w:r w:rsidR="00752747" w:rsidRPr="004D5859">
        <w:rPr>
          <w:rFonts w:ascii="Times New Roman" w:eastAsia="Times New Roman" w:hAnsi="Times New Roman" w:cs="Tahoma"/>
          <w:color w:val="000000"/>
        </w:rPr>
        <w:t xml:space="preserve"> signs of </w:t>
      </w:r>
      <w:r w:rsidR="00B001C1" w:rsidRPr="004D5859">
        <w:rPr>
          <w:rFonts w:ascii="Times New Roman" w:eastAsia="Times New Roman" w:hAnsi="Times New Roman" w:cs="Tahoma"/>
          <w:color w:val="000000"/>
        </w:rPr>
        <w:t xml:space="preserve">brain frailty </w:t>
      </w:r>
      <w:r w:rsidR="00752747" w:rsidRPr="004D5859">
        <w:rPr>
          <w:rFonts w:ascii="Times New Roman" w:eastAsia="Times New Roman" w:hAnsi="Times New Roman" w:cs="Tahoma"/>
          <w:color w:val="000000"/>
        </w:rPr>
        <w:t xml:space="preserve">and </w:t>
      </w:r>
      <w:r w:rsidR="00B001C1" w:rsidRPr="004D5859">
        <w:rPr>
          <w:rFonts w:ascii="Times New Roman" w:eastAsia="Times New Roman" w:hAnsi="Times New Roman" w:cs="Tahoma"/>
          <w:color w:val="000000"/>
        </w:rPr>
        <w:t>acute</w:t>
      </w:r>
      <w:r w:rsidR="00752747" w:rsidRPr="004D5859">
        <w:rPr>
          <w:rFonts w:ascii="Times New Roman" w:eastAsia="Times New Roman" w:hAnsi="Times New Roman" w:cs="Tahoma"/>
          <w:color w:val="000000"/>
        </w:rPr>
        <w:t xml:space="preserve"> isch</w:t>
      </w:r>
      <w:r w:rsidR="006A2419">
        <w:rPr>
          <w:rFonts w:ascii="Times New Roman" w:eastAsia="Times New Roman" w:hAnsi="Times New Roman" w:cs="Tahoma"/>
          <w:color w:val="000000"/>
        </w:rPr>
        <w:t>a</w:t>
      </w:r>
      <w:r w:rsidR="00752747" w:rsidRPr="004D5859">
        <w:rPr>
          <w:rFonts w:ascii="Times New Roman" w:eastAsia="Times New Roman" w:hAnsi="Times New Roman" w:cs="Tahoma"/>
          <w:color w:val="000000"/>
        </w:rPr>
        <w:t xml:space="preserve">emia contribute to </w:t>
      </w:r>
      <w:r w:rsidR="00505806">
        <w:rPr>
          <w:rFonts w:ascii="Times New Roman" w:eastAsia="Times New Roman" w:hAnsi="Times New Roman" w:cs="Tahoma"/>
          <w:color w:val="000000"/>
        </w:rPr>
        <w:t xml:space="preserve">the </w:t>
      </w:r>
      <w:r w:rsidR="00752747" w:rsidRPr="004D5859">
        <w:rPr>
          <w:rFonts w:ascii="Times New Roman" w:eastAsia="Times New Roman" w:hAnsi="Times New Roman" w:cs="Tahoma"/>
          <w:color w:val="000000"/>
        </w:rPr>
        <w:t xml:space="preserve">prognosis </w:t>
      </w:r>
      <w:r w:rsidR="00505806">
        <w:rPr>
          <w:rFonts w:ascii="Times New Roman" w:eastAsia="Times New Roman" w:hAnsi="Times New Roman" w:cs="Tahoma"/>
          <w:color w:val="000000"/>
        </w:rPr>
        <w:t>of</w:t>
      </w:r>
      <w:r w:rsidR="00505806" w:rsidRPr="004D5859">
        <w:rPr>
          <w:rFonts w:ascii="Times New Roman" w:eastAsia="Times New Roman" w:hAnsi="Times New Roman" w:cs="Tahoma"/>
          <w:color w:val="000000"/>
        </w:rPr>
        <w:t xml:space="preserve"> </w:t>
      </w:r>
      <w:r w:rsidR="00752747" w:rsidRPr="004D5859">
        <w:rPr>
          <w:rFonts w:ascii="Times New Roman" w:eastAsia="Times New Roman" w:hAnsi="Times New Roman" w:cs="Tahoma"/>
          <w:color w:val="000000"/>
        </w:rPr>
        <w:t>thrombolysis-treated AIS patients</w:t>
      </w:r>
      <w:r w:rsidR="00505806">
        <w:rPr>
          <w:rFonts w:ascii="Times New Roman" w:eastAsia="Times New Roman" w:hAnsi="Times New Roman" w:cs="Tahoma"/>
          <w:color w:val="000000"/>
        </w:rPr>
        <w:t xml:space="preserve"> for </w:t>
      </w:r>
      <w:proofErr w:type="spellStart"/>
      <w:r w:rsidR="00505806">
        <w:rPr>
          <w:rFonts w:ascii="Times New Roman" w:eastAsia="Times New Roman" w:hAnsi="Times New Roman" w:cs="Tahoma"/>
          <w:color w:val="000000"/>
        </w:rPr>
        <w:t>sICH</w:t>
      </w:r>
      <w:proofErr w:type="spellEnd"/>
      <w:r w:rsidR="00505806">
        <w:rPr>
          <w:rFonts w:ascii="Times New Roman" w:eastAsia="Times New Roman" w:hAnsi="Times New Roman" w:cs="Tahoma"/>
          <w:color w:val="000000"/>
        </w:rPr>
        <w:t xml:space="preserve"> and mortality.</w:t>
      </w:r>
    </w:p>
    <w:p w14:paraId="35F306F6" w14:textId="4DD375B1" w:rsidR="00CB2705" w:rsidRPr="004D5859" w:rsidRDefault="00655DBF" w:rsidP="007F005C">
      <w:pPr>
        <w:spacing w:after="120" w:line="480" w:lineRule="auto"/>
        <w:rPr>
          <w:rFonts w:ascii="Times New Roman" w:eastAsia="Times New Roman" w:hAnsi="Times New Roman" w:cs="Tahoma"/>
          <w:color w:val="000000"/>
        </w:rPr>
      </w:pPr>
      <w:r>
        <w:rPr>
          <w:rFonts w:ascii="Times New Roman" w:eastAsia="Times New Roman" w:hAnsi="Times New Roman" w:cs="Tahoma"/>
          <w:color w:val="000000"/>
        </w:rPr>
        <w:t>However, t</w:t>
      </w:r>
      <w:r w:rsidR="006C2C01" w:rsidRPr="004D5859">
        <w:rPr>
          <w:rFonts w:ascii="Times New Roman" w:eastAsia="Times New Roman" w:hAnsi="Times New Roman" w:cs="Tahoma"/>
          <w:color w:val="000000"/>
        </w:rPr>
        <w:t>hese</w:t>
      </w:r>
      <w:r w:rsidR="00752747" w:rsidRPr="004D5859">
        <w:rPr>
          <w:rFonts w:ascii="Times New Roman" w:eastAsia="Times New Roman" w:hAnsi="Times New Roman" w:cs="Tahoma"/>
          <w:color w:val="000000"/>
        </w:rPr>
        <w:t xml:space="preserve"> imaging features showed no interaction with alteplase dose</w:t>
      </w:r>
      <w:r w:rsidR="00EC2FEA" w:rsidRPr="004D5859">
        <w:rPr>
          <w:rFonts w:ascii="Times New Roman" w:eastAsia="Times New Roman" w:hAnsi="Times New Roman" w:cs="Tahoma"/>
          <w:color w:val="000000"/>
        </w:rPr>
        <w:t>.</w:t>
      </w:r>
      <w:r w:rsidR="00CB2705" w:rsidRPr="004D5859">
        <w:rPr>
          <w:rFonts w:ascii="Times New Roman" w:hAnsi="Times New Roman" w:cs="Times New Roman"/>
          <w:b/>
        </w:rPr>
        <w:br w:type="page"/>
      </w:r>
    </w:p>
    <w:p w14:paraId="6016F8FE" w14:textId="1D9E19B9" w:rsidR="00087701" w:rsidRPr="004D5859" w:rsidRDefault="00B1648A" w:rsidP="007F005C">
      <w:pPr>
        <w:spacing w:after="120" w:line="480" w:lineRule="auto"/>
        <w:rPr>
          <w:rFonts w:ascii="Times New Roman" w:hAnsi="Times New Roman" w:cs="Times New Roman"/>
          <w:b/>
        </w:rPr>
      </w:pPr>
      <w:r w:rsidRPr="004D5859">
        <w:rPr>
          <w:rFonts w:ascii="Times New Roman" w:hAnsi="Times New Roman" w:cs="Times New Roman"/>
          <w:b/>
        </w:rPr>
        <w:lastRenderedPageBreak/>
        <w:t xml:space="preserve">INTRODUCTION </w:t>
      </w:r>
    </w:p>
    <w:p w14:paraId="77176928" w14:textId="53DDBA85" w:rsidR="00994D4B" w:rsidRPr="004D5859" w:rsidRDefault="00D45048" w:rsidP="00CA0635">
      <w:pPr>
        <w:spacing w:after="120" w:line="480" w:lineRule="auto"/>
        <w:rPr>
          <w:rFonts w:ascii="Times New Roman" w:hAnsi="Times New Roman" w:cs="Times New Roman"/>
        </w:rPr>
      </w:pPr>
      <w:r w:rsidRPr="004D5859">
        <w:rPr>
          <w:rFonts w:ascii="Times New Roman" w:hAnsi="Times New Roman" w:cs="Times New Roman"/>
        </w:rPr>
        <w:t>F</w:t>
      </w:r>
      <w:r w:rsidR="00383CAA" w:rsidRPr="004D5859">
        <w:rPr>
          <w:rFonts w:ascii="Times New Roman" w:hAnsi="Times New Roman" w:cs="Times New Roman"/>
        </w:rPr>
        <w:t xml:space="preserve">indings from the </w:t>
      </w:r>
      <w:r w:rsidR="00994D4B" w:rsidRPr="004D5859">
        <w:rPr>
          <w:rFonts w:ascii="Times New Roman" w:hAnsi="Times New Roman" w:cs="Times New Roman"/>
        </w:rPr>
        <w:t>third International Stroke Trial (IST3)</w:t>
      </w:r>
      <w:r w:rsidR="007F005C" w:rsidRPr="004D5859">
        <w:rPr>
          <w:rFonts w:ascii="Times New Roman" w:hAnsi="Times New Roman" w:cs="Times New Roman"/>
        </w:rPr>
        <w:t xml:space="preserve"> suggest that</w:t>
      </w:r>
      <w:r w:rsidR="00383CAA" w:rsidRPr="004D5859">
        <w:rPr>
          <w:rFonts w:ascii="Times New Roman" w:hAnsi="Times New Roman" w:cs="Times New Roman"/>
        </w:rPr>
        <w:t xml:space="preserve"> acute brain imaging signs</w:t>
      </w:r>
      <w:r w:rsidR="007F005C" w:rsidRPr="004D5859">
        <w:rPr>
          <w:rFonts w:ascii="Times New Roman" w:hAnsi="Times New Roman" w:cs="Times New Roman"/>
        </w:rPr>
        <w:t xml:space="preserve"> of</w:t>
      </w:r>
      <w:r w:rsidR="00AD5485" w:rsidRPr="004D5859">
        <w:rPr>
          <w:rFonts w:ascii="Times New Roman" w:hAnsi="Times New Roman" w:cs="Times New Roman"/>
        </w:rPr>
        <w:t xml:space="preserve"> </w:t>
      </w:r>
      <w:r w:rsidR="00F54233" w:rsidRPr="004D5859">
        <w:rPr>
          <w:rFonts w:ascii="Times New Roman" w:hAnsi="Times New Roman" w:cs="Times New Roman"/>
        </w:rPr>
        <w:t xml:space="preserve">acute </w:t>
      </w:r>
      <w:r w:rsidR="00AD5485" w:rsidRPr="004D5859">
        <w:rPr>
          <w:rFonts w:ascii="Times New Roman" w:hAnsi="Times New Roman" w:cs="Times New Roman"/>
        </w:rPr>
        <w:t>isch</w:t>
      </w:r>
      <w:r w:rsidR="004D5859">
        <w:rPr>
          <w:rFonts w:ascii="Times New Roman" w:hAnsi="Times New Roman" w:cs="Times New Roman"/>
        </w:rPr>
        <w:t>a</w:t>
      </w:r>
      <w:r w:rsidR="00AD5485" w:rsidRPr="004D5859">
        <w:rPr>
          <w:rFonts w:ascii="Times New Roman" w:hAnsi="Times New Roman" w:cs="Times New Roman"/>
        </w:rPr>
        <w:t>emia</w:t>
      </w:r>
      <w:r w:rsidR="00383CAA" w:rsidRPr="004D5859">
        <w:rPr>
          <w:rFonts w:ascii="Times New Roman" w:hAnsi="Times New Roman" w:cs="Times New Roman"/>
        </w:rPr>
        <w:t xml:space="preserve"> and markers of ‘brain frailty’ </w:t>
      </w:r>
      <w:r w:rsidR="0040745A" w:rsidRPr="004D5859">
        <w:rPr>
          <w:rFonts w:ascii="Times New Roman" w:hAnsi="Times New Roman" w:cs="Times New Roman"/>
        </w:rPr>
        <w:t>individually</w:t>
      </w:r>
      <w:r w:rsidR="00383CAA" w:rsidRPr="004D5859">
        <w:rPr>
          <w:rFonts w:ascii="Times New Roman" w:hAnsi="Times New Roman" w:cs="Times New Roman"/>
        </w:rPr>
        <w:t>,</w:t>
      </w:r>
      <w:r w:rsidR="0040745A" w:rsidRPr="004D5859">
        <w:rPr>
          <w:rFonts w:ascii="Times New Roman" w:hAnsi="Times New Roman" w:cs="Times New Roman"/>
        </w:rPr>
        <w:t xml:space="preserve"> and </w:t>
      </w:r>
      <w:r w:rsidR="00AE754D" w:rsidRPr="004D5859">
        <w:rPr>
          <w:rFonts w:ascii="Times New Roman" w:hAnsi="Times New Roman" w:cs="Times New Roman"/>
        </w:rPr>
        <w:t xml:space="preserve">in combination, </w:t>
      </w:r>
      <w:r w:rsidR="0040745A" w:rsidRPr="004D5859">
        <w:rPr>
          <w:rFonts w:ascii="Times New Roman" w:hAnsi="Times New Roman" w:cs="Times New Roman"/>
        </w:rPr>
        <w:t>predict</w:t>
      </w:r>
      <w:r w:rsidR="007F005C" w:rsidRPr="004D5859">
        <w:rPr>
          <w:rFonts w:ascii="Times New Roman" w:hAnsi="Times New Roman" w:cs="Times New Roman"/>
        </w:rPr>
        <w:t xml:space="preserve"> clinical</w:t>
      </w:r>
      <w:r w:rsidR="00AB6515" w:rsidRPr="004D5859">
        <w:rPr>
          <w:rFonts w:ascii="Times New Roman" w:hAnsi="Times New Roman" w:cs="Times New Roman"/>
        </w:rPr>
        <w:t xml:space="preserve"> </w:t>
      </w:r>
      <w:r w:rsidR="00383CAA" w:rsidRPr="004D5859">
        <w:rPr>
          <w:rFonts w:ascii="Times New Roman" w:hAnsi="Times New Roman" w:cs="Times New Roman"/>
        </w:rPr>
        <w:t>outcome</w:t>
      </w:r>
      <w:r w:rsidR="0063002F" w:rsidRPr="004D5859">
        <w:rPr>
          <w:rFonts w:ascii="Times New Roman" w:hAnsi="Times New Roman" w:cs="Times New Roman"/>
        </w:rPr>
        <w:t xml:space="preserve"> </w:t>
      </w:r>
      <w:r w:rsidR="00AB6515" w:rsidRPr="004D5859">
        <w:rPr>
          <w:rFonts w:ascii="Times New Roman" w:hAnsi="Times New Roman" w:cs="Times New Roman"/>
        </w:rPr>
        <w:t xml:space="preserve">and </w:t>
      </w:r>
      <w:proofErr w:type="spellStart"/>
      <w:proofErr w:type="gramStart"/>
      <w:r w:rsidR="00AB6515" w:rsidRPr="004D5859">
        <w:rPr>
          <w:rFonts w:ascii="Times New Roman" w:hAnsi="Times New Roman" w:cs="Times New Roman"/>
        </w:rPr>
        <w:t>sICH</w:t>
      </w:r>
      <w:proofErr w:type="spellEnd"/>
      <w:r w:rsidR="00A61646" w:rsidRPr="004D5859">
        <w:rPr>
          <w:rFonts w:ascii="Times New Roman" w:hAnsi="Times New Roman" w:cs="Times New Roman"/>
        </w:rPr>
        <w:t>[</w:t>
      </w:r>
      <w:proofErr w:type="gramEnd"/>
      <w:r w:rsidR="00A61646" w:rsidRPr="004D5859">
        <w:rPr>
          <w:rFonts w:ascii="Times New Roman" w:hAnsi="Times New Roman" w:cs="Times New Roman"/>
        </w:rPr>
        <w:t>1].</w:t>
      </w:r>
      <w:r w:rsidR="00610B0E" w:rsidRPr="004D5859">
        <w:rPr>
          <w:rFonts w:ascii="Times New Roman" w:hAnsi="Times New Roman" w:cs="Times New Roman"/>
        </w:rPr>
        <w:t xml:space="preserve"> </w:t>
      </w:r>
      <w:r w:rsidR="0023119B" w:rsidRPr="004D5859">
        <w:rPr>
          <w:rFonts w:ascii="Times New Roman" w:hAnsi="Times New Roman" w:cs="Times New Roman"/>
        </w:rPr>
        <w:t>K</w:t>
      </w:r>
      <w:r w:rsidR="0063002F" w:rsidRPr="004D5859">
        <w:rPr>
          <w:rFonts w:ascii="Times New Roman" w:hAnsi="Times New Roman" w:cs="Times New Roman"/>
        </w:rPr>
        <w:t xml:space="preserve">ey </w:t>
      </w:r>
      <w:r w:rsidR="00610B0E" w:rsidRPr="004D5859">
        <w:rPr>
          <w:rFonts w:ascii="Times New Roman" w:hAnsi="Times New Roman" w:cs="Times New Roman"/>
        </w:rPr>
        <w:t xml:space="preserve">findings </w:t>
      </w:r>
      <w:r w:rsidR="0063002F" w:rsidRPr="004D5859">
        <w:rPr>
          <w:rFonts w:ascii="Times New Roman" w:hAnsi="Times New Roman" w:cs="Times New Roman"/>
        </w:rPr>
        <w:t xml:space="preserve">were that acute </w:t>
      </w:r>
      <w:r w:rsidR="004D5859">
        <w:rPr>
          <w:rFonts w:ascii="Times New Roman" w:hAnsi="Times New Roman" w:cs="Times New Roman"/>
        </w:rPr>
        <w:t>ischaemic</w:t>
      </w:r>
      <w:r w:rsidR="00610B0E" w:rsidRPr="004D5859">
        <w:rPr>
          <w:rFonts w:ascii="Times New Roman" w:hAnsi="Times New Roman" w:cs="Times New Roman"/>
        </w:rPr>
        <w:t xml:space="preserve"> t</w:t>
      </w:r>
      <w:r w:rsidR="00994D4B" w:rsidRPr="004D5859">
        <w:rPr>
          <w:rFonts w:ascii="Times New Roman" w:hAnsi="Times New Roman" w:cs="Times New Roman"/>
        </w:rPr>
        <w:t>issue hypoattenuation, lesion swelling and hyperattenuated artery sign</w:t>
      </w:r>
      <w:r w:rsidR="00104F26" w:rsidRPr="004D5859">
        <w:rPr>
          <w:rFonts w:ascii="Times New Roman" w:hAnsi="Times New Roman" w:cs="Times New Roman"/>
        </w:rPr>
        <w:t>,</w:t>
      </w:r>
      <w:r w:rsidR="00994D4B" w:rsidRPr="004D5859">
        <w:rPr>
          <w:rFonts w:ascii="Times New Roman" w:hAnsi="Times New Roman" w:cs="Times New Roman"/>
        </w:rPr>
        <w:t xml:space="preserve"> </w:t>
      </w:r>
      <w:r w:rsidR="00610B0E" w:rsidRPr="004D5859">
        <w:rPr>
          <w:rFonts w:ascii="Times New Roman" w:hAnsi="Times New Roman" w:cs="Times New Roman"/>
        </w:rPr>
        <w:t>and</w:t>
      </w:r>
      <w:r w:rsidR="00994D4B" w:rsidRPr="004D5859">
        <w:rPr>
          <w:rFonts w:ascii="Times New Roman" w:hAnsi="Times New Roman" w:cs="Times New Roman"/>
        </w:rPr>
        <w:t xml:space="preserve"> pre-existing signs</w:t>
      </w:r>
      <w:r w:rsidR="00104F26" w:rsidRPr="004D5859">
        <w:rPr>
          <w:rFonts w:ascii="Times New Roman" w:hAnsi="Times New Roman" w:cs="Times New Roman"/>
        </w:rPr>
        <w:t xml:space="preserve"> of</w:t>
      </w:r>
      <w:r w:rsidR="00994D4B" w:rsidRPr="004D5859">
        <w:rPr>
          <w:rFonts w:ascii="Times New Roman" w:hAnsi="Times New Roman" w:cs="Times New Roman"/>
        </w:rPr>
        <w:t xml:space="preserve"> cerebrovascular disease</w:t>
      </w:r>
      <w:r w:rsidR="0023119B" w:rsidRPr="004D5859">
        <w:rPr>
          <w:rFonts w:ascii="Times New Roman" w:hAnsi="Times New Roman" w:cs="Times New Roman"/>
        </w:rPr>
        <w:t xml:space="preserve"> (“brain frailty”)</w:t>
      </w:r>
      <w:r w:rsidR="00994D4B" w:rsidRPr="004D5859">
        <w:rPr>
          <w:rFonts w:ascii="Times New Roman" w:hAnsi="Times New Roman" w:cs="Times New Roman"/>
        </w:rPr>
        <w:t xml:space="preserve"> including leukoaraiosis and cerebral atrophy</w:t>
      </w:r>
      <w:r w:rsidR="00463222" w:rsidRPr="004D5859">
        <w:rPr>
          <w:rFonts w:ascii="Times New Roman" w:hAnsi="Times New Roman" w:cs="Times New Roman"/>
        </w:rPr>
        <w:t>,</w:t>
      </w:r>
      <w:r w:rsidR="00994D4B" w:rsidRPr="004D5859">
        <w:rPr>
          <w:rFonts w:ascii="Times New Roman" w:hAnsi="Times New Roman" w:cs="Times New Roman"/>
        </w:rPr>
        <w:t xml:space="preserve"> predict</w:t>
      </w:r>
      <w:r w:rsidR="0063002F" w:rsidRPr="004D5859">
        <w:rPr>
          <w:rFonts w:ascii="Times New Roman" w:hAnsi="Times New Roman" w:cs="Times New Roman"/>
        </w:rPr>
        <w:t>ed</w:t>
      </w:r>
      <w:r w:rsidR="00994D4B" w:rsidRPr="004D5859">
        <w:rPr>
          <w:rFonts w:ascii="Times New Roman" w:hAnsi="Times New Roman" w:cs="Times New Roman"/>
        </w:rPr>
        <w:t xml:space="preserve"> poor functional outcome</w:t>
      </w:r>
      <w:r w:rsidR="00610B0E" w:rsidRPr="004D5859">
        <w:rPr>
          <w:rFonts w:ascii="Times New Roman" w:hAnsi="Times New Roman" w:cs="Times New Roman"/>
        </w:rPr>
        <w:t>, while t</w:t>
      </w:r>
      <w:r w:rsidR="00994D4B" w:rsidRPr="004D5859">
        <w:rPr>
          <w:rFonts w:ascii="Times New Roman" w:hAnsi="Times New Roman" w:cs="Times New Roman"/>
        </w:rPr>
        <w:t>issue hypoattenuation, hyperattenuated artery and previous infarct</w:t>
      </w:r>
      <w:r w:rsidR="00610B0E" w:rsidRPr="004D5859">
        <w:rPr>
          <w:rFonts w:ascii="Times New Roman" w:hAnsi="Times New Roman" w:cs="Times New Roman"/>
        </w:rPr>
        <w:t>ion</w:t>
      </w:r>
      <w:r w:rsidR="00463222" w:rsidRPr="004D5859">
        <w:rPr>
          <w:rFonts w:ascii="Times New Roman" w:hAnsi="Times New Roman" w:cs="Times New Roman"/>
        </w:rPr>
        <w:t>,</w:t>
      </w:r>
      <w:r w:rsidR="00994D4B" w:rsidRPr="004D5859">
        <w:rPr>
          <w:rFonts w:ascii="Times New Roman" w:hAnsi="Times New Roman" w:cs="Times New Roman"/>
        </w:rPr>
        <w:t xml:space="preserve"> increas</w:t>
      </w:r>
      <w:r w:rsidR="0063002F" w:rsidRPr="004D5859">
        <w:rPr>
          <w:rFonts w:ascii="Times New Roman" w:hAnsi="Times New Roman" w:cs="Times New Roman"/>
        </w:rPr>
        <w:t>ed</w:t>
      </w:r>
      <w:r w:rsidR="00994D4B" w:rsidRPr="004D5859">
        <w:rPr>
          <w:rFonts w:ascii="Times New Roman" w:hAnsi="Times New Roman" w:cs="Times New Roman"/>
        </w:rPr>
        <w:t xml:space="preserve"> the risk of </w:t>
      </w:r>
      <w:proofErr w:type="spellStart"/>
      <w:r w:rsidR="00994D4B" w:rsidRPr="004D5859">
        <w:rPr>
          <w:rFonts w:ascii="Times New Roman" w:hAnsi="Times New Roman" w:cs="Times New Roman"/>
        </w:rPr>
        <w:t>sICH</w:t>
      </w:r>
      <w:proofErr w:type="spellEnd"/>
      <w:r w:rsidR="0063002F" w:rsidRPr="004D5859">
        <w:rPr>
          <w:rFonts w:ascii="Times New Roman" w:hAnsi="Times New Roman" w:cs="Times New Roman"/>
        </w:rPr>
        <w:t xml:space="preserve">. </w:t>
      </w:r>
      <w:r w:rsidRPr="004D5859">
        <w:rPr>
          <w:rFonts w:ascii="Times New Roman" w:hAnsi="Times New Roman" w:cs="Times New Roman"/>
        </w:rPr>
        <w:t>We aim</w:t>
      </w:r>
      <w:r w:rsidR="00655DBF">
        <w:rPr>
          <w:rFonts w:ascii="Times New Roman" w:hAnsi="Times New Roman" w:cs="Times New Roman"/>
        </w:rPr>
        <w:t>ed</w:t>
      </w:r>
      <w:r w:rsidRPr="004D5859">
        <w:rPr>
          <w:rFonts w:ascii="Times New Roman" w:hAnsi="Times New Roman" w:cs="Times New Roman"/>
        </w:rPr>
        <w:t xml:space="preserve"> to confirm or refute these findings in the</w:t>
      </w:r>
      <w:r w:rsidR="009B26A7" w:rsidRPr="004D5859">
        <w:rPr>
          <w:rFonts w:ascii="Times New Roman" w:hAnsi="Times New Roman" w:cs="Times New Roman"/>
        </w:rPr>
        <w:t xml:space="preserve"> </w:t>
      </w:r>
      <w:r w:rsidR="0063002F" w:rsidRPr="004D5859">
        <w:rPr>
          <w:rFonts w:ascii="Times New Roman" w:hAnsi="Times New Roman" w:cs="Times New Roman"/>
        </w:rPr>
        <w:t>international</w:t>
      </w:r>
      <w:r w:rsidR="00463222" w:rsidRPr="004D5859">
        <w:rPr>
          <w:rFonts w:ascii="Times New Roman" w:hAnsi="Times New Roman" w:cs="Times New Roman"/>
        </w:rPr>
        <w:t>,</w:t>
      </w:r>
      <w:r w:rsidR="00994D4B" w:rsidRPr="004D5859">
        <w:rPr>
          <w:rFonts w:ascii="Times New Roman" w:hAnsi="Times New Roman" w:cs="Times New Roman"/>
        </w:rPr>
        <w:t xml:space="preserve"> </w:t>
      </w:r>
      <w:proofErr w:type="spellStart"/>
      <w:r w:rsidR="0063002F" w:rsidRPr="004D5859">
        <w:rPr>
          <w:rFonts w:ascii="Times New Roman" w:hAnsi="Times New Roman" w:cs="Times New Roman"/>
        </w:rPr>
        <w:t>E</w:t>
      </w:r>
      <w:r w:rsidR="00D1209C" w:rsidRPr="004D5859">
        <w:rPr>
          <w:rFonts w:ascii="Times New Roman" w:hAnsi="Times New Roman" w:cs="Times New Roman"/>
        </w:rPr>
        <w:t>N</w:t>
      </w:r>
      <w:r w:rsidR="0063002F" w:rsidRPr="004D5859">
        <w:rPr>
          <w:rFonts w:ascii="Times New Roman" w:hAnsi="Times New Roman" w:cs="Times New Roman"/>
        </w:rPr>
        <w:t>hanced</w:t>
      </w:r>
      <w:proofErr w:type="spellEnd"/>
      <w:r w:rsidR="0063002F" w:rsidRPr="004D5859">
        <w:rPr>
          <w:rFonts w:ascii="Times New Roman" w:hAnsi="Times New Roman" w:cs="Times New Roman"/>
        </w:rPr>
        <w:t xml:space="preserve"> Control of Hypertension </w:t>
      </w:r>
      <w:proofErr w:type="spellStart"/>
      <w:r w:rsidR="00D1209C" w:rsidRPr="004D5859">
        <w:rPr>
          <w:rFonts w:ascii="Times New Roman" w:hAnsi="Times New Roman" w:cs="Times New Roman"/>
        </w:rPr>
        <w:t>AN</w:t>
      </w:r>
      <w:r w:rsidR="0063002F" w:rsidRPr="004D5859">
        <w:rPr>
          <w:rFonts w:ascii="Times New Roman" w:hAnsi="Times New Roman" w:cs="Times New Roman"/>
        </w:rPr>
        <w:t>d</w:t>
      </w:r>
      <w:proofErr w:type="spellEnd"/>
      <w:r w:rsidR="0063002F" w:rsidRPr="004D5859">
        <w:rPr>
          <w:rFonts w:ascii="Times New Roman" w:hAnsi="Times New Roman" w:cs="Times New Roman"/>
        </w:rPr>
        <w:t xml:space="preserve"> Thrombolysis </w:t>
      </w:r>
      <w:proofErr w:type="spellStart"/>
      <w:r w:rsidR="00D1209C" w:rsidRPr="004D5859">
        <w:rPr>
          <w:rFonts w:ascii="Times New Roman" w:hAnsi="Times New Roman" w:cs="Times New Roman"/>
        </w:rPr>
        <w:t>s</w:t>
      </w:r>
      <w:r w:rsidR="0063002F" w:rsidRPr="004D5859">
        <w:rPr>
          <w:rFonts w:ascii="Times New Roman" w:hAnsi="Times New Roman" w:cs="Times New Roman"/>
        </w:rPr>
        <w:t>trok</w:t>
      </w:r>
      <w:r w:rsidR="00D1209C" w:rsidRPr="004D5859">
        <w:rPr>
          <w:rFonts w:ascii="Times New Roman" w:hAnsi="Times New Roman" w:cs="Times New Roman"/>
        </w:rPr>
        <w:t>E</w:t>
      </w:r>
      <w:proofErr w:type="spellEnd"/>
      <w:r w:rsidR="0063002F" w:rsidRPr="004D5859">
        <w:rPr>
          <w:rFonts w:ascii="Times New Roman" w:hAnsi="Times New Roman" w:cs="Times New Roman"/>
        </w:rPr>
        <w:t xml:space="preserve"> </w:t>
      </w:r>
      <w:proofErr w:type="spellStart"/>
      <w:r w:rsidR="00D1209C" w:rsidRPr="004D5859">
        <w:rPr>
          <w:rFonts w:ascii="Times New Roman" w:hAnsi="Times New Roman" w:cs="Times New Roman"/>
        </w:rPr>
        <w:t>s</w:t>
      </w:r>
      <w:r w:rsidR="0063002F" w:rsidRPr="004D5859">
        <w:rPr>
          <w:rFonts w:ascii="Times New Roman" w:hAnsi="Times New Roman" w:cs="Times New Roman"/>
        </w:rPr>
        <w:t>tu</w:t>
      </w:r>
      <w:r w:rsidR="00D1209C" w:rsidRPr="004D5859">
        <w:rPr>
          <w:rFonts w:ascii="Times New Roman" w:hAnsi="Times New Roman" w:cs="Times New Roman"/>
        </w:rPr>
        <w:t>D</w:t>
      </w:r>
      <w:r w:rsidR="0063002F" w:rsidRPr="004D5859">
        <w:rPr>
          <w:rFonts w:ascii="Times New Roman" w:hAnsi="Times New Roman" w:cs="Times New Roman"/>
        </w:rPr>
        <w:t>y</w:t>
      </w:r>
      <w:proofErr w:type="spellEnd"/>
      <w:r w:rsidR="0063002F" w:rsidRPr="004D5859">
        <w:rPr>
          <w:rFonts w:ascii="Times New Roman" w:hAnsi="Times New Roman" w:cs="Times New Roman"/>
        </w:rPr>
        <w:t xml:space="preserve"> (</w:t>
      </w:r>
      <w:r w:rsidR="00994D4B" w:rsidRPr="004D5859">
        <w:rPr>
          <w:rFonts w:ascii="Times New Roman" w:hAnsi="Times New Roman" w:cs="Times New Roman"/>
        </w:rPr>
        <w:t>ENCHANTED</w:t>
      </w:r>
      <w:r w:rsidR="0063002F" w:rsidRPr="004D5859">
        <w:rPr>
          <w:rFonts w:ascii="Times New Roman" w:hAnsi="Times New Roman" w:cs="Times New Roman"/>
        </w:rPr>
        <w:t>)</w:t>
      </w:r>
      <w:r w:rsidRPr="004D5859">
        <w:rPr>
          <w:rFonts w:ascii="Times New Roman" w:hAnsi="Times New Roman" w:cs="Times New Roman"/>
        </w:rPr>
        <w:t xml:space="preserve"> </w:t>
      </w:r>
      <w:r w:rsidR="005C4247" w:rsidRPr="004D5859">
        <w:rPr>
          <w:rFonts w:ascii="Times New Roman" w:hAnsi="Times New Roman" w:cs="Times New Roman"/>
        </w:rPr>
        <w:t xml:space="preserve">with three important differences: a </w:t>
      </w:r>
      <w:r w:rsidR="00463222" w:rsidRPr="004D5859">
        <w:rPr>
          <w:rFonts w:ascii="Times New Roman" w:hAnsi="Times New Roman" w:cs="Times New Roman"/>
        </w:rPr>
        <w:t xml:space="preserve">broader </w:t>
      </w:r>
      <w:r w:rsidR="005C4247" w:rsidRPr="004D5859">
        <w:rPr>
          <w:rFonts w:ascii="Times New Roman" w:hAnsi="Times New Roman" w:cs="Times New Roman"/>
        </w:rPr>
        <w:t>s</w:t>
      </w:r>
      <w:r w:rsidR="000A1EAA" w:rsidRPr="004D5859">
        <w:rPr>
          <w:rFonts w:ascii="Times New Roman" w:hAnsi="Times New Roman" w:cs="Times New Roman"/>
        </w:rPr>
        <w:t>ociodemographic</w:t>
      </w:r>
      <w:r w:rsidR="006379EB" w:rsidRPr="004D5859">
        <w:rPr>
          <w:rFonts w:ascii="Times New Roman" w:hAnsi="Times New Roman" w:cs="Times New Roman"/>
        </w:rPr>
        <w:t xml:space="preserve"> </w:t>
      </w:r>
      <w:r w:rsidR="000A1EAA" w:rsidRPr="004D5859">
        <w:rPr>
          <w:rFonts w:ascii="Times New Roman" w:hAnsi="Times New Roman" w:cs="Times New Roman"/>
        </w:rPr>
        <w:t xml:space="preserve">mix of </w:t>
      </w:r>
      <w:r w:rsidR="006379EB" w:rsidRPr="004D5859">
        <w:rPr>
          <w:rFonts w:ascii="Times New Roman" w:hAnsi="Times New Roman" w:cs="Times New Roman"/>
        </w:rPr>
        <w:t>patients</w:t>
      </w:r>
      <w:r w:rsidR="005C4247" w:rsidRPr="004D5859">
        <w:rPr>
          <w:rFonts w:ascii="Times New Roman" w:hAnsi="Times New Roman" w:cs="Times New Roman"/>
        </w:rPr>
        <w:t xml:space="preserve">; an opportunity to identify whether dose of </w:t>
      </w:r>
      <w:r w:rsidR="006379EB" w:rsidRPr="004D5859">
        <w:rPr>
          <w:rFonts w:ascii="Times New Roman" w:hAnsi="Times New Roman" w:cs="Times New Roman"/>
        </w:rPr>
        <w:t>alteplase</w:t>
      </w:r>
      <w:r w:rsidR="000A1EAA" w:rsidRPr="004D5859">
        <w:rPr>
          <w:rFonts w:ascii="Times New Roman" w:hAnsi="Times New Roman" w:cs="Times New Roman"/>
        </w:rPr>
        <w:t xml:space="preserve"> </w:t>
      </w:r>
      <w:r w:rsidR="005C4247" w:rsidRPr="004D5859">
        <w:rPr>
          <w:rFonts w:ascii="Times New Roman" w:hAnsi="Times New Roman" w:cs="Times New Roman"/>
        </w:rPr>
        <w:t xml:space="preserve">influenced the findings; and whether a </w:t>
      </w:r>
      <w:r w:rsidR="00270264" w:rsidRPr="004D5859">
        <w:rPr>
          <w:rFonts w:ascii="Times New Roman" w:hAnsi="Times New Roman" w:cs="Times New Roman"/>
        </w:rPr>
        <w:t>less experienced</w:t>
      </w:r>
      <w:r w:rsidR="005C4247" w:rsidRPr="004D5859">
        <w:rPr>
          <w:rFonts w:ascii="Times New Roman" w:hAnsi="Times New Roman" w:cs="Times New Roman"/>
        </w:rPr>
        <w:t xml:space="preserve"> brain imaging analysis team</w:t>
      </w:r>
      <w:r w:rsidR="00D06E02" w:rsidRPr="004D5859">
        <w:rPr>
          <w:rFonts w:ascii="Times New Roman" w:hAnsi="Times New Roman" w:cs="Times New Roman"/>
        </w:rPr>
        <w:t>, more representative of everyday clinical practice,</w:t>
      </w:r>
      <w:r w:rsidR="005C4247" w:rsidRPr="004D5859">
        <w:rPr>
          <w:rFonts w:ascii="Times New Roman" w:hAnsi="Times New Roman" w:cs="Times New Roman"/>
        </w:rPr>
        <w:t xml:space="preserve"> would lead to similar findings. The latter being particularly important for the potential generalisability of the findings</w:t>
      </w:r>
      <w:r w:rsidR="00AB37C5" w:rsidRPr="004D5859">
        <w:rPr>
          <w:rFonts w:ascii="Times New Roman" w:hAnsi="Times New Roman" w:cs="Times New Roman"/>
        </w:rPr>
        <w:t xml:space="preserve">. </w:t>
      </w:r>
      <w:r w:rsidR="005C4247" w:rsidRPr="004D5859">
        <w:rPr>
          <w:rFonts w:ascii="Times New Roman" w:hAnsi="Times New Roman" w:cs="Times New Roman"/>
        </w:rPr>
        <w:t xml:space="preserve">We also recognise that </w:t>
      </w:r>
      <w:r w:rsidR="00333A7C" w:rsidRPr="004D5859">
        <w:rPr>
          <w:rFonts w:ascii="Times New Roman" w:hAnsi="Times New Roman" w:cs="Times New Roman"/>
        </w:rPr>
        <w:t>r</w:t>
      </w:r>
      <w:r w:rsidR="00994D4B" w:rsidRPr="004D5859">
        <w:rPr>
          <w:rFonts w:ascii="Times New Roman" w:hAnsi="Times New Roman" w:cs="Times New Roman"/>
        </w:rPr>
        <w:t xml:space="preserve">eplication </w:t>
      </w:r>
      <w:r w:rsidR="000A1EAA" w:rsidRPr="004D5859">
        <w:rPr>
          <w:rFonts w:ascii="Times New Roman" w:hAnsi="Times New Roman" w:cs="Times New Roman"/>
        </w:rPr>
        <w:t>is</w:t>
      </w:r>
      <w:r w:rsidR="00994D4B" w:rsidRPr="004D5859">
        <w:rPr>
          <w:rFonts w:ascii="Times New Roman" w:hAnsi="Times New Roman" w:cs="Times New Roman"/>
        </w:rPr>
        <w:t xml:space="preserve"> an important mechanism to reduce waste in biomedical </w:t>
      </w:r>
      <w:proofErr w:type="gramStart"/>
      <w:r w:rsidR="00994D4B" w:rsidRPr="004D5859">
        <w:rPr>
          <w:rFonts w:ascii="Times New Roman" w:hAnsi="Times New Roman" w:cs="Times New Roman"/>
        </w:rPr>
        <w:t>research</w:t>
      </w:r>
      <w:r w:rsidR="00A61646" w:rsidRPr="004D5859">
        <w:rPr>
          <w:rFonts w:ascii="Times New Roman" w:hAnsi="Times New Roman" w:cs="Times New Roman"/>
        </w:rPr>
        <w:t>[</w:t>
      </w:r>
      <w:proofErr w:type="gramEnd"/>
      <w:r w:rsidR="00A61646" w:rsidRPr="004D5859">
        <w:rPr>
          <w:rFonts w:ascii="Times New Roman" w:hAnsi="Times New Roman" w:cs="Times New Roman"/>
        </w:rPr>
        <w:t>2]</w:t>
      </w:r>
      <w:r w:rsidR="005C4247" w:rsidRPr="004D5859">
        <w:rPr>
          <w:rFonts w:ascii="Times New Roman" w:hAnsi="Times New Roman" w:cs="Times New Roman"/>
        </w:rPr>
        <w:t>.</w:t>
      </w:r>
      <w:r w:rsidR="00AB6190" w:rsidRPr="004D5859">
        <w:rPr>
          <w:rFonts w:ascii="Times New Roman" w:hAnsi="Times New Roman" w:cs="Times New Roman"/>
        </w:rPr>
        <w:t xml:space="preserve"> </w:t>
      </w:r>
      <w:r w:rsidR="00463222" w:rsidRPr="004D5859">
        <w:rPr>
          <w:rFonts w:ascii="Times New Roman" w:hAnsi="Times New Roman" w:cs="Times New Roman"/>
        </w:rPr>
        <w:t>Herein, w</w:t>
      </w:r>
      <w:r w:rsidR="00333A7C" w:rsidRPr="004D5859">
        <w:rPr>
          <w:rFonts w:ascii="Times New Roman" w:hAnsi="Times New Roman" w:cs="Times New Roman"/>
        </w:rPr>
        <w:t xml:space="preserve">e </w:t>
      </w:r>
      <w:r w:rsidR="00994D4B" w:rsidRPr="004D5859">
        <w:rPr>
          <w:rFonts w:ascii="Times New Roman" w:hAnsi="Times New Roman" w:cs="Times New Roman"/>
        </w:rPr>
        <w:t>report</w:t>
      </w:r>
      <w:r w:rsidR="00333A7C" w:rsidRPr="004D5859">
        <w:rPr>
          <w:rFonts w:ascii="Times New Roman" w:hAnsi="Times New Roman" w:cs="Times New Roman"/>
        </w:rPr>
        <w:t xml:space="preserve"> </w:t>
      </w:r>
      <w:r w:rsidR="005C4247" w:rsidRPr="004D5859">
        <w:rPr>
          <w:rFonts w:ascii="Times New Roman" w:hAnsi="Times New Roman" w:cs="Times New Roman"/>
        </w:rPr>
        <w:t xml:space="preserve">our prospectively designed study of </w:t>
      </w:r>
      <w:r w:rsidR="00994D4B" w:rsidRPr="004D5859">
        <w:rPr>
          <w:rFonts w:ascii="Times New Roman" w:hAnsi="Times New Roman" w:cs="Times New Roman"/>
        </w:rPr>
        <w:t>the prognostic value of acute brain imaging signs</w:t>
      </w:r>
      <w:r w:rsidR="005C4247" w:rsidRPr="004D5859">
        <w:rPr>
          <w:rFonts w:ascii="Times New Roman" w:hAnsi="Times New Roman" w:cs="Times New Roman"/>
        </w:rPr>
        <w:t>,</w:t>
      </w:r>
      <w:r w:rsidR="00994D4B" w:rsidRPr="004D5859">
        <w:rPr>
          <w:rFonts w:ascii="Times New Roman" w:hAnsi="Times New Roman" w:cs="Times New Roman"/>
        </w:rPr>
        <w:t xml:space="preserve"> </w:t>
      </w:r>
      <w:r w:rsidR="006379EB" w:rsidRPr="004D5859">
        <w:rPr>
          <w:rFonts w:ascii="Times New Roman" w:hAnsi="Times New Roman" w:cs="Times New Roman"/>
        </w:rPr>
        <w:t xml:space="preserve">individually and combined, and their interaction with alteplase dose </w:t>
      </w:r>
      <w:r w:rsidR="000A1EAA" w:rsidRPr="004D5859">
        <w:rPr>
          <w:rFonts w:ascii="Times New Roman" w:hAnsi="Times New Roman" w:cs="Times New Roman"/>
        </w:rPr>
        <w:t xml:space="preserve">in </w:t>
      </w:r>
      <w:r w:rsidR="00994D4B" w:rsidRPr="004D5859">
        <w:rPr>
          <w:rFonts w:ascii="Times New Roman" w:hAnsi="Times New Roman" w:cs="Times New Roman"/>
        </w:rPr>
        <w:t>the ENCHANTED trial</w:t>
      </w:r>
      <w:r w:rsidR="00F02B59" w:rsidRPr="004D5859">
        <w:rPr>
          <w:rFonts w:ascii="Times New Roman" w:hAnsi="Times New Roman" w:cs="Times New Roman"/>
        </w:rPr>
        <w:t>.</w:t>
      </w:r>
    </w:p>
    <w:p w14:paraId="631FBB40" w14:textId="1CF89FC5" w:rsidR="00994D4B" w:rsidRPr="004D5859" w:rsidRDefault="00B1648A" w:rsidP="007F005C">
      <w:pPr>
        <w:spacing w:after="120" w:line="480" w:lineRule="auto"/>
        <w:rPr>
          <w:rFonts w:ascii="Times New Roman" w:hAnsi="Times New Roman" w:cs="Times New Roman"/>
          <w:b/>
        </w:rPr>
      </w:pPr>
      <w:r w:rsidRPr="004D5859">
        <w:rPr>
          <w:rFonts w:ascii="Times New Roman" w:hAnsi="Times New Roman" w:cs="Times New Roman"/>
          <w:b/>
        </w:rPr>
        <w:t>METHODS</w:t>
      </w:r>
    </w:p>
    <w:p w14:paraId="535F6C9A" w14:textId="0A93D932" w:rsidR="00994D4B" w:rsidRPr="004D5859" w:rsidRDefault="0063002F" w:rsidP="007F005C">
      <w:pPr>
        <w:spacing w:after="120" w:line="480" w:lineRule="auto"/>
        <w:rPr>
          <w:rFonts w:ascii="Times New Roman" w:hAnsi="Times New Roman" w:cs="Times New Roman"/>
          <w:b/>
        </w:rPr>
      </w:pPr>
      <w:r w:rsidRPr="004D5859">
        <w:rPr>
          <w:rFonts w:ascii="Times New Roman" w:hAnsi="Times New Roman" w:cs="Times New Roman"/>
          <w:b/>
        </w:rPr>
        <w:t>Study design</w:t>
      </w:r>
    </w:p>
    <w:p w14:paraId="0ED62E6F" w14:textId="7AB33AA1" w:rsidR="00994D4B" w:rsidRPr="004D5859" w:rsidRDefault="00994D4B" w:rsidP="007F005C">
      <w:pPr>
        <w:spacing w:after="120" w:line="480" w:lineRule="auto"/>
        <w:rPr>
          <w:rFonts w:ascii="Times New Roman" w:hAnsi="Times New Roman" w:cs="Times New Roman"/>
        </w:rPr>
      </w:pPr>
      <w:r w:rsidRPr="004D5859">
        <w:rPr>
          <w:rFonts w:ascii="Times New Roman" w:hAnsi="Times New Roman" w:cs="Times New Roman"/>
        </w:rPr>
        <w:t xml:space="preserve">ENCHANTED </w:t>
      </w:r>
      <w:r w:rsidR="00333A7C" w:rsidRPr="004D5859">
        <w:rPr>
          <w:rFonts w:ascii="Times New Roman" w:hAnsi="Times New Roman" w:cs="Times New Roman"/>
        </w:rPr>
        <w:t xml:space="preserve">was an international, </w:t>
      </w:r>
      <w:r w:rsidR="0099459D" w:rsidRPr="004D5859">
        <w:rPr>
          <w:rFonts w:ascii="Times New Roman" w:hAnsi="Times New Roman" w:cs="Times New Roman"/>
        </w:rPr>
        <w:t>multicentre</w:t>
      </w:r>
      <w:r w:rsidR="00333A7C" w:rsidRPr="004D5859">
        <w:rPr>
          <w:rFonts w:ascii="Times New Roman" w:hAnsi="Times New Roman" w:cs="Times New Roman"/>
        </w:rPr>
        <w:t xml:space="preserve">, </w:t>
      </w:r>
      <w:r w:rsidR="00463222" w:rsidRPr="004D5859">
        <w:rPr>
          <w:rFonts w:ascii="Times New Roman" w:hAnsi="Times New Roman" w:cs="Times New Roman"/>
        </w:rPr>
        <w:t xml:space="preserve">2x2 quasi-factorial </w:t>
      </w:r>
      <w:r w:rsidR="00333A7C" w:rsidRPr="004D5859">
        <w:rPr>
          <w:rFonts w:ascii="Times New Roman" w:hAnsi="Times New Roman" w:cs="Times New Roman"/>
        </w:rPr>
        <w:t>prospective, randomi</w:t>
      </w:r>
      <w:r w:rsidR="00EC3A99" w:rsidRPr="004D5859">
        <w:rPr>
          <w:rFonts w:ascii="Times New Roman" w:hAnsi="Times New Roman" w:cs="Times New Roman"/>
        </w:rPr>
        <w:t>s</w:t>
      </w:r>
      <w:r w:rsidR="00333A7C" w:rsidRPr="004D5859">
        <w:rPr>
          <w:rFonts w:ascii="Times New Roman" w:hAnsi="Times New Roman" w:cs="Times New Roman"/>
        </w:rPr>
        <w:t>ed, open-label, blinded-endpoint</w:t>
      </w:r>
      <w:r w:rsidR="00463222" w:rsidRPr="004D5859">
        <w:rPr>
          <w:rFonts w:ascii="Times New Roman" w:hAnsi="Times New Roman" w:cs="Times New Roman"/>
        </w:rPr>
        <w:t xml:space="preserve"> assessed</w:t>
      </w:r>
      <w:r w:rsidR="00333A7C" w:rsidRPr="004D5859">
        <w:rPr>
          <w:rFonts w:ascii="Times New Roman" w:hAnsi="Times New Roman" w:cs="Times New Roman"/>
        </w:rPr>
        <w:t xml:space="preserve"> trial that evaluated </w:t>
      </w:r>
      <w:r w:rsidR="00CD1A84" w:rsidRPr="004D5859">
        <w:rPr>
          <w:rFonts w:ascii="Times New Roman" w:hAnsi="Times New Roman" w:cs="Times New Roman"/>
        </w:rPr>
        <w:t xml:space="preserve">a lower dose of </w:t>
      </w:r>
      <w:r w:rsidR="00AB6190" w:rsidRPr="004D5859">
        <w:rPr>
          <w:rFonts w:ascii="Times New Roman" w:hAnsi="Times New Roman" w:cs="Times New Roman"/>
        </w:rPr>
        <w:t>alteplase</w:t>
      </w:r>
      <w:hyperlink w:anchor="_ENREF_6" w:tooltip="Anderson, 2016 #2" w:history="1">
        <w:r w:rsidR="00AB6190" w:rsidRPr="004D5859">
          <w:rPr>
            <w:rFonts w:ascii="Times New Roman" w:hAnsi="Times New Roman" w:cs="Times New Roman"/>
            <w:vertAlign w:val="superscript"/>
          </w:rPr>
          <w:t>3</w:t>
        </w:r>
      </w:hyperlink>
      <w:r w:rsidR="00AB6190" w:rsidRPr="004D5859">
        <w:rPr>
          <w:rFonts w:ascii="Times New Roman" w:hAnsi="Times New Roman" w:cs="Times New Roman"/>
        </w:rPr>
        <w:t xml:space="preserve"> </w:t>
      </w:r>
      <w:r w:rsidR="00CD1A84" w:rsidRPr="004D5859">
        <w:rPr>
          <w:rFonts w:ascii="Times New Roman" w:hAnsi="Times New Roman" w:cs="Times New Roman"/>
        </w:rPr>
        <w:t xml:space="preserve">and </w:t>
      </w:r>
      <w:r w:rsidR="00333A7C" w:rsidRPr="004D5859">
        <w:rPr>
          <w:rFonts w:ascii="Times New Roman" w:hAnsi="Times New Roman" w:cs="Times New Roman"/>
        </w:rPr>
        <w:t xml:space="preserve">more intensive </w:t>
      </w:r>
      <w:r w:rsidR="00CD1A84" w:rsidRPr="004D5859">
        <w:rPr>
          <w:rFonts w:ascii="Times New Roman" w:hAnsi="Times New Roman" w:cs="Times New Roman"/>
        </w:rPr>
        <w:t>blood pressure lowering</w:t>
      </w:r>
      <w:r w:rsidR="00333A7C" w:rsidRPr="004D5859">
        <w:rPr>
          <w:rFonts w:ascii="Times New Roman" w:hAnsi="Times New Roman" w:cs="Times New Roman"/>
        </w:rPr>
        <w:t xml:space="preserve"> in </w:t>
      </w:r>
      <w:r w:rsidR="00EC3A99" w:rsidRPr="004D5859">
        <w:rPr>
          <w:rFonts w:ascii="Times New Roman" w:hAnsi="Times New Roman" w:cs="Times New Roman"/>
        </w:rPr>
        <w:t>thrombolysis-</w:t>
      </w:r>
      <w:r w:rsidR="00333A7C" w:rsidRPr="004D5859">
        <w:rPr>
          <w:rFonts w:ascii="Times New Roman" w:hAnsi="Times New Roman" w:cs="Times New Roman"/>
        </w:rPr>
        <w:t xml:space="preserve">eligible </w:t>
      </w:r>
      <w:r w:rsidR="00CA0635" w:rsidRPr="004D5859">
        <w:rPr>
          <w:rFonts w:ascii="Times New Roman" w:hAnsi="Times New Roman" w:cs="Times New Roman"/>
        </w:rPr>
        <w:t xml:space="preserve">acute </w:t>
      </w:r>
      <w:r w:rsidR="004D5859">
        <w:rPr>
          <w:rFonts w:ascii="Times New Roman" w:hAnsi="Times New Roman" w:cs="Times New Roman"/>
        </w:rPr>
        <w:t>ischaemic</w:t>
      </w:r>
      <w:r w:rsidR="00CA0635" w:rsidRPr="004D5859">
        <w:rPr>
          <w:rFonts w:ascii="Times New Roman" w:hAnsi="Times New Roman" w:cs="Times New Roman"/>
        </w:rPr>
        <w:t xml:space="preserve"> stroke (</w:t>
      </w:r>
      <w:r w:rsidR="00EC3A99" w:rsidRPr="004D5859">
        <w:rPr>
          <w:rFonts w:ascii="Times New Roman" w:hAnsi="Times New Roman" w:cs="Times New Roman"/>
        </w:rPr>
        <w:t>AIS</w:t>
      </w:r>
      <w:r w:rsidR="00CA0635" w:rsidRPr="004D5859">
        <w:rPr>
          <w:rFonts w:ascii="Times New Roman" w:hAnsi="Times New Roman" w:cs="Times New Roman"/>
        </w:rPr>
        <w:t>)</w:t>
      </w:r>
      <w:r w:rsidR="00EC3A99" w:rsidRPr="004D5859">
        <w:rPr>
          <w:rFonts w:ascii="Times New Roman" w:hAnsi="Times New Roman" w:cs="Times New Roman"/>
        </w:rPr>
        <w:t xml:space="preserve"> </w:t>
      </w:r>
      <w:r w:rsidR="00333A7C" w:rsidRPr="004D5859">
        <w:rPr>
          <w:rFonts w:ascii="Times New Roman" w:hAnsi="Times New Roman" w:cs="Times New Roman"/>
        </w:rPr>
        <w:t>patients</w:t>
      </w:r>
      <w:r w:rsidR="00A61646" w:rsidRPr="004D5859">
        <w:rPr>
          <w:rFonts w:ascii="Times New Roman" w:hAnsi="Times New Roman" w:cs="Times New Roman"/>
        </w:rPr>
        <w:t>[3,4]</w:t>
      </w:r>
      <w:r w:rsidR="00333A7C" w:rsidRPr="004D5859">
        <w:rPr>
          <w:rFonts w:ascii="Times New Roman" w:hAnsi="Times New Roman" w:cs="Times New Roman"/>
        </w:rPr>
        <w:t>.</w:t>
      </w:r>
      <w:r w:rsidR="00F2528D" w:rsidRPr="004D5859">
        <w:rPr>
          <w:rFonts w:ascii="Times New Roman" w:hAnsi="Times New Roman" w:cs="Times New Roman"/>
        </w:rPr>
        <w:t xml:space="preserve"> </w:t>
      </w:r>
      <w:r w:rsidR="005C4247" w:rsidRPr="004D5859">
        <w:rPr>
          <w:rFonts w:ascii="Times New Roman" w:hAnsi="Times New Roman" w:cs="Times New Roman"/>
        </w:rPr>
        <w:t xml:space="preserve">These results are based on participants contributing to the alteplase arm of the </w:t>
      </w:r>
      <w:proofErr w:type="gramStart"/>
      <w:r w:rsidR="005C4247" w:rsidRPr="004D5859">
        <w:rPr>
          <w:rFonts w:ascii="Times New Roman" w:hAnsi="Times New Roman" w:cs="Times New Roman"/>
        </w:rPr>
        <w:t>trial</w:t>
      </w:r>
      <w:r w:rsidR="00A61646" w:rsidRPr="004D5859">
        <w:rPr>
          <w:rFonts w:ascii="Times New Roman" w:hAnsi="Times New Roman" w:cs="Times New Roman"/>
        </w:rPr>
        <w:t>[</w:t>
      </w:r>
      <w:proofErr w:type="gramEnd"/>
      <w:r w:rsidR="00A61646" w:rsidRPr="004D5859">
        <w:rPr>
          <w:rFonts w:ascii="Times New Roman" w:hAnsi="Times New Roman" w:cs="Times New Roman"/>
        </w:rPr>
        <w:t>3]</w:t>
      </w:r>
      <w:r w:rsidR="005C4247" w:rsidRPr="004D5859">
        <w:rPr>
          <w:rFonts w:ascii="Times New Roman" w:hAnsi="Times New Roman" w:cs="Times New Roman"/>
        </w:rPr>
        <w:t>.</w:t>
      </w:r>
      <w:r w:rsidR="00A61646" w:rsidRPr="004D5859">
        <w:rPr>
          <w:rFonts w:ascii="Times New Roman" w:hAnsi="Times New Roman" w:cs="Times New Roman"/>
        </w:rPr>
        <w:t xml:space="preserve"> </w:t>
      </w:r>
      <w:r w:rsidR="0063002F" w:rsidRPr="004D5859">
        <w:rPr>
          <w:rFonts w:ascii="Times New Roman" w:hAnsi="Times New Roman" w:cs="Times New Roman"/>
        </w:rPr>
        <w:t xml:space="preserve">Key demographic and clinical characteristics were recorded </w:t>
      </w:r>
      <w:r w:rsidR="0063002F" w:rsidRPr="004D5859">
        <w:rPr>
          <w:rFonts w:ascii="Times New Roman" w:hAnsi="Times New Roman" w:cs="Times New Roman"/>
        </w:rPr>
        <w:lastRenderedPageBreak/>
        <w:t xml:space="preserve">at the time of enrolment, </w:t>
      </w:r>
      <w:r w:rsidR="00D06E02" w:rsidRPr="004D5859">
        <w:rPr>
          <w:rFonts w:ascii="Times New Roman" w:hAnsi="Times New Roman" w:cs="Times New Roman"/>
        </w:rPr>
        <w:t xml:space="preserve">where </w:t>
      </w:r>
      <w:r w:rsidR="0063002F" w:rsidRPr="004D5859">
        <w:rPr>
          <w:rFonts w:ascii="Times New Roman" w:hAnsi="Times New Roman" w:cs="Times New Roman"/>
        </w:rPr>
        <w:t xml:space="preserve">clinical severity </w:t>
      </w:r>
      <w:r w:rsidR="00463222" w:rsidRPr="004D5859">
        <w:rPr>
          <w:rFonts w:ascii="Times New Roman" w:hAnsi="Times New Roman" w:cs="Times New Roman"/>
        </w:rPr>
        <w:t xml:space="preserve">was </w:t>
      </w:r>
      <w:r w:rsidR="0063002F" w:rsidRPr="004D5859">
        <w:rPr>
          <w:rFonts w:ascii="Times New Roman" w:hAnsi="Times New Roman" w:cs="Times New Roman"/>
        </w:rPr>
        <w:t xml:space="preserve">defined according to the National Institutes of Health stroke scale (NIHSS) at baseline, 24 hours, and at Day 7 (or earlier, on discharge from hospital). The primary </w:t>
      </w:r>
      <w:r w:rsidR="00333A7C" w:rsidRPr="004D5859">
        <w:rPr>
          <w:rFonts w:ascii="Times New Roman" w:hAnsi="Times New Roman" w:cs="Times New Roman"/>
        </w:rPr>
        <w:t xml:space="preserve">efficacy </w:t>
      </w:r>
      <w:r w:rsidR="0063002F" w:rsidRPr="004D5859">
        <w:rPr>
          <w:rFonts w:ascii="Times New Roman" w:hAnsi="Times New Roman" w:cs="Times New Roman"/>
        </w:rPr>
        <w:t xml:space="preserve">clinical outcome </w:t>
      </w:r>
      <w:r w:rsidR="00F655F6" w:rsidRPr="004D5859">
        <w:rPr>
          <w:rFonts w:ascii="Times New Roman" w:hAnsi="Times New Roman" w:cs="Times New Roman"/>
        </w:rPr>
        <w:t xml:space="preserve">of this </w:t>
      </w:r>
      <w:r w:rsidR="00B92244" w:rsidRPr="004D5859">
        <w:rPr>
          <w:rFonts w:ascii="Times New Roman" w:hAnsi="Times New Roman" w:cs="Times New Roman"/>
        </w:rPr>
        <w:t xml:space="preserve">imaging </w:t>
      </w:r>
      <w:r w:rsidR="00F655F6" w:rsidRPr="004D5859">
        <w:rPr>
          <w:rFonts w:ascii="Times New Roman" w:hAnsi="Times New Roman" w:cs="Times New Roman"/>
        </w:rPr>
        <w:t xml:space="preserve">study </w:t>
      </w:r>
      <w:r w:rsidR="0063002F" w:rsidRPr="004D5859">
        <w:rPr>
          <w:rFonts w:ascii="Times New Roman" w:hAnsi="Times New Roman" w:cs="Times New Roman"/>
        </w:rPr>
        <w:t xml:space="preserve">was </w:t>
      </w:r>
      <w:r w:rsidR="00FF79CD" w:rsidRPr="004D5859">
        <w:rPr>
          <w:rFonts w:ascii="Times New Roman" w:hAnsi="Times New Roman" w:cs="Times New Roman"/>
        </w:rPr>
        <w:t xml:space="preserve">good </w:t>
      </w:r>
      <w:r w:rsidR="00333A7C" w:rsidRPr="004D5859">
        <w:rPr>
          <w:rFonts w:ascii="Times New Roman" w:hAnsi="Times New Roman" w:cs="Times New Roman"/>
        </w:rPr>
        <w:t>outcome</w:t>
      </w:r>
      <w:r w:rsidR="000A1EAA" w:rsidRPr="004D5859">
        <w:rPr>
          <w:rFonts w:ascii="Times New Roman" w:hAnsi="Times New Roman" w:cs="Times New Roman"/>
        </w:rPr>
        <w:t>,</w:t>
      </w:r>
      <w:r w:rsidR="00333A7C" w:rsidRPr="004D5859">
        <w:rPr>
          <w:rFonts w:ascii="Times New Roman" w:hAnsi="Times New Roman" w:cs="Times New Roman"/>
        </w:rPr>
        <w:t xml:space="preserve"> defined by scores 0-</w:t>
      </w:r>
      <w:r w:rsidR="00E50A83" w:rsidRPr="004D5859">
        <w:rPr>
          <w:rFonts w:ascii="Times New Roman" w:hAnsi="Times New Roman" w:cs="Times New Roman"/>
        </w:rPr>
        <w:t xml:space="preserve">2 </w:t>
      </w:r>
      <w:r w:rsidR="00333A7C" w:rsidRPr="004D5859">
        <w:rPr>
          <w:rFonts w:ascii="Times New Roman" w:hAnsi="Times New Roman" w:cs="Times New Roman"/>
        </w:rPr>
        <w:t>on the modified Rankin scale (</w:t>
      </w:r>
      <w:proofErr w:type="spellStart"/>
      <w:r w:rsidR="0063002F" w:rsidRPr="004D5859">
        <w:rPr>
          <w:rFonts w:ascii="Times New Roman" w:hAnsi="Times New Roman" w:cs="Times New Roman"/>
        </w:rPr>
        <w:t>mRS</w:t>
      </w:r>
      <w:proofErr w:type="spellEnd"/>
      <w:r w:rsidR="00333A7C" w:rsidRPr="004D5859">
        <w:rPr>
          <w:rFonts w:ascii="Times New Roman" w:hAnsi="Times New Roman" w:cs="Times New Roman"/>
        </w:rPr>
        <w:t>) at 90 days post-</w:t>
      </w:r>
      <w:r w:rsidR="0063002F" w:rsidRPr="004D5859">
        <w:rPr>
          <w:rFonts w:ascii="Times New Roman" w:hAnsi="Times New Roman" w:cs="Times New Roman"/>
        </w:rPr>
        <w:t>randomi</w:t>
      </w:r>
      <w:r w:rsidR="00EC3A99" w:rsidRPr="004D5859">
        <w:rPr>
          <w:rFonts w:ascii="Times New Roman" w:hAnsi="Times New Roman" w:cs="Times New Roman"/>
        </w:rPr>
        <w:t>s</w:t>
      </w:r>
      <w:r w:rsidR="0063002F" w:rsidRPr="004D5859">
        <w:rPr>
          <w:rFonts w:ascii="Times New Roman" w:hAnsi="Times New Roman" w:cs="Times New Roman"/>
        </w:rPr>
        <w:t xml:space="preserve">ation. </w:t>
      </w:r>
      <w:r w:rsidR="00333A7C" w:rsidRPr="004D5859">
        <w:rPr>
          <w:rFonts w:ascii="Times New Roman" w:hAnsi="Times New Roman" w:cs="Times New Roman"/>
        </w:rPr>
        <w:t>S</w:t>
      </w:r>
      <w:r w:rsidR="0063002F" w:rsidRPr="004D5859">
        <w:rPr>
          <w:rFonts w:ascii="Times New Roman" w:hAnsi="Times New Roman" w:cs="Times New Roman"/>
        </w:rPr>
        <w:t xml:space="preserve">econdary safety outcomes were any </w:t>
      </w:r>
      <w:proofErr w:type="spellStart"/>
      <w:r w:rsidR="00EC3A99" w:rsidRPr="004D5859">
        <w:rPr>
          <w:rFonts w:ascii="Times New Roman" w:hAnsi="Times New Roman" w:cs="Times New Roman"/>
        </w:rPr>
        <w:t>s</w:t>
      </w:r>
      <w:r w:rsidR="0063002F" w:rsidRPr="004D5859">
        <w:rPr>
          <w:rFonts w:ascii="Times New Roman" w:hAnsi="Times New Roman" w:cs="Times New Roman"/>
        </w:rPr>
        <w:t>ICH</w:t>
      </w:r>
      <w:proofErr w:type="spellEnd"/>
      <w:r w:rsidR="0063002F" w:rsidRPr="004D5859">
        <w:rPr>
          <w:rFonts w:ascii="Times New Roman" w:hAnsi="Times New Roman" w:cs="Times New Roman"/>
        </w:rPr>
        <w:t xml:space="preserve"> </w:t>
      </w:r>
      <w:r w:rsidR="00333A7C" w:rsidRPr="004D5859">
        <w:rPr>
          <w:rFonts w:ascii="Times New Roman" w:hAnsi="Times New Roman" w:cs="Times New Roman"/>
        </w:rPr>
        <w:t>according to standard criteria</w:t>
      </w:r>
      <w:r w:rsidR="0063002F" w:rsidRPr="004D5859">
        <w:rPr>
          <w:rFonts w:ascii="Times New Roman" w:hAnsi="Times New Roman" w:cs="Times New Roman"/>
        </w:rPr>
        <w:t xml:space="preserve"> on brain imaging adjudicated centrally</w:t>
      </w:r>
      <w:r w:rsidR="00C2455F" w:rsidRPr="004D5859">
        <w:rPr>
          <w:rFonts w:ascii="Times New Roman" w:hAnsi="Times New Roman" w:cs="Times New Roman"/>
        </w:rPr>
        <w:t>, by a</w:t>
      </w:r>
      <w:r w:rsidR="000A1EAA" w:rsidRPr="004D5859">
        <w:rPr>
          <w:rFonts w:ascii="Times New Roman" w:hAnsi="Times New Roman" w:cs="Times New Roman"/>
        </w:rPr>
        <w:t>n</w:t>
      </w:r>
      <w:r w:rsidR="00C2455F" w:rsidRPr="004D5859">
        <w:rPr>
          <w:rFonts w:ascii="Times New Roman" w:hAnsi="Times New Roman" w:cs="Times New Roman"/>
        </w:rPr>
        <w:t xml:space="preserve"> adjudication panel of </w:t>
      </w:r>
      <w:proofErr w:type="gramStart"/>
      <w:r w:rsidR="00C2455F" w:rsidRPr="004D5859">
        <w:rPr>
          <w:rFonts w:ascii="Times New Roman" w:hAnsi="Times New Roman" w:cs="Times New Roman"/>
        </w:rPr>
        <w:t>experts</w:t>
      </w:r>
      <w:r w:rsidR="00A61646" w:rsidRPr="004D5859">
        <w:rPr>
          <w:rFonts w:ascii="Times New Roman" w:hAnsi="Times New Roman" w:cs="Times New Roman"/>
        </w:rPr>
        <w:t>[</w:t>
      </w:r>
      <w:proofErr w:type="gramEnd"/>
      <w:r w:rsidR="00A61646" w:rsidRPr="004D5859">
        <w:rPr>
          <w:rFonts w:ascii="Times New Roman" w:hAnsi="Times New Roman" w:cs="Times New Roman"/>
        </w:rPr>
        <w:t>5]</w:t>
      </w:r>
      <w:r w:rsidR="0063002F" w:rsidRPr="004D5859">
        <w:rPr>
          <w:rFonts w:ascii="Times New Roman" w:hAnsi="Times New Roman" w:cs="Times New Roman"/>
        </w:rPr>
        <w:t>.</w:t>
      </w:r>
      <w:r w:rsidR="00AB6190" w:rsidRPr="004D5859">
        <w:rPr>
          <w:rFonts w:ascii="Times New Roman" w:hAnsi="Times New Roman" w:cs="Times New Roman"/>
        </w:rPr>
        <w:t xml:space="preserve"> </w:t>
      </w:r>
      <w:r w:rsidRPr="004D5859">
        <w:rPr>
          <w:rFonts w:ascii="Times New Roman" w:hAnsi="Times New Roman" w:cs="Times New Roman"/>
        </w:rPr>
        <w:t>The study protocol was approved by the appropriate ethics committee at each participating cent</w:t>
      </w:r>
      <w:r w:rsidR="00333A7C" w:rsidRPr="004D5859">
        <w:rPr>
          <w:rFonts w:ascii="Times New Roman" w:hAnsi="Times New Roman" w:cs="Times New Roman"/>
        </w:rPr>
        <w:t>r</w:t>
      </w:r>
      <w:r w:rsidR="00EC3A99" w:rsidRPr="004D5859">
        <w:rPr>
          <w:rFonts w:ascii="Times New Roman" w:hAnsi="Times New Roman" w:cs="Times New Roman"/>
        </w:rPr>
        <w:t>e</w:t>
      </w:r>
      <w:r w:rsidRPr="004D5859">
        <w:rPr>
          <w:rFonts w:ascii="Times New Roman" w:hAnsi="Times New Roman" w:cs="Times New Roman"/>
        </w:rPr>
        <w:t xml:space="preserve">, and written informed consent was obtained from each patient or an appropriate surrogate. The study is registered with </w:t>
      </w:r>
      <w:r w:rsidR="00C47B5D" w:rsidRPr="004D5859">
        <w:rPr>
          <w:rFonts w:ascii="Times New Roman" w:hAnsi="Times New Roman" w:cs="Times New Roman"/>
        </w:rPr>
        <w:t>c</w:t>
      </w:r>
      <w:r w:rsidRPr="004D5859">
        <w:rPr>
          <w:rFonts w:ascii="Times New Roman" w:hAnsi="Times New Roman" w:cs="Times New Roman"/>
        </w:rPr>
        <w:t>linicaltrials.gov (number NCT01422616).</w:t>
      </w:r>
    </w:p>
    <w:p w14:paraId="49C00DAC" w14:textId="1D591D41" w:rsidR="00994D4B" w:rsidRPr="004D5859" w:rsidRDefault="00994D4B" w:rsidP="007F005C">
      <w:pPr>
        <w:spacing w:after="120" w:line="480" w:lineRule="auto"/>
        <w:rPr>
          <w:rFonts w:ascii="Times New Roman" w:hAnsi="Times New Roman" w:cs="Times New Roman"/>
          <w:b/>
        </w:rPr>
      </w:pPr>
      <w:r w:rsidRPr="004D5859">
        <w:rPr>
          <w:rFonts w:ascii="Times New Roman" w:hAnsi="Times New Roman" w:cs="Times New Roman"/>
          <w:b/>
        </w:rPr>
        <w:t>Imaging analys</w:t>
      </w:r>
      <w:r w:rsidR="00333A7C" w:rsidRPr="004D5859">
        <w:rPr>
          <w:rFonts w:ascii="Times New Roman" w:hAnsi="Times New Roman" w:cs="Times New Roman"/>
          <w:b/>
        </w:rPr>
        <w:t>e</w:t>
      </w:r>
      <w:r w:rsidRPr="004D5859">
        <w:rPr>
          <w:rFonts w:ascii="Times New Roman" w:hAnsi="Times New Roman" w:cs="Times New Roman"/>
          <w:b/>
        </w:rPr>
        <w:t>s</w:t>
      </w:r>
    </w:p>
    <w:p w14:paraId="0BB04311" w14:textId="138909B8" w:rsidR="008A21AD" w:rsidRPr="004D5859" w:rsidRDefault="00994D4B" w:rsidP="007F005C">
      <w:pPr>
        <w:spacing w:after="120" w:line="480" w:lineRule="auto"/>
        <w:rPr>
          <w:rFonts w:ascii="Times New Roman" w:hAnsi="Times New Roman" w:cs="Times New Roman"/>
        </w:rPr>
      </w:pPr>
      <w:r w:rsidRPr="004D5859">
        <w:rPr>
          <w:rFonts w:ascii="Times New Roman" w:hAnsi="Times New Roman" w:cs="Times New Roman"/>
        </w:rPr>
        <w:t>Uncompressed digital images of baseline and follow-up CT, MRI, and angiogra</w:t>
      </w:r>
      <w:r w:rsidR="009139BC" w:rsidRPr="004D5859">
        <w:rPr>
          <w:rFonts w:ascii="Times New Roman" w:hAnsi="Times New Roman" w:cs="Times New Roman"/>
        </w:rPr>
        <w:t>phy</w:t>
      </w:r>
      <w:r w:rsidR="00463222" w:rsidRPr="004D5859">
        <w:rPr>
          <w:rFonts w:ascii="Times New Roman" w:hAnsi="Times New Roman" w:cs="Times New Roman"/>
        </w:rPr>
        <w:t>,</w:t>
      </w:r>
      <w:r w:rsidRPr="004D5859">
        <w:rPr>
          <w:rFonts w:ascii="Times New Roman" w:hAnsi="Times New Roman" w:cs="Times New Roman"/>
        </w:rPr>
        <w:t xml:space="preserve"> were uploaded into the study brain imaging database in Digital Imaging and Communications in Medicine </w:t>
      </w:r>
      <w:r w:rsidR="00463222" w:rsidRPr="004D5859">
        <w:rPr>
          <w:rFonts w:ascii="Times New Roman" w:hAnsi="Times New Roman" w:cs="Times New Roman"/>
        </w:rPr>
        <w:t xml:space="preserve">(DICOM) </w:t>
      </w:r>
      <w:r w:rsidRPr="004D5859">
        <w:rPr>
          <w:rFonts w:ascii="Times New Roman" w:hAnsi="Times New Roman" w:cs="Times New Roman"/>
        </w:rPr>
        <w:t xml:space="preserve">format identified only by the patient's unique study identification number. </w:t>
      </w:r>
      <w:r w:rsidR="00B42B8D" w:rsidRPr="004D5859">
        <w:rPr>
          <w:rFonts w:ascii="Times New Roman" w:hAnsi="Times New Roman" w:cs="Times New Roman"/>
        </w:rPr>
        <w:t xml:space="preserve">Where multiple baseline scans were available for a </w:t>
      </w:r>
      <w:r w:rsidR="00333A7C" w:rsidRPr="004D5859">
        <w:rPr>
          <w:rFonts w:ascii="Times New Roman" w:hAnsi="Times New Roman" w:cs="Times New Roman"/>
        </w:rPr>
        <w:t>patient</w:t>
      </w:r>
      <w:r w:rsidR="00B42B8D" w:rsidRPr="004D5859">
        <w:rPr>
          <w:rFonts w:ascii="Times New Roman" w:hAnsi="Times New Roman" w:cs="Times New Roman"/>
        </w:rPr>
        <w:t xml:space="preserve">, we identified one of these assessments for analysis based on the following rules: non-contrast CT in preference to the plain CT images </w:t>
      </w:r>
      <w:r w:rsidR="004305BE" w:rsidRPr="004D5859">
        <w:rPr>
          <w:rFonts w:ascii="Times New Roman" w:hAnsi="Times New Roman" w:cs="Times New Roman"/>
        </w:rPr>
        <w:t>from CT angiogram or perfusion studies</w:t>
      </w:r>
      <w:r w:rsidR="003D196E">
        <w:rPr>
          <w:rFonts w:ascii="Times New Roman" w:hAnsi="Times New Roman" w:cs="Times New Roman"/>
        </w:rPr>
        <w:t xml:space="preserve"> </w:t>
      </w:r>
      <w:r w:rsidR="003D196E" w:rsidRPr="003C06D8">
        <w:rPr>
          <w:rFonts w:ascii="Times New Roman" w:hAnsi="Times New Roman" w:cs="Times New Roman"/>
          <w:lang w:val="en-AU"/>
        </w:rPr>
        <w:t>(</w:t>
      </w:r>
      <w:proofErr w:type="gramStart"/>
      <w:r w:rsidR="003D196E" w:rsidRPr="003C06D8">
        <w:rPr>
          <w:rFonts w:ascii="Times New Roman" w:hAnsi="Times New Roman" w:cs="Times New Roman"/>
          <w:lang w:val="en-AU"/>
        </w:rPr>
        <w:t>N[</w:t>
      </w:r>
      <w:proofErr w:type="gramEnd"/>
      <w:r w:rsidR="003D196E" w:rsidRPr="003C06D8">
        <w:rPr>
          <w:rFonts w:ascii="Times New Roman" w:hAnsi="Times New Roman" w:cs="Times New Roman"/>
          <w:lang w:val="en-AU"/>
        </w:rPr>
        <w:t>scans excluded]=27)</w:t>
      </w:r>
      <w:r w:rsidR="00B42B8D" w:rsidRPr="004D5859">
        <w:rPr>
          <w:rFonts w:ascii="Times New Roman" w:hAnsi="Times New Roman" w:cs="Times New Roman"/>
        </w:rPr>
        <w:t xml:space="preserve">; </w:t>
      </w:r>
      <w:r w:rsidR="003D196E" w:rsidRPr="003C06D8">
        <w:rPr>
          <w:rFonts w:ascii="Times New Roman" w:hAnsi="Times New Roman" w:cs="Times New Roman"/>
          <w:lang w:val="en-AU"/>
        </w:rPr>
        <w:t xml:space="preserve">plain CT images from CT angiogram in preference to that from CT perfusion (N[scans excluded]=7); </w:t>
      </w:r>
      <w:r w:rsidR="00B42B8D" w:rsidRPr="004D5859">
        <w:rPr>
          <w:rFonts w:ascii="Times New Roman" w:hAnsi="Times New Roman" w:cs="Times New Roman"/>
        </w:rPr>
        <w:t>CT scan with thick slices</w:t>
      </w:r>
      <w:r w:rsidR="003D196E">
        <w:rPr>
          <w:rFonts w:ascii="Times New Roman" w:hAnsi="Times New Roman" w:cs="Times New Roman"/>
        </w:rPr>
        <w:t xml:space="preserve"> </w:t>
      </w:r>
      <w:r w:rsidR="003D196E" w:rsidRPr="003C06D8">
        <w:rPr>
          <w:rFonts w:ascii="Times New Roman" w:eastAsia="Times New Roman" w:hAnsi="Times New Roman" w:cs="Times New Roman"/>
          <w:lang w:val="en-AU"/>
        </w:rPr>
        <w:t>(N[scans excluded]=3)</w:t>
      </w:r>
      <w:r w:rsidR="00B42B8D" w:rsidRPr="004D5859">
        <w:rPr>
          <w:rFonts w:ascii="Times New Roman" w:hAnsi="Times New Roman" w:cs="Times New Roman"/>
        </w:rPr>
        <w:t>; scanning time closest to time of randomi</w:t>
      </w:r>
      <w:r w:rsidR="00EC3A99" w:rsidRPr="004D5859">
        <w:rPr>
          <w:rFonts w:ascii="Times New Roman" w:hAnsi="Times New Roman" w:cs="Times New Roman"/>
        </w:rPr>
        <w:t>s</w:t>
      </w:r>
      <w:r w:rsidR="00B42B8D" w:rsidRPr="004D5859">
        <w:rPr>
          <w:rFonts w:ascii="Times New Roman" w:hAnsi="Times New Roman" w:cs="Times New Roman"/>
        </w:rPr>
        <w:t>ation</w:t>
      </w:r>
      <w:r w:rsidR="00EA594F" w:rsidRPr="004D5859">
        <w:rPr>
          <w:rFonts w:ascii="Times New Roman" w:hAnsi="Times New Roman" w:cs="Times New Roman"/>
        </w:rPr>
        <w:t xml:space="preserve"> </w:t>
      </w:r>
      <w:r w:rsidR="003D196E" w:rsidRPr="003C06D8">
        <w:rPr>
          <w:rFonts w:ascii="Times New Roman" w:eastAsia="Times New Roman" w:hAnsi="Times New Roman" w:cs="Times New Roman"/>
          <w:lang w:val="en-AU"/>
        </w:rPr>
        <w:t xml:space="preserve">(N[scans excluded]=7) </w:t>
      </w:r>
      <w:r w:rsidR="00EA594F" w:rsidRPr="004D5859">
        <w:rPr>
          <w:rFonts w:ascii="Times New Roman" w:hAnsi="Times New Roman" w:cs="Times New Roman"/>
        </w:rPr>
        <w:t>and MRI when only MRI was conducted at baseline</w:t>
      </w:r>
      <w:r w:rsidR="003D196E">
        <w:rPr>
          <w:rFonts w:ascii="Times New Roman" w:hAnsi="Times New Roman" w:cs="Times New Roman"/>
        </w:rPr>
        <w:t xml:space="preserve"> </w:t>
      </w:r>
      <w:r w:rsidR="003D196E" w:rsidRPr="003C06D8">
        <w:rPr>
          <w:rFonts w:ascii="Times New Roman" w:eastAsia="Times New Roman" w:hAnsi="Times New Roman" w:cs="Times New Roman"/>
          <w:lang w:val="en-AU"/>
        </w:rPr>
        <w:t>(N[scans included]=100’)</w:t>
      </w:r>
      <w:r w:rsidR="00A61646" w:rsidRPr="003D196E">
        <w:rPr>
          <w:rFonts w:ascii="Times New Roman" w:hAnsi="Times New Roman" w:cs="Times New Roman"/>
        </w:rPr>
        <w:t>.</w:t>
      </w:r>
      <w:r w:rsidR="00A61646" w:rsidRPr="004D5859">
        <w:rPr>
          <w:rFonts w:ascii="Times New Roman" w:hAnsi="Times New Roman" w:cs="Times New Roman"/>
        </w:rPr>
        <w:t xml:space="preserve"> </w:t>
      </w:r>
      <w:r w:rsidR="00333A7C" w:rsidRPr="004D5859">
        <w:rPr>
          <w:rFonts w:ascii="Times New Roman" w:hAnsi="Times New Roman" w:cs="Times New Roman"/>
        </w:rPr>
        <w:t>As</w:t>
      </w:r>
      <w:r w:rsidR="0027387A" w:rsidRPr="004D5859">
        <w:rPr>
          <w:rFonts w:ascii="Times New Roman" w:hAnsi="Times New Roman" w:cs="Times New Roman"/>
        </w:rPr>
        <w:t xml:space="preserve">sessment of </w:t>
      </w:r>
      <w:r w:rsidR="00463222" w:rsidRPr="004D5859">
        <w:rPr>
          <w:rFonts w:ascii="Times New Roman" w:hAnsi="Times New Roman" w:cs="Times New Roman"/>
        </w:rPr>
        <w:t xml:space="preserve">intracranial </w:t>
      </w:r>
      <w:r w:rsidR="004D5859">
        <w:rPr>
          <w:rFonts w:ascii="Times New Roman" w:hAnsi="Times New Roman" w:cs="Times New Roman"/>
        </w:rPr>
        <w:t>haemorrhage</w:t>
      </w:r>
      <w:r w:rsidR="0027387A" w:rsidRPr="004D5859">
        <w:rPr>
          <w:rFonts w:ascii="Times New Roman" w:hAnsi="Times New Roman" w:cs="Times New Roman"/>
        </w:rPr>
        <w:t xml:space="preserve"> was assessed </w:t>
      </w:r>
      <w:r w:rsidR="006379EB" w:rsidRPr="004D5859">
        <w:rPr>
          <w:rFonts w:ascii="Times New Roman" w:hAnsi="Times New Roman" w:cs="Times New Roman"/>
        </w:rPr>
        <w:t xml:space="preserve">visually </w:t>
      </w:r>
      <w:r w:rsidR="0027387A" w:rsidRPr="004D5859">
        <w:rPr>
          <w:rFonts w:ascii="Times New Roman" w:hAnsi="Times New Roman" w:cs="Times New Roman"/>
        </w:rPr>
        <w:t>by a</w:t>
      </w:r>
      <w:r w:rsidR="00333A7C" w:rsidRPr="004D5859">
        <w:rPr>
          <w:rFonts w:ascii="Times New Roman" w:hAnsi="Times New Roman" w:cs="Times New Roman"/>
        </w:rPr>
        <w:t>n</w:t>
      </w:r>
      <w:r w:rsidR="0027387A" w:rsidRPr="004D5859">
        <w:rPr>
          <w:rFonts w:ascii="Times New Roman" w:hAnsi="Times New Roman" w:cs="Times New Roman"/>
        </w:rPr>
        <w:t xml:space="preserve"> </w:t>
      </w:r>
      <w:r w:rsidR="00770F97" w:rsidRPr="004D5859">
        <w:rPr>
          <w:rFonts w:ascii="Times New Roman" w:hAnsi="Times New Roman" w:cs="Times New Roman"/>
        </w:rPr>
        <w:t xml:space="preserve">adjudication panel using the </w:t>
      </w:r>
      <w:proofErr w:type="spellStart"/>
      <w:r w:rsidR="00770F97" w:rsidRPr="004D5859">
        <w:rPr>
          <w:rFonts w:ascii="Times New Roman" w:hAnsi="Times New Roman" w:cs="Times New Roman"/>
        </w:rPr>
        <w:t>M</w:t>
      </w:r>
      <w:r w:rsidR="008C7A56" w:rsidRPr="004D5859">
        <w:rPr>
          <w:rFonts w:ascii="Times New Roman" w:hAnsi="Times New Roman" w:cs="Times New Roman"/>
        </w:rPr>
        <w:t>IStar</w:t>
      </w:r>
      <w:proofErr w:type="spellEnd"/>
      <w:r w:rsidR="00770F97" w:rsidRPr="004D5859">
        <w:rPr>
          <w:rFonts w:ascii="Times New Roman" w:hAnsi="Times New Roman" w:cs="Times New Roman"/>
        </w:rPr>
        <w:t xml:space="preserve"> imaging analysis software</w:t>
      </w:r>
      <w:r w:rsidR="009F3BE7" w:rsidRPr="004D5859">
        <w:rPr>
          <w:rFonts w:ascii="Times New Roman" w:hAnsi="Times New Roman" w:cs="Times New Roman"/>
        </w:rPr>
        <w:t xml:space="preserve"> (</w:t>
      </w:r>
      <w:proofErr w:type="spellStart"/>
      <w:r w:rsidR="00DB6FC9" w:rsidRPr="004D5859">
        <w:rPr>
          <w:rFonts w:ascii="Times New Roman" w:hAnsi="Times New Roman" w:cs="Times New Roman"/>
        </w:rPr>
        <w:t>MIStar</w:t>
      </w:r>
      <w:proofErr w:type="spellEnd"/>
      <w:r w:rsidR="00DB6FC9" w:rsidRPr="004D5859">
        <w:rPr>
          <w:rFonts w:ascii="Times New Roman" w:hAnsi="Times New Roman" w:cs="Times New Roman"/>
        </w:rPr>
        <w:t>™ Apollo Inc, Melbourne, A</w:t>
      </w:r>
      <w:r w:rsidR="0089498F" w:rsidRPr="004D5859">
        <w:rPr>
          <w:rFonts w:ascii="Times New Roman" w:hAnsi="Times New Roman" w:cs="Times New Roman"/>
        </w:rPr>
        <w:t>ustralia</w:t>
      </w:r>
      <w:r w:rsidR="00DB6FC9" w:rsidRPr="004D5859">
        <w:rPr>
          <w:rFonts w:ascii="Times New Roman" w:hAnsi="Times New Roman" w:cs="Times New Roman"/>
        </w:rPr>
        <w:t>)</w:t>
      </w:r>
      <w:r w:rsidR="00A61646" w:rsidRPr="004D5859">
        <w:rPr>
          <w:rFonts w:ascii="Times New Roman" w:hAnsi="Times New Roman" w:cs="Times New Roman"/>
        </w:rPr>
        <w:t>, blind to all clini</w:t>
      </w:r>
      <w:r w:rsidR="00770F97" w:rsidRPr="004D5859">
        <w:rPr>
          <w:rFonts w:ascii="Times New Roman" w:hAnsi="Times New Roman" w:cs="Times New Roman"/>
        </w:rPr>
        <w:t xml:space="preserve">cal data. </w:t>
      </w:r>
      <w:r w:rsidR="008A21AD" w:rsidRPr="004D5859">
        <w:rPr>
          <w:rFonts w:ascii="Times New Roman" w:hAnsi="Times New Roman" w:cs="Times New Roman"/>
        </w:rPr>
        <w:t xml:space="preserve">The </w:t>
      </w:r>
      <w:r w:rsidR="00B92244" w:rsidRPr="004D5859">
        <w:rPr>
          <w:rFonts w:ascii="Times New Roman" w:hAnsi="Times New Roman" w:cs="Times New Roman"/>
        </w:rPr>
        <w:t xml:space="preserve">brain imaging assessment of </w:t>
      </w:r>
      <w:r w:rsidR="004D5859">
        <w:rPr>
          <w:rFonts w:ascii="Times New Roman" w:hAnsi="Times New Roman" w:cs="Times New Roman"/>
        </w:rPr>
        <w:t>haemorrhage</w:t>
      </w:r>
      <w:r w:rsidR="008A21AD" w:rsidRPr="004D5859">
        <w:rPr>
          <w:rFonts w:ascii="Times New Roman" w:hAnsi="Times New Roman" w:cs="Times New Roman"/>
        </w:rPr>
        <w:t xml:space="preserve"> </w:t>
      </w:r>
      <w:r w:rsidR="00B92244" w:rsidRPr="004D5859">
        <w:rPr>
          <w:rFonts w:ascii="Times New Roman" w:hAnsi="Times New Roman" w:cs="Times New Roman"/>
        </w:rPr>
        <w:t>(Appendix 1) and clinical event reporting were taken from the main t</w:t>
      </w:r>
      <w:r w:rsidR="008A21AD" w:rsidRPr="004D5859">
        <w:rPr>
          <w:rFonts w:ascii="Times New Roman" w:hAnsi="Times New Roman" w:cs="Times New Roman"/>
        </w:rPr>
        <w:t xml:space="preserve">rial </w:t>
      </w:r>
      <w:r w:rsidR="00B92244" w:rsidRPr="004D5859">
        <w:rPr>
          <w:rFonts w:ascii="Times New Roman" w:hAnsi="Times New Roman" w:cs="Times New Roman"/>
        </w:rPr>
        <w:t xml:space="preserve">database. </w:t>
      </w:r>
    </w:p>
    <w:p w14:paraId="41C055CD" w14:textId="697D651D" w:rsidR="00846D38" w:rsidRPr="004D5859" w:rsidRDefault="0027387A" w:rsidP="007F005C">
      <w:pPr>
        <w:spacing w:after="120" w:line="480" w:lineRule="auto"/>
        <w:rPr>
          <w:rFonts w:ascii="Times New Roman" w:hAnsi="Times New Roman" w:cs="Times New Roman"/>
        </w:rPr>
      </w:pPr>
      <w:r w:rsidRPr="004D5859">
        <w:rPr>
          <w:rFonts w:ascii="Times New Roman" w:hAnsi="Times New Roman" w:cs="Times New Roman"/>
        </w:rPr>
        <w:lastRenderedPageBreak/>
        <w:t>Our analysis of the non-h</w:t>
      </w:r>
      <w:r w:rsidR="004D5859">
        <w:rPr>
          <w:rFonts w:ascii="Times New Roman" w:hAnsi="Times New Roman" w:cs="Times New Roman"/>
        </w:rPr>
        <w:t>a</w:t>
      </w:r>
      <w:r w:rsidRPr="004D5859">
        <w:rPr>
          <w:rFonts w:ascii="Times New Roman" w:hAnsi="Times New Roman" w:cs="Times New Roman"/>
        </w:rPr>
        <w:t xml:space="preserve">emorrhagic components of the brain imaging was </w:t>
      </w:r>
      <w:r w:rsidR="00994D4B" w:rsidRPr="004D5859">
        <w:rPr>
          <w:rFonts w:ascii="Times New Roman" w:hAnsi="Times New Roman" w:cs="Times New Roman"/>
        </w:rPr>
        <w:t>established in August 2016</w:t>
      </w:r>
      <w:r w:rsidR="00582214" w:rsidRPr="004D5859">
        <w:rPr>
          <w:rFonts w:ascii="Times New Roman" w:hAnsi="Times New Roman" w:cs="Times New Roman"/>
        </w:rPr>
        <w:t>. We created</w:t>
      </w:r>
      <w:r w:rsidRPr="004D5859">
        <w:rPr>
          <w:rFonts w:ascii="Times New Roman" w:hAnsi="Times New Roman" w:cs="Times New Roman"/>
        </w:rPr>
        <w:t xml:space="preserve"> a </w:t>
      </w:r>
      <w:r w:rsidR="00B72BBD" w:rsidRPr="004D5859">
        <w:rPr>
          <w:rFonts w:ascii="Times New Roman" w:hAnsi="Times New Roman" w:cs="Times New Roman"/>
        </w:rPr>
        <w:t xml:space="preserve">research </w:t>
      </w:r>
      <w:r w:rsidRPr="004D5859">
        <w:rPr>
          <w:rFonts w:ascii="Times New Roman" w:hAnsi="Times New Roman" w:cs="Times New Roman"/>
        </w:rPr>
        <w:t xml:space="preserve">team </w:t>
      </w:r>
      <w:r w:rsidR="00B72BBD" w:rsidRPr="004D5859">
        <w:rPr>
          <w:rFonts w:ascii="Times New Roman" w:hAnsi="Times New Roman" w:cs="Times New Roman"/>
        </w:rPr>
        <w:t>with a</w:t>
      </w:r>
      <w:r w:rsidR="00582214" w:rsidRPr="004D5859">
        <w:rPr>
          <w:rFonts w:ascii="Times New Roman" w:hAnsi="Times New Roman" w:cs="Times New Roman"/>
        </w:rPr>
        <w:t xml:space="preserve"> background in stroke </w:t>
      </w:r>
      <w:r w:rsidR="00E52A0D" w:rsidRPr="004D5859">
        <w:rPr>
          <w:rFonts w:ascii="Times New Roman" w:hAnsi="Times New Roman" w:cs="Times New Roman"/>
        </w:rPr>
        <w:t xml:space="preserve">but not necessarily imaging interpretation expertise </w:t>
      </w:r>
      <w:r w:rsidRPr="004D5859">
        <w:rPr>
          <w:rFonts w:ascii="Times New Roman" w:hAnsi="Times New Roman" w:cs="Times New Roman"/>
        </w:rPr>
        <w:t xml:space="preserve">(one neuroradiologist, </w:t>
      </w:r>
      <w:r w:rsidR="00D5500F" w:rsidRPr="004D5859">
        <w:rPr>
          <w:rFonts w:ascii="Times New Roman" w:hAnsi="Times New Roman" w:cs="Times New Roman"/>
        </w:rPr>
        <w:t xml:space="preserve">8 </w:t>
      </w:r>
      <w:r w:rsidRPr="004D5859">
        <w:rPr>
          <w:rFonts w:ascii="Times New Roman" w:hAnsi="Times New Roman" w:cs="Times New Roman"/>
        </w:rPr>
        <w:t>stroke neurologists</w:t>
      </w:r>
      <w:r w:rsidR="000A1EAA" w:rsidRPr="004D5859">
        <w:rPr>
          <w:rFonts w:ascii="Times New Roman" w:hAnsi="Times New Roman" w:cs="Times New Roman"/>
        </w:rPr>
        <w:t>,</w:t>
      </w:r>
      <w:r w:rsidRPr="004D5859">
        <w:rPr>
          <w:rFonts w:ascii="Times New Roman" w:hAnsi="Times New Roman" w:cs="Times New Roman"/>
        </w:rPr>
        <w:t xml:space="preserve"> and 2 stroke neurology trainees)</w:t>
      </w:r>
      <w:r w:rsidR="00582214" w:rsidRPr="004D5859">
        <w:rPr>
          <w:rFonts w:ascii="Times New Roman" w:hAnsi="Times New Roman" w:cs="Times New Roman"/>
        </w:rPr>
        <w:t xml:space="preserve"> </w:t>
      </w:r>
      <w:r w:rsidR="00B72BBD" w:rsidRPr="004D5859">
        <w:rPr>
          <w:rFonts w:ascii="Times New Roman" w:hAnsi="Times New Roman" w:cs="Times New Roman"/>
        </w:rPr>
        <w:t xml:space="preserve">who received </w:t>
      </w:r>
      <w:r w:rsidR="00582214" w:rsidRPr="004D5859">
        <w:rPr>
          <w:rFonts w:ascii="Times New Roman" w:hAnsi="Times New Roman" w:cs="Times New Roman"/>
        </w:rPr>
        <w:t>standardi</w:t>
      </w:r>
      <w:r w:rsidR="00EC3A99" w:rsidRPr="004D5859">
        <w:rPr>
          <w:rFonts w:ascii="Times New Roman" w:hAnsi="Times New Roman" w:cs="Times New Roman"/>
        </w:rPr>
        <w:t>s</w:t>
      </w:r>
      <w:r w:rsidR="00582214" w:rsidRPr="004D5859">
        <w:rPr>
          <w:rFonts w:ascii="Times New Roman" w:hAnsi="Times New Roman" w:cs="Times New Roman"/>
        </w:rPr>
        <w:t>e</w:t>
      </w:r>
      <w:r w:rsidR="00B72BBD" w:rsidRPr="004D5859">
        <w:rPr>
          <w:rFonts w:ascii="Times New Roman" w:hAnsi="Times New Roman" w:cs="Times New Roman"/>
        </w:rPr>
        <w:t>d</w:t>
      </w:r>
      <w:r w:rsidR="00582214" w:rsidRPr="004D5859">
        <w:rPr>
          <w:rFonts w:ascii="Times New Roman" w:hAnsi="Times New Roman" w:cs="Times New Roman"/>
        </w:rPr>
        <w:t xml:space="preserve"> training</w:t>
      </w:r>
      <w:r w:rsidR="00B72BBD" w:rsidRPr="004D5859">
        <w:rPr>
          <w:rFonts w:ascii="Times New Roman" w:hAnsi="Times New Roman" w:cs="Times New Roman"/>
        </w:rPr>
        <w:t xml:space="preserve"> whereby</w:t>
      </w:r>
      <w:r w:rsidR="00582214" w:rsidRPr="004D5859">
        <w:rPr>
          <w:rFonts w:ascii="Times New Roman" w:hAnsi="Times New Roman" w:cs="Times New Roman"/>
        </w:rPr>
        <w:t xml:space="preserve"> e</w:t>
      </w:r>
      <w:r w:rsidRPr="004D5859">
        <w:rPr>
          <w:rFonts w:ascii="Times New Roman" w:hAnsi="Times New Roman" w:cs="Times New Roman"/>
        </w:rPr>
        <w:t xml:space="preserve">ach reader completed the ACCESS training module </w:t>
      </w:r>
      <w:r w:rsidR="00B72BBD" w:rsidRPr="004D5859">
        <w:rPr>
          <w:rFonts w:ascii="Times New Roman" w:hAnsi="Times New Roman" w:cs="Times New Roman"/>
        </w:rPr>
        <w:t xml:space="preserve">of </w:t>
      </w:r>
      <w:r w:rsidR="00D5500F" w:rsidRPr="004D5859">
        <w:rPr>
          <w:rFonts w:ascii="Times New Roman" w:hAnsi="Times New Roman" w:cs="Times New Roman"/>
        </w:rPr>
        <w:t>recogni</w:t>
      </w:r>
      <w:r w:rsidR="00EC3A99" w:rsidRPr="004D5859">
        <w:rPr>
          <w:rFonts w:ascii="Times New Roman" w:hAnsi="Times New Roman" w:cs="Times New Roman"/>
        </w:rPr>
        <w:t>s</w:t>
      </w:r>
      <w:r w:rsidR="00B72BBD" w:rsidRPr="004D5859">
        <w:rPr>
          <w:rFonts w:ascii="Times New Roman" w:hAnsi="Times New Roman" w:cs="Times New Roman"/>
        </w:rPr>
        <w:t>ed</w:t>
      </w:r>
      <w:r w:rsidR="00FE152D" w:rsidRPr="004D5859">
        <w:rPr>
          <w:rFonts w:ascii="Times New Roman" w:hAnsi="Times New Roman" w:cs="Times New Roman"/>
        </w:rPr>
        <w:t xml:space="preserve"> acute and pre-existing imaging features </w:t>
      </w:r>
      <w:r w:rsidR="00C7710B" w:rsidRPr="004D5859">
        <w:rPr>
          <w:rFonts w:ascii="Times New Roman" w:hAnsi="Times New Roman" w:cs="Times New Roman"/>
        </w:rPr>
        <w:t>(</w:t>
      </w:r>
      <w:hyperlink r:id="rId9" w:history="1">
        <w:r w:rsidR="00C7710B" w:rsidRPr="004D5859">
          <w:rPr>
            <w:rStyle w:val="Hyperlink"/>
            <w:rFonts w:ascii="Times New Roman" w:hAnsi="Times New Roman" w:cs="Times New Roman"/>
          </w:rPr>
          <w:t>www.ed.ac.uk/edinburgh-imaging/access</w:t>
        </w:r>
      </w:hyperlink>
      <w:r w:rsidR="00C7710B" w:rsidRPr="004D5859">
        <w:rPr>
          <w:rFonts w:ascii="Times New Roman" w:hAnsi="Times New Roman" w:cs="Times New Roman"/>
        </w:rPr>
        <w:t>)</w:t>
      </w:r>
      <w:r w:rsidR="000E0D82" w:rsidRPr="004D5859">
        <w:rPr>
          <w:rFonts w:ascii="Times New Roman" w:hAnsi="Times New Roman" w:cs="Times New Roman"/>
        </w:rPr>
        <w:t>,</w:t>
      </w:r>
      <w:r w:rsidR="00C7710B" w:rsidRPr="004D5859">
        <w:rPr>
          <w:rFonts w:ascii="Times New Roman" w:hAnsi="Times New Roman" w:cs="Times New Roman"/>
        </w:rPr>
        <w:t xml:space="preserve"> </w:t>
      </w:r>
      <w:r w:rsidR="00B72BBD" w:rsidRPr="004D5859">
        <w:rPr>
          <w:rFonts w:ascii="Times New Roman" w:hAnsi="Times New Roman" w:cs="Times New Roman"/>
        </w:rPr>
        <w:t>as well as</w:t>
      </w:r>
      <w:r w:rsidRPr="004D5859">
        <w:rPr>
          <w:rFonts w:ascii="Times New Roman" w:hAnsi="Times New Roman" w:cs="Times New Roman"/>
        </w:rPr>
        <w:t xml:space="preserve"> in-house training </w:t>
      </w:r>
      <w:r w:rsidR="00B72BBD" w:rsidRPr="004D5859">
        <w:rPr>
          <w:rFonts w:ascii="Times New Roman" w:hAnsi="Times New Roman" w:cs="Times New Roman"/>
        </w:rPr>
        <w:t>on</w:t>
      </w:r>
      <w:r w:rsidRPr="004D5859">
        <w:rPr>
          <w:rFonts w:ascii="Times New Roman" w:hAnsi="Times New Roman" w:cs="Times New Roman"/>
        </w:rPr>
        <w:t xml:space="preserve"> the </w:t>
      </w:r>
      <w:proofErr w:type="spellStart"/>
      <w:r w:rsidRPr="004D5859">
        <w:rPr>
          <w:rFonts w:ascii="Times New Roman" w:hAnsi="Times New Roman" w:cs="Times New Roman"/>
        </w:rPr>
        <w:t>M</w:t>
      </w:r>
      <w:r w:rsidR="008C7A56" w:rsidRPr="004D5859">
        <w:rPr>
          <w:rFonts w:ascii="Times New Roman" w:hAnsi="Times New Roman" w:cs="Times New Roman"/>
        </w:rPr>
        <w:t>I</w:t>
      </w:r>
      <w:r w:rsidRPr="004D5859">
        <w:rPr>
          <w:rFonts w:ascii="Times New Roman" w:hAnsi="Times New Roman" w:cs="Times New Roman"/>
        </w:rPr>
        <w:t>Star</w:t>
      </w:r>
      <w:proofErr w:type="spellEnd"/>
      <w:r w:rsidRPr="004D5859">
        <w:rPr>
          <w:rFonts w:ascii="Times New Roman" w:hAnsi="Times New Roman" w:cs="Times New Roman"/>
        </w:rPr>
        <w:t xml:space="preserve"> software and data forms. </w:t>
      </w:r>
      <w:r w:rsidR="00317FB9">
        <w:rPr>
          <w:rFonts w:ascii="Times New Roman" w:hAnsi="Times New Roman" w:cs="Times New Roman"/>
        </w:rPr>
        <w:t xml:space="preserve">Depending on availability, each reader assessed a median of 265 scans </w:t>
      </w:r>
      <w:r w:rsidR="00655DBF">
        <w:rPr>
          <w:rFonts w:ascii="Times New Roman" w:hAnsi="Times New Roman" w:cs="Times New Roman"/>
        </w:rPr>
        <w:t>(</w:t>
      </w:r>
      <w:r w:rsidR="00317FB9">
        <w:rPr>
          <w:rFonts w:ascii="Times New Roman" w:hAnsi="Times New Roman" w:cs="Times New Roman"/>
        </w:rPr>
        <w:t>range 8 to 873 scans</w:t>
      </w:r>
      <w:r w:rsidR="00655DBF">
        <w:rPr>
          <w:rFonts w:ascii="Times New Roman" w:hAnsi="Times New Roman" w:cs="Times New Roman"/>
        </w:rPr>
        <w:t>), and m</w:t>
      </w:r>
      <w:r w:rsidR="00317FB9">
        <w:rPr>
          <w:rFonts w:ascii="Times New Roman" w:hAnsi="Times New Roman" w:cs="Times New Roman"/>
        </w:rPr>
        <w:t xml:space="preserve">ost (7/11) assessed &gt;100 scans. </w:t>
      </w:r>
      <w:r w:rsidR="00B72BBD" w:rsidRPr="004D5859">
        <w:rPr>
          <w:rFonts w:ascii="Times New Roman" w:hAnsi="Times New Roman" w:cs="Times New Roman"/>
        </w:rPr>
        <w:t>I</w:t>
      </w:r>
      <w:r w:rsidRPr="004D5859">
        <w:rPr>
          <w:rFonts w:ascii="Times New Roman" w:hAnsi="Times New Roman" w:cs="Times New Roman"/>
        </w:rPr>
        <w:t xml:space="preserve">nterobserver agreement </w:t>
      </w:r>
      <w:r w:rsidR="0051464C" w:rsidRPr="004D5859">
        <w:rPr>
          <w:rFonts w:ascii="Times New Roman" w:hAnsi="Times New Roman" w:cs="Times New Roman"/>
        </w:rPr>
        <w:t xml:space="preserve">and accuracy in a randomly selected sample of scans </w:t>
      </w:r>
      <w:r w:rsidR="00B72BBD" w:rsidRPr="004D5859">
        <w:rPr>
          <w:rFonts w:ascii="Times New Roman" w:hAnsi="Times New Roman" w:cs="Times New Roman"/>
        </w:rPr>
        <w:t xml:space="preserve">was assessed </w:t>
      </w:r>
      <w:r w:rsidR="00C7710B" w:rsidRPr="004D5859">
        <w:rPr>
          <w:rFonts w:ascii="Times New Roman" w:hAnsi="Times New Roman" w:cs="Times New Roman"/>
        </w:rPr>
        <w:t xml:space="preserve">using </w:t>
      </w:r>
      <w:proofErr w:type="spellStart"/>
      <w:r w:rsidR="00C7710B" w:rsidRPr="004D5859">
        <w:rPr>
          <w:rFonts w:ascii="Times New Roman" w:hAnsi="Times New Roman" w:cs="Times New Roman"/>
        </w:rPr>
        <w:t>Krippendorff’s</w:t>
      </w:r>
      <w:proofErr w:type="spellEnd"/>
      <w:r w:rsidR="00C7710B" w:rsidRPr="004D5859">
        <w:rPr>
          <w:rFonts w:ascii="Times New Roman" w:hAnsi="Times New Roman" w:cs="Times New Roman"/>
        </w:rPr>
        <w:t xml:space="preserve"> </w:t>
      </w:r>
      <w:proofErr w:type="gramStart"/>
      <w:r w:rsidR="00C7710B" w:rsidRPr="004D5859">
        <w:rPr>
          <w:rFonts w:ascii="Times New Roman" w:hAnsi="Times New Roman" w:cs="Times New Roman"/>
        </w:rPr>
        <w:t>Alpha</w:t>
      </w:r>
      <w:r w:rsidR="00A61646" w:rsidRPr="004D5859">
        <w:rPr>
          <w:rFonts w:ascii="Times New Roman" w:hAnsi="Times New Roman" w:cs="Times New Roman"/>
        </w:rPr>
        <w:t>[</w:t>
      </w:r>
      <w:proofErr w:type="gramEnd"/>
      <w:r w:rsidR="00A61646" w:rsidRPr="004D5859">
        <w:rPr>
          <w:rFonts w:ascii="Times New Roman" w:hAnsi="Times New Roman" w:cs="Times New Roman"/>
        </w:rPr>
        <w:t>6]</w:t>
      </w:r>
      <w:r w:rsidR="0051464C" w:rsidRPr="004D5859">
        <w:rPr>
          <w:rFonts w:ascii="Times New Roman" w:hAnsi="Times New Roman" w:cs="Times New Roman"/>
        </w:rPr>
        <w:t>.</w:t>
      </w:r>
      <w:r w:rsidR="00AB6190" w:rsidRPr="004D5859">
        <w:rPr>
          <w:rFonts w:ascii="Times New Roman" w:hAnsi="Times New Roman" w:cs="Times New Roman"/>
        </w:rPr>
        <w:t xml:space="preserve"> </w:t>
      </w:r>
      <w:r w:rsidR="0051464C" w:rsidRPr="004D5859">
        <w:rPr>
          <w:rFonts w:ascii="Times New Roman" w:hAnsi="Times New Roman" w:cs="Times New Roman"/>
        </w:rPr>
        <w:t xml:space="preserve">For inter-observer agreement, we compared </w:t>
      </w:r>
      <w:r w:rsidR="00B72BBD" w:rsidRPr="004D5859">
        <w:rPr>
          <w:rFonts w:ascii="Times New Roman" w:hAnsi="Times New Roman" w:cs="Times New Roman"/>
        </w:rPr>
        <w:t xml:space="preserve">the </w:t>
      </w:r>
      <w:r w:rsidR="0051464C" w:rsidRPr="004D5859">
        <w:rPr>
          <w:rFonts w:ascii="Times New Roman" w:hAnsi="Times New Roman" w:cs="Times New Roman"/>
        </w:rPr>
        <w:t xml:space="preserve">results from 285 scans that were double read by at least two readers. </w:t>
      </w:r>
      <w:r w:rsidR="00F2528D" w:rsidRPr="004D5859">
        <w:rPr>
          <w:rFonts w:ascii="Times New Roman" w:hAnsi="Times New Roman" w:cs="Times New Roman"/>
        </w:rPr>
        <w:t xml:space="preserve"> </w:t>
      </w:r>
      <w:r w:rsidR="0051464C" w:rsidRPr="004D5859">
        <w:rPr>
          <w:rFonts w:ascii="Times New Roman" w:hAnsi="Times New Roman" w:cs="Times New Roman"/>
        </w:rPr>
        <w:t>For reader accuracy</w:t>
      </w:r>
      <w:r w:rsidR="00B72BBD" w:rsidRPr="004D5859">
        <w:rPr>
          <w:rFonts w:ascii="Times New Roman" w:hAnsi="Times New Roman" w:cs="Times New Roman"/>
        </w:rPr>
        <w:t>,</w:t>
      </w:r>
      <w:r w:rsidR="0051464C" w:rsidRPr="004D5859">
        <w:rPr>
          <w:rFonts w:ascii="Times New Roman" w:hAnsi="Times New Roman" w:cs="Times New Roman"/>
        </w:rPr>
        <w:t xml:space="preserve"> we compared results from 53 scans with an expert gold standard (</w:t>
      </w:r>
      <w:r w:rsidR="007E7D64" w:rsidRPr="004D5859">
        <w:rPr>
          <w:rFonts w:ascii="Times New Roman" w:hAnsi="Times New Roman" w:cs="Times New Roman"/>
        </w:rPr>
        <w:t xml:space="preserve">consensus opinion of two </w:t>
      </w:r>
      <w:r w:rsidR="0051464C" w:rsidRPr="004D5859">
        <w:rPr>
          <w:rFonts w:ascii="Times New Roman" w:hAnsi="Times New Roman" w:cs="Times New Roman"/>
        </w:rPr>
        <w:t>neuroradiologist</w:t>
      </w:r>
      <w:r w:rsidR="007E7D64" w:rsidRPr="004D5859">
        <w:rPr>
          <w:rFonts w:ascii="Times New Roman" w:hAnsi="Times New Roman" w:cs="Times New Roman"/>
        </w:rPr>
        <w:t>s</w:t>
      </w:r>
      <w:r w:rsidR="0051464C" w:rsidRPr="004D5859">
        <w:rPr>
          <w:rFonts w:ascii="Times New Roman" w:hAnsi="Times New Roman" w:cs="Times New Roman"/>
        </w:rPr>
        <w:t xml:space="preserve"> speciali</w:t>
      </w:r>
      <w:r w:rsidR="00EC3A99" w:rsidRPr="004D5859">
        <w:rPr>
          <w:rFonts w:ascii="Times New Roman" w:hAnsi="Times New Roman" w:cs="Times New Roman"/>
        </w:rPr>
        <w:t>s</w:t>
      </w:r>
      <w:r w:rsidR="0051464C" w:rsidRPr="004D5859">
        <w:rPr>
          <w:rFonts w:ascii="Times New Roman" w:hAnsi="Times New Roman" w:cs="Times New Roman"/>
        </w:rPr>
        <w:t>ing in stroke imaging</w:t>
      </w:r>
      <w:r w:rsidR="007E7D64" w:rsidRPr="004D5859">
        <w:rPr>
          <w:rFonts w:ascii="Times New Roman" w:hAnsi="Times New Roman" w:cs="Times New Roman"/>
        </w:rPr>
        <w:t>, each</w:t>
      </w:r>
      <w:r w:rsidR="0051464C" w:rsidRPr="004D5859">
        <w:rPr>
          <w:rFonts w:ascii="Times New Roman" w:hAnsi="Times New Roman" w:cs="Times New Roman"/>
        </w:rPr>
        <w:t xml:space="preserve"> with &gt;10 years’ experience)</w:t>
      </w:r>
      <w:r w:rsidR="00C7710B" w:rsidRPr="004D5859">
        <w:rPr>
          <w:rFonts w:ascii="Times New Roman" w:hAnsi="Times New Roman" w:cs="Times New Roman"/>
        </w:rPr>
        <w:t>.</w:t>
      </w:r>
      <w:r w:rsidR="00B72BBD" w:rsidRPr="004D5859">
        <w:rPr>
          <w:rFonts w:ascii="Times New Roman" w:hAnsi="Times New Roman" w:cs="Times New Roman"/>
        </w:rPr>
        <w:t xml:space="preserve"> The</w:t>
      </w:r>
      <w:r w:rsidR="00C7710B" w:rsidRPr="004D5859">
        <w:rPr>
          <w:rFonts w:ascii="Times New Roman" w:hAnsi="Times New Roman" w:cs="Times New Roman"/>
        </w:rPr>
        <w:t xml:space="preserve"> Landis and Koch method</w:t>
      </w:r>
      <w:r w:rsidR="00B72BBD" w:rsidRPr="004D5859">
        <w:rPr>
          <w:rFonts w:ascii="Times New Roman" w:hAnsi="Times New Roman" w:cs="Times New Roman"/>
        </w:rPr>
        <w:t>s were used</w:t>
      </w:r>
      <w:r w:rsidR="00C7710B" w:rsidRPr="004D5859">
        <w:rPr>
          <w:rFonts w:ascii="Times New Roman" w:hAnsi="Times New Roman" w:cs="Times New Roman"/>
        </w:rPr>
        <w:t xml:space="preserve"> to interpret these </w:t>
      </w:r>
      <w:r w:rsidR="00B72BBD" w:rsidRPr="004D5859">
        <w:rPr>
          <w:rFonts w:ascii="Times New Roman" w:hAnsi="Times New Roman" w:cs="Times New Roman"/>
        </w:rPr>
        <w:t>agreement as</w:t>
      </w:r>
      <w:r w:rsidR="00C7710B" w:rsidRPr="004D5859">
        <w:rPr>
          <w:rFonts w:ascii="Times New Roman" w:hAnsi="Times New Roman" w:cs="Times New Roman"/>
        </w:rPr>
        <w:t xml:space="preserve"> </w:t>
      </w:r>
      <w:r w:rsidR="00B72BBD" w:rsidRPr="004D5859">
        <w:rPr>
          <w:rFonts w:ascii="Times New Roman" w:hAnsi="Times New Roman" w:cs="Times New Roman"/>
        </w:rPr>
        <w:t>‘</w:t>
      </w:r>
      <w:r w:rsidR="00C7710B" w:rsidRPr="004D5859">
        <w:rPr>
          <w:rFonts w:ascii="Times New Roman" w:hAnsi="Times New Roman" w:cs="Times New Roman"/>
        </w:rPr>
        <w:t>slight</w:t>
      </w:r>
      <w:r w:rsidR="00B72BBD" w:rsidRPr="004D5859">
        <w:rPr>
          <w:rFonts w:ascii="Times New Roman" w:hAnsi="Times New Roman" w:cs="Times New Roman"/>
        </w:rPr>
        <w:t>’</w:t>
      </w:r>
      <w:r w:rsidR="00EC3A99" w:rsidRPr="004D5859">
        <w:rPr>
          <w:rFonts w:ascii="Times New Roman" w:hAnsi="Times New Roman" w:cs="Times New Roman"/>
        </w:rPr>
        <w:t xml:space="preserve"> </w:t>
      </w:r>
      <w:r w:rsidR="00B72BBD" w:rsidRPr="004D5859">
        <w:rPr>
          <w:rFonts w:ascii="Times New Roman" w:hAnsi="Times New Roman" w:cs="Times New Roman"/>
        </w:rPr>
        <w:t>(0</w:t>
      </w:r>
      <w:r w:rsidR="00AF151B" w:rsidRPr="004D5859">
        <w:rPr>
          <w:rFonts w:ascii="Times New Roman" w:hAnsi="Times New Roman" w:cs="Times New Roman"/>
        </w:rPr>
        <w:t>.</w:t>
      </w:r>
      <w:r w:rsidR="00B72BBD" w:rsidRPr="004D5859">
        <w:rPr>
          <w:rFonts w:ascii="Times New Roman" w:hAnsi="Times New Roman" w:cs="Times New Roman"/>
        </w:rPr>
        <w:t>00-0</w:t>
      </w:r>
      <w:r w:rsidR="00AF151B" w:rsidRPr="004D5859">
        <w:rPr>
          <w:rFonts w:ascii="Times New Roman" w:hAnsi="Times New Roman" w:cs="Times New Roman"/>
        </w:rPr>
        <w:t>.</w:t>
      </w:r>
      <w:r w:rsidR="00B72BBD" w:rsidRPr="004D5859">
        <w:rPr>
          <w:rFonts w:ascii="Times New Roman" w:hAnsi="Times New Roman" w:cs="Times New Roman"/>
        </w:rPr>
        <w:t>20)</w:t>
      </w:r>
      <w:r w:rsidR="00C7710B" w:rsidRPr="004D5859">
        <w:rPr>
          <w:rFonts w:ascii="Times New Roman" w:hAnsi="Times New Roman" w:cs="Times New Roman"/>
        </w:rPr>
        <w:t xml:space="preserve">, </w:t>
      </w:r>
      <w:r w:rsidR="00B72BBD" w:rsidRPr="004D5859">
        <w:rPr>
          <w:rFonts w:ascii="Times New Roman" w:hAnsi="Times New Roman" w:cs="Times New Roman"/>
        </w:rPr>
        <w:t>‘</w:t>
      </w:r>
      <w:r w:rsidR="00C7710B" w:rsidRPr="004D5859">
        <w:rPr>
          <w:rFonts w:ascii="Times New Roman" w:hAnsi="Times New Roman" w:cs="Times New Roman"/>
        </w:rPr>
        <w:t>fair</w:t>
      </w:r>
      <w:r w:rsidR="00B72BBD" w:rsidRPr="004D5859">
        <w:rPr>
          <w:rFonts w:ascii="Times New Roman" w:hAnsi="Times New Roman" w:cs="Times New Roman"/>
        </w:rPr>
        <w:t>’ (0</w:t>
      </w:r>
      <w:r w:rsidR="00AF151B" w:rsidRPr="004D5859">
        <w:rPr>
          <w:rFonts w:ascii="Times New Roman" w:hAnsi="Times New Roman" w:cs="Times New Roman"/>
        </w:rPr>
        <w:t>.</w:t>
      </w:r>
      <w:r w:rsidR="00B72BBD" w:rsidRPr="004D5859">
        <w:rPr>
          <w:rFonts w:ascii="Times New Roman" w:hAnsi="Times New Roman" w:cs="Times New Roman"/>
        </w:rPr>
        <w:t>21-0</w:t>
      </w:r>
      <w:r w:rsidR="00AF151B" w:rsidRPr="004D5859">
        <w:rPr>
          <w:rFonts w:ascii="Times New Roman" w:hAnsi="Times New Roman" w:cs="Times New Roman"/>
        </w:rPr>
        <w:t>.</w:t>
      </w:r>
      <w:r w:rsidR="00B72BBD" w:rsidRPr="004D5859">
        <w:rPr>
          <w:rFonts w:ascii="Times New Roman" w:hAnsi="Times New Roman" w:cs="Times New Roman"/>
        </w:rPr>
        <w:t>40), ‘</w:t>
      </w:r>
      <w:r w:rsidR="00C7710B" w:rsidRPr="004D5859">
        <w:rPr>
          <w:rFonts w:ascii="Times New Roman" w:hAnsi="Times New Roman" w:cs="Times New Roman"/>
        </w:rPr>
        <w:t>moderate</w:t>
      </w:r>
      <w:r w:rsidR="00B72BBD" w:rsidRPr="004D5859">
        <w:rPr>
          <w:rFonts w:ascii="Times New Roman" w:hAnsi="Times New Roman" w:cs="Times New Roman"/>
        </w:rPr>
        <w:t>’ (0</w:t>
      </w:r>
      <w:r w:rsidR="00AF151B" w:rsidRPr="004D5859">
        <w:rPr>
          <w:rFonts w:ascii="Times New Roman" w:hAnsi="Times New Roman" w:cs="Times New Roman"/>
        </w:rPr>
        <w:t>.</w:t>
      </w:r>
      <w:r w:rsidR="00B72BBD" w:rsidRPr="004D5859">
        <w:rPr>
          <w:rFonts w:ascii="Times New Roman" w:hAnsi="Times New Roman" w:cs="Times New Roman"/>
        </w:rPr>
        <w:t>41-0</w:t>
      </w:r>
      <w:r w:rsidR="00AF151B" w:rsidRPr="004D5859">
        <w:rPr>
          <w:rFonts w:ascii="Times New Roman" w:hAnsi="Times New Roman" w:cs="Times New Roman"/>
        </w:rPr>
        <w:t>.</w:t>
      </w:r>
      <w:r w:rsidR="00B72BBD" w:rsidRPr="004D5859">
        <w:rPr>
          <w:rFonts w:ascii="Times New Roman" w:hAnsi="Times New Roman" w:cs="Times New Roman"/>
        </w:rPr>
        <w:t>60)</w:t>
      </w:r>
      <w:r w:rsidR="00C7710B" w:rsidRPr="004D5859">
        <w:rPr>
          <w:rFonts w:ascii="Times New Roman" w:hAnsi="Times New Roman" w:cs="Times New Roman"/>
        </w:rPr>
        <w:t xml:space="preserve">, </w:t>
      </w:r>
      <w:r w:rsidR="00B72BBD" w:rsidRPr="004D5859">
        <w:rPr>
          <w:rFonts w:ascii="Times New Roman" w:hAnsi="Times New Roman" w:cs="Times New Roman"/>
        </w:rPr>
        <w:t>‘</w:t>
      </w:r>
      <w:r w:rsidR="00C7710B" w:rsidRPr="004D5859">
        <w:rPr>
          <w:rFonts w:ascii="Times New Roman" w:hAnsi="Times New Roman" w:cs="Times New Roman"/>
        </w:rPr>
        <w:t>substantial</w:t>
      </w:r>
      <w:r w:rsidR="00B72BBD" w:rsidRPr="004D5859">
        <w:rPr>
          <w:rFonts w:ascii="Times New Roman" w:hAnsi="Times New Roman" w:cs="Times New Roman"/>
        </w:rPr>
        <w:t>’ (0</w:t>
      </w:r>
      <w:r w:rsidR="00AF151B" w:rsidRPr="004D5859">
        <w:rPr>
          <w:rFonts w:ascii="Times New Roman" w:hAnsi="Times New Roman" w:cs="Times New Roman"/>
        </w:rPr>
        <w:t>.</w:t>
      </w:r>
      <w:r w:rsidR="00B72BBD" w:rsidRPr="004D5859">
        <w:rPr>
          <w:rFonts w:ascii="Times New Roman" w:hAnsi="Times New Roman" w:cs="Times New Roman"/>
        </w:rPr>
        <w:t>61-0</w:t>
      </w:r>
      <w:r w:rsidR="00AF151B" w:rsidRPr="004D5859">
        <w:rPr>
          <w:rFonts w:ascii="Times New Roman" w:hAnsi="Times New Roman" w:cs="Times New Roman"/>
        </w:rPr>
        <w:t>.</w:t>
      </w:r>
      <w:r w:rsidR="00B72BBD" w:rsidRPr="004D5859">
        <w:rPr>
          <w:rFonts w:ascii="Times New Roman" w:hAnsi="Times New Roman" w:cs="Times New Roman"/>
        </w:rPr>
        <w:t>80)</w:t>
      </w:r>
      <w:r w:rsidR="00C7710B" w:rsidRPr="004D5859">
        <w:rPr>
          <w:rFonts w:ascii="Times New Roman" w:hAnsi="Times New Roman" w:cs="Times New Roman"/>
        </w:rPr>
        <w:t xml:space="preserve">, and </w:t>
      </w:r>
      <w:r w:rsidR="00B72BBD" w:rsidRPr="004D5859">
        <w:rPr>
          <w:rFonts w:ascii="Times New Roman" w:hAnsi="Times New Roman" w:cs="Times New Roman"/>
        </w:rPr>
        <w:t>‘</w:t>
      </w:r>
      <w:r w:rsidR="00C7710B" w:rsidRPr="004D5859">
        <w:rPr>
          <w:rFonts w:ascii="Times New Roman" w:hAnsi="Times New Roman" w:cs="Times New Roman"/>
        </w:rPr>
        <w:t>almost perfect agreement</w:t>
      </w:r>
      <w:r w:rsidR="00B72BBD" w:rsidRPr="004D5859">
        <w:rPr>
          <w:rFonts w:ascii="Times New Roman" w:hAnsi="Times New Roman" w:cs="Times New Roman"/>
        </w:rPr>
        <w:t>’ (0</w:t>
      </w:r>
      <w:r w:rsidR="00AF151B" w:rsidRPr="004D5859">
        <w:rPr>
          <w:rFonts w:ascii="Times New Roman" w:hAnsi="Times New Roman" w:cs="Times New Roman"/>
        </w:rPr>
        <w:t>.</w:t>
      </w:r>
      <w:r w:rsidR="00B72BBD" w:rsidRPr="004D5859">
        <w:rPr>
          <w:rFonts w:ascii="Times New Roman" w:hAnsi="Times New Roman" w:cs="Times New Roman"/>
        </w:rPr>
        <w:t>81-1</w:t>
      </w:r>
      <w:r w:rsidR="00AF151B" w:rsidRPr="004D5859">
        <w:rPr>
          <w:rFonts w:ascii="Times New Roman" w:hAnsi="Times New Roman" w:cs="Times New Roman"/>
        </w:rPr>
        <w:t>.</w:t>
      </w:r>
      <w:r w:rsidR="00B72BBD" w:rsidRPr="004D5859">
        <w:rPr>
          <w:rFonts w:ascii="Times New Roman" w:hAnsi="Times New Roman" w:cs="Times New Roman"/>
        </w:rPr>
        <w:t>00)</w:t>
      </w:r>
      <w:r w:rsidR="00A61646" w:rsidRPr="004D5859">
        <w:rPr>
          <w:rFonts w:ascii="Times New Roman" w:hAnsi="Times New Roman" w:cs="Times New Roman"/>
        </w:rPr>
        <w:t>[7]</w:t>
      </w:r>
      <w:r w:rsidR="00F45894" w:rsidRPr="004D5859">
        <w:rPr>
          <w:rFonts w:ascii="Times New Roman" w:hAnsi="Times New Roman" w:cs="Times New Roman"/>
        </w:rPr>
        <w:t>.</w:t>
      </w:r>
      <w:r w:rsidR="00AB6190" w:rsidRPr="004D5859">
        <w:rPr>
          <w:rFonts w:ascii="Times New Roman" w:hAnsi="Times New Roman" w:cs="Times New Roman"/>
        </w:rPr>
        <w:t xml:space="preserve"> </w:t>
      </w:r>
      <w:r w:rsidR="00453335" w:rsidRPr="004D5859">
        <w:rPr>
          <w:rFonts w:ascii="Times New Roman" w:hAnsi="Times New Roman" w:cs="Times New Roman"/>
        </w:rPr>
        <w:t>Inter-observer agreement was fair</w:t>
      </w:r>
      <w:r w:rsidR="00B72BBD" w:rsidRPr="004D5859">
        <w:rPr>
          <w:rFonts w:ascii="Times New Roman" w:hAnsi="Times New Roman" w:cs="Times New Roman"/>
        </w:rPr>
        <w:t>-</w:t>
      </w:r>
      <w:r w:rsidR="00453335" w:rsidRPr="004D5859">
        <w:rPr>
          <w:rFonts w:ascii="Times New Roman" w:hAnsi="Times New Roman" w:cs="Times New Roman"/>
        </w:rPr>
        <w:t>moderate (0</w:t>
      </w:r>
      <w:r w:rsidR="00AF151B" w:rsidRPr="004D5859">
        <w:rPr>
          <w:rFonts w:ascii="Times New Roman" w:hAnsi="Times New Roman" w:cs="Times New Roman"/>
        </w:rPr>
        <w:t>.</w:t>
      </w:r>
      <w:r w:rsidR="00453335" w:rsidRPr="004D5859">
        <w:rPr>
          <w:rFonts w:ascii="Times New Roman" w:hAnsi="Times New Roman" w:cs="Times New Roman"/>
        </w:rPr>
        <w:t>36-0</w:t>
      </w:r>
      <w:r w:rsidR="00AF151B" w:rsidRPr="004D5859">
        <w:rPr>
          <w:rFonts w:ascii="Times New Roman" w:hAnsi="Times New Roman" w:cs="Times New Roman"/>
        </w:rPr>
        <w:t>.</w:t>
      </w:r>
      <w:r w:rsidR="00453335" w:rsidRPr="004D5859">
        <w:rPr>
          <w:rFonts w:ascii="Times New Roman" w:hAnsi="Times New Roman" w:cs="Times New Roman"/>
        </w:rPr>
        <w:t>44) for acute brain changes</w:t>
      </w:r>
      <w:r w:rsidR="00B72BBD" w:rsidRPr="004D5859">
        <w:rPr>
          <w:rFonts w:ascii="Times New Roman" w:hAnsi="Times New Roman" w:cs="Times New Roman"/>
        </w:rPr>
        <w:t>,</w:t>
      </w:r>
      <w:r w:rsidR="00453335" w:rsidRPr="004D5859">
        <w:rPr>
          <w:rFonts w:ascii="Times New Roman" w:hAnsi="Times New Roman" w:cs="Times New Roman"/>
        </w:rPr>
        <w:t xml:space="preserve"> and moderate</w:t>
      </w:r>
      <w:r w:rsidR="00B72BBD" w:rsidRPr="004D5859">
        <w:rPr>
          <w:rFonts w:ascii="Times New Roman" w:hAnsi="Times New Roman" w:cs="Times New Roman"/>
        </w:rPr>
        <w:t>-</w:t>
      </w:r>
      <w:r w:rsidR="00453335" w:rsidRPr="004D5859">
        <w:rPr>
          <w:rFonts w:ascii="Times New Roman" w:hAnsi="Times New Roman" w:cs="Times New Roman"/>
        </w:rPr>
        <w:t>substantial (0</w:t>
      </w:r>
      <w:r w:rsidR="00AF151B" w:rsidRPr="004D5859">
        <w:rPr>
          <w:rFonts w:ascii="Times New Roman" w:hAnsi="Times New Roman" w:cs="Times New Roman"/>
        </w:rPr>
        <w:t>.</w:t>
      </w:r>
      <w:r w:rsidR="00D602A3" w:rsidRPr="004D5859">
        <w:rPr>
          <w:rFonts w:ascii="Times New Roman" w:hAnsi="Times New Roman" w:cs="Times New Roman"/>
        </w:rPr>
        <w:t>49-0</w:t>
      </w:r>
      <w:r w:rsidR="00AF151B" w:rsidRPr="004D5859">
        <w:rPr>
          <w:rFonts w:ascii="Times New Roman" w:hAnsi="Times New Roman" w:cs="Times New Roman"/>
        </w:rPr>
        <w:t>.</w:t>
      </w:r>
      <w:r w:rsidR="00D602A3" w:rsidRPr="004D5859">
        <w:rPr>
          <w:rFonts w:ascii="Times New Roman" w:hAnsi="Times New Roman" w:cs="Times New Roman"/>
        </w:rPr>
        <w:t>62</w:t>
      </w:r>
      <w:r w:rsidR="00453335" w:rsidRPr="004D5859">
        <w:rPr>
          <w:rFonts w:ascii="Times New Roman" w:hAnsi="Times New Roman" w:cs="Times New Roman"/>
        </w:rPr>
        <w:t>) for chronic brain changes</w:t>
      </w:r>
      <w:r w:rsidR="00D602A3" w:rsidRPr="004D5859">
        <w:rPr>
          <w:rFonts w:ascii="Times New Roman" w:hAnsi="Times New Roman" w:cs="Times New Roman"/>
        </w:rPr>
        <w:t xml:space="preserve">. </w:t>
      </w:r>
      <w:r w:rsidR="0051464C" w:rsidRPr="004D5859">
        <w:rPr>
          <w:rFonts w:ascii="Times New Roman" w:hAnsi="Times New Roman" w:cs="Times New Roman"/>
        </w:rPr>
        <w:t>Accuracy was moderate</w:t>
      </w:r>
      <w:r w:rsidR="00B72BBD" w:rsidRPr="004D5859">
        <w:rPr>
          <w:rFonts w:ascii="Times New Roman" w:hAnsi="Times New Roman" w:cs="Times New Roman"/>
        </w:rPr>
        <w:t>-</w:t>
      </w:r>
      <w:r w:rsidR="0051464C" w:rsidRPr="004D5859">
        <w:rPr>
          <w:rFonts w:ascii="Times New Roman" w:hAnsi="Times New Roman" w:cs="Times New Roman"/>
        </w:rPr>
        <w:t>substantial for all imaging features assessed (0</w:t>
      </w:r>
      <w:r w:rsidR="00AF151B" w:rsidRPr="004D5859">
        <w:rPr>
          <w:rFonts w:ascii="Times New Roman" w:hAnsi="Times New Roman" w:cs="Times New Roman"/>
        </w:rPr>
        <w:t>.</w:t>
      </w:r>
      <w:r w:rsidR="0051464C" w:rsidRPr="004D5859">
        <w:rPr>
          <w:rFonts w:ascii="Times New Roman" w:hAnsi="Times New Roman" w:cs="Times New Roman"/>
        </w:rPr>
        <w:t>50-0</w:t>
      </w:r>
      <w:r w:rsidR="00AF151B" w:rsidRPr="004D5859">
        <w:rPr>
          <w:rFonts w:ascii="Times New Roman" w:hAnsi="Times New Roman" w:cs="Times New Roman"/>
        </w:rPr>
        <w:t>.</w:t>
      </w:r>
      <w:r w:rsidR="0051464C" w:rsidRPr="004D5859">
        <w:rPr>
          <w:rFonts w:ascii="Times New Roman" w:hAnsi="Times New Roman" w:cs="Times New Roman"/>
        </w:rPr>
        <w:t xml:space="preserve">64). </w:t>
      </w:r>
    </w:p>
    <w:p w14:paraId="1442DE6E" w14:textId="0521AC92" w:rsidR="005F5523" w:rsidRPr="004D5859" w:rsidRDefault="00846D38" w:rsidP="007F005C">
      <w:pPr>
        <w:spacing w:after="120" w:line="480" w:lineRule="auto"/>
        <w:rPr>
          <w:rFonts w:ascii="Times New Roman" w:hAnsi="Times New Roman" w:cs="Times New Roman"/>
        </w:rPr>
      </w:pPr>
      <w:r w:rsidRPr="004D5859">
        <w:rPr>
          <w:rFonts w:ascii="Times New Roman" w:hAnsi="Times New Roman" w:cs="Times New Roman"/>
        </w:rPr>
        <w:t xml:space="preserve">Our imaging assessment was largely derived </w:t>
      </w:r>
      <w:r w:rsidR="00B92244" w:rsidRPr="004D5859">
        <w:rPr>
          <w:rFonts w:ascii="Times New Roman" w:hAnsi="Times New Roman" w:cs="Times New Roman"/>
        </w:rPr>
        <w:t>from</w:t>
      </w:r>
      <w:r w:rsidR="00B72BBD" w:rsidRPr="004D5859">
        <w:rPr>
          <w:rFonts w:ascii="Times New Roman" w:hAnsi="Times New Roman" w:cs="Times New Roman"/>
        </w:rPr>
        <w:t xml:space="preserve"> </w:t>
      </w:r>
      <w:r w:rsidRPr="004D5859">
        <w:rPr>
          <w:rFonts w:ascii="Times New Roman" w:hAnsi="Times New Roman" w:cs="Times New Roman"/>
        </w:rPr>
        <w:t xml:space="preserve">the IST3 </w:t>
      </w:r>
      <w:proofErr w:type="gramStart"/>
      <w:r w:rsidRPr="004D5859">
        <w:rPr>
          <w:rFonts w:ascii="Times New Roman" w:hAnsi="Times New Roman" w:cs="Times New Roman"/>
        </w:rPr>
        <w:t>methodology</w:t>
      </w:r>
      <w:r w:rsidR="00A61646" w:rsidRPr="004D5859">
        <w:rPr>
          <w:rFonts w:ascii="Times New Roman" w:hAnsi="Times New Roman" w:cs="Times New Roman"/>
        </w:rPr>
        <w:t>[</w:t>
      </w:r>
      <w:proofErr w:type="gramEnd"/>
      <w:r w:rsidR="00A61646" w:rsidRPr="004D5859">
        <w:rPr>
          <w:rFonts w:ascii="Times New Roman" w:hAnsi="Times New Roman" w:cs="Times New Roman"/>
        </w:rPr>
        <w:t>8]</w:t>
      </w:r>
      <w:r w:rsidR="00463222" w:rsidRPr="004D5859">
        <w:rPr>
          <w:rFonts w:ascii="Times New Roman" w:hAnsi="Times New Roman" w:cs="Times New Roman"/>
        </w:rPr>
        <w:t>,</w:t>
      </w:r>
      <w:r w:rsidR="00AB6190" w:rsidRPr="004D5859">
        <w:rPr>
          <w:rFonts w:ascii="Times New Roman" w:hAnsi="Times New Roman" w:cs="Times New Roman"/>
        </w:rPr>
        <w:t xml:space="preserve"> </w:t>
      </w:r>
      <w:r w:rsidR="00B72BBD" w:rsidRPr="004D5859">
        <w:rPr>
          <w:rFonts w:ascii="Times New Roman" w:hAnsi="Times New Roman" w:cs="Times New Roman"/>
        </w:rPr>
        <w:t xml:space="preserve">and included </w:t>
      </w:r>
      <w:r w:rsidR="00F45894" w:rsidRPr="004D5859">
        <w:rPr>
          <w:rFonts w:ascii="Times New Roman" w:hAnsi="Times New Roman" w:cs="Times New Roman"/>
        </w:rPr>
        <w:t xml:space="preserve">information from a systematic review of acute </w:t>
      </w:r>
      <w:r w:rsidR="004D5859">
        <w:rPr>
          <w:rFonts w:ascii="Times New Roman" w:hAnsi="Times New Roman" w:cs="Times New Roman"/>
        </w:rPr>
        <w:t>ischaemic</w:t>
      </w:r>
      <w:r w:rsidR="00F45894" w:rsidRPr="004D5859">
        <w:rPr>
          <w:rFonts w:ascii="Times New Roman" w:hAnsi="Times New Roman" w:cs="Times New Roman"/>
        </w:rPr>
        <w:t xml:space="preserve"> signs</w:t>
      </w:r>
      <w:r w:rsidR="00A61646" w:rsidRPr="004D5859">
        <w:rPr>
          <w:rFonts w:ascii="Times New Roman" w:hAnsi="Times New Roman" w:cs="Times New Roman"/>
        </w:rPr>
        <w:t>[9]</w:t>
      </w:r>
      <w:r w:rsidR="00B72BBD" w:rsidRPr="004D5859">
        <w:rPr>
          <w:rFonts w:ascii="Times New Roman" w:hAnsi="Times New Roman" w:cs="Times New Roman"/>
        </w:rPr>
        <w:t>,</w:t>
      </w:r>
      <w:r w:rsidR="005E1800" w:rsidRPr="004D5859">
        <w:rPr>
          <w:rFonts w:ascii="Times New Roman" w:hAnsi="Times New Roman" w:cs="Times New Roman"/>
        </w:rPr>
        <w:t xml:space="preserve"> </w:t>
      </w:r>
      <w:r w:rsidR="00F45894" w:rsidRPr="004D5859">
        <w:rPr>
          <w:rFonts w:ascii="Times New Roman" w:hAnsi="Times New Roman" w:cs="Times New Roman"/>
        </w:rPr>
        <w:t xml:space="preserve">a large </w:t>
      </w:r>
      <w:r w:rsidR="00EA1DE7" w:rsidRPr="004D5859">
        <w:rPr>
          <w:rFonts w:ascii="Times New Roman" w:hAnsi="Times New Roman" w:cs="Times New Roman"/>
        </w:rPr>
        <w:t xml:space="preserve">observer validity </w:t>
      </w:r>
      <w:r w:rsidR="00F45894" w:rsidRPr="004D5859">
        <w:rPr>
          <w:rFonts w:ascii="Times New Roman" w:hAnsi="Times New Roman" w:cs="Times New Roman"/>
        </w:rPr>
        <w:t>study</w:t>
      </w:r>
      <w:r w:rsidR="00A61646" w:rsidRPr="004D5859">
        <w:rPr>
          <w:rFonts w:ascii="Times New Roman" w:hAnsi="Times New Roman" w:cs="Times New Roman"/>
        </w:rPr>
        <w:t>[10-13]</w:t>
      </w:r>
      <w:r w:rsidR="000E0D82" w:rsidRPr="004D5859">
        <w:rPr>
          <w:rFonts w:ascii="Times New Roman" w:hAnsi="Times New Roman" w:cs="Times New Roman"/>
        </w:rPr>
        <w:t>,</w:t>
      </w:r>
      <w:r w:rsidR="00F45894" w:rsidRPr="004D5859">
        <w:rPr>
          <w:rFonts w:ascii="Times New Roman" w:hAnsi="Times New Roman" w:cs="Times New Roman"/>
        </w:rPr>
        <w:t xml:space="preserve"> and advice from </w:t>
      </w:r>
      <w:r w:rsidR="00B72BBD" w:rsidRPr="004D5859">
        <w:rPr>
          <w:rFonts w:ascii="Times New Roman" w:hAnsi="Times New Roman" w:cs="Times New Roman"/>
        </w:rPr>
        <w:t>experts</w:t>
      </w:r>
      <w:r w:rsidR="00F45894" w:rsidRPr="004D5859">
        <w:rPr>
          <w:rFonts w:ascii="Times New Roman" w:hAnsi="Times New Roman" w:cs="Times New Roman"/>
        </w:rPr>
        <w:t xml:space="preserve">. All components used validated </w:t>
      </w:r>
      <w:proofErr w:type="gramStart"/>
      <w:r w:rsidR="00F45894" w:rsidRPr="004D5859">
        <w:rPr>
          <w:rFonts w:ascii="Times New Roman" w:hAnsi="Times New Roman" w:cs="Times New Roman"/>
        </w:rPr>
        <w:t>scales</w:t>
      </w:r>
      <w:r w:rsidR="00A61646" w:rsidRPr="004D5859">
        <w:rPr>
          <w:rFonts w:ascii="Times New Roman" w:hAnsi="Times New Roman" w:cs="Times New Roman"/>
        </w:rPr>
        <w:t>[</w:t>
      </w:r>
      <w:proofErr w:type="gramEnd"/>
      <w:r w:rsidR="00A61646" w:rsidRPr="004D5859">
        <w:rPr>
          <w:rFonts w:ascii="Times New Roman" w:hAnsi="Times New Roman" w:cs="Times New Roman"/>
        </w:rPr>
        <w:t>14]</w:t>
      </w:r>
      <w:r w:rsidR="00F45894" w:rsidRPr="004D5859">
        <w:rPr>
          <w:rFonts w:ascii="Times New Roman" w:hAnsi="Times New Roman" w:cs="Times New Roman"/>
        </w:rPr>
        <w:t>.</w:t>
      </w:r>
      <w:r w:rsidR="005E1800" w:rsidRPr="004D5859">
        <w:rPr>
          <w:rFonts w:ascii="Times New Roman" w:hAnsi="Times New Roman" w:cs="Times New Roman"/>
        </w:rPr>
        <w:t xml:space="preserve"> </w:t>
      </w:r>
      <w:r w:rsidRPr="004D5859">
        <w:rPr>
          <w:rFonts w:ascii="Times New Roman" w:hAnsi="Times New Roman" w:cs="Times New Roman"/>
        </w:rPr>
        <w:t xml:space="preserve">We </w:t>
      </w:r>
      <w:r w:rsidR="00994D4B" w:rsidRPr="004D5859">
        <w:rPr>
          <w:rFonts w:ascii="Times New Roman" w:hAnsi="Times New Roman" w:cs="Times New Roman"/>
        </w:rPr>
        <w:t xml:space="preserve">defined the presence and degree of </w:t>
      </w:r>
      <w:proofErr w:type="spellStart"/>
      <w:r w:rsidR="00994D4B" w:rsidRPr="004D5859">
        <w:rPr>
          <w:rFonts w:ascii="Times New Roman" w:hAnsi="Times New Roman" w:cs="Times New Roman"/>
        </w:rPr>
        <w:t>hypoattenuated</w:t>
      </w:r>
      <w:proofErr w:type="spellEnd"/>
      <w:r w:rsidR="00994D4B" w:rsidRPr="004D5859">
        <w:rPr>
          <w:rFonts w:ascii="Times New Roman" w:hAnsi="Times New Roman" w:cs="Times New Roman"/>
        </w:rPr>
        <w:t xml:space="preserve"> tissue as either mild (grey matter attenuation equal to normal white matter) or severe (grey and white matter attenuation less than normal white matter)</w:t>
      </w:r>
      <w:r w:rsidR="00A61646" w:rsidRPr="004D5859">
        <w:rPr>
          <w:rFonts w:ascii="Times New Roman" w:hAnsi="Times New Roman" w:cs="Times New Roman"/>
        </w:rPr>
        <w:t>[9]</w:t>
      </w:r>
      <w:r w:rsidR="00A61646" w:rsidRPr="004D5859">
        <w:t>.</w:t>
      </w:r>
      <w:r w:rsidR="005E1800" w:rsidRPr="004D5859">
        <w:rPr>
          <w:rFonts w:ascii="Times New Roman" w:hAnsi="Times New Roman" w:cs="Times New Roman"/>
        </w:rPr>
        <w:t xml:space="preserve"> </w:t>
      </w:r>
      <w:r w:rsidRPr="004D5859">
        <w:rPr>
          <w:rFonts w:ascii="Times New Roman" w:hAnsi="Times New Roman" w:cs="Times New Roman"/>
        </w:rPr>
        <w:t>T</w:t>
      </w:r>
      <w:r w:rsidR="00994D4B" w:rsidRPr="004D5859">
        <w:rPr>
          <w:rFonts w:ascii="Times New Roman" w:hAnsi="Times New Roman" w:cs="Times New Roman"/>
        </w:rPr>
        <w:t xml:space="preserve">he extent of acute </w:t>
      </w:r>
      <w:r w:rsidR="004D5859">
        <w:rPr>
          <w:rFonts w:ascii="Times New Roman" w:hAnsi="Times New Roman" w:cs="Times New Roman"/>
        </w:rPr>
        <w:t>ischaemic</w:t>
      </w:r>
      <w:r w:rsidR="00994D4B" w:rsidRPr="004D5859">
        <w:rPr>
          <w:rFonts w:ascii="Times New Roman" w:hAnsi="Times New Roman" w:cs="Times New Roman"/>
        </w:rPr>
        <w:t xml:space="preserve"> lesions </w:t>
      </w:r>
      <w:r w:rsidRPr="004D5859">
        <w:rPr>
          <w:rFonts w:ascii="Times New Roman" w:hAnsi="Times New Roman" w:cs="Times New Roman"/>
        </w:rPr>
        <w:t xml:space="preserve">was classified </w:t>
      </w:r>
      <w:r w:rsidR="00994D4B" w:rsidRPr="004D5859">
        <w:rPr>
          <w:rFonts w:ascii="Times New Roman" w:hAnsi="Times New Roman" w:cs="Times New Roman"/>
        </w:rPr>
        <w:t>in t</w:t>
      </w:r>
      <w:r w:rsidR="003F05A3" w:rsidRPr="004D5859">
        <w:rPr>
          <w:rFonts w:ascii="Times New Roman" w:hAnsi="Times New Roman" w:cs="Times New Roman"/>
        </w:rPr>
        <w:t>wo</w:t>
      </w:r>
      <w:r w:rsidR="00994D4B" w:rsidRPr="004D5859">
        <w:rPr>
          <w:rFonts w:ascii="Times New Roman" w:hAnsi="Times New Roman" w:cs="Times New Roman"/>
        </w:rPr>
        <w:t xml:space="preserve"> ways:</w:t>
      </w:r>
      <w:r w:rsidR="003F05A3" w:rsidRPr="004D5859">
        <w:rPr>
          <w:rFonts w:ascii="Times New Roman" w:hAnsi="Times New Roman" w:cs="Times New Roman"/>
        </w:rPr>
        <w:t xml:space="preserve"> w</w:t>
      </w:r>
      <w:r w:rsidR="00994D4B" w:rsidRPr="004D5859">
        <w:rPr>
          <w:rFonts w:ascii="Times New Roman" w:hAnsi="Times New Roman" w:cs="Times New Roman"/>
        </w:rPr>
        <w:t>ith the IST3 method</w:t>
      </w:r>
      <w:r w:rsidR="009548FE" w:rsidRPr="004D5859">
        <w:rPr>
          <w:rFonts w:ascii="Times New Roman" w:hAnsi="Times New Roman" w:cs="Times New Roman"/>
        </w:rPr>
        <w:t>,</w:t>
      </w:r>
      <w:r w:rsidR="00FE152D" w:rsidRPr="004D5859">
        <w:rPr>
          <w:rFonts w:ascii="Times New Roman" w:hAnsi="Times New Roman" w:cs="Times New Roman"/>
        </w:rPr>
        <w:t xml:space="preserve"> which includes </w:t>
      </w:r>
      <w:r w:rsidR="008A7B24" w:rsidRPr="004D5859">
        <w:rPr>
          <w:rFonts w:ascii="Times New Roman" w:hAnsi="Times New Roman" w:cs="Times New Roman"/>
        </w:rPr>
        <w:t>the whole</w:t>
      </w:r>
      <w:r w:rsidR="00FE152D" w:rsidRPr="004D5859">
        <w:rPr>
          <w:rFonts w:ascii="Times New Roman" w:hAnsi="Times New Roman" w:cs="Times New Roman"/>
        </w:rPr>
        <w:t xml:space="preserve"> brain</w:t>
      </w:r>
      <w:r w:rsidR="00B72BBD" w:rsidRPr="004D5859">
        <w:rPr>
          <w:rFonts w:ascii="Times New Roman" w:hAnsi="Times New Roman" w:cs="Times New Roman"/>
        </w:rPr>
        <w:t xml:space="preserve"> where the score for infarct </w:t>
      </w:r>
      <w:r w:rsidR="00B72BBD" w:rsidRPr="004D5859">
        <w:rPr>
          <w:rFonts w:ascii="Times New Roman" w:hAnsi="Times New Roman" w:cs="Times New Roman"/>
        </w:rPr>
        <w:lastRenderedPageBreak/>
        <w:t>extent includes all arterial territories</w:t>
      </w:r>
      <w:r w:rsidR="00A61646" w:rsidRPr="004D5859">
        <w:rPr>
          <w:rFonts w:ascii="Times New Roman" w:hAnsi="Times New Roman" w:cs="Times New Roman"/>
        </w:rPr>
        <w:t>[15]</w:t>
      </w:r>
      <w:r w:rsidR="00B72BBD" w:rsidRPr="004D5859">
        <w:rPr>
          <w:rFonts w:ascii="Times New Roman" w:hAnsi="Times New Roman" w:cs="Times New Roman"/>
        </w:rPr>
        <w:t>;</w:t>
      </w:r>
      <w:r w:rsidR="005E1800" w:rsidRPr="004D5859">
        <w:rPr>
          <w:rFonts w:ascii="Times New Roman" w:hAnsi="Times New Roman" w:cs="Times New Roman"/>
        </w:rPr>
        <w:t xml:space="preserve"> </w:t>
      </w:r>
      <w:r w:rsidR="00994D4B" w:rsidRPr="004D5859">
        <w:rPr>
          <w:rFonts w:ascii="Times New Roman" w:hAnsi="Times New Roman" w:cs="Times New Roman"/>
        </w:rPr>
        <w:t xml:space="preserve">and with the </w:t>
      </w:r>
      <w:r w:rsidR="00584422" w:rsidRPr="004D5859">
        <w:rPr>
          <w:rFonts w:ascii="Times New Roman" w:hAnsi="Times New Roman" w:cs="Times New Roman"/>
        </w:rPr>
        <w:t>Alberta Stroke Program Early CT Score (</w:t>
      </w:r>
      <w:r w:rsidR="00994D4B" w:rsidRPr="004D5859">
        <w:rPr>
          <w:rFonts w:ascii="Times New Roman" w:hAnsi="Times New Roman" w:cs="Times New Roman"/>
        </w:rPr>
        <w:t>ASPECTS</w:t>
      </w:r>
      <w:r w:rsidR="00584422" w:rsidRPr="004D5859">
        <w:rPr>
          <w:rFonts w:ascii="Times New Roman" w:hAnsi="Times New Roman" w:cs="Times New Roman"/>
        </w:rPr>
        <w:t>)</w:t>
      </w:r>
      <w:r w:rsidR="00A61646" w:rsidRPr="004D5859">
        <w:rPr>
          <w:rFonts w:ascii="Times New Roman" w:hAnsi="Times New Roman" w:cs="Times New Roman"/>
        </w:rPr>
        <w:t>[14]</w:t>
      </w:r>
      <w:r w:rsidR="005E1800" w:rsidRPr="004D5859">
        <w:rPr>
          <w:vertAlign w:val="superscript"/>
        </w:rPr>
        <w:t xml:space="preserve"> </w:t>
      </w:r>
      <w:r w:rsidR="00B72BBD" w:rsidRPr="004D5859">
        <w:rPr>
          <w:rFonts w:ascii="Times New Roman" w:hAnsi="Times New Roman" w:cs="Times New Roman"/>
        </w:rPr>
        <w:t>which</w:t>
      </w:r>
      <w:r w:rsidR="00994D4B" w:rsidRPr="004D5859">
        <w:rPr>
          <w:rFonts w:ascii="Times New Roman" w:hAnsi="Times New Roman" w:cs="Times New Roman"/>
        </w:rPr>
        <w:t xml:space="preserve"> focus</w:t>
      </w:r>
      <w:r w:rsidR="000E0D82" w:rsidRPr="004D5859">
        <w:rPr>
          <w:rFonts w:ascii="Times New Roman" w:hAnsi="Times New Roman" w:cs="Times New Roman"/>
        </w:rPr>
        <w:t>es</w:t>
      </w:r>
      <w:r w:rsidR="00994D4B" w:rsidRPr="004D5859">
        <w:rPr>
          <w:rFonts w:ascii="Times New Roman" w:hAnsi="Times New Roman" w:cs="Times New Roman"/>
        </w:rPr>
        <w:t xml:space="preserve"> only on the </w:t>
      </w:r>
      <w:r w:rsidR="00B72BBD" w:rsidRPr="004D5859">
        <w:rPr>
          <w:rFonts w:ascii="Times New Roman" w:hAnsi="Times New Roman" w:cs="Times New Roman"/>
        </w:rPr>
        <w:t>middle cerebral artery (</w:t>
      </w:r>
      <w:r w:rsidR="00994D4B" w:rsidRPr="004D5859">
        <w:rPr>
          <w:rFonts w:ascii="Times New Roman" w:hAnsi="Times New Roman" w:cs="Times New Roman"/>
        </w:rPr>
        <w:t>MCA</w:t>
      </w:r>
      <w:r w:rsidR="00B72BBD" w:rsidRPr="004D5859">
        <w:rPr>
          <w:rFonts w:ascii="Times New Roman" w:hAnsi="Times New Roman" w:cs="Times New Roman"/>
        </w:rPr>
        <w:t>)</w:t>
      </w:r>
      <w:r w:rsidR="00994D4B" w:rsidRPr="004D5859">
        <w:rPr>
          <w:rFonts w:ascii="Times New Roman" w:hAnsi="Times New Roman" w:cs="Times New Roman"/>
        </w:rPr>
        <w:t xml:space="preserve"> territory</w:t>
      </w:r>
      <w:r w:rsidR="00B72BBD" w:rsidRPr="004D5859">
        <w:rPr>
          <w:rFonts w:ascii="Times New Roman" w:hAnsi="Times New Roman" w:cs="Times New Roman"/>
        </w:rPr>
        <w:t>;</w:t>
      </w:r>
      <w:r w:rsidR="00FE152D" w:rsidRPr="004D5859">
        <w:rPr>
          <w:rFonts w:ascii="Times New Roman" w:hAnsi="Times New Roman" w:cs="Times New Roman"/>
        </w:rPr>
        <w:t xml:space="preserve"> although</w:t>
      </w:r>
      <w:r w:rsidR="009548FE" w:rsidRPr="004D5859">
        <w:rPr>
          <w:rFonts w:ascii="Times New Roman" w:hAnsi="Times New Roman" w:cs="Times New Roman"/>
        </w:rPr>
        <w:t>,</w:t>
      </w:r>
      <w:r w:rsidR="00FE152D" w:rsidRPr="004D5859">
        <w:rPr>
          <w:rFonts w:ascii="Times New Roman" w:hAnsi="Times New Roman" w:cs="Times New Roman"/>
        </w:rPr>
        <w:t xml:space="preserve"> the version of ASPECTS used in IST3 and </w:t>
      </w:r>
      <w:r w:rsidR="00B72BBD" w:rsidRPr="004D5859">
        <w:rPr>
          <w:rFonts w:ascii="Times New Roman" w:hAnsi="Times New Roman" w:cs="Times New Roman"/>
        </w:rPr>
        <w:t>for our study</w:t>
      </w:r>
      <w:r w:rsidR="009548FE" w:rsidRPr="004D5859">
        <w:rPr>
          <w:rFonts w:ascii="Times New Roman" w:hAnsi="Times New Roman" w:cs="Times New Roman"/>
        </w:rPr>
        <w:t>,</w:t>
      </w:r>
      <w:r w:rsidR="00B72BBD" w:rsidRPr="004D5859">
        <w:rPr>
          <w:rFonts w:ascii="Times New Roman" w:hAnsi="Times New Roman" w:cs="Times New Roman"/>
        </w:rPr>
        <w:t xml:space="preserve"> </w:t>
      </w:r>
      <w:r w:rsidR="00FE152D" w:rsidRPr="004D5859">
        <w:rPr>
          <w:rFonts w:ascii="Times New Roman" w:hAnsi="Times New Roman" w:cs="Times New Roman"/>
        </w:rPr>
        <w:t>allow</w:t>
      </w:r>
      <w:r w:rsidR="00B72BBD" w:rsidRPr="004D5859">
        <w:rPr>
          <w:rFonts w:ascii="Times New Roman" w:hAnsi="Times New Roman" w:cs="Times New Roman"/>
        </w:rPr>
        <w:t>ed</w:t>
      </w:r>
      <w:r w:rsidR="00FE152D" w:rsidRPr="004D5859">
        <w:rPr>
          <w:rFonts w:ascii="Times New Roman" w:hAnsi="Times New Roman" w:cs="Times New Roman"/>
        </w:rPr>
        <w:t xml:space="preserve"> </w:t>
      </w:r>
      <w:r w:rsidR="000E0D82" w:rsidRPr="004D5859">
        <w:rPr>
          <w:rFonts w:ascii="Times New Roman" w:hAnsi="Times New Roman" w:cs="Times New Roman"/>
        </w:rPr>
        <w:t xml:space="preserve">additional </w:t>
      </w:r>
      <w:r w:rsidR="00FE152D" w:rsidRPr="004D5859">
        <w:rPr>
          <w:rFonts w:ascii="Times New Roman" w:hAnsi="Times New Roman" w:cs="Times New Roman"/>
        </w:rPr>
        <w:t xml:space="preserve">scoring of abnormal </w:t>
      </w:r>
      <w:r w:rsidR="00B72BBD" w:rsidRPr="004D5859">
        <w:rPr>
          <w:rFonts w:ascii="Times New Roman" w:hAnsi="Times New Roman" w:cs="Times New Roman"/>
        </w:rPr>
        <w:t>anterior cerebral artery (</w:t>
      </w:r>
      <w:r w:rsidR="00FE152D" w:rsidRPr="004D5859">
        <w:rPr>
          <w:rFonts w:ascii="Times New Roman" w:hAnsi="Times New Roman" w:cs="Times New Roman"/>
        </w:rPr>
        <w:t>ACA</w:t>
      </w:r>
      <w:r w:rsidR="00B72BBD" w:rsidRPr="004D5859">
        <w:rPr>
          <w:rFonts w:ascii="Times New Roman" w:hAnsi="Times New Roman" w:cs="Times New Roman"/>
        </w:rPr>
        <w:t>)</w:t>
      </w:r>
      <w:r w:rsidR="00FE152D" w:rsidRPr="004D5859">
        <w:rPr>
          <w:rFonts w:ascii="Times New Roman" w:hAnsi="Times New Roman" w:cs="Times New Roman"/>
        </w:rPr>
        <w:t xml:space="preserve"> and </w:t>
      </w:r>
      <w:r w:rsidR="00B72BBD" w:rsidRPr="004D5859">
        <w:rPr>
          <w:rFonts w:ascii="Times New Roman" w:hAnsi="Times New Roman" w:cs="Times New Roman"/>
        </w:rPr>
        <w:t>posterior cerebral artery (</w:t>
      </w:r>
      <w:r w:rsidR="00FE152D" w:rsidRPr="004D5859">
        <w:rPr>
          <w:rFonts w:ascii="Times New Roman" w:hAnsi="Times New Roman" w:cs="Times New Roman"/>
        </w:rPr>
        <w:t>PCA</w:t>
      </w:r>
      <w:r w:rsidR="00B72BBD" w:rsidRPr="004D5859">
        <w:rPr>
          <w:rFonts w:ascii="Times New Roman" w:hAnsi="Times New Roman" w:cs="Times New Roman"/>
        </w:rPr>
        <w:t>)</w:t>
      </w:r>
      <w:r w:rsidR="00FE152D" w:rsidRPr="004D5859">
        <w:rPr>
          <w:rFonts w:ascii="Times New Roman" w:hAnsi="Times New Roman" w:cs="Times New Roman"/>
        </w:rPr>
        <w:t xml:space="preserve"> </w:t>
      </w:r>
      <w:r w:rsidR="000E0D82" w:rsidRPr="004D5859">
        <w:rPr>
          <w:rFonts w:ascii="Times New Roman" w:hAnsi="Times New Roman" w:cs="Times New Roman"/>
        </w:rPr>
        <w:t>territories</w:t>
      </w:r>
      <w:r w:rsidR="00994D4B" w:rsidRPr="004D5859">
        <w:rPr>
          <w:rFonts w:ascii="Times New Roman" w:hAnsi="Times New Roman" w:cs="Times New Roman"/>
        </w:rPr>
        <w:t xml:space="preserve">. </w:t>
      </w:r>
      <w:r w:rsidR="00B72BBD" w:rsidRPr="004D5859">
        <w:rPr>
          <w:rFonts w:ascii="Times New Roman" w:hAnsi="Times New Roman" w:cs="Times New Roman"/>
        </w:rPr>
        <w:t>Thus</w:t>
      </w:r>
      <w:r w:rsidR="00994D4B" w:rsidRPr="004D5859">
        <w:rPr>
          <w:rFonts w:ascii="Times New Roman" w:hAnsi="Times New Roman" w:cs="Times New Roman"/>
        </w:rPr>
        <w:t xml:space="preserve">, we used the IST3 score as the primary measure of </w:t>
      </w:r>
      <w:r w:rsidR="004D5859">
        <w:rPr>
          <w:rFonts w:ascii="Times New Roman" w:hAnsi="Times New Roman" w:cs="Times New Roman"/>
        </w:rPr>
        <w:t>ischaemic</w:t>
      </w:r>
      <w:r w:rsidR="002C6E5A" w:rsidRPr="004D5859">
        <w:rPr>
          <w:rFonts w:ascii="Times New Roman" w:hAnsi="Times New Roman" w:cs="Times New Roman"/>
        </w:rPr>
        <w:t xml:space="preserve"> lesion </w:t>
      </w:r>
      <w:r w:rsidR="00994D4B" w:rsidRPr="004D5859">
        <w:rPr>
          <w:rFonts w:ascii="Times New Roman" w:hAnsi="Times New Roman" w:cs="Times New Roman"/>
        </w:rPr>
        <w:t xml:space="preserve">size in analyses, condensing the full IST3 lesion extent score into four groups: small </w:t>
      </w:r>
      <w:r w:rsidR="002C6E5A" w:rsidRPr="004D5859">
        <w:rPr>
          <w:rFonts w:ascii="Times New Roman" w:hAnsi="Times New Roman" w:cs="Times New Roman"/>
        </w:rPr>
        <w:t>lesions</w:t>
      </w:r>
      <w:r w:rsidR="00994D4B" w:rsidRPr="004D5859">
        <w:rPr>
          <w:rFonts w:ascii="Times New Roman" w:hAnsi="Times New Roman" w:cs="Times New Roman"/>
        </w:rPr>
        <w:t xml:space="preserve">, as lacunar, small cortical, small cerebellar, less than half of brainstem, or less than half of the ACA or PCA territory; medium </w:t>
      </w:r>
      <w:r w:rsidR="002C6E5A" w:rsidRPr="004D5859">
        <w:rPr>
          <w:rFonts w:ascii="Times New Roman" w:hAnsi="Times New Roman" w:cs="Times New Roman"/>
        </w:rPr>
        <w:t>lesions</w:t>
      </w:r>
      <w:r w:rsidR="00994D4B" w:rsidRPr="004D5859">
        <w:rPr>
          <w:rFonts w:ascii="Times New Roman" w:hAnsi="Times New Roman" w:cs="Times New Roman"/>
        </w:rPr>
        <w:t>, class</w:t>
      </w:r>
      <w:r w:rsidR="00B72BBD" w:rsidRPr="004D5859">
        <w:rPr>
          <w:rFonts w:ascii="Times New Roman" w:hAnsi="Times New Roman" w:cs="Times New Roman"/>
        </w:rPr>
        <w:t>ified</w:t>
      </w:r>
      <w:r w:rsidR="00994D4B" w:rsidRPr="004D5859">
        <w:rPr>
          <w:rFonts w:ascii="Times New Roman" w:hAnsi="Times New Roman" w:cs="Times New Roman"/>
        </w:rPr>
        <w:t xml:space="preserve"> as </w:t>
      </w:r>
      <w:proofErr w:type="spellStart"/>
      <w:r w:rsidR="00994D4B" w:rsidRPr="004D5859">
        <w:rPr>
          <w:rFonts w:ascii="Times New Roman" w:hAnsi="Times New Roman" w:cs="Times New Roman"/>
        </w:rPr>
        <w:t>striatocapsular</w:t>
      </w:r>
      <w:proofErr w:type="spellEnd"/>
      <w:r w:rsidR="00994D4B" w:rsidRPr="004D5859">
        <w:rPr>
          <w:rFonts w:ascii="Times New Roman" w:hAnsi="Times New Roman" w:cs="Times New Roman"/>
        </w:rPr>
        <w:t xml:space="preserve">, the anterior or posterior half of the peripheral MCA territory, or more than half the ACA or PCA territory; large </w:t>
      </w:r>
      <w:r w:rsidR="002C6E5A" w:rsidRPr="004D5859">
        <w:rPr>
          <w:rFonts w:ascii="Times New Roman" w:hAnsi="Times New Roman" w:cs="Times New Roman"/>
        </w:rPr>
        <w:t>lesions</w:t>
      </w:r>
      <w:r w:rsidR="00994D4B" w:rsidRPr="004D5859">
        <w:rPr>
          <w:rFonts w:ascii="Times New Roman" w:hAnsi="Times New Roman" w:cs="Times New Roman"/>
        </w:rPr>
        <w:t xml:space="preserve">, defined as the whole of the peripheral MCA territory or all the MCA territory; and very large </w:t>
      </w:r>
      <w:r w:rsidR="002C6E5A" w:rsidRPr="004D5859">
        <w:rPr>
          <w:rFonts w:ascii="Times New Roman" w:hAnsi="Times New Roman" w:cs="Times New Roman"/>
        </w:rPr>
        <w:t>lesions</w:t>
      </w:r>
      <w:r w:rsidR="00994D4B" w:rsidRPr="004D5859">
        <w:rPr>
          <w:rFonts w:ascii="Times New Roman" w:hAnsi="Times New Roman" w:cs="Times New Roman"/>
        </w:rPr>
        <w:t>, which comprised the whole MCA and PCA territory, all the MCA and ACA territory, or all three territories.</w:t>
      </w:r>
      <w:r w:rsidR="00A70883" w:rsidRPr="004D5859">
        <w:rPr>
          <w:rFonts w:ascii="Times New Roman" w:hAnsi="Times New Roman" w:cs="Times New Roman"/>
        </w:rPr>
        <w:t xml:space="preserve"> </w:t>
      </w:r>
      <w:r w:rsidR="00DF6507" w:rsidRPr="004D5859">
        <w:rPr>
          <w:rFonts w:ascii="Times New Roman" w:hAnsi="Times New Roman" w:cs="Times New Roman"/>
        </w:rPr>
        <w:t>For isch</w:t>
      </w:r>
      <w:r w:rsidR="004D5859">
        <w:rPr>
          <w:rFonts w:ascii="Times New Roman" w:hAnsi="Times New Roman" w:cs="Times New Roman"/>
        </w:rPr>
        <w:t>a</w:t>
      </w:r>
      <w:r w:rsidR="00DF6507" w:rsidRPr="004D5859">
        <w:rPr>
          <w:rFonts w:ascii="Times New Roman" w:hAnsi="Times New Roman" w:cs="Times New Roman"/>
        </w:rPr>
        <w:t xml:space="preserve">emia within the </w:t>
      </w:r>
      <w:r w:rsidR="000A1EAA" w:rsidRPr="004D5859">
        <w:rPr>
          <w:rFonts w:ascii="Times New Roman" w:hAnsi="Times New Roman" w:cs="Times New Roman"/>
        </w:rPr>
        <w:t xml:space="preserve">ACA </w:t>
      </w:r>
      <w:r w:rsidR="00DF6507" w:rsidRPr="004D5859">
        <w:rPr>
          <w:rFonts w:ascii="Times New Roman" w:hAnsi="Times New Roman" w:cs="Times New Roman"/>
        </w:rPr>
        <w:t>circulation</w:t>
      </w:r>
      <w:r w:rsidR="000A1EAA" w:rsidRPr="004D5859">
        <w:rPr>
          <w:rFonts w:ascii="Times New Roman" w:hAnsi="Times New Roman" w:cs="Times New Roman"/>
        </w:rPr>
        <w:t>,</w:t>
      </w:r>
      <w:r w:rsidR="0071699A" w:rsidRPr="004D5859">
        <w:rPr>
          <w:rFonts w:ascii="Times New Roman" w:hAnsi="Times New Roman" w:cs="Times New Roman"/>
        </w:rPr>
        <w:t xml:space="preserve"> the corresponding scores on ASPECTS were 8-10, 5-7 and 0-4, for</w:t>
      </w:r>
      <w:r w:rsidR="00DF6507" w:rsidRPr="004D5859">
        <w:rPr>
          <w:rFonts w:ascii="Times New Roman" w:hAnsi="Times New Roman" w:cs="Times New Roman"/>
        </w:rPr>
        <w:t xml:space="preserve"> s</w:t>
      </w:r>
      <w:r w:rsidR="00994D4B" w:rsidRPr="004D5859">
        <w:rPr>
          <w:rFonts w:ascii="Times New Roman" w:hAnsi="Times New Roman" w:cs="Times New Roman"/>
        </w:rPr>
        <w:t>mall</w:t>
      </w:r>
      <w:r w:rsidR="0071699A" w:rsidRPr="004D5859">
        <w:rPr>
          <w:rFonts w:ascii="Times New Roman" w:hAnsi="Times New Roman" w:cs="Times New Roman"/>
        </w:rPr>
        <w:t>, medium</w:t>
      </w:r>
      <w:r w:rsidR="00EC3A99" w:rsidRPr="004D5859">
        <w:rPr>
          <w:rFonts w:ascii="Times New Roman" w:hAnsi="Times New Roman" w:cs="Times New Roman"/>
        </w:rPr>
        <w:t>,</w:t>
      </w:r>
      <w:r w:rsidR="0071699A" w:rsidRPr="004D5859">
        <w:rPr>
          <w:rFonts w:ascii="Times New Roman" w:hAnsi="Times New Roman" w:cs="Times New Roman"/>
        </w:rPr>
        <w:t xml:space="preserve"> and large or very large</w:t>
      </w:r>
      <w:r w:rsidR="00994D4B" w:rsidRPr="004D5859">
        <w:rPr>
          <w:rFonts w:ascii="Times New Roman" w:hAnsi="Times New Roman" w:cs="Times New Roman"/>
        </w:rPr>
        <w:t xml:space="preserve"> </w:t>
      </w:r>
      <w:r w:rsidR="00DF6507" w:rsidRPr="004D5859">
        <w:rPr>
          <w:rFonts w:ascii="Times New Roman" w:hAnsi="Times New Roman" w:cs="Times New Roman"/>
        </w:rPr>
        <w:t xml:space="preserve">lesions </w:t>
      </w:r>
      <w:r w:rsidR="00994D4B" w:rsidRPr="004D5859">
        <w:rPr>
          <w:rFonts w:ascii="Times New Roman" w:hAnsi="Times New Roman" w:cs="Times New Roman"/>
        </w:rPr>
        <w:t xml:space="preserve">on the IST3 </w:t>
      </w:r>
      <w:proofErr w:type="gramStart"/>
      <w:r w:rsidR="00994D4B" w:rsidRPr="004D5859">
        <w:rPr>
          <w:rFonts w:ascii="Times New Roman" w:hAnsi="Times New Roman" w:cs="Times New Roman"/>
        </w:rPr>
        <w:t>score</w:t>
      </w:r>
      <w:r w:rsidR="00A61646" w:rsidRPr="004D5859">
        <w:rPr>
          <w:rFonts w:ascii="Times New Roman" w:hAnsi="Times New Roman" w:cs="Times New Roman"/>
        </w:rPr>
        <w:t>[</w:t>
      </w:r>
      <w:proofErr w:type="gramEnd"/>
      <w:r w:rsidR="00A61646" w:rsidRPr="004D5859">
        <w:rPr>
          <w:rFonts w:ascii="Times New Roman" w:hAnsi="Times New Roman" w:cs="Times New Roman"/>
        </w:rPr>
        <w:t>11]</w:t>
      </w:r>
      <w:r w:rsidR="00E41165" w:rsidRPr="004D5859">
        <w:rPr>
          <w:rFonts w:ascii="Times New Roman" w:hAnsi="Times New Roman" w:cs="Times New Roman"/>
        </w:rPr>
        <w:t>.</w:t>
      </w:r>
      <w:r w:rsidR="005E1800" w:rsidRPr="004D5859">
        <w:rPr>
          <w:rFonts w:ascii="Times New Roman" w:hAnsi="Times New Roman" w:cs="Times New Roman"/>
        </w:rPr>
        <w:t xml:space="preserve"> </w:t>
      </w:r>
      <w:r w:rsidR="00994D4B" w:rsidRPr="004D5859">
        <w:rPr>
          <w:rFonts w:ascii="Times New Roman" w:hAnsi="Times New Roman" w:cs="Times New Roman"/>
        </w:rPr>
        <w:t xml:space="preserve">We graded </w:t>
      </w:r>
      <w:r w:rsidR="004D5859">
        <w:rPr>
          <w:rFonts w:ascii="Times New Roman" w:hAnsi="Times New Roman" w:cs="Times New Roman"/>
        </w:rPr>
        <w:t>ischaemic</w:t>
      </w:r>
      <w:r w:rsidR="00994D4B" w:rsidRPr="004D5859">
        <w:rPr>
          <w:rFonts w:ascii="Times New Roman" w:hAnsi="Times New Roman" w:cs="Times New Roman"/>
        </w:rPr>
        <w:t xml:space="preserve"> lesion swelling on a </w:t>
      </w:r>
      <w:r w:rsidR="00D3248E" w:rsidRPr="004D5859">
        <w:rPr>
          <w:rFonts w:ascii="Times New Roman" w:hAnsi="Times New Roman" w:cs="Times New Roman"/>
        </w:rPr>
        <w:t xml:space="preserve">widely validated </w:t>
      </w:r>
      <w:r w:rsidR="009548FE" w:rsidRPr="004D5859">
        <w:rPr>
          <w:rFonts w:ascii="Times New Roman" w:hAnsi="Times New Roman" w:cs="Times New Roman"/>
        </w:rPr>
        <w:t>7</w:t>
      </w:r>
      <w:r w:rsidR="00994D4B" w:rsidRPr="004D5859">
        <w:rPr>
          <w:rFonts w:ascii="Times New Roman" w:hAnsi="Times New Roman" w:cs="Times New Roman"/>
        </w:rPr>
        <w:t xml:space="preserve">-point </w:t>
      </w:r>
      <w:r w:rsidR="00453335" w:rsidRPr="004D5859">
        <w:rPr>
          <w:rFonts w:ascii="Times New Roman" w:hAnsi="Times New Roman" w:cs="Times New Roman"/>
        </w:rPr>
        <w:t xml:space="preserve">ordinal </w:t>
      </w:r>
      <w:proofErr w:type="gramStart"/>
      <w:r w:rsidR="00994D4B" w:rsidRPr="004D5859">
        <w:rPr>
          <w:rFonts w:ascii="Times New Roman" w:hAnsi="Times New Roman" w:cs="Times New Roman"/>
        </w:rPr>
        <w:t>scale</w:t>
      </w:r>
      <w:r w:rsidR="00A61646" w:rsidRPr="004D5859">
        <w:rPr>
          <w:rFonts w:ascii="Times New Roman" w:hAnsi="Times New Roman" w:cs="Times New Roman"/>
        </w:rPr>
        <w:t>[</w:t>
      </w:r>
      <w:proofErr w:type="gramEnd"/>
      <w:r w:rsidR="00A61646" w:rsidRPr="004D5859">
        <w:rPr>
          <w:rFonts w:ascii="Times New Roman" w:hAnsi="Times New Roman" w:cs="Times New Roman"/>
        </w:rPr>
        <w:t>15]</w:t>
      </w:r>
      <w:r w:rsidR="00D342E9">
        <w:rPr>
          <w:rFonts w:ascii="Times New Roman" w:hAnsi="Times New Roman" w:cs="Times New Roman"/>
        </w:rPr>
        <w:t xml:space="preserve"> </w:t>
      </w:r>
      <w:bookmarkStart w:id="0" w:name="OLE_LINK1"/>
      <w:bookmarkStart w:id="1" w:name="OLE_LINK2"/>
      <w:r w:rsidR="00655DBF">
        <w:rPr>
          <w:rFonts w:ascii="Times New Roman" w:hAnsi="Times New Roman" w:cs="Times New Roman"/>
        </w:rPr>
        <w:t>but due to small numbers in</w:t>
      </w:r>
      <w:r w:rsidR="00D342E9">
        <w:rPr>
          <w:rFonts w:ascii="Times New Roman" w:hAnsi="Times New Roman" w:cs="Times New Roman"/>
        </w:rPr>
        <w:t xml:space="preserve"> categories 4 to 6</w:t>
      </w:r>
      <w:r w:rsidR="00655DBF">
        <w:rPr>
          <w:rFonts w:ascii="Times New Roman" w:hAnsi="Times New Roman" w:cs="Times New Roman"/>
        </w:rPr>
        <w:t>, these were group</w:t>
      </w:r>
      <w:r w:rsidR="00D342E9">
        <w:rPr>
          <w:rFonts w:ascii="Times New Roman" w:hAnsi="Times New Roman" w:cs="Times New Roman"/>
        </w:rPr>
        <w:t xml:space="preserve"> into </w:t>
      </w:r>
      <w:r w:rsidR="00655DBF">
        <w:rPr>
          <w:rFonts w:ascii="Times New Roman" w:hAnsi="Times New Roman" w:cs="Times New Roman"/>
        </w:rPr>
        <w:t xml:space="preserve">a single category of </w:t>
      </w:r>
      <w:r w:rsidR="00D342E9">
        <w:rPr>
          <w:rFonts w:ascii="Times New Roman" w:hAnsi="Times New Roman" w:cs="Times New Roman"/>
        </w:rPr>
        <w:t>‘severe effacement’</w:t>
      </w:r>
      <w:bookmarkEnd w:id="0"/>
      <w:bookmarkEnd w:id="1"/>
      <w:r w:rsidR="00D45E77" w:rsidRPr="004D5859">
        <w:rPr>
          <w:rFonts w:ascii="Times New Roman" w:hAnsi="Times New Roman" w:cs="Times New Roman"/>
        </w:rPr>
        <w:t>.</w:t>
      </w:r>
      <w:r w:rsidR="005E1800" w:rsidRPr="004D5859">
        <w:rPr>
          <w:rFonts w:ascii="Times New Roman" w:hAnsi="Times New Roman" w:cs="Times New Roman"/>
        </w:rPr>
        <w:t xml:space="preserve"> </w:t>
      </w:r>
      <w:r w:rsidRPr="004D5859">
        <w:rPr>
          <w:rFonts w:ascii="Times New Roman" w:hAnsi="Times New Roman" w:cs="Times New Roman"/>
        </w:rPr>
        <w:t>T</w:t>
      </w:r>
      <w:r w:rsidR="00994D4B" w:rsidRPr="004D5859">
        <w:rPr>
          <w:rFonts w:ascii="Times New Roman" w:hAnsi="Times New Roman" w:cs="Times New Roman"/>
        </w:rPr>
        <w:t>he presence or absence</w:t>
      </w:r>
      <w:r w:rsidR="0071699A" w:rsidRPr="004D5859">
        <w:rPr>
          <w:rFonts w:ascii="Times New Roman" w:hAnsi="Times New Roman" w:cs="Times New Roman"/>
        </w:rPr>
        <w:t>,</w:t>
      </w:r>
      <w:r w:rsidR="00994D4B" w:rsidRPr="004D5859">
        <w:rPr>
          <w:rFonts w:ascii="Times New Roman" w:hAnsi="Times New Roman" w:cs="Times New Roman"/>
        </w:rPr>
        <w:t xml:space="preserve"> and location of any</w:t>
      </w:r>
      <w:r w:rsidR="0071699A" w:rsidRPr="004D5859">
        <w:rPr>
          <w:rFonts w:ascii="Times New Roman" w:hAnsi="Times New Roman" w:cs="Times New Roman"/>
        </w:rPr>
        <w:t>,</w:t>
      </w:r>
      <w:r w:rsidR="00994D4B" w:rsidRPr="004D5859">
        <w:rPr>
          <w:rFonts w:ascii="Times New Roman" w:hAnsi="Times New Roman" w:cs="Times New Roman"/>
        </w:rPr>
        <w:t xml:space="preserve"> hyperattenuated </w:t>
      </w:r>
      <w:proofErr w:type="gramStart"/>
      <w:r w:rsidR="00994D4B" w:rsidRPr="004D5859">
        <w:rPr>
          <w:rFonts w:ascii="Times New Roman" w:hAnsi="Times New Roman" w:cs="Times New Roman"/>
        </w:rPr>
        <w:t>artery</w:t>
      </w:r>
      <w:r w:rsidR="00A61646" w:rsidRPr="004D5859">
        <w:rPr>
          <w:rFonts w:ascii="Times New Roman" w:hAnsi="Times New Roman" w:cs="Times New Roman"/>
        </w:rPr>
        <w:t>[</w:t>
      </w:r>
      <w:proofErr w:type="gramEnd"/>
      <w:r w:rsidR="00A61646" w:rsidRPr="004D5859">
        <w:rPr>
          <w:rFonts w:ascii="Times New Roman" w:hAnsi="Times New Roman" w:cs="Times New Roman"/>
        </w:rPr>
        <w:t>16]</w:t>
      </w:r>
      <w:r w:rsidR="0071699A" w:rsidRPr="004D5859">
        <w:rPr>
          <w:rFonts w:ascii="Times New Roman" w:hAnsi="Times New Roman" w:cs="Times New Roman"/>
        </w:rPr>
        <w:t>,</w:t>
      </w:r>
      <w:r w:rsidR="005E1800" w:rsidRPr="004D5859">
        <w:rPr>
          <w:rFonts w:ascii="Times New Roman" w:hAnsi="Times New Roman" w:cs="Times New Roman"/>
        </w:rPr>
        <w:t xml:space="preserve"> </w:t>
      </w:r>
      <w:r w:rsidR="00994D4B" w:rsidRPr="004D5859">
        <w:rPr>
          <w:rFonts w:ascii="Times New Roman" w:hAnsi="Times New Roman" w:cs="Times New Roman"/>
        </w:rPr>
        <w:t>the location of old infarcts (</w:t>
      </w:r>
      <w:proofErr w:type="spellStart"/>
      <w:r w:rsidR="0071699A" w:rsidRPr="004D5859">
        <w:rPr>
          <w:rFonts w:ascii="Times New Roman" w:hAnsi="Times New Roman" w:cs="Times New Roman"/>
        </w:rPr>
        <w:t>ie</w:t>
      </w:r>
      <w:proofErr w:type="spellEnd"/>
      <w:r w:rsidR="00994D4B" w:rsidRPr="004D5859">
        <w:rPr>
          <w:rFonts w:ascii="Times New Roman" w:hAnsi="Times New Roman" w:cs="Times New Roman"/>
        </w:rPr>
        <w:t xml:space="preserve"> cortical, lacunar, border zone, and brainstem or cerebellar)</w:t>
      </w:r>
      <w:r w:rsidR="00C91246" w:rsidRPr="004D5859">
        <w:rPr>
          <w:rFonts w:ascii="Times New Roman" w:hAnsi="Times New Roman" w:cs="Times New Roman"/>
        </w:rPr>
        <w:t>[15]</w:t>
      </w:r>
      <w:r w:rsidRPr="004D5859">
        <w:rPr>
          <w:rFonts w:ascii="Times New Roman" w:hAnsi="Times New Roman" w:cs="Times New Roman"/>
        </w:rPr>
        <w:t>,</w:t>
      </w:r>
      <w:r w:rsidR="005E1800" w:rsidRPr="004D5859">
        <w:rPr>
          <w:rFonts w:ascii="Times New Roman" w:hAnsi="Times New Roman" w:cs="Times New Roman"/>
        </w:rPr>
        <w:t xml:space="preserve"> </w:t>
      </w:r>
      <w:r w:rsidRPr="004D5859">
        <w:rPr>
          <w:rFonts w:ascii="Times New Roman" w:hAnsi="Times New Roman" w:cs="Times New Roman"/>
        </w:rPr>
        <w:t xml:space="preserve">and the </w:t>
      </w:r>
      <w:r w:rsidR="00994D4B" w:rsidRPr="004D5859">
        <w:rPr>
          <w:rFonts w:ascii="Times New Roman" w:hAnsi="Times New Roman" w:cs="Times New Roman"/>
        </w:rPr>
        <w:t xml:space="preserve">presence and severity of leukoaraiosis on </w:t>
      </w:r>
      <w:r w:rsidR="005E1800" w:rsidRPr="004D5859">
        <w:rPr>
          <w:rFonts w:ascii="Times New Roman" w:hAnsi="Times New Roman" w:cs="Times New Roman"/>
        </w:rPr>
        <w:t>CT</w:t>
      </w:r>
      <w:r w:rsidR="00C91246" w:rsidRPr="004D5859">
        <w:rPr>
          <w:rFonts w:ascii="Times New Roman" w:hAnsi="Times New Roman" w:cs="Times New Roman"/>
        </w:rPr>
        <w:t xml:space="preserve">[17] </w:t>
      </w:r>
      <w:r w:rsidR="005F5523" w:rsidRPr="004D5859">
        <w:rPr>
          <w:rFonts w:ascii="Times New Roman" w:hAnsi="Times New Roman" w:cs="Times New Roman"/>
        </w:rPr>
        <w:t>or</w:t>
      </w:r>
      <w:r w:rsidR="00994D4B" w:rsidRPr="004D5859">
        <w:rPr>
          <w:rFonts w:ascii="Times New Roman" w:hAnsi="Times New Roman" w:cs="Times New Roman"/>
        </w:rPr>
        <w:t xml:space="preserve"> MRI</w:t>
      </w:r>
      <w:r w:rsidR="00C91246" w:rsidRPr="004D5859">
        <w:rPr>
          <w:rFonts w:ascii="Times New Roman" w:hAnsi="Times New Roman" w:cs="Times New Roman"/>
        </w:rPr>
        <w:t>[18]</w:t>
      </w:r>
      <w:r w:rsidR="0071699A" w:rsidRPr="004D5859">
        <w:rPr>
          <w:rFonts w:ascii="Times New Roman" w:hAnsi="Times New Roman" w:cs="Times New Roman"/>
        </w:rPr>
        <w:t>,</w:t>
      </w:r>
      <w:hyperlink w:anchor="_ENREF_19" w:tooltip="Fazekas, 1987 #124" w:history="1"/>
      <w:r w:rsidR="005E1800" w:rsidRPr="004D5859">
        <w:rPr>
          <w:rFonts w:ascii="Times New Roman" w:hAnsi="Times New Roman" w:cs="Times New Roman"/>
        </w:rPr>
        <w:t xml:space="preserve"> </w:t>
      </w:r>
      <w:r w:rsidR="0071699A" w:rsidRPr="004D5859">
        <w:rPr>
          <w:rFonts w:ascii="Times New Roman" w:hAnsi="Times New Roman" w:cs="Times New Roman"/>
        </w:rPr>
        <w:t xml:space="preserve">were </w:t>
      </w:r>
      <w:r w:rsidR="009D721C" w:rsidRPr="004D5859">
        <w:rPr>
          <w:rFonts w:ascii="Times New Roman" w:hAnsi="Times New Roman" w:cs="Times New Roman"/>
        </w:rPr>
        <w:t xml:space="preserve">also </w:t>
      </w:r>
      <w:r w:rsidR="005F5523" w:rsidRPr="004D5859">
        <w:rPr>
          <w:rFonts w:ascii="Times New Roman" w:hAnsi="Times New Roman" w:cs="Times New Roman"/>
        </w:rPr>
        <w:t>recorded</w:t>
      </w:r>
      <w:r w:rsidR="00D3248E" w:rsidRPr="004D5859">
        <w:rPr>
          <w:rFonts w:ascii="Times New Roman" w:hAnsi="Times New Roman" w:cs="Times New Roman"/>
        </w:rPr>
        <w:t xml:space="preserve"> </w:t>
      </w:r>
      <w:r w:rsidR="0071699A" w:rsidRPr="004D5859">
        <w:rPr>
          <w:rFonts w:ascii="Times New Roman" w:hAnsi="Times New Roman" w:cs="Times New Roman"/>
        </w:rPr>
        <w:t>using</w:t>
      </w:r>
      <w:r w:rsidR="00D3248E" w:rsidRPr="004D5859">
        <w:rPr>
          <w:rFonts w:ascii="Times New Roman" w:hAnsi="Times New Roman" w:cs="Times New Roman"/>
        </w:rPr>
        <w:t xml:space="preserve"> validated scales</w:t>
      </w:r>
      <w:r w:rsidR="00AB37C5" w:rsidRPr="004D5859">
        <w:rPr>
          <w:rFonts w:ascii="Times New Roman" w:hAnsi="Times New Roman" w:cs="Times New Roman"/>
        </w:rPr>
        <w:t xml:space="preserve">. </w:t>
      </w:r>
      <w:r w:rsidR="00994D4B" w:rsidRPr="004D5859">
        <w:rPr>
          <w:rFonts w:ascii="Times New Roman" w:hAnsi="Times New Roman" w:cs="Times New Roman"/>
        </w:rPr>
        <w:t xml:space="preserve">We classified </w:t>
      </w:r>
      <w:r w:rsidR="0071699A" w:rsidRPr="004D5859">
        <w:rPr>
          <w:rFonts w:ascii="Times New Roman" w:hAnsi="Times New Roman" w:cs="Times New Roman"/>
        </w:rPr>
        <w:t xml:space="preserve">cerebral </w:t>
      </w:r>
      <w:r w:rsidR="00994D4B" w:rsidRPr="004D5859">
        <w:rPr>
          <w:rFonts w:ascii="Times New Roman" w:hAnsi="Times New Roman" w:cs="Times New Roman"/>
        </w:rPr>
        <w:t>atrophy as none, moderate, or severe</w:t>
      </w:r>
      <w:r w:rsidR="0071699A" w:rsidRPr="004D5859">
        <w:rPr>
          <w:rFonts w:ascii="Times New Roman" w:hAnsi="Times New Roman" w:cs="Times New Roman"/>
        </w:rPr>
        <w:t>,</w:t>
      </w:r>
      <w:r w:rsidR="00994D4B" w:rsidRPr="004D5859">
        <w:rPr>
          <w:rFonts w:ascii="Times New Roman" w:hAnsi="Times New Roman" w:cs="Times New Roman"/>
        </w:rPr>
        <w:t xml:space="preserve"> when compared against standard examples</w:t>
      </w:r>
      <w:r w:rsidR="00D3248E" w:rsidRPr="004D5859">
        <w:rPr>
          <w:rFonts w:ascii="Times New Roman" w:hAnsi="Times New Roman" w:cs="Times New Roman"/>
        </w:rPr>
        <w:t xml:space="preserve"> as used </w:t>
      </w:r>
      <w:proofErr w:type="gramStart"/>
      <w:r w:rsidR="00D3248E" w:rsidRPr="004D5859">
        <w:rPr>
          <w:rFonts w:ascii="Times New Roman" w:hAnsi="Times New Roman" w:cs="Times New Roman"/>
        </w:rPr>
        <w:t>previously</w:t>
      </w:r>
      <w:r w:rsidR="00C91246" w:rsidRPr="004D5859">
        <w:rPr>
          <w:rFonts w:ascii="Times New Roman" w:hAnsi="Times New Roman" w:cs="Times New Roman"/>
        </w:rPr>
        <w:t>[</w:t>
      </w:r>
      <w:proofErr w:type="gramEnd"/>
      <w:r w:rsidR="00C91246" w:rsidRPr="004D5859">
        <w:rPr>
          <w:rFonts w:ascii="Times New Roman" w:hAnsi="Times New Roman" w:cs="Times New Roman"/>
        </w:rPr>
        <w:t>19]</w:t>
      </w:r>
      <w:r w:rsidR="00994D4B" w:rsidRPr="004D5859">
        <w:rPr>
          <w:rFonts w:ascii="Times New Roman" w:hAnsi="Times New Roman" w:cs="Times New Roman"/>
        </w:rPr>
        <w:t>.</w:t>
      </w:r>
      <w:r w:rsidR="00C91246" w:rsidRPr="004D5859">
        <w:rPr>
          <w:rFonts w:ascii="Times New Roman" w:hAnsi="Times New Roman" w:cs="Times New Roman"/>
        </w:rPr>
        <w:t xml:space="preserve"> </w:t>
      </w:r>
    </w:p>
    <w:p w14:paraId="77655603" w14:textId="21484543" w:rsidR="00505BF8" w:rsidRPr="004D5859" w:rsidRDefault="00505BF8" w:rsidP="007F005C">
      <w:pPr>
        <w:autoSpaceDE w:val="0"/>
        <w:autoSpaceDN w:val="0"/>
        <w:adjustRightInd w:val="0"/>
        <w:spacing w:after="120" w:line="480" w:lineRule="auto"/>
        <w:rPr>
          <w:rFonts w:ascii="Times New Roman" w:hAnsi="Times New Roman" w:cs="Times New Roman"/>
        </w:rPr>
      </w:pPr>
      <w:r w:rsidRPr="004D5859">
        <w:rPr>
          <w:rFonts w:ascii="Times New Roman" w:hAnsi="Times New Roman" w:cs="Times New Roman"/>
        </w:rPr>
        <w:t>In th</w:t>
      </w:r>
      <w:r w:rsidR="000A1EAA" w:rsidRPr="004D5859">
        <w:rPr>
          <w:rFonts w:ascii="Times New Roman" w:hAnsi="Times New Roman" w:cs="Times New Roman"/>
        </w:rPr>
        <w:t>ese</w:t>
      </w:r>
      <w:r w:rsidRPr="004D5859">
        <w:rPr>
          <w:rFonts w:ascii="Times New Roman" w:hAnsi="Times New Roman" w:cs="Times New Roman"/>
        </w:rPr>
        <w:t xml:space="preserve"> analys</w:t>
      </w:r>
      <w:r w:rsidR="000A1EAA" w:rsidRPr="004D5859">
        <w:rPr>
          <w:rFonts w:ascii="Times New Roman" w:hAnsi="Times New Roman" w:cs="Times New Roman"/>
        </w:rPr>
        <w:t>e</w:t>
      </w:r>
      <w:r w:rsidRPr="004D5859">
        <w:rPr>
          <w:rFonts w:ascii="Times New Roman" w:hAnsi="Times New Roman" w:cs="Times New Roman"/>
        </w:rPr>
        <w:t>s</w:t>
      </w:r>
      <w:r w:rsidR="000A1EAA" w:rsidRPr="004D5859">
        <w:rPr>
          <w:rFonts w:ascii="Times New Roman" w:hAnsi="Times New Roman" w:cs="Times New Roman"/>
        </w:rPr>
        <w:t>,</w:t>
      </w:r>
      <w:r w:rsidRPr="004D5859">
        <w:rPr>
          <w:rFonts w:ascii="Times New Roman" w:hAnsi="Times New Roman" w:cs="Times New Roman"/>
        </w:rPr>
        <w:t xml:space="preserve"> we used the ENCHANTED blinded </w:t>
      </w:r>
      <w:r w:rsidR="004D5859">
        <w:rPr>
          <w:rFonts w:ascii="Times New Roman" w:hAnsi="Times New Roman" w:cs="Times New Roman"/>
        </w:rPr>
        <w:t>haemorrhage</w:t>
      </w:r>
      <w:r w:rsidRPr="004D5859">
        <w:rPr>
          <w:rFonts w:ascii="Times New Roman" w:hAnsi="Times New Roman" w:cs="Times New Roman"/>
        </w:rPr>
        <w:t xml:space="preserve"> assessment for </w:t>
      </w:r>
      <w:r w:rsidR="000A1EAA" w:rsidRPr="004D5859">
        <w:rPr>
          <w:rFonts w:ascii="Times New Roman" w:hAnsi="Times New Roman" w:cs="Times New Roman"/>
        </w:rPr>
        <w:t xml:space="preserve">the </w:t>
      </w:r>
      <w:r w:rsidRPr="004D5859">
        <w:rPr>
          <w:rFonts w:ascii="Times New Roman" w:hAnsi="Times New Roman" w:cs="Times New Roman"/>
        </w:rPr>
        <w:t>secondary outcome</w:t>
      </w:r>
      <w:r w:rsidR="000A1EAA" w:rsidRPr="004D5859">
        <w:rPr>
          <w:rFonts w:ascii="Times New Roman" w:hAnsi="Times New Roman" w:cs="Times New Roman"/>
        </w:rPr>
        <w:t>, and</w:t>
      </w:r>
      <w:r w:rsidRPr="004D5859">
        <w:rPr>
          <w:rFonts w:ascii="Times New Roman" w:hAnsi="Times New Roman" w:cs="Times New Roman"/>
        </w:rPr>
        <w:t xml:space="preserve"> chose the IST3 definition of symptomatic h</w:t>
      </w:r>
      <w:r w:rsidR="004D5859">
        <w:rPr>
          <w:rFonts w:ascii="Times New Roman" w:hAnsi="Times New Roman" w:cs="Times New Roman"/>
        </w:rPr>
        <w:t>a</w:t>
      </w:r>
      <w:r w:rsidRPr="004D5859">
        <w:rPr>
          <w:rFonts w:ascii="Times New Roman" w:hAnsi="Times New Roman" w:cs="Times New Roman"/>
        </w:rPr>
        <w:t>emorrhagic transformation of infarction as our primary outcome</w:t>
      </w:r>
      <w:r w:rsidR="00F07D3D">
        <w:rPr>
          <w:rFonts w:ascii="Times New Roman" w:hAnsi="Times New Roman" w:cs="Times New Roman"/>
        </w:rPr>
        <w:t xml:space="preserve">. This definition </w:t>
      </w:r>
      <w:r w:rsidR="00245936">
        <w:rPr>
          <w:rFonts w:ascii="Times New Roman" w:hAnsi="Times New Roman" w:cs="Times New Roman"/>
        </w:rPr>
        <w:t>encompasses</w:t>
      </w:r>
      <w:r w:rsidR="00F07D3D">
        <w:rPr>
          <w:rFonts w:ascii="Times New Roman" w:hAnsi="Times New Roman" w:cs="Times New Roman"/>
        </w:rPr>
        <w:t xml:space="preserve"> </w:t>
      </w:r>
      <w:r w:rsidR="00F07D3D" w:rsidRPr="00F07D3D">
        <w:rPr>
          <w:rFonts w:ascii="Times New Roman" w:hAnsi="Times New Roman" w:cs="Times New Roman"/>
          <w:lang w:val="en-AU"/>
        </w:rPr>
        <w:t xml:space="preserve">either significant ICH (local or distant from the infarct) or significant haemorrhagic transformation of an infarct on brain imaging with clinically significant deterioration or death within the first </w:t>
      </w:r>
      <w:r w:rsidR="00F07D3D" w:rsidRPr="00F07D3D">
        <w:rPr>
          <w:rFonts w:ascii="Times New Roman" w:hAnsi="Times New Roman" w:cs="Times New Roman"/>
          <w:lang w:val="en-AU"/>
        </w:rPr>
        <w:lastRenderedPageBreak/>
        <w:t xml:space="preserve">7 days of </w:t>
      </w:r>
      <w:proofErr w:type="gramStart"/>
      <w:r w:rsidR="00F07D3D" w:rsidRPr="00F07D3D">
        <w:rPr>
          <w:rFonts w:ascii="Times New Roman" w:hAnsi="Times New Roman" w:cs="Times New Roman"/>
          <w:lang w:val="en-AU"/>
        </w:rPr>
        <w:t>treatment</w:t>
      </w:r>
      <w:r w:rsidR="008C01B3" w:rsidRPr="004D5859">
        <w:rPr>
          <w:rFonts w:ascii="Times New Roman" w:hAnsi="Times New Roman" w:cs="Times New Roman"/>
        </w:rPr>
        <w:t>[</w:t>
      </w:r>
      <w:proofErr w:type="gramEnd"/>
      <w:r w:rsidR="008C01B3" w:rsidRPr="004D5859">
        <w:rPr>
          <w:rFonts w:ascii="Times New Roman" w:hAnsi="Times New Roman" w:cs="Times New Roman"/>
        </w:rPr>
        <w:t>8]</w:t>
      </w:r>
      <w:r w:rsidR="000A1EAA" w:rsidRPr="004D5859">
        <w:rPr>
          <w:rFonts w:ascii="Times New Roman" w:hAnsi="Times New Roman" w:cs="Times New Roman"/>
        </w:rPr>
        <w:t>;</w:t>
      </w:r>
      <w:r w:rsidRPr="004D5859">
        <w:rPr>
          <w:rFonts w:ascii="Times New Roman" w:hAnsi="Times New Roman" w:cs="Times New Roman"/>
        </w:rPr>
        <w:t xml:space="preserve"> other recognised definitions of </w:t>
      </w:r>
      <w:proofErr w:type="spellStart"/>
      <w:r w:rsidRPr="004D5859">
        <w:rPr>
          <w:rFonts w:ascii="Times New Roman" w:hAnsi="Times New Roman" w:cs="Times New Roman"/>
        </w:rPr>
        <w:t>sICH</w:t>
      </w:r>
      <w:proofErr w:type="spellEnd"/>
      <w:r w:rsidRPr="004D5859">
        <w:rPr>
          <w:rFonts w:ascii="Times New Roman" w:hAnsi="Times New Roman" w:cs="Times New Roman"/>
        </w:rPr>
        <w:t xml:space="preserve"> </w:t>
      </w:r>
      <w:r w:rsidR="000A1EAA" w:rsidRPr="004D5859">
        <w:rPr>
          <w:rFonts w:ascii="Times New Roman" w:hAnsi="Times New Roman" w:cs="Times New Roman"/>
        </w:rPr>
        <w:t>were assessed in</w:t>
      </w:r>
      <w:r w:rsidRPr="004D5859">
        <w:rPr>
          <w:rFonts w:ascii="Times New Roman" w:hAnsi="Times New Roman" w:cs="Times New Roman"/>
        </w:rPr>
        <w:t xml:space="preserve"> sensitivity analys</w:t>
      </w:r>
      <w:r w:rsidR="000A1EAA" w:rsidRPr="004D5859">
        <w:rPr>
          <w:rFonts w:ascii="Times New Roman" w:hAnsi="Times New Roman" w:cs="Times New Roman"/>
        </w:rPr>
        <w:t>e</w:t>
      </w:r>
      <w:r w:rsidRPr="004D5859">
        <w:rPr>
          <w:rFonts w:ascii="Times New Roman" w:hAnsi="Times New Roman" w:cs="Times New Roman"/>
        </w:rPr>
        <w:t>s</w:t>
      </w:r>
      <w:r w:rsidR="003C7098" w:rsidRPr="004D5859">
        <w:rPr>
          <w:rFonts w:ascii="Times New Roman" w:hAnsi="Times New Roman" w:cs="Times New Roman"/>
        </w:rPr>
        <w:t xml:space="preserve"> (See appendix for definitions)</w:t>
      </w:r>
      <w:r w:rsidR="00C91246" w:rsidRPr="004D5859">
        <w:rPr>
          <w:rFonts w:ascii="Times New Roman" w:hAnsi="Times New Roman" w:cs="Times New Roman"/>
        </w:rPr>
        <w:t>[5]</w:t>
      </w:r>
      <w:r w:rsidR="006135B8" w:rsidRPr="004D5859">
        <w:rPr>
          <w:rFonts w:ascii="Times New Roman" w:hAnsi="Times New Roman" w:cs="Times New Roman"/>
        </w:rPr>
        <w:t>.</w:t>
      </w:r>
    </w:p>
    <w:p w14:paraId="5123F673" w14:textId="09C970D8" w:rsidR="00994D4B" w:rsidRPr="004D5859" w:rsidRDefault="00994D4B" w:rsidP="007F005C">
      <w:pPr>
        <w:spacing w:after="120" w:line="480" w:lineRule="auto"/>
        <w:rPr>
          <w:rFonts w:ascii="Times New Roman" w:hAnsi="Times New Roman" w:cs="Times New Roman"/>
          <w:b/>
        </w:rPr>
      </w:pPr>
      <w:r w:rsidRPr="004D5859">
        <w:rPr>
          <w:rFonts w:ascii="Times New Roman" w:hAnsi="Times New Roman" w:cs="Times New Roman"/>
          <w:b/>
        </w:rPr>
        <w:t xml:space="preserve">Statistical </w:t>
      </w:r>
      <w:r w:rsidR="0071699A" w:rsidRPr="004D5859">
        <w:rPr>
          <w:rFonts w:ascii="Times New Roman" w:hAnsi="Times New Roman" w:cs="Times New Roman"/>
          <w:b/>
        </w:rPr>
        <w:t>a</w:t>
      </w:r>
      <w:r w:rsidRPr="004D5859">
        <w:rPr>
          <w:rFonts w:ascii="Times New Roman" w:hAnsi="Times New Roman" w:cs="Times New Roman"/>
          <w:b/>
        </w:rPr>
        <w:t>nalysis</w:t>
      </w:r>
    </w:p>
    <w:p w14:paraId="35C83F2E" w14:textId="4075A7E8" w:rsidR="00603803" w:rsidRPr="003073C3" w:rsidRDefault="00603803" w:rsidP="00603803">
      <w:pPr>
        <w:spacing w:after="120" w:line="480" w:lineRule="auto"/>
        <w:rPr>
          <w:rFonts w:ascii="Times New Roman" w:hAnsi="Times New Roman" w:cs="Times New Roman"/>
        </w:rPr>
      </w:pPr>
      <w:r w:rsidRPr="003073C3">
        <w:rPr>
          <w:rFonts w:ascii="Times New Roman" w:hAnsi="Times New Roman" w:cs="Times New Roman"/>
          <w:lang w:val="en-AU"/>
        </w:rPr>
        <w:t xml:space="preserve">Absolute probability of </w:t>
      </w:r>
      <w:r w:rsidRPr="003073C3">
        <w:rPr>
          <w:rFonts w:ascii="Times New Roman" w:hAnsi="Times New Roman" w:cs="Times New Roman"/>
        </w:rPr>
        <w:t>associations between individual imaging signs and primary and secondary outcomes</w:t>
      </w:r>
      <w:r>
        <w:rPr>
          <w:rFonts w:ascii="Times New Roman" w:hAnsi="Times New Roman" w:cs="Times New Roman"/>
        </w:rPr>
        <w:t xml:space="preserve"> we</w:t>
      </w:r>
      <w:r w:rsidRPr="00603803">
        <w:rPr>
          <w:rFonts w:ascii="Times New Roman" w:hAnsi="Times New Roman" w:cs="Times New Roman"/>
        </w:rPr>
        <w:t xml:space="preserve">re </w:t>
      </w:r>
      <w:r>
        <w:rPr>
          <w:rFonts w:ascii="Times New Roman" w:hAnsi="Times New Roman" w:cs="Times New Roman"/>
        </w:rPr>
        <w:t>presented</w:t>
      </w:r>
      <w:r w:rsidRPr="00603803">
        <w:rPr>
          <w:rFonts w:ascii="Times New Roman" w:hAnsi="Times New Roman" w:cs="Times New Roman"/>
        </w:rPr>
        <w:t xml:space="preserve"> </w:t>
      </w:r>
      <w:r w:rsidRPr="003073C3">
        <w:rPr>
          <w:rFonts w:ascii="Times New Roman" w:hAnsi="Times New Roman" w:cs="Times New Roman"/>
        </w:rPr>
        <w:t>unadjusted</w:t>
      </w:r>
      <w:r>
        <w:rPr>
          <w:rFonts w:ascii="Times New Roman" w:hAnsi="Times New Roman" w:cs="Times New Roman"/>
        </w:rPr>
        <w:t>.</w:t>
      </w:r>
    </w:p>
    <w:p w14:paraId="3A5D4B4D" w14:textId="23B29A81" w:rsidR="00994D4B" w:rsidRPr="004D5859" w:rsidRDefault="006135B8" w:rsidP="001174F9">
      <w:pPr>
        <w:spacing w:after="120" w:line="480" w:lineRule="auto"/>
        <w:rPr>
          <w:rFonts w:ascii="Times New Roman" w:hAnsi="Times New Roman" w:cs="Times New Roman"/>
        </w:rPr>
      </w:pPr>
      <w:r w:rsidRPr="004D5859">
        <w:rPr>
          <w:rFonts w:ascii="Times New Roman" w:hAnsi="Times New Roman" w:cs="Times New Roman"/>
        </w:rPr>
        <w:t xml:space="preserve">Multivariable </w:t>
      </w:r>
      <w:r w:rsidR="00313805" w:rsidRPr="004D5859">
        <w:rPr>
          <w:rFonts w:ascii="Times New Roman" w:hAnsi="Times New Roman" w:cs="Times New Roman"/>
        </w:rPr>
        <w:t>step</w:t>
      </w:r>
      <w:r w:rsidR="0071699A" w:rsidRPr="004D5859">
        <w:rPr>
          <w:rFonts w:ascii="Times New Roman" w:hAnsi="Times New Roman" w:cs="Times New Roman"/>
        </w:rPr>
        <w:t>w</w:t>
      </w:r>
      <w:r w:rsidR="00313805" w:rsidRPr="004D5859">
        <w:rPr>
          <w:rFonts w:ascii="Times New Roman" w:hAnsi="Times New Roman" w:cs="Times New Roman"/>
        </w:rPr>
        <w:t>ise</w:t>
      </w:r>
      <w:r w:rsidR="00994D4B" w:rsidRPr="004D5859">
        <w:rPr>
          <w:rFonts w:ascii="Times New Roman" w:hAnsi="Times New Roman" w:cs="Times New Roman"/>
        </w:rPr>
        <w:t xml:space="preserve"> logistic regression </w:t>
      </w:r>
      <w:r w:rsidR="009E26DF" w:rsidRPr="004D5859">
        <w:rPr>
          <w:rFonts w:ascii="Times New Roman" w:hAnsi="Times New Roman" w:cs="Times New Roman"/>
        </w:rPr>
        <w:t xml:space="preserve">with </w:t>
      </w:r>
      <w:r w:rsidR="00994D4B" w:rsidRPr="004D5859">
        <w:rPr>
          <w:rFonts w:ascii="Times New Roman" w:hAnsi="Times New Roman" w:cs="Times New Roman"/>
        </w:rPr>
        <w:t xml:space="preserve">age, NIHSS score, and time </w:t>
      </w:r>
      <w:r w:rsidR="0071699A" w:rsidRPr="004D5859">
        <w:rPr>
          <w:rFonts w:ascii="Times New Roman" w:hAnsi="Times New Roman" w:cs="Times New Roman"/>
        </w:rPr>
        <w:t xml:space="preserve">from symptom onset to </w:t>
      </w:r>
      <w:r w:rsidR="009E26DF" w:rsidRPr="004D5859">
        <w:rPr>
          <w:rFonts w:ascii="Times New Roman" w:hAnsi="Times New Roman" w:cs="Times New Roman"/>
        </w:rPr>
        <w:t>randomi</w:t>
      </w:r>
      <w:r w:rsidR="00BE14AC" w:rsidRPr="004D5859">
        <w:rPr>
          <w:rFonts w:ascii="Times New Roman" w:hAnsi="Times New Roman" w:cs="Times New Roman"/>
        </w:rPr>
        <w:t>s</w:t>
      </w:r>
      <w:r w:rsidR="009E26DF" w:rsidRPr="004D5859">
        <w:rPr>
          <w:rFonts w:ascii="Times New Roman" w:hAnsi="Times New Roman" w:cs="Times New Roman"/>
        </w:rPr>
        <w:t>ation</w:t>
      </w:r>
      <w:r w:rsidR="0071699A" w:rsidRPr="004D5859">
        <w:rPr>
          <w:rFonts w:ascii="Times New Roman" w:hAnsi="Times New Roman" w:cs="Times New Roman"/>
        </w:rPr>
        <w:t xml:space="preserve"> </w:t>
      </w:r>
      <w:r w:rsidR="009E26DF" w:rsidRPr="004D5859">
        <w:rPr>
          <w:rFonts w:ascii="Times New Roman" w:hAnsi="Times New Roman" w:cs="Times New Roman"/>
        </w:rPr>
        <w:t>forced into the model</w:t>
      </w:r>
      <w:r w:rsidR="000A1EAA" w:rsidRPr="004D5859">
        <w:rPr>
          <w:rFonts w:ascii="Times New Roman" w:hAnsi="Times New Roman" w:cs="Times New Roman"/>
        </w:rPr>
        <w:t>,</w:t>
      </w:r>
      <w:r w:rsidR="00994D4B" w:rsidRPr="004D5859">
        <w:rPr>
          <w:rFonts w:ascii="Times New Roman" w:hAnsi="Times New Roman" w:cs="Times New Roman"/>
        </w:rPr>
        <w:t xml:space="preserve"> </w:t>
      </w:r>
      <w:r w:rsidR="000A1EAA" w:rsidRPr="004D5859">
        <w:rPr>
          <w:rFonts w:ascii="Times New Roman" w:hAnsi="Times New Roman" w:cs="Times New Roman"/>
        </w:rPr>
        <w:t xml:space="preserve">was used </w:t>
      </w:r>
      <w:r w:rsidR="00994D4B" w:rsidRPr="004D5859">
        <w:rPr>
          <w:rFonts w:ascii="Times New Roman" w:hAnsi="Times New Roman" w:cs="Times New Roman"/>
        </w:rPr>
        <w:t xml:space="preserve">to identify whether any combinations of imaging variables were </w:t>
      </w:r>
      <w:r w:rsidR="00D3248E" w:rsidRPr="004D5859">
        <w:rPr>
          <w:rFonts w:ascii="Times New Roman" w:hAnsi="Times New Roman" w:cs="Times New Roman"/>
        </w:rPr>
        <w:t xml:space="preserve">independently </w:t>
      </w:r>
      <w:r w:rsidR="00994D4B" w:rsidRPr="004D5859">
        <w:rPr>
          <w:rFonts w:ascii="Times New Roman" w:hAnsi="Times New Roman" w:cs="Times New Roman"/>
        </w:rPr>
        <w:t xml:space="preserve">associated with </w:t>
      </w:r>
      <w:proofErr w:type="spellStart"/>
      <w:r w:rsidR="000E0D82" w:rsidRPr="004D5859">
        <w:rPr>
          <w:rFonts w:ascii="Times New Roman" w:hAnsi="Times New Roman" w:cs="Times New Roman"/>
        </w:rPr>
        <w:t>s</w:t>
      </w:r>
      <w:r w:rsidR="00994D4B" w:rsidRPr="004D5859">
        <w:rPr>
          <w:rFonts w:ascii="Times New Roman" w:hAnsi="Times New Roman" w:cs="Times New Roman"/>
        </w:rPr>
        <w:t>ICH</w:t>
      </w:r>
      <w:proofErr w:type="spellEnd"/>
      <w:r w:rsidR="00994D4B" w:rsidRPr="004D5859">
        <w:rPr>
          <w:rFonts w:ascii="Times New Roman" w:hAnsi="Times New Roman" w:cs="Times New Roman"/>
        </w:rPr>
        <w:t xml:space="preserve"> </w:t>
      </w:r>
      <w:r w:rsidR="0071699A" w:rsidRPr="004D5859">
        <w:rPr>
          <w:rFonts w:ascii="Times New Roman" w:hAnsi="Times New Roman" w:cs="Times New Roman"/>
        </w:rPr>
        <w:t xml:space="preserve">and </w:t>
      </w:r>
      <w:proofErr w:type="spellStart"/>
      <w:r w:rsidR="00994D4B" w:rsidRPr="004D5859">
        <w:rPr>
          <w:rFonts w:ascii="Times New Roman" w:hAnsi="Times New Roman" w:cs="Times New Roman"/>
        </w:rPr>
        <w:t>mRS</w:t>
      </w:r>
      <w:proofErr w:type="spellEnd"/>
      <w:r w:rsidR="00994D4B" w:rsidRPr="004D5859">
        <w:rPr>
          <w:rFonts w:ascii="Times New Roman" w:hAnsi="Times New Roman" w:cs="Times New Roman"/>
        </w:rPr>
        <w:t xml:space="preserve"> score 0</w:t>
      </w:r>
      <w:r w:rsidR="0071699A" w:rsidRPr="004D5859">
        <w:rPr>
          <w:rFonts w:ascii="Times New Roman" w:hAnsi="Times New Roman" w:cs="Times New Roman"/>
        </w:rPr>
        <w:t>-</w:t>
      </w:r>
      <w:r w:rsidR="00B92244" w:rsidRPr="004D5859">
        <w:rPr>
          <w:rFonts w:ascii="Times New Roman" w:hAnsi="Times New Roman" w:cs="Times New Roman"/>
        </w:rPr>
        <w:t>2</w:t>
      </w:r>
      <w:r w:rsidR="0071699A" w:rsidRPr="004D5859">
        <w:rPr>
          <w:rFonts w:ascii="Times New Roman" w:hAnsi="Times New Roman" w:cs="Times New Roman"/>
        </w:rPr>
        <w:t xml:space="preserve"> at Day 90</w:t>
      </w:r>
      <w:r w:rsidR="00994D4B" w:rsidRPr="004D5859">
        <w:rPr>
          <w:rFonts w:ascii="Times New Roman" w:hAnsi="Times New Roman" w:cs="Times New Roman"/>
        </w:rPr>
        <w:t xml:space="preserve">.  </w:t>
      </w:r>
      <w:r w:rsidR="00793B4E">
        <w:rPr>
          <w:rFonts w:ascii="Times New Roman" w:hAnsi="Times New Roman" w:cs="Times New Roman"/>
        </w:rPr>
        <w:t>The same analysis was conducted by adding history of diabetes</w:t>
      </w:r>
      <w:r w:rsidR="00655DBF">
        <w:rPr>
          <w:rFonts w:ascii="Times New Roman" w:hAnsi="Times New Roman" w:cs="Times New Roman"/>
        </w:rPr>
        <w:t xml:space="preserve"> mellitus</w:t>
      </w:r>
      <w:r w:rsidR="00793B4E">
        <w:rPr>
          <w:rFonts w:ascii="Times New Roman" w:hAnsi="Times New Roman" w:cs="Times New Roman"/>
        </w:rPr>
        <w:t xml:space="preserve"> and baseline systolic blood pressure to the model. </w:t>
      </w:r>
      <w:r w:rsidR="0071699A" w:rsidRPr="004D5859">
        <w:rPr>
          <w:rFonts w:ascii="Times New Roman" w:hAnsi="Times New Roman" w:cs="Times New Roman"/>
        </w:rPr>
        <w:t>T</w:t>
      </w:r>
      <w:r w:rsidR="00994D4B" w:rsidRPr="004D5859">
        <w:rPr>
          <w:rFonts w:ascii="Times New Roman" w:hAnsi="Times New Roman" w:cs="Times New Roman"/>
        </w:rPr>
        <w:t>reatment effects of low-</w:t>
      </w:r>
      <w:r w:rsidR="009548FE" w:rsidRPr="004D5859">
        <w:rPr>
          <w:rFonts w:ascii="Times New Roman" w:hAnsi="Times New Roman" w:cs="Times New Roman"/>
        </w:rPr>
        <w:t>dose</w:t>
      </w:r>
      <w:r w:rsidR="00994D4B" w:rsidRPr="004D5859">
        <w:rPr>
          <w:rFonts w:ascii="Times New Roman" w:hAnsi="Times New Roman" w:cs="Times New Roman"/>
        </w:rPr>
        <w:t xml:space="preserve"> </w:t>
      </w:r>
      <w:r w:rsidR="0071699A" w:rsidRPr="004D5859">
        <w:rPr>
          <w:rFonts w:ascii="Times New Roman" w:hAnsi="Times New Roman" w:cs="Times New Roman"/>
        </w:rPr>
        <w:t>versus</w:t>
      </w:r>
      <w:r w:rsidR="00994D4B" w:rsidRPr="004D5859">
        <w:rPr>
          <w:rFonts w:ascii="Times New Roman" w:hAnsi="Times New Roman" w:cs="Times New Roman"/>
        </w:rPr>
        <w:t xml:space="preserve"> standard-dose alteplase on </w:t>
      </w:r>
      <w:r w:rsidR="0071699A" w:rsidRPr="004D5859">
        <w:rPr>
          <w:rFonts w:ascii="Times New Roman" w:hAnsi="Times New Roman" w:cs="Times New Roman"/>
        </w:rPr>
        <w:t>functional status</w:t>
      </w:r>
      <w:r w:rsidR="00994D4B" w:rsidRPr="004D5859">
        <w:rPr>
          <w:rFonts w:ascii="Times New Roman" w:hAnsi="Times New Roman" w:cs="Times New Roman"/>
        </w:rPr>
        <w:t xml:space="preserve"> and </w:t>
      </w:r>
      <w:proofErr w:type="spellStart"/>
      <w:r w:rsidR="00994D4B" w:rsidRPr="004D5859">
        <w:rPr>
          <w:rFonts w:ascii="Times New Roman" w:hAnsi="Times New Roman" w:cs="Times New Roman"/>
        </w:rPr>
        <w:t>sICH</w:t>
      </w:r>
      <w:proofErr w:type="spellEnd"/>
      <w:r w:rsidR="00994D4B" w:rsidRPr="004D5859">
        <w:rPr>
          <w:rFonts w:ascii="Times New Roman" w:hAnsi="Times New Roman" w:cs="Times New Roman"/>
        </w:rPr>
        <w:t xml:space="preserve"> were determined using logistic regression models</w:t>
      </w:r>
      <w:r w:rsidR="0071699A" w:rsidRPr="004D5859">
        <w:rPr>
          <w:rFonts w:ascii="Times New Roman" w:hAnsi="Times New Roman" w:cs="Times New Roman"/>
        </w:rPr>
        <w:t>, with</w:t>
      </w:r>
      <w:r w:rsidR="00994D4B" w:rsidRPr="004D5859">
        <w:rPr>
          <w:rFonts w:ascii="Times New Roman" w:hAnsi="Times New Roman" w:cs="Times New Roman"/>
        </w:rPr>
        <w:t xml:space="preserve"> the heterogeneity of alteplase dose effect across subgroups estimated by adding an interaction term</w:t>
      </w:r>
      <w:r w:rsidR="0071699A" w:rsidRPr="004D5859">
        <w:rPr>
          <w:rFonts w:ascii="Times New Roman" w:hAnsi="Times New Roman" w:cs="Times New Roman"/>
        </w:rPr>
        <w:t>.</w:t>
      </w:r>
      <w:r w:rsidR="00994D4B" w:rsidRPr="004D5859">
        <w:rPr>
          <w:rFonts w:ascii="Times New Roman" w:hAnsi="Times New Roman" w:cs="Times New Roman"/>
        </w:rPr>
        <w:t xml:space="preserve"> </w:t>
      </w:r>
      <w:r w:rsidR="00F2528D" w:rsidRPr="004D5859">
        <w:rPr>
          <w:rFonts w:ascii="Times New Roman" w:hAnsi="Times New Roman" w:cs="Times New Roman"/>
        </w:rPr>
        <w:t xml:space="preserve"> </w:t>
      </w:r>
      <w:r w:rsidR="00994D4B" w:rsidRPr="004D5859">
        <w:rPr>
          <w:rFonts w:ascii="Times New Roman" w:hAnsi="Times New Roman" w:cs="Times New Roman"/>
        </w:rPr>
        <w:t xml:space="preserve">Data are reported as </w:t>
      </w:r>
      <w:r w:rsidR="00234BC9">
        <w:rPr>
          <w:rFonts w:ascii="Times New Roman" w:hAnsi="Times New Roman" w:cs="Times New Roman"/>
        </w:rPr>
        <w:t xml:space="preserve">adjusted </w:t>
      </w:r>
      <w:r w:rsidR="00994D4B" w:rsidRPr="004D5859">
        <w:rPr>
          <w:rFonts w:ascii="Times New Roman" w:hAnsi="Times New Roman" w:cs="Times New Roman"/>
        </w:rPr>
        <w:t xml:space="preserve">odds ratios (OR) and 95% confidence intervals (CI). </w:t>
      </w:r>
      <w:r w:rsidR="00F2528D" w:rsidRPr="004D5859">
        <w:rPr>
          <w:rFonts w:ascii="Times New Roman" w:hAnsi="Times New Roman" w:cs="Times New Roman"/>
        </w:rPr>
        <w:t xml:space="preserve"> </w:t>
      </w:r>
      <w:r w:rsidR="00994D4B" w:rsidRPr="004D5859">
        <w:rPr>
          <w:rFonts w:ascii="Times New Roman" w:hAnsi="Times New Roman" w:cs="Times New Roman"/>
        </w:rPr>
        <w:t>Two-sided P values are reported, with P&lt;0·05 considered statistically significant. SAS version 9</w:t>
      </w:r>
      <w:r w:rsidR="00AF151B" w:rsidRPr="004D5859">
        <w:rPr>
          <w:rFonts w:ascii="Times New Roman" w:hAnsi="Times New Roman" w:cs="Times New Roman"/>
        </w:rPr>
        <w:t>.</w:t>
      </w:r>
      <w:r w:rsidR="00994D4B" w:rsidRPr="004D5859">
        <w:rPr>
          <w:rFonts w:ascii="Times New Roman" w:hAnsi="Times New Roman" w:cs="Times New Roman"/>
        </w:rPr>
        <w:t>3 (SAS Institute, Cary, NC) was used for analyses.</w:t>
      </w:r>
      <w:r w:rsidR="00472967" w:rsidRPr="004D5859">
        <w:rPr>
          <w:rFonts w:ascii="Times New Roman" w:hAnsi="Times New Roman" w:cs="Times New Roman"/>
        </w:rPr>
        <w:t xml:space="preserve"> </w:t>
      </w:r>
    </w:p>
    <w:p w14:paraId="71470A35" w14:textId="77777777" w:rsidR="00087701" w:rsidRPr="004D5859" w:rsidRDefault="00087701" w:rsidP="007F005C">
      <w:pPr>
        <w:spacing w:after="120" w:line="480" w:lineRule="auto"/>
        <w:jc w:val="both"/>
        <w:rPr>
          <w:rFonts w:ascii="Times New Roman" w:hAnsi="Times New Roman" w:cs="Times New Roman"/>
          <w:b/>
        </w:rPr>
      </w:pPr>
      <w:r w:rsidRPr="004D5859">
        <w:rPr>
          <w:rFonts w:ascii="Times New Roman" w:hAnsi="Times New Roman" w:cs="Times New Roman"/>
          <w:b/>
        </w:rPr>
        <w:t>Role of the funding source</w:t>
      </w:r>
    </w:p>
    <w:p w14:paraId="4D5F8705" w14:textId="74B6ADC1" w:rsidR="00087701" w:rsidRPr="004D5859" w:rsidRDefault="00087701" w:rsidP="007F005C">
      <w:pPr>
        <w:spacing w:after="120" w:line="480" w:lineRule="auto"/>
        <w:jc w:val="both"/>
        <w:rPr>
          <w:rFonts w:ascii="Times New Roman" w:hAnsi="Times New Roman" w:cs="Times New Roman"/>
        </w:rPr>
      </w:pPr>
      <w:r w:rsidRPr="004D5859">
        <w:rPr>
          <w:rFonts w:ascii="Times New Roman" w:hAnsi="Times New Roman" w:cs="Times New Roman"/>
        </w:rPr>
        <w:t>The sponsors had no role in the study design, data collection, data analysis, data interpretation or writing of the report. All authors had</w:t>
      </w:r>
      <w:r w:rsidR="00AB37C5" w:rsidRPr="004D5859">
        <w:rPr>
          <w:rFonts w:ascii="Times New Roman" w:hAnsi="Times New Roman" w:cs="Times New Roman"/>
        </w:rPr>
        <w:t xml:space="preserve"> full access to the study data. </w:t>
      </w:r>
      <w:r w:rsidR="00F2528D" w:rsidRPr="004D5859">
        <w:rPr>
          <w:rFonts w:ascii="Times New Roman" w:hAnsi="Times New Roman" w:cs="Times New Roman"/>
        </w:rPr>
        <w:t xml:space="preserve"> </w:t>
      </w:r>
      <w:r w:rsidRPr="004D5859">
        <w:rPr>
          <w:rFonts w:ascii="Times New Roman" w:hAnsi="Times New Roman" w:cs="Times New Roman"/>
        </w:rPr>
        <w:t>The corresponding author had final responsibility for the decision to submit the paper for publication.</w:t>
      </w:r>
    </w:p>
    <w:p w14:paraId="64CB96B8" w14:textId="77777777" w:rsidR="00087701" w:rsidRPr="004D5859" w:rsidRDefault="00087701" w:rsidP="007F005C">
      <w:pPr>
        <w:spacing w:after="120" w:line="480" w:lineRule="auto"/>
        <w:jc w:val="both"/>
        <w:rPr>
          <w:rFonts w:ascii="Times New Roman" w:hAnsi="Times New Roman" w:cs="Times New Roman"/>
          <w:b/>
        </w:rPr>
      </w:pPr>
      <w:r w:rsidRPr="004D5859">
        <w:rPr>
          <w:rFonts w:ascii="Times New Roman" w:hAnsi="Times New Roman" w:cs="Times New Roman"/>
          <w:b/>
        </w:rPr>
        <w:t>Data availability</w:t>
      </w:r>
    </w:p>
    <w:p w14:paraId="3D9AA8B5" w14:textId="5477ED1E" w:rsidR="00087701" w:rsidRPr="004D5859" w:rsidRDefault="00087701" w:rsidP="009548FE">
      <w:pPr>
        <w:autoSpaceDE w:val="0"/>
        <w:autoSpaceDN w:val="0"/>
        <w:adjustRightInd w:val="0"/>
        <w:spacing w:after="240" w:line="480" w:lineRule="auto"/>
        <w:jc w:val="both"/>
        <w:rPr>
          <w:rFonts w:ascii="Times New Roman" w:hAnsi="Times New Roman" w:cs="Times New Roman"/>
        </w:rPr>
      </w:pPr>
      <w:r w:rsidRPr="004D5859">
        <w:rPr>
          <w:rFonts w:ascii="Times New Roman" w:hAnsi="Times New Roman" w:cs="Times New Roman"/>
          <w:color w:val="231F20"/>
        </w:rPr>
        <w:t>Individual de-identified participant data used in these analyses will be shared by request from any qualified investigator via the Research Office of The George Institute for Global Health, Australia.</w:t>
      </w:r>
    </w:p>
    <w:p w14:paraId="3B15AAF0" w14:textId="77777777" w:rsidR="00EF5F48" w:rsidRDefault="00EF5F48" w:rsidP="007F005C">
      <w:pPr>
        <w:spacing w:after="120" w:line="480" w:lineRule="auto"/>
        <w:rPr>
          <w:rFonts w:ascii="Times New Roman" w:hAnsi="Times New Roman" w:cs="Times New Roman"/>
          <w:b/>
        </w:rPr>
      </w:pPr>
    </w:p>
    <w:p w14:paraId="281E995F" w14:textId="2D8C8B7C" w:rsidR="00994D4B" w:rsidRPr="004D5859" w:rsidRDefault="00B1648A" w:rsidP="007F005C">
      <w:pPr>
        <w:spacing w:after="120" w:line="480" w:lineRule="auto"/>
        <w:rPr>
          <w:rFonts w:ascii="Times New Roman" w:hAnsi="Times New Roman" w:cs="Times New Roman"/>
          <w:b/>
        </w:rPr>
      </w:pPr>
      <w:r w:rsidRPr="004D5859">
        <w:rPr>
          <w:rFonts w:ascii="Times New Roman" w:hAnsi="Times New Roman" w:cs="Times New Roman"/>
          <w:b/>
        </w:rPr>
        <w:t>RESULTS</w:t>
      </w:r>
    </w:p>
    <w:p w14:paraId="7F09F840" w14:textId="030728AF" w:rsidR="00857893" w:rsidRPr="004D5859" w:rsidRDefault="002A0567" w:rsidP="007F005C">
      <w:pPr>
        <w:spacing w:after="120" w:line="480" w:lineRule="auto"/>
        <w:rPr>
          <w:rFonts w:ascii="Times New Roman" w:hAnsi="Times New Roman" w:cs="Times New Roman"/>
        </w:rPr>
      </w:pPr>
      <w:r w:rsidRPr="004D5859">
        <w:rPr>
          <w:rFonts w:ascii="Times New Roman" w:hAnsi="Times New Roman" w:cs="Times New Roman"/>
        </w:rPr>
        <w:t>A</w:t>
      </w:r>
      <w:r w:rsidR="00C4624C" w:rsidRPr="004D5859">
        <w:rPr>
          <w:rFonts w:ascii="Times New Roman" w:hAnsi="Times New Roman" w:cs="Times New Roman"/>
        </w:rPr>
        <w:t>mong</w:t>
      </w:r>
      <w:r w:rsidRPr="004D5859">
        <w:rPr>
          <w:rFonts w:ascii="Times New Roman" w:hAnsi="Times New Roman" w:cs="Times New Roman"/>
        </w:rPr>
        <w:t xml:space="preserve"> </w:t>
      </w:r>
      <w:r w:rsidR="0071699A" w:rsidRPr="004D5859">
        <w:rPr>
          <w:rFonts w:ascii="Times New Roman" w:hAnsi="Times New Roman" w:cs="Times New Roman"/>
        </w:rPr>
        <w:t>the</w:t>
      </w:r>
      <w:r w:rsidRPr="004D5859">
        <w:rPr>
          <w:rFonts w:ascii="Times New Roman" w:hAnsi="Times New Roman" w:cs="Times New Roman"/>
        </w:rPr>
        <w:t xml:space="preserve"> 3310 participants in the </w:t>
      </w:r>
      <w:r w:rsidR="00D3248E" w:rsidRPr="004D5859">
        <w:rPr>
          <w:rFonts w:ascii="Times New Roman" w:hAnsi="Times New Roman" w:cs="Times New Roman"/>
        </w:rPr>
        <w:t>alteplase</w:t>
      </w:r>
      <w:r w:rsidR="009548FE" w:rsidRPr="004D5859">
        <w:rPr>
          <w:rFonts w:ascii="Times New Roman" w:hAnsi="Times New Roman" w:cs="Times New Roman"/>
        </w:rPr>
        <w:t>-</w:t>
      </w:r>
      <w:r w:rsidRPr="004D5859">
        <w:rPr>
          <w:rFonts w:ascii="Times New Roman" w:hAnsi="Times New Roman" w:cs="Times New Roman"/>
        </w:rPr>
        <w:t xml:space="preserve">dose arm of ENCHANTED, 2916 had brain imaging </w:t>
      </w:r>
      <w:r w:rsidR="00491EEC">
        <w:rPr>
          <w:rFonts w:ascii="Times New Roman" w:hAnsi="Times New Roman" w:cs="Times New Roman"/>
        </w:rPr>
        <w:t xml:space="preserve">(2816 brain CT scans and 100 brain MRI) </w:t>
      </w:r>
      <w:r w:rsidR="00655DBF">
        <w:rPr>
          <w:rFonts w:ascii="Times New Roman" w:hAnsi="Times New Roman" w:cs="Times New Roman"/>
        </w:rPr>
        <w:t xml:space="preserve">and outcome data </w:t>
      </w:r>
      <w:r w:rsidR="00245D9E" w:rsidRPr="004D5859">
        <w:rPr>
          <w:rFonts w:ascii="Times New Roman" w:hAnsi="Times New Roman" w:cs="Times New Roman"/>
        </w:rPr>
        <w:t xml:space="preserve">available </w:t>
      </w:r>
      <w:r w:rsidRPr="004D5859">
        <w:rPr>
          <w:rFonts w:ascii="Times New Roman" w:hAnsi="Times New Roman" w:cs="Times New Roman"/>
        </w:rPr>
        <w:t xml:space="preserve">for </w:t>
      </w:r>
      <w:r w:rsidR="0071699A" w:rsidRPr="004D5859">
        <w:rPr>
          <w:rFonts w:ascii="Times New Roman" w:hAnsi="Times New Roman" w:cs="Times New Roman"/>
        </w:rPr>
        <w:t xml:space="preserve">these </w:t>
      </w:r>
      <w:r w:rsidRPr="004D5859">
        <w:rPr>
          <w:rFonts w:ascii="Times New Roman" w:hAnsi="Times New Roman" w:cs="Times New Roman"/>
        </w:rPr>
        <w:t>analys</w:t>
      </w:r>
      <w:r w:rsidR="0071699A" w:rsidRPr="004D5859">
        <w:rPr>
          <w:rFonts w:ascii="Times New Roman" w:hAnsi="Times New Roman" w:cs="Times New Roman"/>
        </w:rPr>
        <w:t>e</w:t>
      </w:r>
      <w:r w:rsidRPr="004D5859">
        <w:rPr>
          <w:rFonts w:ascii="Times New Roman" w:hAnsi="Times New Roman" w:cs="Times New Roman"/>
        </w:rPr>
        <w:t>s</w:t>
      </w:r>
      <w:r w:rsidR="00B42B8D" w:rsidRPr="004D5859">
        <w:rPr>
          <w:rFonts w:ascii="Times New Roman" w:hAnsi="Times New Roman" w:cs="Times New Roman"/>
        </w:rPr>
        <w:t xml:space="preserve"> (Figure 1). </w:t>
      </w:r>
      <w:r w:rsidR="00F2528D" w:rsidRPr="004D5859">
        <w:rPr>
          <w:rFonts w:ascii="Times New Roman" w:hAnsi="Times New Roman" w:cs="Times New Roman"/>
        </w:rPr>
        <w:t xml:space="preserve"> </w:t>
      </w:r>
      <w:r w:rsidR="0034748D">
        <w:rPr>
          <w:rFonts w:ascii="Times New Roman" w:hAnsi="Times New Roman" w:cs="Times New Roman"/>
        </w:rPr>
        <w:t xml:space="preserve">The absolute </w:t>
      </w:r>
      <w:r w:rsidR="001159BB">
        <w:rPr>
          <w:rFonts w:ascii="Times New Roman" w:hAnsi="Times New Roman" w:cs="Times New Roman"/>
        </w:rPr>
        <w:t>percentages</w:t>
      </w:r>
      <w:r w:rsidR="0034748D">
        <w:rPr>
          <w:rFonts w:ascii="Times New Roman" w:hAnsi="Times New Roman" w:cs="Times New Roman"/>
        </w:rPr>
        <w:t xml:space="preserve"> of outcomes were 2.6%, 4.6%, 9.4% and 61% for </w:t>
      </w:r>
      <w:proofErr w:type="spellStart"/>
      <w:r w:rsidR="0034748D">
        <w:rPr>
          <w:rFonts w:ascii="Times New Roman" w:hAnsi="Times New Roman" w:cs="Times New Roman"/>
        </w:rPr>
        <w:t>sICH</w:t>
      </w:r>
      <w:proofErr w:type="spellEnd"/>
      <w:r w:rsidR="0034748D">
        <w:rPr>
          <w:rFonts w:ascii="Times New Roman" w:hAnsi="Times New Roman" w:cs="Times New Roman"/>
        </w:rPr>
        <w:t xml:space="preserve">, day 7-death, day 90-death and </w:t>
      </w:r>
      <w:proofErr w:type="spellStart"/>
      <w:proofErr w:type="gramStart"/>
      <w:r w:rsidR="0034748D">
        <w:rPr>
          <w:rFonts w:ascii="Times New Roman" w:hAnsi="Times New Roman" w:cs="Times New Roman"/>
        </w:rPr>
        <w:t>mRS</w:t>
      </w:r>
      <w:proofErr w:type="spellEnd"/>
      <w:proofErr w:type="gramEnd"/>
      <w:r w:rsidR="0034748D">
        <w:rPr>
          <w:rFonts w:ascii="Times New Roman" w:hAnsi="Times New Roman" w:cs="Times New Roman"/>
        </w:rPr>
        <w:t xml:space="preserve"> 0-2 at day 90 respectively (Table S3). </w:t>
      </w:r>
      <w:r w:rsidR="0071699A" w:rsidRPr="004D5859">
        <w:rPr>
          <w:rFonts w:ascii="Times New Roman" w:hAnsi="Times New Roman" w:cs="Times New Roman"/>
        </w:rPr>
        <w:t>Table 1 shows t</w:t>
      </w:r>
      <w:r w:rsidRPr="004D5859">
        <w:rPr>
          <w:rFonts w:ascii="Times New Roman" w:hAnsi="Times New Roman" w:cs="Times New Roman"/>
        </w:rPr>
        <w:t xml:space="preserve">he </w:t>
      </w:r>
      <w:r w:rsidR="00857893" w:rsidRPr="004D5859">
        <w:rPr>
          <w:rFonts w:ascii="Times New Roman" w:hAnsi="Times New Roman" w:cs="Times New Roman"/>
        </w:rPr>
        <w:t xml:space="preserve">baseline </w:t>
      </w:r>
      <w:r w:rsidRPr="004D5859">
        <w:rPr>
          <w:rFonts w:ascii="Times New Roman" w:hAnsi="Times New Roman" w:cs="Times New Roman"/>
        </w:rPr>
        <w:t>characteristics of the</w:t>
      </w:r>
      <w:r w:rsidR="0071699A" w:rsidRPr="004D5859">
        <w:rPr>
          <w:rFonts w:ascii="Times New Roman" w:hAnsi="Times New Roman" w:cs="Times New Roman"/>
        </w:rPr>
        <w:t>se</w:t>
      </w:r>
      <w:r w:rsidRPr="004D5859">
        <w:rPr>
          <w:rFonts w:ascii="Times New Roman" w:hAnsi="Times New Roman" w:cs="Times New Roman"/>
        </w:rPr>
        <w:t xml:space="preserve"> participants</w:t>
      </w:r>
      <w:r w:rsidR="00857893" w:rsidRPr="004D5859">
        <w:rPr>
          <w:rFonts w:ascii="Times New Roman" w:hAnsi="Times New Roman" w:cs="Times New Roman"/>
        </w:rPr>
        <w:t xml:space="preserve">. </w:t>
      </w:r>
      <w:r w:rsidR="00FD2279" w:rsidRPr="004D5859">
        <w:rPr>
          <w:rFonts w:ascii="Times New Roman" w:hAnsi="Times New Roman" w:cs="Times New Roman"/>
        </w:rPr>
        <w:t xml:space="preserve"> Most patients (59.6%) were randomised within 3 hours </w:t>
      </w:r>
      <w:r w:rsidR="00655DBF">
        <w:rPr>
          <w:rFonts w:ascii="Times New Roman" w:hAnsi="Times New Roman" w:cs="Times New Roman"/>
        </w:rPr>
        <w:t xml:space="preserve">from the </w:t>
      </w:r>
      <w:r w:rsidR="00655DBF" w:rsidRPr="004D5859">
        <w:rPr>
          <w:rFonts w:ascii="Times New Roman" w:hAnsi="Times New Roman" w:cs="Times New Roman"/>
        </w:rPr>
        <w:t xml:space="preserve">onset </w:t>
      </w:r>
      <w:r w:rsidR="00655DBF">
        <w:rPr>
          <w:rFonts w:ascii="Times New Roman" w:hAnsi="Times New Roman" w:cs="Times New Roman"/>
        </w:rPr>
        <w:t xml:space="preserve">of </w:t>
      </w:r>
      <w:r w:rsidR="00FD2279" w:rsidRPr="004D5859">
        <w:rPr>
          <w:rFonts w:ascii="Times New Roman" w:hAnsi="Times New Roman" w:cs="Times New Roman"/>
        </w:rPr>
        <w:t>symptom</w:t>
      </w:r>
      <w:r w:rsidR="00655DBF">
        <w:rPr>
          <w:rFonts w:ascii="Times New Roman" w:hAnsi="Times New Roman" w:cs="Times New Roman"/>
        </w:rPr>
        <w:t>s</w:t>
      </w:r>
      <w:r w:rsidR="00FD2279" w:rsidRPr="004D5859">
        <w:rPr>
          <w:rFonts w:ascii="Times New Roman" w:hAnsi="Times New Roman" w:cs="Times New Roman"/>
        </w:rPr>
        <w:t xml:space="preserve">, and approximately one third had completely normal brain imaging at baseline.  Approximately one third had an acute </w:t>
      </w:r>
      <w:r w:rsidR="004D5859">
        <w:rPr>
          <w:rFonts w:ascii="Times New Roman" w:hAnsi="Times New Roman" w:cs="Times New Roman"/>
        </w:rPr>
        <w:t>ischaemic</w:t>
      </w:r>
      <w:r w:rsidR="00FD2279" w:rsidRPr="004D5859">
        <w:rPr>
          <w:rFonts w:ascii="Times New Roman" w:hAnsi="Times New Roman" w:cs="Times New Roman"/>
        </w:rPr>
        <w:t xml:space="preserve"> lesion which was most often of moderate size (85% had an ASPECT score 8-10), with swelling and hyperattenuated arteries present in fewer than 40% and 20%, respectively. Pre-existing signs of cerebrovascular disease were common: two thirds showed some degree of cerebral atrophy and one third each had old infarcts or some leukoaraiosis. </w:t>
      </w:r>
    </w:p>
    <w:p w14:paraId="159D0A36" w14:textId="580F70D2" w:rsidR="00EF5F48" w:rsidRDefault="00D32048" w:rsidP="007F005C">
      <w:pPr>
        <w:spacing w:after="120" w:line="480" w:lineRule="auto"/>
        <w:rPr>
          <w:rFonts w:ascii="Times New Roman" w:hAnsi="Times New Roman" w:cs="Times New Roman"/>
        </w:rPr>
      </w:pPr>
      <w:r w:rsidRPr="004D5859">
        <w:rPr>
          <w:rFonts w:ascii="Times New Roman" w:hAnsi="Times New Roman" w:cs="Times New Roman"/>
        </w:rPr>
        <w:t>Increasing NIHSS</w:t>
      </w:r>
      <w:r w:rsidR="00B07DC6" w:rsidRPr="004D5859">
        <w:rPr>
          <w:rFonts w:ascii="Times New Roman" w:hAnsi="Times New Roman" w:cs="Times New Roman"/>
        </w:rPr>
        <w:t xml:space="preserve"> score,</w:t>
      </w:r>
      <w:r w:rsidR="00D100FB" w:rsidRPr="004D5859">
        <w:rPr>
          <w:rFonts w:ascii="Times New Roman" w:hAnsi="Times New Roman" w:cs="Times New Roman"/>
        </w:rPr>
        <w:t xml:space="preserve"> but not age</w:t>
      </w:r>
      <w:r w:rsidR="00B07DC6" w:rsidRPr="004D5859">
        <w:rPr>
          <w:rFonts w:ascii="Times New Roman" w:hAnsi="Times New Roman" w:cs="Times New Roman"/>
        </w:rPr>
        <w:t>,</w:t>
      </w:r>
      <w:r w:rsidRPr="004D5859">
        <w:rPr>
          <w:rFonts w:ascii="Times New Roman" w:hAnsi="Times New Roman" w:cs="Times New Roman"/>
        </w:rPr>
        <w:t xml:space="preserve"> was associated with a </w:t>
      </w:r>
      <w:r w:rsidR="00B07DC6" w:rsidRPr="004D5859">
        <w:rPr>
          <w:rFonts w:ascii="Times New Roman" w:hAnsi="Times New Roman" w:cs="Times New Roman"/>
        </w:rPr>
        <w:t xml:space="preserve">higher </w:t>
      </w:r>
      <w:r w:rsidRPr="004D5859">
        <w:rPr>
          <w:rFonts w:ascii="Times New Roman" w:hAnsi="Times New Roman" w:cs="Times New Roman"/>
        </w:rPr>
        <w:t xml:space="preserve">frequency of early </w:t>
      </w:r>
      <w:r w:rsidR="004D5859">
        <w:rPr>
          <w:rFonts w:ascii="Times New Roman" w:hAnsi="Times New Roman" w:cs="Times New Roman"/>
        </w:rPr>
        <w:t>ischaemic</w:t>
      </w:r>
      <w:r w:rsidRPr="004D5859">
        <w:rPr>
          <w:rFonts w:ascii="Times New Roman" w:hAnsi="Times New Roman" w:cs="Times New Roman"/>
        </w:rPr>
        <w:t xml:space="preserve"> change</w:t>
      </w:r>
      <w:r w:rsidR="00FE6728" w:rsidRPr="004D5859">
        <w:rPr>
          <w:rFonts w:ascii="Times New Roman" w:hAnsi="Times New Roman" w:cs="Times New Roman"/>
        </w:rPr>
        <w:t>s</w:t>
      </w:r>
      <w:r w:rsidRPr="004D5859">
        <w:rPr>
          <w:rFonts w:ascii="Times New Roman" w:hAnsi="Times New Roman" w:cs="Times New Roman"/>
        </w:rPr>
        <w:t xml:space="preserve">, with several signs </w:t>
      </w:r>
      <w:r w:rsidR="006E64CD" w:rsidRPr="004D5859">
        <w:rPr>
          <w:rFonts w:ascii="Times New Roman" w:hAnsi="Times New Roman" w:cs="Times New Roman"/>
        </w:rPr>
        <w:t xml:space="preserve">(visible infarct, </w:t>
      </w:r>
      <w:r w:rsidR="00245D9E" w:rsidRPr="004D5859">
        <w:rPr>
          <w:rFonts w:ascii="Times New Roman" w:hAnsi="Times New Roman" w:cs="Times New Roman"/>
        </w:rPr>
        <w:t xml:space="preserve">severe versus mild </w:t>
      </w:r>
      <w:r w:rsidR="006E64CD" w:rsidRPr="004D5859">
        <w:rPr>
          <w:rFonts w:ascii="Times New Roman" w:hAnsi="Times New Roman" w:cs="Times New Roman"/>
        </w:rPr>
        <w:t xml:space="preserve">hypoattenuation) </w:t>
      </w:r>
      <w:r w:rsidRPr="004D5859">
        <w:rPr>
          <w:rFonts w:ascii="Times New Roman" w:hAnsi="Times New Roman" w:cs="Times New Roman"/>
        </w:rPr>
        <w:t>also becoming more frequent with increasing delay from stroke onset to baseline imaging.</w:t>
      </w:r>
      <w:r w:rsidR="0039772D" w:rsidRPr="004D5859">
        <w:rPr>
          <w:rFonts w:ascii="Times New Roman" w:hAnsi="Times New Roman" w:cs="Times New Roman"/>
        </w:rPr>
        <w:t xml:space="preserve"> </w:t>
      </w:r>
      <w:r w:rsidR="0001522B" w:rsidRPr="004D5859">
        <w:rPr>
          <w:rFonts w:ascii="Times New Roman" w:hAnsi="Times New Roman" w:cs="Times New Roman"/>
        </w:rPr>
        <w:t>I</w:t>
      </w:r>
      <w:r w:rsidR="00C7171D" w:rsidRPr="004D5859">
        <w:rPr>
          <w:rFonts w:ascii="Times New Roman" w:hAnsi="Times New Roman" w:cs="Times New Roman"/>
        </w:rPr>
        <w:t>ncreasing age</w:t>
      </w:r>
      <w:r w:rsidR="0001522B" w:rsidRPr="004D5859">
        <w:rPr>
          <w:rFonts w:ascii="Times New Roman" w:hAnsi="Times New Roman" w:cs="Times New Roman"/>
        </w:rPr>
        <w:t xml:space="preserve"> </w:t>
      </w:r>
      <w:r w:rsidR="00472967" w:rsidRPr="004D5859">
        <w:rPr>
          <w:rFonts w:ascii="Times New Roman" w:hAnsi="Times New Roman" w:cs="Times New Roman"/>
        </w:rPr>
        <w:t xml:space="preserve">was associated with </w:t>
      </w:r>
      <w:r w:rsidR="00B07DC6" w:rsidRPr="004D5859">
        <w:rPr>
          <w:rFonts w:ascii="Times New Roman" w:hAnsi="Times New Roman" w:cs="Times New Roman"/>
        </w:rPr>
        <w:t xml:space="preserve">a higher </w:t>
      </w:r>
      <w:r w:rsidR="0001522B" w:rsidRPr="004D5859">
        <w:rPr>
          <w:rFonts w:ascii="Times New Roman" w:hAnsi="Times New Roman" w:cs="Times New Roman"/>
        </w:rPr>
        <w:t xml:space="preserve">frequency of </w:t>
      </w:r>
      <w:r w:rsidR="00C7171D" w:rsidRPr="004D5859">
        <w:rPr>
          <w:rFonts w:ascii="Times New Roman" w:hAnsi="Times New Roman" w:cs="Times New Roman"/>
        </w:rPr>
        <w:t xml:space="preserve">pre-existing brain imaging signs of atrophy, </w:t>
      </w:r>
      <w:proofErr w:type="spellStart"/>
      <w:r w:rsidR="00C7171D" w:rsidRPr="004D5859">
        <w:rPr>
          <w:rFonts w:ascii="Times New Roman" w:hAnsi="Times New Roman" w:cs="Times New Roman"/>
        </w:rPr>
        <w:t>leukoaraoi</w:t>
      </w:r>
      <w:r w:rsidR="000C677A" w:rsidRPr="004D5859">
        <w:rPr>
          <w:rFonts w:ascii="Times New Roman" w:hAnsi="Times New Roman" w:cs="Times New Roman"/>
        </w:rPr>
        <w:t>sis</w:t>
      </w:r>
      <w:proofErr w:type="spellEnd"/>
      <w:r w:rsidR="000C677A" w:rsidRPr="004D5859">
        <w:rPr>
          <w:rFonts w:ascii="Times New Roman" w:hAnsi="Times New Roman" w:cs="Times New Roman"/>
        </w:rPr>
        <w:t xml:space="preserve"> and</w:t>
      </w:r>
      <w:r w:rsidR="00245D9E" w:rsidRPr="004D5859">
        <w:rPr>
          <w:rFonts w:ascii="Times New Roman" w:hAnsi="Times New Roman" w:cs="Times New Roman"/>
        </w:rPr>
        <w:t>/or</w:t>
      </w:r>
      <w:r w:rsidR="000C677A" w:rsidRPr="004D5859">
        <w:rPr>
          <w:rFonts w:ascii="Times New Roman" w:hAnsi="Times New Roman" w:cs="Times New Roman"/>
        </w:rPr>
        <w:t xml:space="preserve"> </w:t>
      </w:r>
      <w:r w:rsidR="0001522B" w:rsidRPr="004D5859">
        <w:rPr>
          <w:rFonts w:ascii="Times New Roman" w:hAnsi="Times New Roman" w:cs="Times New Roman"/>
        </w:rPr>
        <w:t>previous infarction</w:t>
      </w:r>
      <w:r w:rsidR="000C677A" w:rsidRPr="004D5859">
        <w:rPr>
          <w:rFonts w:ascii="Times New Roman" w:hAnsi="Times New Roman" w:cs="Times New Roman"/>
        </w:rPr>
        <w:t xml:space="preserve"> (adjusted for stroke severity)</w:t>
      </w:r>
      <w:r w:rsidR="00313805" w:rsidRPr="004D5859">
        <w:rPr>
          <w:rFonts w:ascii="Times New Roman" w:hAnsi="Times New Roman" w:cs="Times New Roman"/>
        </w:rPr>
        <w:t xml:space="preserve">, but not </w:t>
      </w:r>
      <w:r w:rsidR="0039772D" w:rsidRPr="004D5859">
        <w:rPr>
          <w:rFonts w:ascii="Times New Roman" w:hAnsi="Times New Roman" w:cs="Times New Roman"/>
        </w:rPr>
        <w:t xml:space="preserve">the severity of </w:t>
      </w:r>
      <w:r w:rsidR="00313805" w:rsidRPr="004D5859">
        <w:rPr>
          <w:rFonts w:ascii="Times New Roman" w:hAnsi="Times New Roman" w:cs="Times New Roman"/>
        </w:rPr>
        <w:t xml:space="preserve">acute </w:t>
      </w:r>
      <w:r w:rsidR="0039772D" w:rsidRPr="004D5859">
        <w:rPr>
          <w:rFonts w:ascii="Times New Roman" w:hAnsi="Times New Roman" w:cs="Times New Roman"/>
        </w:rPr>
        <w:t>isch</w:t>
      </w:r>
      <w:r w:rsidR="004D5859">
        <w:rPr>
          <w:rFonts w:ascii="Times New Roman" w:hAnsi="Times New Roman" w:cs="Times New Roman"/>
        </w:rPr>
        <w:t>a</w:t>
      </w:r>
      <w:r w:rsidR="0039772D" w:rsidRPr="004D5859">
        <w:rPr>
          <w:rFonts w:ascii="Times New Roman" w:hAnsi="Times New Roman" w:cs="Times New Roman"/>
        </w:rPr>
        <w:t>emia</w:t>
      </w:r>
      <w:r w:rsidR="00313805" w:rsidRPr="004D5859">
        <w:rPr>
          <w:rFonts w:ascii="Times New Roman" w:hAnsi="Times New Roman" w:cs="Times New Roman"/>
        </w:rPr>
        <w:t xml:space="preserve">. </w:t>
      </w:r>
      <w:r w:rsidR="00F2528D" w:rsidRPr="004D5859">
        <w:rPr>
          <w:rFonts w:ascii="Times New Roman" w:hAnsi="Times New Roman" w:cs="Times New Roman"/>
        </w:rPr>
        <w:t xml:space="preserve"> </w:t>
      </w:r>
      <w:r w:rsidR="00313805" w:rsidRPr="004D5859">
        <w:rPr>
          <w:rFonts w:ascii="Times New Roman" w:hAnsi="Times New Roman" w:cs="Times New Roman"/>
        </w:rPr>
        <w:t>Delay in treatment was associated with pre-existing infarction</w:t>
      </w:r>
      <w:r w:rsidR="000C677A" w:rsidRPr="004D5859">
        <w:rPr>
          <w:rFonts w:ascii="Times New Roman" w:hAnsi="Times New Roman" w:cs="Times New Roman"/>
        </w:rPr>
        <w:t xml:space="preserve"> (Table 2).</w:t>
      </w:r>
    </w:p>
    <w:p w14:paraId="01D38E47" w14:textId="63681010" w:rsidR="00E15F45" w:rsidRPr="004D5859" w:rsidRDefault="00E15F45" w:rsidP="007F005C">
      <w:pPr>
        <w:spacing w:after="120" w:line="480" w:lineRule="auto"/>
        <w:rPr>
          <w:rFonts w:ascii="Times New Roman" w:hAnsi="Times New Roman" w:cs="Times New Roman"/>
        </w:rPr>
      </w:pPr>
      <w:r w:rsidRPr="004D5859">
        <w:rPr>
          <w:rFonts w:ascii="Times New Roman" w:hAnsi="Times New Roman" w:cs="Times New Roman"/>
        </w:rPr>
        <w:t xml:space="preserve">Individually, only hyperattenuated arteries predicted </w:t>
      </w:r>
      <w:r w:rsidR="004A0DCB" w:rsidRPr="004D5859">
        <w:rPr>
          <w:rFonts w:ascii="Times New Roman" w:hAnsi="Times New Roman" w:cs="Times New Roman"/>
        </w:rPr>
        <w:t>IST3</w:t>
      </w:r>
      <w:r w:rsidR="009548FE" w:rsidRPr="004D5859">
        <w:rPr>
          <w:rFonts w:ascii="Times New Roman" w:hAnsi="Times New Roman" w:cs="Times New Roman"/>
        </w:rPr>
        <w:t>-</w:t>
      </w:r>
      <w:r w:rsidR="004A0DCB" w:rsidRPr="004D5859">
        <w:rPr>
          <w:rFonts w:ascii="Times New Roman" w:hAnsi="Times New Roman" w:cs="Times New Roman"/>
        </w:rPr>
        <w:t xml:space="preserve">defined </w:t>
      </w:r>
      <w:proofErr w:type="spellStart"/>
      <w:r w:rsidR="00E75BB8" w:rsidRPr="004D5859">
        <w:rPr>
          <w:rFonts w:ascii="Times New Roman" w:hAnsi="Times New Roman" w:cs="Times New Roman"/>
        </w:rPr>
        <w:t>s</w:t>
      </w:r>
      <w:r w:rsidRPr="004D5859">
        <w:rPr>
          <w:rFonts w:ascii="Times New Roman" w:hAnsi="Times New Roman" w:cs="Times New Roman"/>
        </w:rPr>
        <w:t>ICH</w:t>
      </w:r>
      <w:proofErr w:type="spellEnd"/>
      <w:r w:rsidRPr="004D5859">
        <w:rPr>
          <w:rFonts w:ascii="Times New Roman" w:hAnsi="Times New Roman" w:cs="Times New Roman"/>
        </w:rPr>
        <w:t xml:space="preserve">. </w:t>
      </w:r>
      <w:r w:rsidR="00F2528D" w:rsidRPr="004D5859">
        <w:rPr>
          <w:rFonts w:ascii="Times New Roman" w:hAnsi="Times New Roman" w:cs="Times New Roman"/>
        </w:rPr>
        <w:t xml:space="preserve"> </w:t>
      </w:r>
      <w:r w:rsidR="00B92244" w:rsidRPr="004D5859">
        <w:rPr>
          <w:rFonts w:ascii="Times New Roman" w:hAnsi="Times New Roman" w:cs="Times New Roman"/>
        </w:rPr>
        <w:t>The a</w:t>
      </w:r>
      <w:r w:rsidRPr="004D5859">
        <w:rPr>
          <w:rFonts w:ascii="Times New Roman" w:hAnsi="Times New Roman" w:cs="Times New Roman"/>
        </w:rPr>
        <w:t>cute signs</w:t>
      </w:r>
      <w:r w:rsidR="00B92244" w:rsidRPr="004D5859">
        <w:rPr>
          <w:rFonts w:ascii="Times New Roman" w:hAnsi="Times New Roman" w:cs="Times New Roman"/>
        </w:rPr>
        <w:t xml:space="preserve"> of</w:t>
      </w:r>
      <w:r w:rsidR="00D100FB" w:rsidRPr="004D5859">
        <w:rPr>
          <w:rFonts w:ascii="Times New Roman" w:hAnsi="Times New Roman" w:cs="Times New Roman"/>
        </w:rPr>
        <w:t xml:space="preserve"> </w:t>
      </w:r>
      <w:r w:rsidRPr="004D5859">
        <w:rPr>
          <w:rFonts w:ascii="Times New Roman" w:hAnsi="Times New Roman" w:cs="Times New Roman"/>
        </w:rPr>
        <w:t xml:space="preserve">visible </w:t>
      </w:r>
      <w:r w:rsidR="004D5859">
        <w:rPr>
          <w:rFonts w:ascii="Times New Roman" w:hAnsi="Times New Roman" w:cs="Times New Roman"/>
        </w:rPr>
        <w:t>ischaemic</w:t>
      </w:r>
      <w:r w:rsidR="00245D9E" w:rsidRPr="004D5859">
        <w:rPr>
          <w:rFonts w:ascii="Times New Roman" w:hAnsi="Times New Roman" w:cs="Times New Roman"/>
        </w:rPr>
        <w:t xml:space="preserve"> lesion</w:t>
      </w:r>
      <w:r w:rsidR="009548FE" w:rsidRPr="004D5859">
        <w:rPr>
          <w:rFonts w:ascii="Times New Roman" w:hAnsi="Times New Roman" w:cs="Times New Roman"/>
        </w:rPr>
        <w:t>,</w:t>
      </w:r>
      <w:r w:rsidRPr="004D5859">
        <w:rPr>
          <w:rFonts w:ascii="Times New Roman" w:hAnsi="Times New Roman" w:cs="Times New Roman"/>
        </w:rPr>
        <w:t xml:space="preserve"> </w:t>
      </w:r>
      <w:r w:rsidR="00245D9E" w:rsidRPr="004D5859">
        <w:rPr>
          <w:rFonts w:ascii="Times New Roman" w:hAnsi="Times New Roman" w:cs="Times New Roman"/>
        </w:rPr>
        <w:t xml:space="preserve">severe versus mild </w:t>
      </w:r>
      <w:r w:rsidR="004C66D1" w:rsidRPr="004D5859">
        <w:rPr>
          <w:rFonts w:ascii="Times New Roman" w:hAnsi="Times New Roman" w:cs="Times New Roman"/>
        </w:rPr>
        <w:t>hypoattenuation</w:t>
      </w:r>
      <w:r w:rsidR="009548FE" w:rsidRPr="004D5859">
        <w:rPr>
          <w:rFonts w:ascii="Times New Roman" w:hAnsi="Times New Roman" w:cs="Times New Roman"/>
        </w:rPr>
        <w:t>,</w:t>
      </w:r>
      <w:r w:rsidRPr="004D5859">
        <w:rPr>
          <w:rFonts w:ascii="Times New Roman" w:hAnsi="Times New Roman" w:cs="Times New Roman"/>
        </w:rPr>
        <w:t xml:space="preserve"> large lesion</w:t>
      </w:r>
      <w:r w:rsidR="009548FE" w:rsidRPr="004D5859">
        <w:rPr>
          <w:rFonts w:ascii="Times New Roman" w:hAnsi="Times New Roman" w:cs="Times New Roman"/>
        </w:rPr>
        <w:t>,</w:t>
      </w:r>
      <w:r w:rsidRPr="004D5859">
        <w:rPr>
          <w:rFonts w:ascii="Times New Roman" w:hAnsi="Times New Roman" w:cs="Times New Roman"/>
        </w:rPr>
        <w:t xml:space="preserve"> swelling and hyperattenuated arteries</w:t>
      </w:r>
      <w:r w:rsidR="0039772D" w:rsidRPr="004D5859">
        <w:rPr>
          <w:rFonts w:ascii="Times New Roman" w:hAnsi="Times New Roman" w:cs="Times New Roman"/>
        </w:rPr>
        <w:t>,</w:t>
      </w:r>
      <w:r w:rsidR="00165275" w:rsidRPr="004D5859">
        <w:rPr>
          <w:rFonts w:ascii="Times New Roman" w:hAnsi="Times New Roman" w:cs="Times New Roman"/>
        </w:rPr>
        <w:t xml:space="preserve"> </w:t>
      </w:r>
      <w:r w:rsidR="0039772D" w:rsidRPr="004D5859">
        <w:rPr>
          <w:rFonts w:ascii="Times New Roman" w:hAnsi="Times New Roman" w:cs="Times New Roman"/>
        </w:rPr>
        <w:t xml:space="preserve">each </w:t>
      </w:r>
      <w:r w:rsidR="00165275" w:rsidRPr="004D5859">
        <w:rPr>
          <w:rFonts w:ascii="Times New Roman" w:hAnsi="Times New Roman" w:cs="Times New Roman"/>
        </w:rPr>
        <w:t>predicted early death</w:t>
      </w:r>
      <w:r w:rsidRPr="004D5859">
        <w:rPr>
          <w:rFonts w:ascii="Times New Roman" w:hAnsi="Times New Roman" w:cs="Times New Roman"/>
        </w:rPr>
        <w:t xml:space="preserve">, </w:t>
      </w:r>
      <w:r w:rsidR="00165275" w:rsidRPr="004D5859">
        <w:rPr>
          <w:rFonts w:ascii="Times New Roman" w:hAnsi="Times New Roman" w:cs="Times New Roman"/>
        </w:rPr>
        <w:t xml:space="preserve">with </w:t>
      </w:r>
      <w:r w:rsidRPr="004D5859">
        <w:rPr>
          <w:rFonts w:ascii="Times New Roman" w:hAnsi="Times New Roman" w:cs="Times New Roman"/>
        </w:rPr>
        <w:t xml:space="preserve">one pre-existing sign (severe atrophy) </w:t>
      </w:r>
      <w:r w:rsidR="00165275" w:rsidRPr="004D5859">
        <w:rPr>
          <w:rFonts w:ascii="Times New Roman" w:hAnsi="Times New Roman" w:cs="Times New Roman"/>
        </w:rPr>
        <w:t xml:space="preserve">suggesting protection. </w:t>
      </w:r>
      <w:r w:rsidR="00F2528D" w:rsidRPr="004D5859">
        <w:rPr>
          <w:rFonts w:ascii="Times New Roman" w:hAnsi="Times New Roman" w:cs="Times New Roman"/>
        </w:rPr>
        <w:t xml:space="preserve"> </w:t>
      </w:r>
      <w:r w:rsidRPr="004D5859">
        <w:rPr>
          <w:rFonts w:ascii="Times New Roman" w:hAnsi="Times New Roman" w:cs="Times New Roman"/>
        </w:rPr>
        <w:t xml:space="preserve">However, all pre-existing signs were highly significant in </w:t>
      </w:r>
      <w:r w:rsidRPr="004D5859">
        <w:rPr>
          <w:rFonts w:ascii="Times New Roman" w:hAnsi="Times New Roman" w:cs="Times New Roman"/>
        </w:rPr>
        <w:lastRenderedPageBreak/>
        <w:t xml:space="preserve">predicting </w:t>
      </w:r>
      <w:r w:rsidR="00605DB3" w:rsidRPr="004D5859">
        <w:rPr>
          <w:rFonts w:ascii="Times New Roman" w:hAnsi="Times New Roman" w:cs="Times New Roman"/>
        </w:rPr>
        <w:t xml:space="preserve">less </w:t>
      </w:r>
      <w:proofErr w:type="spellStart"/>
      <w:r w:rsidR="00605DB3" w:rsidRPr="004D5859">
        <w:rPr>
          <w:rFonts w:ascii="Times New Roman" w:hAnsi="Times New Roman" w:cs="Times New Roman"/>
        </w:rPr>
        <w:t>favorable</w:t>
      </w:r>
      <w:proofErr w:type="spellEnd"/>
      <w:r w:rsidRPr="004D5859">
        <w:rPr>
          <w:rFonts w:ascii="Times New Roman" w:hAnsi="Times New Roman" w:cs="Times New Roman"/>
        </w:rPr>
        <w:t xml:space="preserve"> </w:t>
      </w:r>
      <w:r w:rsidR="0039772D" w:rsidRPr="004D5859">
        <w:rPr>
          <w:rFonts w:ascii="Times New Roman" w:hAnsi="Times New Roman" w:cs="Times New Roman"/>
        </w:rPr>
        <w:t xml:space="preserve">90-day </w:t>
      </w:r>
      <w:r w:rsidR="00B92244" w:rsidRPr="004D5859">
        <w:rPr>
          <w:rFonts w:ascii="Times New Roman" w:hAnsi="Times New Roman" w:cs="Times New Roman"/>
        </w:rPr>
        <w:t>functional outcome</w:t>
      </w:r>
      <w:r w:rsidR="00793B4E">
        <w:rPr>
          <w:rFonts w:ascii="Times New Roman" w:hAnsi="Times New Roman" w:cs="Times New Roman"/>
        </w:rPr>
        <w:t xml:space="preserve"> (Table 3)</w:t>
      </w:r>
      <w:r w:rsidR="00B07DC6" w:rsidRPr="004D5859">
        <w:rPr>
          <w:rFonts w:ascii="Times New Roman" w:hAnsi="Times New Roman" w:cs="Times New Roman"/>
        </w:rPr>
        <w:t>.</w:t>
      </w:r>
      <w:r w:rsidR="00411A89" w:rsidRPr="004D5859">
        <w:rPr>
          <w:rFonts w:ascii="Times New Roman" w:hAnsi="Times New Roman" w:cs="Times New Roman"/>
        </w:rPr>
        <w:t xml:space="preserve"> </w:t>
      </w:r>
      <w:r w:rsidR="00F2528D" w:rsidRPr="004D5859">
        <w:rPr>
          <w:rFonts w:ascii="Times New Roman" w:hAnsi="Times New Roman" w:cs="Times New Roman"/>
        </w:rPr>
        <w:t xml:space="preserve"> </w:t>
      </w:r>
      <w:r w:rsidR="00793B4E">
        <w:rPr>
          <w:rFonts w:ascii="Times New Roman" w:hAnsi="Times New Roman" w:cs="Times New Roman"/>
        </w:rPr>
        <w:t xml:space="preserve">Similar findings were found when the analysis was adjusted for additional variables (Table S2). </w:t>
      </w:r>
      <w:r w:rsidR="00441CB7" w:rsidRPr="004D5859">
        <w:rPr>
          <w:rFonts w:ascii="Times New Roman" w:hAnsi="Times New Roman" w:cs="Times New Roman"/>
        </w:rPr>
        <w:t xml:space="preserve">Atrophy predicted </w:t>
      </w:r>
      <w:proofErr w:type="spellStart"/>
      <w:r w:rsidR="0039772D" w:rsidRPr="004D5859">
        <w:rPr>
          <w:rFonts w:ascii="Times New Roman" w:hAnsi="Times New Roman" w:cs="Times New Roman"/>
        </w:rPr>
        <w:t>sICH</w:t>
      </w:r>
      <w:proofErr w:type="spellEnd"/>
      <w:r w:rsidR="00A93C1C" w:rsidRPr="004D5859">
        <w:rPr>
          <w:rFonts w:ascii="Times New Roman" w:hAnsi="Times New Roman" w:cs="Times New Roman"/>
        </w:rPr>
        <w:t>,</w:t>
      </w:r>
      <w:r w:rsidR="0039772D" w:rsidRPr="004D5859">
        <w:rPr>
          <w:rFonts w:ascii="Times New Roman" w:hAnsi="Times New Roman" w:cs="Times New Roman"/>
        </w:rPr>
        <w:t xml:space="preserve"> </w:t>
      </w:r>
      <w:r w:rsidR="00441CB7" w:rsidRPr="004D5859">
        <w:rPr>
          <w:rFonts w:ascii="Times New Roman" w:hAnsi="Times New Roman" w:cs="Times New Roman"/>
        </w:rPr>
        <w:t xml:space="preserve">according to the </w:t>
      </w:r>
      <w:r w:rsidR="00C76B04" w:rsidRPr="004D5859">
        <w:rPr>
          <w:rFonts w:ascii="Times New Roman" w:hAnsi="Times New Roman" w:cs="Times New Roman"/>
        </w:rPr>
        <w:t>Safe Implementation of Thrombolysis in Stroke-Monitoring Study (</w:t>
      </w:r>
      <w:r w:rsidR="00441CB7" w:rsidRPr="004D5859">
        <w:rPr>
          <w:rFonts w:ascii="Times New Roman" w:hAnsi="Times New Roman" w:cs="Times New Roman"/>
        </w:rPr>
        <w:t>SIT</w:t>
      </w:r>
      <w:r w:rsidR="004A0DCB" w:rsidRPr="004D5859">
        <w:rPr>
          <w:rFonts w:ascii="Times New Roman" w:hAnsi="Times New Roman" w:cs="Times New Roman"/>
        </w:rPr>
        <w:t>S</w:t>
      </w:r>
      <w:r w:rsidR="00441CB7" w:rsidRPr="004D5859">
        <w:rPr>
          <w:rFonts w:ascii="Times New Roman" w:hAnsi="Times New Roman" w:cs="Times New Roman"/>
        </w:rPr>
        <w:t>-MOST</w:t>
      </w:r>
      <w:r w:rsidR="00C76B04" w:rsidRPr="004D5859">
        <w:rPr>
          <w:rFonts w:ascii="Times New Roman" w:hAnsi="Times New Roman" w:cs="Times New Roman"/>
        </w:rPr>
        <w:t>)</w:t>
      </w:r>
      <w:r w:rsidR="00441CB7" w:rsidRPr="004D5859">
        <w:rPr>
          <w:rFonts w:ascii="Times New Roman" w:hAnsi="Times New Roman" w:cs="Times New Roman"/>
        </w:rPr>
        <w:t xml:space="preserve"> and </w:t>
      </w:r>
      <w:r w:rsidR="00C76B04" w:rsidRPr="004D5859">
        <w:rPr>
          <w:rFonts w:ascii="Times New Roman" w:hAnsi="Times New Roman" w:cs="Times New Roman"/>
        </w:rPr>
        <w:t>National Institute of Neurological Disorders and Stroke (</w:t>
      </w:r>
      <w:r w:rsidR="00441CB7" w:rsidRPr="004D5859">
        <w:rPr>
          <w:rFonts w:ascii="Times New Roman" w:hAnsi="Times New Roman" w:cs="Times New Roman"/>
        </w:rPr>
        <w:t>NINDS</w:t>
      </w:r>
      <w:r w:rsidR="00C76B04" w:rsidRPr="004D5859">
        <w:rPr>
          <w:rFonts w:ascii="Times New Roman" w:hAnsi="Times New Roman" w:cs="Times New Roman"/>
        </w:rPr>
        <w:t>)</w:t>
      </w:r>
      <w:r w:rsidR="00441CB7" w:rsidRPr="004D5859">
        <w:rPr>
          <w:rFonts w:ascii="Times New Roman" w:hAnsi="Times New Roman" w:cs="Times New Roman"/>
        </w:rPr>
        <w:t xml:space="preserve"> criteria</w:t>
      </w:r>
      <w:r w:rsidR="0039772D" w:rsidRPr="004D5859">
        <w:rPr>
          <w:rFonts w:ascii="Times New Roman" w:hAnsi="Times New Roman" w:cs="Times New Roman"/>
        </w:rPr>
        <w:t>, while s</w:t>
      </w:r>
      <w:r w:rsidR="00245D9E" w:rsidRPr="004D5859">
        <w:rPr>
          <w:rFonts w:ascii="Times New Roman" w:hAnsi="Times New Roman" w:cs="Times New Roman"/>
        </w:rPr>
        <w:t>evere h</w:t>
      </w:r>
      <w:r w:rsidR="00441CB7" w:rsidRPr="004D5859">
        <w:rPr>
          <w:rFonts w:ascii="Times New Roman" w:hAnsi="Times New Roman" w:cs="Times New Roman"/>
        </w:rPr>
        <w:t>ypoattenuation, hyperattenuated arteries and severe leukoaraiosis predicted any ICH and any adjudicated ICH</w:t>
      </w:r>
      <w:r w:rsidR="00FE6728" w:rsidRPr="004D5859">
        <w:rPr>
          <w:rFonts w:ascii="Times New Roman" w:hAnsi="Times New Roman" w:cs="Times New Roman"/>
        </w:rPr>
        <w:t xml:space="preserve"> </w:t>
      </w:r>
      <w:r w:rsidR="006C2952" w:rsidRPr="004D5859">
        <w:rPr>
          <w:rFonts w:ascii="Times New Roman" w:hAnsi="Times New Roman" w:cs="Times New Roman"/>
        </w:rPr>
        <w:t xml:space="preserve">(Table </w:t>
      </w:r>
      <w:r w:rsidR="00793B4E">
        <w:rPr>
          <w:rFonts w:ascii="Times New Roman" w:hAnsi="Times New Roman" w:cs="Times New Roman"/>
        </w:rPr>
        <w:t>S1</w:t>
      </w:r>
      <w:r w:rsidR="006C2952" w:rsidRPr="004D5859">
        <w:rPr>
          <w:rFonts w:ascii="Times New Roman" w:hAnsi="Times New Roman" w:cs="Times New Roman"/>
        </w:rPr>
        <w:t>).</w:t>
      </w:r>
    </w:p>
    <w:p w14:paraId="4905CE1E" w14:textId="48BC1138" w:rsidR="00EF5F48" w:rsidRPr="004D5859" w:rsidRDefault="00BA612B" w:rsidP="009548FE">
      <w:pPr>
        <w:spacing w:after="240" w:line="480" w:lineRule="auto"/>
        <w:rPr>
          <w:rFonts w:ascii="Times New Roman" w:hAnsi="Times New Roman" w:cs="Times New Roman"/>
        </w:rPr>
      </w:pPr>
      <w:r w:rsidRPr="004D5859">
        <w:rPr>
          <w:rFonts w:ascii="Times New Roman" w:hAnsi="Times New Roman" w:cs="Times New Roman"/>
        </w:rPr>
        <w:t>In the multivaria</w:t>
      </w:r>
      <w:r w:rsidR="00A17C1E" w:rsidRPr="004D5859">
        <w:rPr>
          <w:rFonts w:ascii="Times New Roman" w:hAnsi="Times New Roman" w:cs="Times New Roman"/>
        </w:rPr>
        <w:t>bl</w:t>
      </w:r>
      <w:r w:rsidRPr="004D5859">
        <w:rPr>
          <w:rFonts w:ascii="Times New Roman" w:hAnsi="Times New Roman" w:cs="Times New Roman"/>
        </w:rPr>
        <w:t>e logistic regression, only hyperattenuated arteries and standard</w:t>
      </w:r>
      <w:r w:rsidR="00B07DC6" w:rsidRPr="004D5859">
        <w:rPr>
          <w:rFonts w:ascii="Times New Roman" w:hAnsi="Times New Roman" w:cs="Times New Roman"/>
        </w:rPr>
        <w:t>-</w:t>
      </w:r>
      <w:r w:rsidRPr="004D5859">
        <w:rPr>
          <w:rFonts w:ascii="Times New Roman" w:hAnsi="Times New Roman" w:cs="Times New Roman"/>
        </w:rPr>
        <w:t>dose (compared to low</w:t>
      </w:r>
      <w:r w:rsidR="00B07DC6" w:rsidRPr="004D5859">
        <w:rPr>
          <w:rFonts w:ascii="Times New Roman" w:hAnsi="Times New Roman" w:cs="Times New Roman"/>
        </w:rPr>
        <w:t>-</w:t>
      </w:r>
      <w:r w:rsidRPr="004D5859">
        <w:rPr>
          <w:rFonts w:ascii="Times New Roman" w:hAnsi="Times New Roman" w:cs="Times New Roman"/>
        </w:rPr>
        <w:t xml:space="preserve">dose) alteplase predicted </w:t>
      </w:r>
      <w:proofErr w:type="spellStart"/>
      <w:r w:rsidR="00E75BB8" w:rsidRPr="004D5859">
        <w:rPr>
          <w:rFonts w:ascii="Times New Roman" w:hAnsi="Times New Roman" w:cs="Times New Roman"/>
        </w:rPr>
        <w:t>s</w:t>
      </w:r>
      <w:r w:rsidRPr="004D5859">
        <w:rPr>
          <w:rFonts w:ascii="Times New Roman" w:hAnsi="Times New Roman" w:cs="Times New Roman"/>
        </w:rPr>
        <w:t>ICH</w:t>
      </w:r>
      <w:proofErr w:type="spellEnd"/>
      <w:r w:rsidRPr="004D5859">
        <w:rPr>
          <w:rFonts w:ascii="Times New Roman" w:hAnsi="Times New Roman" w:cs="Times New Roman"/>
        </w:rPr>
        <w:t>.</w:t>
      </w:r>
      <w:r w:rsidR="0039772D" w:rsidRPr="004D5859">
        <w:rPr>
          <w:rFonts w:ascii="Times New Roman" w:hAnsi="Times New Roman" w:cs="Times New Roman"/>
        </w:rPr>
        <w:t xml:space="preserve"> </w:t>
      </w:r>
      <w:r w:rsidR="00F2528D" w:rsidRPr="004D5859">
        <w:rPr>
          <w:rFonts w:ascii="Times New Roman" w:hAnsi="Times New Roman" w:cs="Times New Roman"/>
        </w:rPr>
        <w:t xml:space="preserve"> </w:t>
      </w:r>
      <w:r w:rsidRPr="004D5859">
        <w:rPr>
          <w:rFonts w:ascii="Times New Roman" w:hAnsi="Times New Roman" w:cs="Times New Roman"/>
        </w:rPr>
        <w:t xml:space="preserve">However, many variables predicted poor functional outcome (increasing age, stroke severity, swelling, hyperattenuated arteries, old infarct and severe </w:t>
      </w:r>
      <w:proofErr w:type="spellStart"/>
      <w:r w:rsidRPr="004D5859">
        <w:rPr>
          <w:rFonts w:ascii="Times New Roman" w:hAnsi="Times New Roman" w:cs="Times New Roman"/>
        </w:rPr>
        <w:t>leukoaraoisis</w:t>
      </w:r>
      <w:proofErr w:type="spellEnd"/>
      <w:r w:rsidRPr="004D5859">
        <w:rPr>
          <w:rFonts w:ascii="Times New Roman" w:hAnsi="Times New Roman" w:cs="Times New Roman"/>
        </w:rPr>
        <w:t>) (Table 4)</w:t>
      </w:r>
      <w:r w:rsidR="0039772D" w:rsidRPr="004D5859">
        <w:rPr>
          <w:rFonts w:ascii="Times New Roman" w:hAnsi="Times New Roman" w:cs="Times New Roman"/>
        </w:rPr>
        <w:t xml:space="preserve">. </w:t>
      </w:r>
      <w:r w:rsidR="00F2528D" w:rsidRPr="004D5859">
        <w:rPr>
          <w:rFonts w:ascii="Times New Roman" w:hAnsi="Times New Roman" w:cs="Times New Roman"/>
        </w:rPr>
        <w:t xml:space="preserve"> </w:t>
      </w:r>
    </w:p>
    <w:p w14:paraId="6629D66B" w14:textId="0469AFFE" w:rsidR="002E3ED7" w:rsidRPr="004D5859" w:rsidRDefault="0039772D" w:rsidP="003C06D8">
      <w:pPr>
        <w:spacing w:after="240" w:line="480" w:lineRule="auto"/>
        <w:rPr>
          <w:rFonts w:ascii="Times New Roman" w:hAnsi="Times New Roman" w:cs="Times New Roman"/>
          <w:sz w:val="20"/>
          <w:szCs w:val="20"/>
        </w:rPr>
      </w:pPr>
      <w:r w:rsidRPr="004D5859">
        <w:rPr>
          <w:rFonts w:ascii="Times New Roman" w:hAnsi="Times New Roman" w:cs="Times New Roman"/>
        </w:rPr>
        <w:t>A</w:t>
      </w:r>
      <w:r w:rsidR="000358EE" w:rsidRPr="004D5859">
        <w:rPr>
          <w:rFonts w:ascii="Times New Roman" w:hAnsi="Times New Roman" w:cs="Times New Roman"/>
        </w:rPr>
        <w:t xml:space="preserve"> similar pattern </w:t>
      </w:r>
      <w:r w:rsidRPr="004D5859">
        <w:rPr>
          <w:rFonts w:ascii="Times New Roman" w:hAnsi="Times New Roman" w:cs="Times New Roman"/>
        </w:rPr>
        <w:t xml:space="preserve">was </w:t>
      </w:r>
      <w:r w:rsidR="000358EE" w:rsidRPr="004D5859">
        <w:rPr>
          <w:rFonts w:ascii="Times New Roman" w:hAnsi="Times New Roman" w:cs="Times New Roman"/>
        </w:rPr>
        <w:t>seen in stepwise logistic regression</w:t>
      </w:r>
      <w:r w:rsidR="00441CB7" w:rsidRPr="004D5859">
        <w:rPr>
          <w:rFonts w:ascii="Times New Roman" w:hAnsi="Times New Roman" w:cs="Times New Roman"/>
        </w:rPr>
        <w:t xml:space="preserve"> (Table 5)</w:t>
      </w:r>
      <w:r w:rsidR="00245D9E" w:rsidRPr="004D5859">
        <w:rPr>
          <w:rFonts w:ascii="Times New Roman" w:hAnsi="Times New Roman" w:cs="Times New Roman"/>
        </w:rPr>
        <w:t>.</w:t>
      </w:r>
      <w:r w:rsidRPr="004D5859">
        <w:rPr>
          <w:rFonts w:ascii="Times New Roman" w:hAnsi="Times New Roman" w:cs="Times New Roman"/>
        </w:rPr>
        <w:t xml:space="preserve"> </w:t>
      </w:r>
      <w:r w:rsidR="00F2528D" w:rsidRPr="004D5859">
        <w:rPr>
          <w:rFonts w:ascii="Times New Roman" w:hAnsi="Times New Roman" w:cs="Times New Roman"/>
        </w:rPr>
        <w:t xml:space="preserve"> </w:t>
      </w:r>
    </w:p>
    <w:p w14:paraId="79588E28" w14:textId="2A1797DE" w:rsidR="00994D4B" w:rsidRPr="004D5859" w:rsidRDefault="00DD6B77" w:rsidP="009548FE">
      <w:pPr>
        <w:spacing w:after="240" w:line="480" w:lineRule="auto"/>
        <w:rPr>
          <w:rFonts w:ascii="Times New Roman" w:hAnsi="Times New Roman" w:cs="Times New Roman"/>
        </w:rPr>
      </w:pPr>
      <w:r w:rsidRPr="004D5859">
        <w:rPr>
          <w:rFonts w:ascii="Times New Roman" w:hAnsi="Times New Roman" w:cs="Times New Roman"/>
        </w:rPr>
        <w:t>There was no significant interaction between low</w:t>
      </w:r>
      <w:r w:rsidR="00B07DC6" w:rsidRPr="004D5859">
        <w:rPr>
          <w:rFonts w:ascii="Times New Roman" w:hAnsi="Times New Roman" w:cs="Times New Roman"/>
        </w:rPr>
        <w:t>-</w:t>
      </w:r>
      <w:r w:rsidR="009548FE" w:rsidRPr="004D5859">
        <w:rPr>
          <w:rFonts w:ascii="Times New Roman" w:hAnsi="Times New Roman" w:cs="Times New Roman"/>
        </w:rPr>
        <w:t>dose</w:t>
      </w:r>
      <w:r w:rsidRPr="004D5859">
        <w:rPr>
          <w:rFonts w:ascii="Times New Roman" w:hAnsi="Times New Roman" w:cs="Times New Roman"/>
        </w:rPr>
        <w:t xml:space="preserve"> and standard</w:t>
      </w:r>
      <w:r w:rsidR="00B07DC6" w:rsidRPr="004D5859">
        <w:rPr>
          <w:rFonts w:ascii="Times New Roman" w:hAnsi="Times New Roman" w:cs="Times New Roman"/>
        </w:rPr>
        <w:t>-</w:t>
      </w:r>
      <w:r w:rsidRPr="004D5859">
        <w:rPr>
          <w:rFonts w:ascii="Times New Roman" w:hAnsi="Times New Roman" w:cs="Times New Roman"/>
        </w:rPr>
        <w:t>dose</w:t>
      </w:r>
      <w:r w:rsidR="00B07DC6" w:rsidRPr="004D5859">
        <w:rPr>
          <w:rFonts w:ascii="Times New Roman" w:hAnsi="Times New Roman" w:cs="Times New Roman"/>
        </w:rPr>
        <w:t>,</w:t>
      </w:r>
      <w:r w:rsidRPr="004D5859">
        <w:rPr>
          <w:rFonts w:ascii="Times New Roman" w:hAnsi="Times New Roman" w:cs="Times New Roman"/>
        </w:rPr>
        <w:t xml:space="preserve"> and early or pre-existing signs (Figure</w:t>
      </w:r>
      <w:r w:rsidR="0039772D" w:rsidRPr="004D5859">
        <w:rPr>
          <w:rFonts w:ascii="Times New Roman" w:hAnsi="Times New Roman" w:cs="Times New Roman"/>
        </w:rPr>
        <w:t>s</w:t>
      </w:r>
      <w:r w:rsidRPr="004D5859">
        <w:rPr>
          <w:rFonts w:ascii="Times New Roman" w:hAnsi="Times New Roman" w:cs="Times New Roman"/>
        </w:rPr>
        <w:t xml:space="preserve"> </w:t>
      </w:r>
      <w:r w:rsidR="007B7751" w:rsidRPr="004D5859">
        <w:rPr>
          <w:rFonts w:ascii="Times New Roman" w:hAnsi="Times New Roman" w:cs="Times New Roman"/>
        </w:rPr>
        <w:t>S1 and S2</w:t>
      </w:r>
      <w:r w:rsidRPr="004D5859">
        <w:rPr>
          <w:rFonts w:ascii="Times New Roman" w:hAnsi="Times New Roman" w:cs="Times New Roman"/>
        </w:rPr>
        <w:t xml:space="preserve">). </w:t>
      </w:r>
    </w:p>
    <w:p w14:paraId="55529914" w14:textId="5A5355BB" w:rsidR="00994D4B" w:rsidRPr="004D5859" w:rsidRDefault="00B1648A" w:rsidP="007F005C">
      <w:pPr>
        <w:spacing w:after="120" w:line="480" w:lineRule="auto"/>
        <w:rPr>
          <w:rFonts w:ascii="Times New Roman" w:hAnsi="Times New Roman" w:cs="Times New Roman"/>
          <w:b/>
        </w:rPr>
      </w:pPr>
      <w:r w:rsidRPr="004D5859">
        <w:rPr>
          <w:rFonts w:ascii="Times New Roman" w:hAnsi="Times New Roman" w:cs="Times New Roman"/>
          <w:b/>
        </w:rPr>
        <w:t>DISCUSSION</w:t>
      </w:r>
    </w:p>
    <w:p w14:paraId="5074833F" w14:textId="711B1571" w:rsidR="009548FE" w:rsidRPr="004D5859" w:rsidRDefault="00DD6B77" w:rsidP="007F005C">
      <w:pPr>
        <w:spacing w:after="120" w:line="480" w:lineRule="auto"/>
        <w:rPr>
          <w:rFonts w:ascii="Times New Roman" w:hAnsi="Times New Roman" w:cs="Times New Roman"/>
        </w:rPr>
      </w:pPr>
      <w:r w:rsidRPr="004D5859">
        <w:rPr>
          <w:rFonts w:ascii="Times New Roman" w:hAnsi="Times New Roman" w:cs="Times New Roman"/>
        </w:rPr>
        <w:t>In the</w:t>
      </w:r>
      <w:r w:rsidR="0039772D" w:rsidRPr="004D5859">
        <w:rPr>
          <w:rFonts w:ascii="Times New Roman" w:hAnsi="Times New Roman" w:cs="Times New Roman"/>
        </w:rPr>
        <w:t>se pr</w:t>
      </w:r>
      <w:r w:rsidR="00446D88" w:rsidRPr="004D5859">
        <w:rPr>
          <w:rFonts w:ascii="Times New Roman" w:hAnsi="Times New Roman" w:cs="Times New Roman"/>
        </w:rPr>
        <w:t>ospectively</w:t>
      </w:r>
      <w:r w:rsidR="0039772D" w:rsidRPr="004D5859">
        <w:rPr>
          <w:rFonts w:ascii="Times New Roman" w:hAnsi="Times New Roman" w:cs="Times New Roman"/>
        </w:rPr>
        <w:t>-planned secondary analyses of the</w:t>
      </w:r>
      <w:r w:rsidRPr="004D5859">
        <w:rPr>
          <w:rFonts w:ascii="Times New Roman" w:hAnsi="Times New Roman" w:cs="Times New Roman"/>
        </w:rPr>
        <w:t xml:space="preserve"> </w:t>
      </w:r>
      <w:r w:rsidR="009548FE" w:rsidRPr="004D5859">
        <w:rPr>
          <w:rFonts w:ascii="Times New Roman" w:hAnsi="Times New Roman" w:cs="Times New Roman"/>
        </w:rPr>
        <w:t xml:space="preserve">alteplase-dose arm of the </w:t>
      </w:r>
      <w:r w:rsidRPr="004D5859">
        <w:rPr>
          <w:rFonts w:ascii="Times New Roman" w:hAnsi="Times New Roman" w:cs="Times New Roman"/>
        </w:rPr>
        <w:t xml:space="preserve">ENCHANTED </w:t>
      </w:r>
      <w:r w:rsidR="0039772D" w:rsidRPr="004D5859">
        <w:rPr>
          <w:rFonts w:ascii="Times New Roman" w:hAnsi="Times New Roman" w:cs="Times New Roman"/>
        </w:rPr>
        <w:t>trial</w:t>
      </w:r>
      <w:r w:rsidRPr="004D5859">
        <w:rPr>
          <w:rFonts w:ascii="Times New Roman" w:hAnsi="Times New Roman" w:cs="Times New Roman"/>
        </w:rPr>
        <w:t>, b</w:t>
      </w:r>
      <w:r w:rsidR="00435EF5" w:rsidRPr="004D5859">
        <w:rPr>
          <w:rFonts w:ascii="Times New Roman" w:hAnsi="Times New Roman" w:cs="Times New Roman"/>
        </w:rPr>
        <w:t xml:space="preserve">oth pre-existing </w:t>
      </w:r>
      <w:r w:rsidR="00446D88" w:rsidRPr="004D5859">
        <w:rPr>
          <w:rFonts w:ascii="Times New Roman" w:hAnsi="Times New Roman" w:cs="Times New Roman"/>
        </w:rPr>
        <w:t>(‘</w:t>
      </w:r>
      <w:r w:rsidR="009548FE" w:rsidRPr="004D5859">
        <w:rPr>
          <w:rFonts w:ascii="Times New Roman" w:hAnsi="Times New Roman" w:cs="Times New Roman"/>
        </w:rPr>
        <w:t>b</w:t>
      </w:r>
      <w:r w:rsidR="00446D88" w:rsidRPr="004D5859">
        <w:rPr>
          <w:rFonts w:ascii="Times New Roman" w:hAnsi="Times New Roman" w:cs="Times New Roman"/>
        </w:rPr>
        <w:t xml:space="preserve">rain frailty”) </w:t>
      </w:r>
      <w:r w:rsidR="00435EF5" w:rsidRPr="004D5859">
        <w:rPr>
          <w:rFonts w:ascii="Times New Roman" w:hAnsi="Times New Roman" w:cs="Times New Roman"/>
        </w:rPr>
        <w:t xml:space="preserve">and acute </w:t>
      </w:r>
      <w:r w:rsidR="004D5859">
        <w:rPr>
          <w:rFonts w:ascii="Times New Roman" w:hAnsi="Times New Roman" w:cs="Times New Roman"/>
        </w:rPr>
        <w:t>ischaemic</w:t>
      </w:r>
      <w:r w:rsidR="00A93C1C" w:rsidRPr="004D5859">
        <w:rPr>
          <w:rFonts w:ascii="Times New Roman" w:hAnsi="Times New Roman" w:cs="Times New Roman"/>
        </w:rPr>
        <w:t xml:space="preserve"> </w:t>
      </w:r>
      <w:r w:rsidR="00435EF5" w:rsidRPr="004D5859">
        <w:rPr>
          <w:rFonts w:ascii="Times New Roman" w:hAnsi="Times New Roman" w:cs="Times New Roman"/>
        </w:rPr>
        <w:t xml:space="preserve">brain imaging signs </w:t>
      </w:r>
      <w:r w:rsidR="0039772D" w:rsidRPr="004D5859">
        <w:rPr>
          <w:rFonts w:ascii="Times New Roman" w:hAnsi="Times New Roman" w:cs="Times New Roman"/>
        </w:rPr>
        <w:t>were shown to have</w:t>
      </w:r>
      <w:r w:rsidR="00435EF5" w:rsidRPr="004D5859">
        <w:rPr>
          <w:rFonts w:ascii="Times New Roman" w:hAnsi="Times New Roman" w:cs="Times New Roman"/>
        </w:rPr>
        <w:t xml:space="preserve"> prognostic </w:t>
      </w:r>
      <w:r w:rsidR="0039772D" w:rsidRPr="004D5859">
        <w:rPr>
          <w:rFonts w:ascii="Times New Roman" w:hAnsi="Times New Roman" w:cs="Times New Roman"/>
        </w:rPr>
        <w:t>significan</w:t>
      </w:r>
      <w:r w:rsidR="004C0529" w:rsidRPr="004D5859">
        <w:rPr>
          <w:rFonts w:ascii="Times New Roman" w:hAnsi="Times New Roman" w:cs="Times New Roman"/>
        </w:rPr>
        <w:t>ce in terms of functional outcome</w:t>
      </w:r>
      <w:r w:rsidR="00A93C1C" w:rsidRPr="004D5859">
        <w:rPr>
          <w:rFonts w:ascii="Times New Roman" w:hAnsi="Times New Roman" w:cs="Times New Roman"/>
        </w:rPr>
        <w:t>,</w:t>
      </w:r>
      <w:r w:rsidR="004C0529" w:rsidRPr="004D5859">
        <w:rPr>
          <w:rFonts w:ascii="Times New Roman" w:hAnsi="Times New Roman" w:cs="Times New Roman"/>
        </w:rPr>
        <w:t xml:space="preserve"> and to a lesser extent </w:t>
      </w:r>
      <w:proofErr w:type="spellStart"/>
      <w:r w:rsidR="004C0529" w:rsidRPr="004D5859">
        <w:rPr>
          <w:rFonts w:ascii="Times New Roman" w:hAnsi="Times New Roman" w:cs="Times New Roman"/>
        </w:rPr>
        <w:t>sICH</w:t>
      </w:r>
      <w:proofErr w:type="spellEnd"/>
      <w:r w:rsidR="00A93C1C" w:rsidRPr="004D5859">
        <w:rPr>
          <w:rFonts w:ascii="Times New Roman" w:hAnsi="Times New Roman" w:cs="Times New Roman"/>
        </w:rPr>
        <w:t>,</w:t>
      </w:r>
      <w:r w:rsidR="0039772D" w:rsidRPr="004D5859">
        <w:rPr>
          <w:rFonts w:ascii="Times New Roman" w:hAnsi="Times New Roman" w:cs="Times New Roman"/>
        </w:rPr>
        <w:t xml:space="preserve"> in </w:t>
      </w:r>
      <w:r w:rsidR="003B0DE8" w:rsidRPr="004D5859">
        <w:rPr>
          <w:rFonts w:ascii="Times New Roman" w:hAnsi="Times New Roman" w:cs="Times New Roman"/>
        </w:rPr>
        <w:t xml:space="preserve">AIS </w:t>
      </w:r>
      <w:r w:rsidR="0039772D" w:rsidRPr="004D5859">
        <w:rPr>
          <w:rFonts w:ascii="Times New Roman" w:hAnsi="Times New Roman" w:cs="Times New Roman"/>
        </w:rPr>
        <w:t>patients treated with intravenous alteplase</w:t>
      </w:r>
      <w:r w:rsidR="00435EF5" w:rsidRPr="004D5859">
        <w:rPr>
          <w:rFonts w:ascii="Times New Roman" w:hAnsi="Times New Roman" w:cs="Times New Roman"/>
        </w:rPr>
        <w:t xml:space="preserve">. </w:t>
      </w:r>
      <w:r w:rsidR="00AD0DF7">
        <w:rPr>
          <w:rFonts w:ascii="Times New Roman" w:hAnsi="Times New Roman" w:cs="Times New Roman"/>
        </w:rPr>
        <w:t xml:space="preserve">Specifically, acute brain ischaemic changes were associated with </w:t>
      </w:r>
      <w:proofErr w:type="gramStart"/>
      <w:r w:rsidR="00AD0DF7">
        <w:rPr>
          <w:rFonts w:ascii="Times New Roman" w:hAnsi="Times New Roman" w:cs="Times New Roman"/>
        </w:rPr>
        <w:t>short term</w:t>
      </w:r>
      <w:proofErr w:type="gramEnd"/>
      <w:r w:rsidR="00AD0DF7">
        <w:rPr>
          <w:rFonts w:ascii="Times New Roman" w:hAnsi="Times New Roman" w:cs="Times New Roman"/>
        </w:rPr>
        <w:t xml:space="preserve"> </w:t>
      </w:r>
      <w:r w:rsidR="00B2216E">
        <w:rPr>
          <w:rFonts w:ascii="Times New Roman" w:hAnsi="Times New Roman" w:cs="Times New Roman"/>
        </w:rPr>
        <w:t>death</w:t>
      </w:r>
      <w:r w:rsidR="00AD0DF7">
        <w:rPr>
          <w:rFonts w:ascii="Times New Roman" w:hAnsi="Times New Roman" w:cs="Times New Roman"/>
        </w:rPr>
        <w:t xml:space="preserve"> at </w:t>
      </w:r>
      <w:r w:rsidR="00B2216E">
        <w:rPr>
          <w:rFonts w:ascii="Times New Roman" w:hAnsi="Times New Roman" w:cs="Times New Roman"/>
        </w:rPr>
        <w:t xml:space="preserve">7 </w:t>
      </w:r>
      <w:r w:rsidR="00AD0DF7">
        <w:rPr>
          <w:rFonts w:ascii="Times New Roman" w:hAnsi="Times New Roman" w:cs="Times New Roman"/>
        </w:rPr>
        <w:t>day</w:t>
      </w:r>
      <w:r w:rsidR="00B2216E">
        <w:rPr>
          <w:rFonts w:ascii="Times New Roman" w:hAnsi="Times New Roman" w:cs="Times New Roman"/>
        </w:rPr>
        <w:t>s</w:t>
      </w:r>
      <w:r w:rsidR="00AD0DF7">
        <w:rPr>
          <w:rFonts w:ascii="Times New Roman" w:hAnsi="Times New Roman" w:cs="Times New Roman"/>
        </w:rPr>
        <w:t xml:space="preserve"> and </w:t>
      </w:r>
      <w:proofErr w:type="spellStart"/>
      <w:r w:rsidR="00AD0DF7">
        <w:rPr>
          <w:rFonts w:ascii="Times New Roman" w:hAnsi="Times New Roman" w:cs="Times New Roman"/>
        </w:rPr>
        <w:t>sICH</w:t>
      </w:r>
      <w:proofErr w:type="spellEnd"/>
      <w:r w:rsidR="00AD0DF7">
        <w:rPr>
          <w:rFonts w:ascii="Times New Roman" w:hAnsi="Times New Roman" w:cs="Times New Roman"/>
        </w:rPr>
        <w:t xml:space="preserve"> and brain frailty was associated with </w:t>
      </w:r>
      <w:r w:rsidR="00B2216E">
        <w:rPr>
          <w:rFonts w:ascii="Times New Roman" w:hAnsi="Times New Roman" w:cs="Times New Roman"/>
        </w:rPr>
        <w:t>death at 90 days</w:t>
      </w:r>
      <w:r w:rsidR="00AD0DF7">
        <w:rPr>
          <w:rFonts w:ascii="Times New Roman" w:hAnsi="Times New Roman" w:cs="Times New Roman"/>
        </w:rPr>
        <w:t xml:space="preserve"> </w:t>
      </w:r>
      <w:r w:rsidR="0077206A">
        <w:rPr>
          <w:rFonts w:ascii="Times New Roman" w:hAnsi="Times New Roman" w:cs="Times New Roman"/>
        </w:rPr>
        <w:t>but atrophy reduced early</w:t>
      </w:r>
      <w:r w:rsidR="00AD0DF7">
        <w:rPr>
          <w:rFonts w:ascii="Times New Roman" w:hAnsi="Times New Roman" w:cs="Times New Roman"/>
        </w:rPr>
        <w:t xml:space="preserve"> mortality. </w:t>
      </w:r>
    </w:p>
    <w:p w14:paraId="3E0AEDC0" w14:textId="492BDFAE" w:rsidR="009E461A" w:rsidRPr="004D5859" w:rsidRDefault="004A0DCB" w:rsidP="007F005C">
      <w:pPr>
        <w:spacing w:after="120" w:line="480" w:lineRule="auto"/>
        <w:rPr>
          <w:rFonts w:ascii="Times New Roman" w:hAnsi="Times New Roman" w:cs="Times New Roman"/>
        </w:rPr>
      </w:pPr>
      <w:r w:rsidRPr="004D5859">
        <w:rPr>
          <w:rFonts w:ascii="Times New Roman" w:hAnsi="Times New Roman" w:cs="Times New Roman"/>
        </w:rPr>
        <w:t xml:space="preserve">These </w:t>
      </w:r>
      <w:r w:rsidR="00994DFE" w:rsidRPr="004D5859">
        <w:rPr>
          <w:rFonts w:ascii="Times New Roman" w:hAnsi="Times New Roman" w:cs="Times New Roman"/>
        </w:rPr>
        <w:t xml:space="preserve">results </w:t>
      </w:r>
      <w:r w:rsidRPr="004D5859">
        <w:rPr>
          <w:rFonts w:ascii="Times New Roman" w:hAnsi="Times New Roman" w:cs="Times New Roman"/>
        </w:rPr>
        <w:t xml:space="preserve">largely </w:t>
      </w:r>
      <w:r w:rsidR="00994DFE" w:rsidRPr="004D5859">
        <w:rPr>
          <w:rFonts w:ascii="Times New Roman" w:hAnsi="Times New Roman" w:cs="Times New Roman"/>
        </w:rPr>
        <w:t xml:space="preserve">confirm </w:t>
      </w:r>
      <w:r w:rsidRPr="004D5859">
        <w:rPr>
          <w:rFonts w:ascii="Times New Roman" w:hAnsi="Times New Roman" w:cs="Times New Roman"/>
        </w:rPr>
        <w:t xml:space="preserve">those from </w:t>
      </w:r>
      <w:r w:rsidR="009E461A" w:rsidRPr="004D5859">
        <w:rPr>
          <w:rFonts w:ascii="Times New Roman" w:hAnsi="Times New Roman" w:cs="Times New Roman"/>
        </w:rPr>
        <w:t>IST3</w:t>
      </w:r>
      <w:r w:rsidR="003B0DE8" w:rsidRPr="004D5859">
        <w:rPr>
          <w:rFonts w:ascii="Times New Roman" w:hAnsi="Times New Roman" w:cs="Times New Roman"/>
        </w:rPr>
        <w:t>,</w:t>
      </w:r>
      <w:r w:rsidR="00994DFE" w:rsidRPr="004D5859">
        <w:rPr>
          <w:rFonts w:ascii="Times New Roman" w:hAnsi="Times New Roman" w:cs="Times New Roman"/>
        </w:rPr>
        <w:t xml:space="preserve"> despite </w:t>
      </w:r>
      <w:r w:rsidRPr="004D5859">
        <w:rPr>
          <w:rFonts w:ascii="Times New Roman" w:hAnsi="Times New Roman" w:cs="Times New Roman"/>
        </w:rPr>
        <w:t xml:space="preserve">major differences </w:t>
      </w:r>
      <w:r w:rsidR="000B4586" w:rsidRPr="004D5859">
        <w:rPr>
          <w:rFonts w:ascii="Times New Roman" w:hAnsi="Times New Roman" w:cs="Times New Roman"/>
        </w:rPr>
        <w:t xml:space="preserve">in the </w:t>
      </w:r>
      <w:r w:rsidR="009548FE" w:rsidRPr="004D5859">
        <w:rPr>
          <w:rFonts w:ascii="Times New Roman" w:hAnsi="Times New Roman" w:cs="Times New Roman"/>
        </w:rPr>
        <w:t xml:space="preserve">study population </w:t>
      </w:r>
      <w:r w:rsidR="000B4586" w:rsidRPr="004D5859">
        <w:rPr>
          <w:rFonts w:ascii="Times New Roman" w:hAnsi="Times New Roman" w:cs="Times New Roman"/>
        </w:rPr>
        <w:t xml:space="preserve">characteristics </w:t>
      </w:r>
      <w:r w:rsidR="009548FE" w:rsidRPr="004D5859">
        <w:rPr>
          <w:rFonts w:ascii="Times New Roman" w:hAnsi="Times New Roman" w:cs="Times New Roman"/>
        </w:rPr>
        <w:t xml:space="preserve">of </w:t>
      </w:r>
      <w:r w:rsidR="00A93C1C" w:rsidRPr="004D5859">
        <w:rPr>
          <w:rFonts w:ascii="Times New Roman" w:hAnsi="Times New Roman" w:cs="Times New Roman"/>
        </w:rPr>
        <w:t>the two studies</w:t>
      </w:r>
      <w:r w:rsidR="000B4586" w:rsidRPr="004D5859">
        <w:rPr>
          <w:rFonts w:ascii="Times New Roman" w:hAnsi="Times New Roman" w:cs="Times New Roman"/>
        </w:rPr>
        <w:t xml:space="preserve">. </w:t>
      </w:r>
      <w:r w:rsidR="00994DFE" w:rsidRPr="004D5859">
        <w:rPr>
          <w:rFonts w:ascii="Times New Roman" w:hAnsi="Times New Roman" w:cs="Times New Roman"/>
        </w:rPr>
        <w:t>Our ENCHANTED participants were over a decade younger than th</w:t>
      </w:r>
      <w:r w:rsidR="00A93C1C" w:rsidRPr="004D5859">
        <w:rPr>
          <w:rFonts w:ascii="Times New Roman" w:hAnsi="Times New Roman" w:cs="Times New Roman"/>
        </w:rPr>
        <w:t>ose in</w:t>
      </w:r>
      <w:r w:rsidR="00994DFE" w:rsidRPr="004D5859">
        <w:rPr>
          <w:rFonts w:ascii="Times New Roman" w:hAnsi="Times New Roman" w:cs="Times New Roman"/>
        </w:rPr>
        <w:t xml:space="preserve"> IST3, </w:t>
      </w:r>
      <w:r w:rsidR="00025510" w:rsidRPr="004D5859">
        <w:rPr>
          <w:rFonts w:ascii="Times New Roman" w:hAnsi="Times New Roman" w:cs="Times New Roman"/>
        </w:rPr>
        <w:t xml:space="preserve">were assessed earlier </w:t>
      </w:r>
      <w:r w:rsidR="009E461A" w:rsidRPr="004D5859">
        <w:rPr>
          <w:rFonts w:ascii="Times New Roman" w:hAnsi="Times New Roman" w:cs="Times New Roman"/>
        </w:rPr>
        <w:t xml:space="preserve">in the course of their </w:t>
      </w:r>
      <w:r w:rsidR="00A93C1C" w:rsidRPr="004D5859">
        <w:rPr>
          <w:rFonts w:ascii="Times New Roman" w:hAnsi="Times New Roman" w:cs="Times New Roman"/>
        </w:rPr>
        <w:t xml:space="preserve">illness </w:t>
      </w:r>
      <w:r w:rsidR="00DF72CC" w:rsidRPr="004D5859">
        <w:rPr>
          <w:rFonts w:ascii="Times New Roman" w:hAnsi="Times New Roman" w:cs="Times New Roman"/>
        </w:rPr>
        <w:t xml:space="preserve">(mean </w:t>
      </w:r>
      <w:r w:rsidR="00F0307A" w:rsidRPr="004D5859">
        <w:rPr>
          <w:rFonts w:ascii="Times New Roman" w:hAnsi="Times New Roman" w:cs="Times New Roman"/>
        </w:rPr>
        <w:lastRenderedPageBreak/>
        <w:t xml:space="preserve">time from symptoms </w:t>
      </w:r>
      <w:r w:rsidR="00DF72CC" w:rsidRPr="004D5859">
        <w:rPr>
          <w:rFonts w:ascii="Times New Roman" w:hAnsi="Times New Roman" w:cs="Times New Roman"/>
        </w:rPr>
        <w:t>onset to treatment</w:t>
      </w:r>
      <w:r w:rsidR="009548FE" w:rsidRPr="004D5859">
        <w:rPr>
          <w:rFonts w:ascii="Times New Roman" w:hAnsi="Times New Roman" w:cs="Times New Roman"/>
        </w:rPr>
        <w:t>,</w:t>
      </w:r>
      <w:r w:rsidR="00F0307A" w:rsidRPr="004D5859">
        <w:rPr>
          <w:rFonts w:ascii="Times New Roman" w:hAnsi="Times New Roman" w:cs="Times New Roman"/>
        </w:rPr>
        <w:t xml:space="preserve"> </w:t>
      </w:r>
      <w:r w:rsidR="00DF72CC" w:rsidRPr="004D5859">
        <w:rPr>
          <w:rFonts w:ascii="Times New Roman" w:hAnsi="Times New Roman" w:cs="Times New Roman"/>
        </w:rPr>
        <w:t xml:space="preserve">170 vs. 252 min) </w:t>
      </w:r>
      <w:r w:rsidR="00025510" w:rsidRPr="004D5859">
        <w:rPr>
          <w:rFonts w:ascii="Times New Roman" w:hAnsi="Times New Roman" w:cs="Times New Roman"/>
        </w:rPr>
        <w:t xml:space="preserve">and had less severe </w:t>
      </w:r>
      <w:r w:rsidR="00446D88" w:rsidRPr="004D5859">
        <w:rPr>
          <w:rFonts w:ascii="Times New Roman" w:hAnsi="Times New Roman" w:cs="Times New Roman"/>
        </w:rPr>
        <w:t>stroke</w:t>
      </w:r>
      <w:r w:rsidR="00A93C1C" w:rsidRPr="004D5859">
        <w:rPr>
          <w:rFonts w:ascii="Times New Roman" w:hAnsi="Times New Roman" w:cs="Times New Roman"/>
        </w:rPr>
        <w:t xml:space="preserve"> </w:t>
      </w:r>
      <w:r w:rsidR="00025510" w:rsidRPr="004D5859">
        <w:rPr>
          <w:rFonts w:ascii="Times New Roman" w:hAnsi="Times New Roman" w:cs="Times New Roman"/>
        </w:rPr>
        <w:t>(</w:t>
      </w:r>
      <w:r w:rsidR="00345E63" w:rsidRPr="004D5859">
        <w:rPr>
          <w:rFonts w:ascii="Times New Roman" w:hAnsi="Times New Roman" w:cs="Times New Roman"/>
        </w:rPr>
        <w:t xml:space="preserve">median </w:t>
      </w:r>
      <w:r w:rsidR="00446AEE" w:rsidRPr="004D5859">
        <w:rPr>
          <w:rFonts w:ascii="Times New Roman" w:hAnsi="Times New Roman" w:cs="Times New Roman"/>
        </w:rPr>
        <w:t xml:space="preserve">NIHSS </w:t>
      </w:r>
      <w:r w:rsidR="00345E63" w:rsidRPr="004D5859">
        <w:rPr>
          <w:rFonts w:ascii="Times New Roman" w:hAnsi="Times New Roman" w:cs="Times New Roman"/>
        </w:rPr>
        <w:t>score</w:t>
      </w:r>
      <w:r w:rsidR="009548FE" w:rsidRPr="004D5859">
        <w:rPr>
          <w:rFonts w:ascii="Times New Roman" w:hAnsi="Times New Roman" w:cs="Times New Roman"/>
        </w:rPr>
        <w:t>,</w:t>
      </w:r>
      <w:r w:rsidR="00345E63" w:rsidRPr="004D5859">
        <w:rPr>
          <w:rFonts w:ascii="Times New Roman" w:hAnsi="Times New Roman" w:cs="Times New Roman"/>
        </w:rPr>
        <w:t xml:space="preserve"> </w:t>
      </w:r>
      <w:r w:rsidR="000B4586" w:rsidRPr="004D5859">
        <w:rPr>
          <w:rFonts w:ascii="Times New Roman" w:hAnsi="Times New Roman" w:cs="Times New Roman"/>
        </w:rPr>
        <w:t>8</w:t>
      </w:r>
      <w:r w:rsidR="00247003" w:rsidRPr="004D5859">
        <w:rPr>
          <w:rFonts w:ascii="Times New Roman" w:hAnsi="Times New Roman" w:cs="Times New Roman"/>
        </w:rPr>
        <w:t xml:space="preserve"> vs</w:t>
      </w:r>
      <w:r w:rsidR="00345E63" w:rsidRPr="004D5859">
        <w:rPr>
          <w:rFonts w:ascii="Times New Roman" w:hAnsi="Times New Roman" w:cs="Times New Roman"/>
        </w:rPr>
        <w:t>.</w:t>
      </w:r>
      <w:r w:rsidR="00247003" w:rsidRPr="004D5859">
        <w:rPr>
          <w:rFonts w:ascii="Times New Roman" w:hAnsi="Times New Roman" w:cs="Times New Roman"/>
        </w:rPr>
        <w:t xml:space="preserve"> </w:t>
      </w:r>
      <w:r w:rsidR="000B4586" w:rsidRPr="004D5859">
        <w:rPr>
          <w:rFonts w:ascii="Times New Roman" w:hAnsi="Times New Roman" w:cs="Times New Roman"/>
        </w:rPr>
        <w:t>13</w:t>
      </w:r>
      <w:r w:rsidR="00247003" w:rsidRPr="004D5859">
        <w:rPr>
          <w:rFonts w:ascii="Times New Roman" w:hAnsi="Times New Roman" w:cs="Times New Roman"/>
        </w:rPr>
        <w:t xml:space="preserve">). </w:t>
      </w:r>
      <w:r w:rsidR="00F2528D" w:rsidRPr="004D5859">
        <w:rPr>
          <w:rFonts w:ascii="Times New Roman" w:hAnsi="Times New Roman" w:cs="Times New Roman"/>
        </w:rPr>
        <w:t xml:space="preserve"> </w:t>
      </w:r>
      <w:bookmarkStart w:id="2" w:name="_Hlk40103019"/>
      <w:r w:rsidR="00655DBF">
        <w:rPr>
          <w:rFonts w:ascii="Times New Roman" w:hAnsi="Times New Roman" w:cs="Times New Roman"/>
        </w:rPr>
        <w:t>Despite t</w:t>
      </w:r>
      <w:r w:rsidR="00247003" w:rsidRPr="004D5859">
        <w:rPr>
          <w:rFonts w:ascii="Times New Roman" w:hAnsi="Times New Roman" w:cs="Times New Roman"/>
        </w:rPr>
        <w:t xml:space="preserve">hese baseline differences </w:t>
      </w:r>
      <w:r w:rsidR="00655DBF">
        <w:rPr>
          <w:rFonts w:ascii="Times New Roman" w:hAnsi="Times New Roman" w:cs="Times New Roman"/>
        </w:rPr>
        <w:t xml:space="preserve">and </w:t>
      </w:r>
      <w:r w:rsidR="00F42B1B">
        <w:rPr>
          <w:rFonts w:ascii="Times New Roman" w:hAnsi="Times New Roman" w:cs="Times New Roman"/>
        </w:rPr>
        <w:t>for IST3 to have included patients outside of the conventional time window and regulatory criteria for thrombolysis, our results confirm</w:t>
      </w:r>
      <w:r w:rsidR="00655DBF">
        <w:rPr>
          <w:rFonts w:ascii="Times New Roman" w:hAnsi="Times New Roman" w:cs="Times New Roman"/>
        </w:rPr>
        <w:t xml:space="preserve"> the prognostic </w:t>
      </w:r>
      <w:r w:rsidR="00F42B1B">
        <w:rPr>
          <w:rFonts w:ascii="Times New Roman" w:hAnsi="Times New Roman" w:cs="Times New Roman"/>
        </w:rPr>
        <w:t xml:space="preserve">significance of certain </w:t>
      </w:r>
      <w:r w:rsidR="00655DBF">
        <w:rPr>
          <w:rFonts w:ascii="Times New Roman" w:hAnsi="Times New Roman" w:cs="Times New Roman"/>
        </w:rPr>
        <w:t xml:space="preserve">brain imaging markers </w:t>
      </w:r>
      <w:r w:rsidR="00F42B1B">
        <w:rPr>
          <w:rFonts w:ascii="Times New Roman" w:hAnsi="Times New Roman" w:cs="Times New Roman"/>
        </w:rPr>
        <w:t>despite</w:t>
      </w:r>
      <w:r w:rsidR="00655DBF">
        <w:rPr>
          <w:rFonts w:ascii="Times New Roman" w:hAnsi="Times New Roman" w:cs="Times New Roman"/>
        </w:rPr>
        <w:t xml:space="preserve"> </w:t>
      </w:r>
      <w:r w:rsidR="00247003" w:rsidRPr="004D5859">
        <w:rPr>
          <w:rFonts w:ascii="Times New Roman" w:hAnsi="Times New Roman" w:cs="Times New Roman"/>
        </w:rPr>
        <w:t xml:space="preserve">nearly three times </w:t>
      </w:r>
      <w:r w:rsidR="00655DBF">
        <w:rPr>
          <w:rFonts w:ascii="Times New Roman" w:hAnsi="Times New Roman" w:cs="Times New Roman"/>
        </w:rPr>
        <w:t>as many</w:t>
      </w:r>
      <w:r w:rsidR="00655DBF" w:rsidRPr="004D5859">
        <w:rPr>
          <w:rFonts w:ascii="Times New Roman" w:hAnsi="Times New Roman" w:cs="Times New Roman"/>
        </w:rPr>
        <w:t xml:space="preserve"> </w:t>
      </w:r>
      <w:r w:rsidR="00247003" w:rsidRPr="004D5859">
        <w:rPr>
          <w:rFonts w:ascii="Times New Roman" w:hAnsi="Times New Roman" w:cs="Times New Roman"/>
        </w:rPr>
        <w:t xml:space="preserve">patients </w:t>
      </w:r>
      <w:r w:rsidR="00F42B1B">
        <w:rPr>
          <w:rFonts w:ascii="Times New Roman" w:hAnsi="Times New Roman" w:cs="Times New Roman"/>
        </w:rPr>
        <w:t>had</w:t>
      </w:r>
      <w:r w:rsidR="00247003" w:rsidRPr="004D5859">
        <w:rPr>
          <w:rFonts w:ascii="Times New Roman" w:hAnsi="Times New Roman" w:cs="Times New Roman"/>
        </w:rPr>
        <w:t xml:space="preserve"> a normal </w:t>
      </w:r>
      <w:r w:rsidR="00782623" w:rsidRPr="004D5859">
        <w:rPr>
          <w:rFonts w:ascii="Times New Roman" w:hAnsi="Times New Roman" w:cs="Times New Roman"/>
        </w:rPr>
        <w:t xml:space="preserve">baseline </w:t>
      </w:r>
      <w:r w:rsidR="00247003" w:rsidRPr="004D5859">
        <w:rPr>
          <w:rFonts w:ascii="Times New Roman" w:hAnsi="Times New Roman" w:cs="Times New Roman"/>
        </w:rPr>
        <w:t xml:space="preserve">scan in ENCHANTED </w:t>
      </w:r>
      <w:r w:rsidR="009E461A" w:rsidRPr="004D5859">
        <w:rPr>
          <w:rFonts w:ascii="Times New Roman" w:hAnsi="Times New Roman" w:cs="Times New Roman"/>
        </w:rPr>
        <w:t xml:space="preserve">compared to </w:t>
      </w:r>
      <w:r w:rsidR="00655DBF">
        <w:rPr>
          <w:rFonts w:ascii="Times New Roman" w:hAnsi="Times New Roman" w:cs="Times New Roman"/>
        </w:rPr>
        <w:t>IST3</w:t>
      </w:r>
      <w:r w:rsidR="002F72D7" w:rsidRPr="00E51014">
        <w:rPr>
          <w:rFonts w:ascii="Times New Roman" w:hAnsi="Times New Roman" w:cs="Times New Roman"/>
        </w:rPr>
        <w:t xml:space="preserve">. </w:t>
      </w:r>
      <w:r w:rsidR="00A93C1C" w:rsidRPr="004D5859">
        <w:rPr>
          <w:rFonts w:ascii="Times New Roman" w:hAnsi="Times New Roman" w:cs="Times New Roman"/>
        </w:rPr>
        <w:t xml:space="preserve"> </w:t>
      </w:r>
      <w:bookmarkEnd w:id="2"/>
      <w:r w:rsidR="009E461A" w:rsidRPr="004D5859">
        <w:rPr>
          <w:rFonts w:ascii="Times New Roman" w:hAnsi="Times New Roman" w:cs="Times New Roman"/>
        </w:rPr>
        <w:t xml:space="preserve">In addition, </w:t>
      </w:r>
      <w:r w:rsidR="00247003" w:rsidRPr="004D5859">
        <w:rPr>
          <w:rFonts w:ascii="Times New Roman" w:hAnsi="Times New Roman" w:cs="Times New Roman"/>
        </w:rPr>
        <w:t>c</w:t>
      </w:r>
      <w:r w:rsidR="00BA7427" w:rsidRPr="004D5859">
        <w:rPr>
          <w:rFonts w:ascii="Times New Roman" w:hAnsi="Times New Roman" w:cs="Times New Roman"/>
        </w:rPr>
        <w:t>onsistent with the younger age</w:t>
      </w:r>
      <w:r w:rsidR="009E461A" w:rsidRPr="004D5859">
        <w:rPr>
          <w:rFonts w:ascii="Times New Roman" w:hAnsi="Times New Roman" w:cs="Times New Roman"/>
        </w:rPr>
        <w:t xml:space="preserve"> of the ENCHANTED cohort</w:t>
      </w:r>
      <w:r w:rsidR="00BA7427" w:rsidRPr="004D5859">
        <w:rPr>
          <w:rFonts w:ascii="Times New Roman" w:hAnsi="Times New Roman" w:cs="Times New Roman"/>
        </w:rPr>
        <w:t xml:space="preserve">, </w:t>
      </w:r>
      <w:r w:rsidR="00247003" w:rsidRPr="004D5859">
        <w:rPr>
          <w:rFonts w:ascii="Times New Roman" w:hAnsi="Times New Roman" w:cs="Times New Roman"/>
        </w:rPr>
        <w:t xml:space="preserve">we found </w:t>
      </w:r>
      <w:r w:rsidR="00BA7427" w:rsidRPr="004D5859">
        <w:rPr>
          <w:rFonts w:ascii="Times New Roman" w:hAnsi="Times New Roman" w:cs="Times New Roman"/>
        </w:rPr>
        <w:t>less atrophy, leukoar</w:t>
      </w:r>
      <w:r w:rsidR="000F0B10" w:rsidRPr="004D5859">
        <w:rPr>
          <w:rFonts w:ascii="Times New Roman" w:hAnsi="Times New Roman" w:cs="Times New Roman"/>
        </w:rPr>
        <w:t>a</w:t>
      </w:r>
      <w:r w:rsidR="00BA7427" w:rsidRPr="004D5859">
        <w:rPr>
          <w:rFonts w:ascii="Times New Roman" w:hAnsi="Times New Roman" w:cs="Times New Roman"/>
        </w:rPr>
        <w:t>iosis and old infarcts</w:t>
      </w:r>
      <w:r w:rsidR="009E461A" w:rsidRPr="004D5859">
        <w:rPr>
          <w:rFonts w:ascii="Times New Roman" w:hAnsi="Times New Roman" w:cs="Times New Roman"/>
        </w:rPr>
        <w:t xml:space="preserve"> than in IST3. </w:t>
      </w:r>
      <w:r w:rsidR="00F2528D" w:rsidRPr="004D5859">
        <w:rPr>
          <w:rFonts w:ascii="Times New Roman" w:hAnsi="Times New Roman" w:cs="Times New Roman"/>
        </w:rPr>
        <w:t xml:space="preserve"> </w:t>
      </w:r>
      <w:r w:rsidR="009E461A" w:rsidRPr="004D5859">
        <w:rPr>
          <w:rFonts w:ascii="Times New Roman" w:hAnsi="Times New Roman" w:cs="Times New Roman"/>
        </w:rPr>
        <w:t>Despite these</w:t>
      </w:r>
      <w:r w:rsidR="00247003" w:rsidRPr="004D5859">
        <w:rPr>
          <w:rFonts w:ascii="Times New Roman" w:hAnsi="Times New Roman" w:cs="Times New Roman"/>
        </w:rPr>
        <w:t xml:space="preserve"> </w:t>
      </w:r>
      <w:r w:rsidR="000B4586" w:rsidRPr="004D5859">
        <w:rPr>
          <w:rFonts w:ascii="Times New Roman" w:hAnsi="Times New Roman" w:cs="Times New Roman"/>
        </w:rPr>
        <w:t xml:space="preserve">important differences, </w:t>
      </w:r>
      <w:r w:rsidR="00BA7427" w:rsidRPr="004D5859">
        <w:rPr>
          <w:rFonts w:ascii="Times New Roman" w:hAnsi="Times New Roman" w:cs="Times New Roman"/>
        </w:rPr>
        <w:t>indicat</w:t>
      </w:r>
      <w:r w:rsidR="009E461A" w:rsidRPr="004D5859">
        <w:rPr>
          <w:rFonts w:ascii="Times New Roman" w:hAnsi="Times New Roman" w:cs="Times New Roman"/>
        </w:rPr>
        <w:t>ing</w:t>
      </w:r>
      <w:r w:rsidR="00247003" w:rsidRPr="004D5859">
        <w:rPr>
          <w:rFonts w:ascii="Times New Roman" w:hAnsi="Times New Roman" w:cs="Times New Roman"/>
        </w:rPr>
        <w:t xml:space="preserve"> that the ENCHANTED cohort had </w:t>
      </w:r>
      <w:r w:rsidR="009E461A" w:rsidRPr="004D5859">
        <w:rPr>
          <w:rFonts w:ascii="Times New Roman" w:hAnsi="Times New Roman" w:cs="Times New Roman"/>
        </w:rPr>
        <w:t xml:space="preserve">less </w:t>
      </w:r>
      <w:r w:rsidR="00165275" w:rsidRPr="004D5859">
        <w:rPr>
          <w:rFonts w:ascii="Times New Roman" w:hAnsi="Times New Roman" w:cs="Times New Roman"/>
        </w:rPr>
        <w:t>brain “frail</w:t>
      </w:r>
      <w:r w:rsidR="00BA7427" w:rsidRPr="004D5859">
        <w:rPr>
          <w:rFonts w:ascii="Times New Roman" w:hAnsi="Times New Roman" w:cs="Times New Roman"/>
        </w:rPr>
        <w:t>ty</w:t>
      </w:r>
      <w:r w:rsidR="00165275" w:rsidRPr="004D5859">
        <w:rPr>
          <w:rFonts w:ascii="Times New Roman" w:hAnsi="Times New Roman" w:cs="Times New Roman"/>
        </w:rPr>
        <w:t>”</w:t>
      </w:r>
      <w:r w:rsidR="009E461A" w:rsidRPr="004D5859">
        <w:rPr>
          <w:rFonts w:ascii="Times New Roman" w:hAnsi="Times New Roman" w:cs="Times New Roman"/>
        </w:rPr>
        <w:t>, the prognostic factors were remarkably similar</w:t>
      </w:r>
      <w:r w:rsidR="000B4586" w:rsidRPr="004D5859">
        <w:rPr>
          <w:rFonts w:ascii="Times New Roman" w:hAnsi="Times New Roman" w:cs="Times New Roman"/>
        </w:rPr>
        <w:t>, thus providing new evidence of the robustness</w:t>
      </w:r>
      <w:r w:rsidR="00A93C1C" w:rsidRPr="004D5859">
        <w:rPr>
          <w:rFonts w:ascii="Times New Roman" w:hAnsi="Times New Roman" w:cs="Times New Roman"/>
        </w:rPr>
        <w:t xml:space="preserve"> of these findings</w:t>
      </w:r>
      <w:r w:rsidR="000B4586" w:rsidRPr="004D5859">
        <w:rPr>
          <w:rFonts w:ascii="Times New Roman" w:hAnsi="Times New Roman" w:cs="Times New Roman"/>
        </w:rPr>
        <w:t>.</w:t>
      </w:r>
      <w:r w:rsidR="00165275" w:rsidRPr="004D5859">
        <w:rPr>
          <w:rFonts w:ascii="Times New Roman" w:hAnsi="Times New Roman" w:cs="Times New Roman"/>
        </w:rPr>
        <w:t xml:space="preserve"> </w:t>
      </w:r>
    </w:p>
    <w:p w14:paraId="371458B1" w14:textId="1C4FD7E0" w:rsidR="009548FE" w:rsidRPr="004D5859" w:rsidRDefault="000B4586" w:rsidP="007F005C">
      <w:pPr>
        <w:spacing w:after="120" w:line="480" w:lineRule="auto"/>
        <w:rPr>
          <w:rFonts w:ascii="Times New Roman" w:hAnsi="Times New Roman" w:cs="Times New Roman"/>
        </w:rPr>
      </w:pPr>
      <w:r w:rsidRPr="004D5859">
        <w:rPr>
          <w:rFonts w:ascii="Times New Roman" w:hAnsi="Times New Roman" w:cs="Times New Roman"/>
        </w:rPr>
        <w:t xml:space="preserve">The importance of </w:t>
      </w:r>
      <w:r w:rsidR="003B0DE8" w:rsidRPr="004D5859">
        <w:rPr>
          <w:rFonts w:ascii="Times New Roman" w:hAnsi="Times New Roman" w:cs="Times New Roman"/>
        </w:rPr>
        <w:t>AIS</w:t>
      </w:r>
      <w:r w:rsidRPr="004D5859">
        <w:rPr>
          <w:rFonts w:ascii="Times New Roman" w:hAnsi="Times New Roman" w:cs="Times New Roman"/>
        </w:rPr>
        <w:t xml:space="preserve"> signs are well recognised but these results emphasise that pre-existing brain frailty signs provide important additional prognostic value.</w:t>
      </w:r>
      <w:r w:rsidR="00A93C1C" w:rsidRPr="004D5859">
        <w:rPr>
          <w:rFonts w:ascii="Times New Roman" w:hAnsi="Times New Roman" w:cs="Times New Roman"/>
        </w:rPr>
        <w:t xml:space="preserve"> </w:t>
      </w:r>
      <w:r w:rsidRPr="004D5859">
        <w:rPr>
          <w:rFonts w:ascii="Times New Roman" w:hAnsi="Times New Roman" w:cs="Times New Roman"/>
        </w:rPr>
        <w:t xml:space="preserve">Interestingly, whilst atrophy might </w:t>
      </w:r>
      <w:r w:rsidR="00A93C1C" w:rsidRPr="004D5859">
        <w:rPr>
          <w:rFonts w:ascii="Times New Roman" w:hAnsi="Times New Roman" w:cs="Times New Roman"/>
        </w:rPr>
        <w:t xml:space="preserve">provide </w:t>
      </w:r>
      <w:r w:rsidRPr="004D5859">
        <w:rPr>
          <w:rFonts w:ascii="Times New Roman" w:hAnsi="Times New Roman" w:cs="Times New Roman"/>
        </w:rPr>
        <w:t>protect</w:t>
      </w:r>
      <w:r w:rsidR="00A93C1C" w:rsidRPr="004D5859">
        <w:rPr>
          <w:rFonts w:ascii="Times New Roman" w:hAnsi="Times New Roman" w:cs="Times New Roman"/>
        </w:rPr>
        <w:t>ion</w:t>
      </w:r>
      <w:r w:rsidRPr="004D5859">
        <w:rPr>
          <w:rFonts w:ascii="Times New Roman" w:hAnsi="Times New Roman" w:cs="Times New Roman"/>
        </w:rPr>
        <w:t xml:space="preserve"> from an early death (perhaps </w:t>
      </w:r>
      <w:r w:rsidR="00A93C1C" w:rsidRPr="004D5859">
        <w:rPr>
          <w:rFonts w:ascii="Times New Roman" w:hAnsi="Times New Roman" w:cs="Times New Roman"/>
        </w:rPr>
        <w:t>by allowing greater</w:t>
      </w:r>
      <w:r w:rsidRPr="004D5859">
        <w:rPr>
          <w:rFonts w:ascii="Times New Roman" w:hAnsi="Times New Roman" w:cs="Times New Roman"/>
        </w:rPr>
        <w:t xml:space="preserve"> tolera</w:t>
      </w:r>
      <w:r w:rsidR="00A93C1C" w:rsidRPr="004D5859">
        <w:rPr>
          <w:rFonts w:ascii="Times New Roman" w:hAnsi="Times New Roman" w:cs="Times New Roman"/>
        </w:rPr>
        <w:t>bility to</w:t>
      </w:r>
      <w:r w:rsidRPr="004D5859">
        <w:rPr>
          <w:rFonts w:ascii="Times New Roman" w:hAnsi="Times New Roman" w:cs="Times New Roman"/>
        </w:rPr>
        <w:t xml:space="preserve"> brain swelling), its presence reduces the chances of good functional outcome (perhaps </w:t>
      </w:r>
      <w:r w:rsidR="00A93C1C" w:rsidRPr="004D5859">
        <w:rPr>
          <w:rFonts w:ascii="Times New Roman" w:hAnsi="Times New Roman" w:cs="Times New Roman"/>
        </w:rPr>
        <w:t xml:space="preserve">through </w:t>
      </w:r>
      <w:r w:rsidRPr="004D5859">
        <w:rPr>
          <w:rFonts w:ascii="Times New Roman" w:hAnsi="Times New Roman" w:cs="Times New Roman"/>
        </w:rPr>
        <w:t xml:space="preserve">loss of </w:t>
      </w:r>
      <w:r w:rsidR="00A93C1C" w:rsidRPr="004D5859">
        <w:rPr>
          <w:rFonts w:ascii="Times New Roman" w:hAnsi="Times New Roman" w:cs="Times New Roman"/>
        </w:rPr>
        <w:t xml:space="preserve">neuronal </w:t>
      </w:r>
      <w:r w:rsidRPr="004D5859">
        <w:rPr>
          <w:rFonts w:ascii="Times New Roman" w:hAnsi="Times New Roman" w:cs="Times New Roman"/>
        </w:rPr>
        <w:t xml:space="preserve">plasticity and recovery). </w:t>
      </w:r>
      <w:r w:rsidR="00F2528D" w:rsidRPr="004D5859">
        <w:rPr>
          <w:rFonts w:ascii="Times New Roman" w:hAnsi="Times New Roman" w:cs="Times New Roman"/>
        </w:rPr>
        <w:t xml:space="preserve"> </w:t>
      </w:r>
      <w:r w:rsidR="00DC31D5" w:rsidRPr="004D5859">
        <w:rPr>
          <w:rFonts w:ascii="Times New Roman" w:hAnsi="Times New Roman" w:cs="Times New Roman"/>
        </w:rPr>
        <w:t xml:space="preserve">Leukoaraiosis and old infarcts similarly reduced the chance of </w:t>
      </w:r>
      <w:r w:rsidR="003B0DE8" w:rsidRPr="004D5859">
        <w:rPr>
          <w:rFonts w:ascii="Times New Roman" w:hAnsi="Times New Roman" w:cs="Times New Roman"/>
        </w:rPr>
        <w:t xml:space="preserve">good </w:t>
      </w:r>
      <w:r w:rsidR="00DC31D5" w:rsidRPr="004D5859">
        <w:rPr>
          <w:rFonts w:ascii="Times New Roman" w:hAnsi="Times New Roman" w:cs="Times New Roman"/>
        </w:rPr>
        <w:t>functional outcome.</w:t>
      </w:r>
    </w:p>
    <w:p w14:paraId="4D8D016D" w14:textId="6614A9AF" w:rsidR="00F6462F" w:rsidRPr="003073C3" w:rsidRDefault="009E461A" w:rsidP="007F005C">
      <w:pPr>
        <w:spacing w:after="120" w:line="480" w:lineRule="auto"/>
        <w:rPr>
          <w:rFonts w:ascii="Times New Roman" w:hAnsi="Times New Roman" w:cs="Times New Roman"/>
        </w:rPr>
      </w:pPr>
      <w:r w:rsidRPr="004D5859">
        <w:rPr>
          <w:rFonts w:ascii="Times New Roman" w:hAnsi="Times New Roman" w:cs="Times New Roman"/>
        </w:rPr>
        <w:t>Replication of research findings is increasingly recogni</w:t>
      </w:r>
      <w:r w:rsidR="003B0DE8" w:rsidRPr="004D5859">
        <w:rPr>
          <w:rFonts w:ascii="Times New Roman" w:hAnsi="Times New Roman" w:cs="Times New Roman"/>
        </w:rPr>
        <w:t>s</w:t>
      </w:r>
      <w:r w:rsidRPr="004D5859">
        <w:rPr>
          <w:rFonts w:ascii="Times New Roman" w:hAnsi="Times New Roman" w:cs="Times New Roman"/>
        </w:rPr>
        <w:t xml:space="preserve">ed as an important part of scientific </w:t>
      </w:r>
      <w:proofErr w:type="gramStart"/>
      <w:r w:rsidRPr="004D5859">
        <w:rPr>
          <w:rFonts w:ascii="Times New Roman" w:hAnsi="Times New Roman" w:cs="Times New Roman"/>
        </w:rPr>
        <w:t>progress</w:t>
      </w:r>
      <w:r w:rsidR="00FD2279" w:rsidRPr="004D5859">
        <w:rPr>
          <w:rFonts w:ascii="Times New Roman" w:hAnsi="Times New Roman" w:cs="Times New Roman"/>
        </w:rPr>
        <w:t>[</w:t>
      </w:r>
      <w:proofErr w:type="gramEnd"/>
      <w:r w:rsidR="00FD2279" w:rsidRPr="004D5859">
        <w:rPr>
          <w:rFonts w:ascii="Times New Roman" w:hAnsi="Times New Roman" w:cs="Times New Roman"/>
        </w:rPr>
        <w:t>2],</w:t>
      </w:r>
      <w:r w:rsidR="00B53EDF" w:rsidRPr="004D5859">
        <w:rPr>
          <w:rFonts w:ascii="Times New Roman" w:hAnsi="Times New Roman" w:cs="Times New Roman"/>
        </w:rPr>
        <w:t xml:space="preserve"> </w:t>
      </w:r>
      <w:r w:rsidRPr="004D5859">
        <w:rPr>
          <w:rFonts w:ascii="Times New Roman" w:hAnsi="Times New Roman" w:cs="Times New Roman"/>
        </w:rPr>
        <w:t xml:space="preserve">and </w:t>
      </w:r>
      <w:r w:rsidR="00613783" w:rsidRPr="004D5859">
        <w:rPr>
          <w:rFonts w:ascii="Times New Roman" w:hAnsi="Times New Roman" w:cs="Times New Roman"/>
        </w:rPr>
        <w:t>replicati</w:t>
      </w:r>
      <w:r w:rsidR="00A93C1C" w:rsidRPr="004D5859">
        <w:rPr>
          <w:rFonts w:ascii="Times New Roman" w:hAnsi="Times New Roman" w:cs="Times New Roman"/>
        </w:rPr>
        <w:t>on of</w:t>
      </w:r>
      <w:r w:rsidR="00613783" w:rsidRPr="004D5859">
        <w:rPr>
          <w:rFonts w:ascii="Times New Roman" w:hAnsi="Times New Roman" w:cs="Times New Roman"/>
        </w:rPr>
        <w:t xml:space="preserve"> the IST3 results </w:t>
      </w:r>
      <w:r w:rsidR="00A93C1C" w:rsidRPr="004D5859">
        <w:rPr>
          <w:rFonts w:ascii="Times New Roman" w:hAnsi="Times New Roman" w:cs="Times New Roman"/>
        </w:rPr>
        <w:t xml:space="preserve">was </w:t>
      </w:r>
      <w:r w:rsidR="00613783" w:rsidRPr="004D5859">
        <w:rPr>
          <w:rFonts w:ascii="Times New Roman" w:hAnsi="Times New Roman" w:cs="Times New Roman"/>
        </w:rPr>
        <w:t xml:space="preserve">a pre-specified </w:t>
      </w:r>
      <w:r w:rsidRPr="004D5859">
        <w:rPr>
          <w:rFonts w:ascii="Times New Roman" w:hAnsi="Times New Roman" w:cs="Times New Roman"/>
        </w:rPr>
        <w:t>goal</w:t>
      </w:r>
      <w:r w:rsidR="00613783" w:rsidRPr="004D5859">
        <w:rPr>
          <w:rFonts w:ascii="Times New Roman" w:hAnsi="Times New Roman" w:cs="Times New Roman"/>
        </w:rPr>
        <w:t xml:space="preserve"> </w:t>
      </w:r>
      <w:r w:rsidR="00A93C1C" w:rsidRPr="004D5859">
        <w:rPr>
          <w:rFonts w:ascii="Times New Roman" w:hAnsi="Times New Roman" w:cs="Times New Roman"/>
        </w:rPr>
        <w:t>of</w:t>
      </w:r>
      <w:r w:rsidR="00613783" w:rsidRPr="004D5859">
        <w:rPr>
          <w:rFonts w:ascii="Times New Roman" w:hAnsi="Times New Roman" w:cs="Times New Roman"/>
        </w:rPr>
        <w:t xml:space="preserve"> ENCHANTED</w:t>
      </w:r>
      <w:r w:rsidR="00613783" w:rsidRPr="00E42BBA">
        <w:rPr>
          <w:rFonts w:ascii="Times New Roman" w:hAnsi="Times New Roman" w:cs="Times New Roman"/>
        </w:rPr>
        <w:t xml:space="preserve">. </w:t>
      </w:r>
    </w:p>
    <w:p w14:paraId="1EF91310" w14:textId="545D1663" w:rsidR="009E461A" w:rsidRPr="004D5859" w:rsidRDefault="00446D88" w:rsidP="007F005C">
      <w:pPr>
        <w:spacing w:after="120" w:line="480" w:lineRule="auto"/>
        <w:rPr>
          <w:rFonts w:ascii="Times New Roman" w:hAnsi="Times New Roman" w:cs="Times New Roman"/>
        </w:rPr>
      </w:pPr>
      <w:r w:rsidRPr="004D5859">
        <w:rPr>
          <w:rFonts w:ascii="Times New Roman" w:hAnsi="Times New Roman" w:cs="Times New Roman"/>
        </w:rPr>
        <w:t>Importantly</w:t>
      </w:r>
      <w:r w:rsidR="00B05B45" w:rsidRPr="004D5859">
        <w:rPr>
          <w:rFonts w:ascii="Times New Roman" w:hAnsi="Times New Roman" w:cs="Times New Roman"/>
        </w:rPr>
        <w:t xml:space="preserve">, </w:t>
      </w:r>
      <w:r w:rsidR="00A93C1C" w:rsidRPr="004D5859">
        <w:rPr>
          <w:rFonts w:ascii="Times New Roman" w:hAnsi="Times New Roman" w:cs="Times New Roman"/>
        </w:rPr>
        <w:t>the</w:t>
      </w:r>
      <w:r w:rsidR="00B05B45" w:rsidRPr="004D5859">
        <w:rPr>
          <w:rFonts w:ascii="Times New Roman" w:hAnsi="Times New Roman" w:cs="Times New Roman"/>
        </w:rPr>
        <w:t xml:space="preserve"> prognostic information </w:t>
      </w:r>
      <w:r w:rsidR="00A93C1C" w:rsidRPr="004D5859">
        <w:rPr>
          <w:rFonts w:ascii="Times New Roman" w:hAnsi="Times New Roman" w:cs="Times New Roman"/>
        </w:rPr>
        <w:t xml:space="preserve">obtained in ENCHANTED </w:t>
      </w:r>
      <w:r w:rsidR="00B05B45" w:rsidRPr="004D5859">
        <w:rPr>
          <w:rFonts w:ascii="Times New Roman" w:hAnsi="Times New Roman" w:cs="Times New Roman"/>
        </w:rPr>
        <w:t xml:space="preserve">was </w:t>
      </w:r>
      <w:r w:rsidR="00A93C1C" w:rsidRPr="004D5859">
        <w:rPr>
          <w:rFonts w:ascii="Times New Roman" w:hAnsi="Times New Roman" w:cs="Times New Roman"/>
        </w:rPr>
        <w:t xml:space="preserve">derived </w:t>
      </w:r>
      <w:r w:rsidR="00B05B45" w:rsidRPr="004D5859">
        <w:rPr>
          <w:rFonts w:ascii="Times New Roman" w:hAnsi="Times New Roman" w:cs="Times New Roman"/>
        </w:rPr>
        <w:t>by a less expert</w:t>
      </w:r>
      <w:r w:rsidRPr="004D5859">
        <w:rPr>
          <w:rFonts w:ascii="Times New Roman" w:hAnsi="Times New Roman" w:cs="Times New Roman"/>
        </w:rPr>
        <w:t xml:space="preserve"> </w:t>
      </w:r>
      <w:r w:rsidR="00B05B45" w:rsidRPr="004D5859">
        <w:rPr>
          <w:rFonts w:ascii="Times New Roman" w:hAnsi="Times New Roman" w:cs="Times New Roman"/>
        </w:rPr>
        <w:t>imaging team (stroke neurologists) than utili</w:t>
      </w:r>
      <w:r w:rsidR="003B0DE8" w:rsidRPr="004D5859">
        <w:rPr>
          <w:rFonts w:ascii="Times New Roman" w:hAnsi="Times New Roman" w:cs="Times New Roman"/>
        </w:rPr>
        <w:t>s</w:t>
      </w:r>
      <w:r w:rsidR="00B05B45" w:rsidRPr="004D5859">
        <w:rPr>
          <w:rFonts w:ascii="Times New Roman" w:hAnsi="Times New Roman" w:cs="Times New Roman"/>
        </w:rPr>
        <w:t>ed in IST-3 (mainly neuroradiologists)</w:t>
      </w:r>
      <w:r w:rsidR="00A93C1C" w:rsidRPr="004D5859">
        <w:rPr>
          <w:rFonts w:ascii="Times New Roman" w:hAnsi="Times New Roman" w:cs="Times New Roman"/>
        </w:rPr>
        <w:t>, further strengthening the external validity of these data for clinical practice</w:t>
      </w:r>
      <w:r w:rsidR="00B05B45" w:rsidRPr="004D5859">
        <w:rPr>
          <w:rFonts w:ascii="Times New Roman" w:hAnsi="Times New Roman" w:cs="Times New Roman"/>
        </w:rPr>
        <w:t xml:space="preserve">.  </w:t>
      </w:r>
    </w:p>
    <w:p w14:paraId="10D825DD" w14:textId="2820F8DA" w:rsidR="00165275" w:rsidRPr="004D5859" w:rsidRDefault="00A93C1C" w:rsidP="007F005C">
      <w:pPr>
        <w:spacing w:after="120" w:line="480" w:lineRule="auto"/>
        <w:rPr>
          <w:rFonts w:ascii="Times New Roman" w:hAnsi="Times New Roman" w:cs="Times New Roman"/>
        </w:rPr>
      </w:pPr>
      <w:r w:rsidRPr="004D5859">
        <w:rPr>
          <w:rFonts w:ascii="Times New Roman" w:hAnsi="Times New Roman" w:cs="Times New Roman"/>
        </w:rPr>
        <w:t>W</w:t>
      </w:r>
      <w:r w:rsidR="00613783" w:rsidRPr="004D5859">
        <w:rPr>
          <w:rFonts w:ascii="Times New Roman" w:hAnsi="Times New Roman" w:cs="Times New Roman"/>
        </w:rPr>
        <w:t xml:space="preserve">e </w:t>
      </w:r>
      <w:r w:rsidRPr="004D5859">
        <w:rPr>
          <w:rFonts w:ascii="Times New Roman" w:hAnsi="Times New Roman" w:cs="Times New Roman"/>
        </w:rPr>
        <w:t xml:space="preserve">recognise, however, that we were also able to </w:t>
      </w:r>
      <w:r w:rsidR="00613783" w:rsidRPr="004D5859">
        <w:rPr>
          <w:rFonts w:ascii="Times New Roman" w:hAnsi="Times New Roman" w:cs="Times New Roman"/>
        </w:rPr>
        <w:t>identify some differences with the previous IST3 results</w:t>
      </w:r>
      <w:r w:rsidR="00405142" w:rsidRPr="004D5859">
        <w:rPr>
          <w:rFonts w:ascii="Times New Roman" w:hAnsi="Times New Roman" w:cs="Times New Roman"/>
        </w:rPr>
        <w:t>, where we found</w:t>
      </w:r>
      <w:r w:rsidR="00247003" w:rsidRPr="004D5859">
        <w:rPr>
          <w:rFonts w:ascii="Times New Roman" w:hAnsi="Times New Roman" w:cs="Times New Roman"/>
        </w:rPr>
        <w:t xml:space="preserve"> no association between the frequency of early ischaemic change </w:t>
      </w:r>
      <w:r w:rsidR="00405142" w:rsidRPr="004D5859">
        <w:rPr>
          <w:rFonts w:ascii="Times New Roman" w:hAnsi="Times New Roman" w:cs="Times New Roman"/>
        </w:rPr>
        <w:t xml:space="preserve">and </w:t>
      </w:r>
      <w:r w:rsidR="00247003" w:rsidRPr="004D5859">
        <w:rPr>
          <w:rFonts w:ascii="Times New Roman" w:hAnsi="Times New Roman" w:cs="Times New Roman"/>
        </w:rPr>
        <w:t xml:space="preserve">increasing age. </w:t>
      </w:r>
      <w:r w:rsidR="00F2528D" w:rsidRPr="004D5859">
        <w:rPr>
          <w:rFonts w:ascii="Times New Roman" w:hAnsi="Times New Roman" w:cs="Times New Roman"/>
        </w:rPr>
        <w:t xml:space="preserve"> </w:t>
      </w:r>
      <w:r w:rsidR="00247003" w:rsidRPr="004D5859">
        <w:rPr>
          <w:rFonts w:ascii="Times New Roman" w:hAnsi="Times New Roman" w:cs="Times New Roman"/>
        </w:rPr>
        <w:t xml:space="preserve">Previous </w:t>
      </w:r>
      <w:r w:rsidR="00405142" w:rsidRPr="004D5859">
        <w:rPr>
          <w:rFonts w:ascii="Times New Roman" w:hAnsi="Times New Roman" w:cs="Times New Roman"/>
        </w:rPr>
        <w:t xml:space="preserve">studies </w:t>
      </w:r>
      <w:r w:rsidR="00247003" w:rsidRPr="004D5859">
        <w:rPr>
          <w:rFonts w:ascii="Times New Roman" w:hAnsi="Times New Roman" w:cs="Times New Roman"/>
        </w:rPr>
        <w:t>ha</w:t>
      </w:r>
      <w:r w:rsidR="00405142" w:rsidRPr="004D5859">
        <w:rPr>
          <w:rFonts w:ascii="Times New Roman" w:hAnsi="Times New Roman" w:cs="Times New Roman"/>
        </w:rPr>
        <w:t>ve</w:t>
      </w:r>
      <w:r w:rsidR="00247003" w:rsidRPr="004D5859">
        <w:rPr>
          <w:rFonts w:ascii="Times New Roman" w:hAnsi="Times New Roman" w:cs="Times New Roman"/>
        </w:rPr>
        <w:t xml:space="preserve"> shown that pre-existing </w:t>
      </w:r>
      <w:r w:rsidR="00405142" w:rsidRPr="004D5859">
        <w:rPr>
          <w:rFonts w:ascii="Times New Roman" w:hAnsi="Times New Roman" w:cs="Times New Roman"/>
        </w:rPr>
        <w:t xml:space="preserve">age-related </w:t>
      </w:r>
      <w:r w:rsidR="00247003" w:rsidRPr="004D5859">
        <w:rPr>
          <w:rFonts w:ascii="Times New Roman" w:hAnsi="Times New Roman" w:cs="Times New Roman"/>
        </w:rPr>
        <w:t xml:space="preserve">signs can mask acute imaging signs, but the younger age of </w:t>
      </w:r>
      <w:r w:rsidR="00405142" w:rsidRPr="004D5859">
        <w:rPr>
          <w:rFonts w:ascii="Times New Roman" w:hAnsi="Times New Roman" w:cs="Times New Roman"/>
        </w:rPr>
        <w:t xml:space="preserve">those in </w:t>
      </w:r>
      <w:r w:rsidR="00247003" w:rsidRPr="004D5859">
        <w:rPr>
          <w:rFonts w:ascii="Times New Roman" w:hAnsi="Times New Roman" w:cs="Times New Roman"/>
        </w:rPr>
        <w:t xml:space="preserve">ENCHANTED may explain </w:t>
      </w:r>
      <w:r w:rsidR="00247003" w:rsidRPr="004D5859">
        <w:rPr>
          <w:rFonts w:ascii="Times New Roman" w:hAnsi="Times New Roman" w:cs="Times New Roman"/>
        </w:rPr>
        <w:lastRenderedPageBreak/>
        <w:t>why we did</w:t>
      </w:r>
      <w:r w:rsidR="00345E63" w:rsidRPr="004D5859">
        <w:rPr>
          <w:rFonts w:ascii="Times New Roman" w:hAnsi="Times New Roman" w:cs="Times New Roman"/>
        </w:rPr>
        <w:t xml:space="preserve"> </w:t>
      </w:r>
      <w:r w:rsidR="00247003" w:rsidRPr="004D5859">
        <w:rPr>
          <w:rFonts w:ascii="Times New Roman" w:hAnsi="Times New Roman" w:cs="Times New Roman"/>
        </w:rPr>
        <w:t>n</w:t>
      </w:r>
      <w:r w:rsidR="00345E63" w:rsidRPr="004D5859">
        <w:rPr>
          <w:rFonts w:ascii="Times New Roman" w:hAnsi="Times New Roman" w:cs="Times New Roman"/>
        </w:rPr>
        <w:t>o</w:t>
      </w:r>
      <w:r w:rsidR="00247003" w:rsidRPr="004D5859">
        <w:rPr>
          <w:rFonts w:ascii="Times New Roman" w:hAnsi="Times New Roman" w:cs="Times New Roman"/>
        </w:rPr>
        <w:t xml:space="preserve">t see </w:t>
      </w:r>
      <w:r w:rsidR="00405142" w:rsidRPr="004D5859">
        <w:rPr>
          <w:rFonts w:ascii="Times New Roman" w:hAnsi="Times New Roman" w:cs="Times New Roman"/>
        </w:rPr>
        <w:t xml:space="preserve">any </w:t>
      </w:r>
      <w:r w:rsidR="00247003" w:rsidRPr="004D5859">
        <w:rPr>
          <w:rFonts w:ascii="Times New Roman" w:hAnsi="Times New Roman" w:cs="Times New Roman"/>
        </w:rPr>
        <w:t xml:space="preserve">association with </w:t>
      </w:r>
      <w:r w:rsidR="00E9520C" w:rsidRPr="004D5859">
        <w:rPr>
          <w:rFonts w:ascii="Times New Roman" w:hAnsi="Times New Roman" w:cs="Times New Roman"/>
        </w:rPr>
        <w:t>less evidence of atrophy (63% in ENCHANTED vs</w:t>
      </w:r>
      <w:r w:rsidR="00345E63" w:rsidRPr="004D5859">
        <w:rPr>
          <w:rFonts w:ascii="Times New Roman" w:hAnsi="Times New Roman" w:cs="Times New Roman"/>
        </w:rPr>
        <w:t>.</w:t>
      </w:r>
      <w:r w:rsidR="00E9520C" w:rsidRPr="004D5859">
        <w:rPr>
          <w:rFonts w:ascii="Times New Roman" w:hAnsi="Times New Roman" w:cs="Times New Roman"/>
        </w:rPr>
        <w:t xml:space="preserve"> 77% in IST3), leukoaraiosis (33% vs</w:t>
      </w:r>
      <w:r w:rsidR="00345E63" w:rsidRPr="004D5859">
        <w:rPr>
          <w:rFonts w:ascii="Times New Roman" w:hAnsi="Times New Roman" w:cs="Times New Roman"/>
        </w:rPr>
        <w:t>.</w:t>
      </w:r>
      <w:r w:rsidR="00E9520C" w:rsidRPr="004D5859">
        <w:rPr>
          <w:rFonts w:ascii="Times New Roman" w:hAnsi="Times New Roman" w:cs="Times New Roman"/>
        </w:rPr>
        <w:t xml:space="preserve"> 51%) and previous cerebral infarction (35% vs</w:t>
      </w:r>
      <w:r w:rsidR="00345E63" w:rsidRPr="004D5859">
        <w:rPr>
          <w:rFonts w:ascii="Times New Roman" w:hAnsi="Times New Roman" w:cs="Times New Roman"/>
        </w:rPr>
        <w:t>.</w:t>
      </w:r>
      <w:r w:rsidR="00E9520C" w:rsidRPr="004D5859">
        <w:rPr>
          <w:rFonts w:ascii="Times New Roman" w:hAnsi="Times New Roman" w:cs="Times New Roman"/>
        </w:rPr>
        <w:t xml:space="preserve"> 44%). </w:t>
      </w:r>
      <w:r w:rsidR="00405142" w:rsidRPr="004D5859">
        <w:rPr>
          <w:rFonts w:ascii="Times New Roman" w:hAnsi="Times New Roman" w:cs="Times New Roman"/>
        </w:rPr>
        <w:t xml:space="preserve"> Even so</w:t>
      </w:r>
      <w:r w:rsidR="00256B7D" w:rsidRPr="004D5859">
        <w:rPr>
          <w:rFonts w:ascii="Times New Roman" w:hAnsi="Times New Roman" w:cs="Times New Roman"/>
        </w:rPr>
        <w:t xml:space="preserve">, </w:t>
      </w:r>
      <w:r w:rsidR="00405142" w:rsidRPr="004D5859">
        <w:rPr>
          <w:rFonts w:ascii="Times New Roman" w:hAnsi="Times New Roman" w:cs="Times New Roman"/>
        </w:rPr>
        <w:t xml:space="preserve">and </w:t>
      </w:r>
      <w:r w:rsidR="00256B7D" w:rsidRPr="004D5859">
        <w:rPr>
          <w:rFonts w:ascii="Times New Roman" w:hAnsi="Times New Roman" w:cs="Times New Roman"/>
        </w:rPr>
        <w:t>as reported in IST3, increasing atrophy and leukoaraiosis w</w:t>
      </w:r>
      <w:r w:rsidR="00345E63" w:rsidRPr="004D5859">
        <w:rPr>
          <w:rFonts w:ascii="Times New Roman" w:hAnsi="Times New Roman" w:cs="Times New Roman"/>
        </w:rPr>
        <w:t>ere</w:t>
      </w:r>
      <w:r w:rsidR="00256B7D" w:rsidRPr="004D5859">
        <w:rPr>
          <w:rFonts w:ascii="Times New Roman" w:hAnsi="Times New Roman" w:cs="Times New Roman"/>
        </w:rPr>
        <w:t xml:space="preserve"> </w:t>
      </w:r>
      <w:r w:rsidR="007E5CD1" w:rsidRPr="004D5859">
        <w:rPr>
          <w:rFonts w:ascii="Times New Roman" w:hAnsi="Times New Roman" w:cs="Times New Roman"/>
        </w:rPr>
        <w:t xml:space="preserve">still </w:t>
      </w:r>
      <w:r w:rsidR="00256B7D" w:rsidRPr="004D5859">
        <w:rPr>
          <w:rFonts w:ascii="Times New Roman" w:hAnsi="Times New Roman" w:cs="Times New Roman"/>
        </w:rPr>
        <w:t>related to ag</w:t>
      </w:r>
      <w:r w:rsidR="00BA6AA3" w:rsidRPr="004D5859">
        <w:rPr>
          <w:rFonts w:ascii="Times New Roman" w:hAnsi="Times New Roman" w:cs="Times New Roman"/>
        </w:rPr>
        <w:t>e</w:t>
      </w:r>
      <w:r w:rsidR="00345E63" w:rsidRPr="004D5859">
        <w:rPr>
          <w:rFonts w:ascii="Times New Roman" w:hAnsi="Times New Roman" w:cs="Times New Roman"/>
        </w:rPr>
        <w:t>ing</w:t>
      </w:r>
      <w:r w:rsidR="00405142" w:rsidRPr="004D5859">
        <w:rPr>
          <w:rFonts w:ascii="Times New Roman" w:hAnsi="Times New Roman" w:cs="Times New Roman"/>
        </w:rPr>
        <w:t xml:space="preserve"> in our</w:t>
      </w:r>
      <w:r w:rsidR="00256B7D" w:rsidRPr="004D5859">
        <w:rPr>
          <w:rFonts w:ascii="Times New Roman" w:hAnsi="Times New Roman" w:cs="Times New Roman"/>
        </w:rPr>
        <w:t xml:space="preserve"> younger cohort. </w:t>
      </w:r>
      <w:r w:rsidR="00F2528D" w:rsidRPr="004D5859">
        <w:rPr>
          <w:rFonts w:ascii="Times New Roman" w:hAnsi="Times New Roman" w:cs="Times New Roman"/>
        </w:rPr>
        <w:t xml:space="preserve"> </w:t>
      </w:r>
      <w:r w:rsidR="00345E63" w:rsidRPr="004D5859">
        <w:rPr>
          <w:rFonts w:ascii="Times New Roman" w:hAnsi="Times New Roman" w:cs="Times New Roman"/>
        </w:rPr>
        <w:t xml:space="preserve">Worsening </w:t>
      </w:r>
      <w:r w:rsidR="00405142" w:rsidRPr="004D5859">
        <w:rPr>
          <w:rFonts w:ascii="Times New Roman" w:hAnsi="Times New Roman" w:cs="Times New Roman"/>
        </w:rPr>
        <w:t xml:space="preserve">neurological </w:t>
      </w:r>
      <w:r w:rsidR="00256B7D" w:rsidRPr="004D5859">
        <w:rPr>
          <w:rFonts w:ascii="Times New Roman" w:hAnsi="Times New Roman" w:cs="Times New Roman"/>
        </w:rPr>
        <w:t xml:space="preserve">severity increased the likelihood </w:t>
      </w:r>
      <w:r w:rsidR="007E5CD1" w:rsidRPr="004D5859">
        <w:rPr>
          <w:rFonts w:ascii="Times New Roman" w:hAnsi="Times New Roman" w:cs="Times New Roman"/>
        </w:rPr>
        <w:t xml:space="preserve">of identifying </w:t>
      </w:r>
      <w:r w:rsidR="00256B7D" w:rsidRPr="004D5859">
        <w:rPr>
          <w:rFonts w:ascii="Times New Roman" w:hAnsi="Times New Roman" w:cs="Times New Roman"/>
        </w:rPr>
        <w:t xml:space="preserve">acute </w:t>
      </w:r>
      <w:r w:rsidR="004D5859">
        <w:rPr>
          <w:rFonts w:ascii="Times New Roman" w:hAnsi="Times New Roman" w:cs="Times New Roman"/>
        </w:rPr>
        <w:t>ischaemic</w:t>
      </w:r>
      <w:r w:rsidR="00256B7D" w:rsidRPr="004D5859">
        <w:rPr>
          <w:rFonts w:ascii="Times New Roman" w:hAnsi="Times New Roman" w:cs="Times New Roman"/>
        </w:rPr>
        <w:t xml:space="preserve"> imaging signs (such as visible </w:t>
      </w:r>
      <w:r w:rsidR="007E5CD1" w:rsidRPr="004D5859">
        <w:rPr>
          <w:rFonts w:ascii="Times New Roman" w:hAnsi="Times New Roman" w:cs="Times New Roman"/>
        </w:rPr>
        <w:t>lesion</w:t>
      </w:r>
      <w:r w:rsidR="00256B7D" w:rsidRPr="004D5859">
        <w:rPr>
          <w:rFonts w:ascii="Times New Roman" w:hAnsi="Times New Roman" w:cs="Times New Roman"/>
        </w:rPr>
        <w:t xml:space="preserve">, </w:t>
      </w:r>
      <w:r w:rsidR="007E5CD1" w:rsidRPr="004D5859">
        <w:rPr>
          <w:rFonts w:ascii="Times New Roman" w:hAnsi="Times New Roman" w:cs="Times New Roman"/>
        </w:rPr>
        <w:t xml:space="preserve">severe </w:t>
      </w:r>
      <w:r w:rsidR="00256B7D" w:rsidRPr="004D5859">
        <w:rPr>
          <w:rFonts w:ascii="Times New Roman" w:hAnsi="Times New Roman" w:cs="Times New Roman"/>
        </w:rPr>
        <w:t>hypoattenuation, brain swelling and a large lesion)</w:t>
      </w:r>
      <w:r w:rsidR="00345E63" w:rsidRPr="004D5859">
        <w:rPr>
          <w:rFonts w:ascii="Times New Roman" w:hAnsi="Times New Roman" w:cs="Times New Roman"/>
        </w:rPr>
        <w:t>,</w:t>
      </w:r>
      <w:r w:rsidR="00256B7D" w:rsidRPr="004D5859">
        <w:rPr>
          <w:rFonts w:ascii="Times New Roman" w:hAnsi="Times New Roman" w:cs="Times New Roman"/>
        </w:rPr>
        <w:t xml:space="preserve"> and </w:t>
      </w:r>
      <w:r w:rsidR="00405142" w:rsidRPr="004D5859">
        <w:rPr>
          <w:rFonts w:ascii="Times New Roman" w:hAnsi="Times New Roman" w:cs="Times New Roman"/>
        </w:rPr>
        <w:t xml:space="preserve">a </w:t>
      </w:r>
      <w:r w:rsidR="00256B7D" w:rsidRPr="004D5859">
        <w:rPr>
          <w:rFonts w:ascii="Times New Roman" w:hAnsi="Times New Roman" w:cs="Times New Roman"/>
        </w:rPr>
        <w:t xml:space="preserve">delay from </w:t>
      </w:r>
      <w:r w:rsidR="00405142" w:rsidRPr="004D5859">
        <w:rPr>
          <w:rFonts w:ascii="Times New Roman" w:hAnsi="Times New Roman" w:cs="Times New Roman"/>
        </w:rPr>
        <w:t xml:space="preserve">the </w:t>
      </w:r>
      <w:r w:rsidR="00256B7D" w:rsidRPr="004D5859">
        <w:rPr>
          <w:rFonts w:ascii="Times New Roman" w:hAnsi="Times New Roman" w:cs="Times New Roman"/>
        </w:rPr>
        <w:t xml:space="preserve">onset </w:t>
      </w:r>
      <w:r w:rsidR="00405142" w:rsidRPr="004D5859">
        <w:rPr>
          <w:rFonts w:ascii="Times New Roman" w:hAnsi="Times New Roman" w:cs="Times New Roman"/>
        </w:rPr>
        <w:t xml:space="preserve">of symptoms </w:t>
      </w:r>
      <w:r w:rsidR="00256B7D" w:rsidRPr="004D5859">
        <w:rPr>
          <w:rFonts w:ascii="Times New Roman" w:hAnsi="Times New Roman" w:cs="Times New Roman"/>
        </w:rPr>
        <w:t>increas</w:t>
      </w:r>
      <w:r w:rsidR="00345E63" w:rsidRPr="004D5859">
        <w:rPr>
          <w:rFonts w:ascii="Times New Roman" w:hAnsi="Times New Roman" w:cs="Times New Roman"/>
        </w:rPr>
        <w:t>ed</w:t>
      </w:r>
      <w:r w:rsidR="00256B7D" w:rsidRPr="004D5859">
        <w:rPr>
          <w:rFonts w:ascii="Times New Roman" w:hAnsi="Times New Roman" w:cs="Times New Roman"/>
        </w:rPr>
        <w:t xml:space="preserve"> the likelihood of observing a visible </w:t>
      </w:r>
      <w:r w:rsidR="007E5CD1" w:rsidRPr="004D5859">
        <w:rPr>
          <w:rFonts w:ascii="Times New Roman" w:hAnsi="Times New Roman" w:cs="Times New Roman"/>
        </w:rPr>
        <w:t>lesion</w:t>
      </w:r>
      <w:r w:rsidR="00256B7D" w:rsidRPr="004D5859">
        <w:rPr>
          <w:rFonts w:ascii="Times New Roman" w:hAnsi="Times New Roman" w:cs="Times New Roman"/>
        </w:rPr>
        <w:t xml:space="preserve">, </w:t>
      </w:r>
      <w:r w:rsidR="007E5CD1" w:rsidRPr="004D5859">
        <w:rPr>
          <w:rFonts w:ascii="Times New Roman" w:hAnsi="Times New Roman" w:cs="Times New Roman"/>
        </w:rPr>
        <w:t xml:space="preserve">severe </w:t>
      </w:r>
      <w:r w:rsidR="00256B7D" w:rsidRPr="004D5859">
        <w:rPr>
          <w:rFonts w:ascii="Times New Roman" w:hAnsi="Times New Roman" w:cs="Times New Roman"/>
        </w:rPr>
        <w:t>hypoattenuation and brain swelling</w:t>
      </w:r>
      <w:r w:rsidR="00405142" w:rsidRPr="004D5859">
        <w:rPr>
          <w:rFonts w:ascii="Times New Roman" w:hAnsi="Times New Roman" w:cs="Times New Roman"/>
        </w:rPr>
        <w:t>,</w:t>
      </w:r>
      <w:r w:rsidR="000B4586" w:rsidRPr="004D5859">
        <w:rPr>
          <w:rFonts w:ascii="Times New Roman" w:hAnsi="Times New Roman" w:cs="Times New Roman"/>
        </w:rPr>
        <w:t xml:space="preserve"> thus providing internal validity</w:t>
      </w:r>
      <w:r w:rsidR="00256B7D" w:rsidRPr="004D5859">
        <w:rPr>
          <w:rFonts w:ascii="Times New Roman" w:hAnsi="Times New Roman" w:cs="Times New Roman"/>
        </w:rPr>
        <w:t xml:space="preserve">. </w:t>
      </w:r>
      <w:r w:rsidR="00F2528D" w:rsidRPr="004D5859">
        <w:rPr>
          <w:rFonts w:ascii="Times New Roman" w:hAnsi="Times New Roman" w:cs="Times New Roman"/>
        </w:rPr>
        <w:t xml:space="preserve"> </w:t>
      </w:r>
      <w:r w:rsidR="00613783" w:rsidRPr="004D5859">
        <w:rPr>
          <w:rFonts w:ascii="Times New Roman" w:hAnsi="Times New Roman" w:cs="Times New Roman"/>
        </w:rPr>
        <w:t xml:space="preserve">In addition, </w:t>
      </w:r>
      <w:r w:rsidR="00165275" w:rsidRPr="004D5859">
        <w:rPr>
          <w:rFonts w:ascii="Times New Roman" w:hAnsi="Times New Roman" w:cs="Times New Roman"/>
        </w:rPr>
        <w:t xml:space="preserve">ENCHANTED </w:t>
      </w:r>
      <w:r w:rsidR="00405142" w:rsidRPr="004D5859">
        <w:rPr>
          <w:rFonts w:ascii="Times New Roman" w:hAnsi="Times New Roman" w:cs="Times New Roman"/>
        </w:rPr>
        <w:t>showed that</w:t>
      </w:r>
      <w:r w:rsidR="00165275" w:rsidRPr="004D5859">
        <w:rPr>
          <w:rFonts w:ascii="Times New Roman" w:hAnsi="Times New Roman" w:cs="Times New Roman"/>
        </w:rPr>
        <w:t xml:space="preserve"> old infarcts </w:t>
      </w:r>
      <w:r w:rsidR="00BA7427" w:rsidRPr="004D5859">
        <w:rPr>
          <w:rFonts w:ascii="Times New Roman" w:hAnsi="Times New Roman" w:cs="Times New Roman"/>
        </w:rPr>
        <w:t>alone or in combination</w:t>
      </w:r>
      <w:r w:rsidR="00613783" w:rsidRPr="004D5859">
        <w:rPr>
          <w:rFonts w:ascii="Times New Roman" w:hAnsi="Times New Roman" w:cs="Times New Roman"/>
        </w:rPr>
        <w:t xml:space="preserve">, </w:t>
      </w:r>
      <w:r w:rsidR="00165275" w:rsidRPr="004D5859">
        <w:rPr>
          <w:rFonts w:ascii="Times New Roman" w:hAnsi="Times New Roman" w:cs="Times New Roman"/>
        </w:rPr>
        <w:t xml:space="preserve">were not associated with </w:t>
      </w:r>
      <w:proofErr w:type="spellStart"/>
      <w:r w:rsidR="00345E63" w:rsidRPr="004D5859">
        <w:rPr>
          <w:rFonts w:ascii="Times New Roman" w:hAnsi="Times New Roman" w:cs="Times New Roman"/>
        </w:rPr>
        <w:t>s</w:t>
      </w:r>
      <w:r w:rsidR="00165275" w:rsidRPr="004D5859">
        <w:rPr>
          <w:rFonts w:ascii="Times New Roman" w:hAnsi="Times New Roman" w:cs="Times New Roman"/>
        </w:rPr>
        <w:t>ICH</w:t>
      </w:r>
      <w:proofErr w:type="spellEnd"/>
      <w:r w:rsidR="00405142" w:rsidRPr="004D5859">
        <w:rPr>
          <w:rFonts w:ascii="Times New Roman" w:hAnsi="Times New Roman" w:cs="Times New Roman"/>
        </w:rPr>
        <w:t>, whilst</w:t>
      </w:r>
      <w:r w:rsidR="00613783" w:rsidRPr="004D5859">
        <w:rPr>
          <w:rFonts w:ascii="Times New Roman" w:hAnsi="Times New Roman" w:cs="Times New Roman"/>
        </w:rPr>
        <w:t xml:space="preserve"> </w:t>
      </w:r>
      <w:proofErr w:type="spellStart"/>
      <w:r w:rsidR="00613783" w:rsidRPr="004D5859">
        <w:rPr>
          <w:rFonts w:ascii="Times New Roman" w:hAnsi="Times New Roman" w:cs="Times New Roman"/>
        </w:rPr>
        <w:t>hyperattenuated</w:t>
      </w:r>
      <w:proofErr w:type="spellEnd"/>
      <w:r w:rsidR="00613783" w:rsidRPr="004D5859">
        <w:rPr>
          <w:rFonts w:ascii="Times New Roman" w:hAnsi="Times New Roman" w:cs="Times New Roman"/>
        </w:rPr>
        <w:t xml:space="preserve"> arteries were predictive of </w:t>
      </w:r>
      <w:proofErr w:type="spellStart"/>
      <w:r w:rsidR="00345E63" w:rsidRPr="004D5859">
        <w:rPr>
          <w:rFonts w:ascii="Times New Roman" w:hAnsi="Times New Roman" w:cs="Times New Roman"/>
        </w:rPr>
        <w:t>s</w:t>
      </w:r>
      <w:r w:rsidR="00613783" w:rsidRPr="004D5859">
        <w:rPr>
          <w:rFonts w:ascii="Times New Roman" w:hAnsi="Times New Roman" w:cs="Times New Roman"/>
        </w:rPr>
        <w:t>ICH</w:t>
      </w:r>
      <w:proofErr w:type="spellEnd"/>
      <w:r w:rsidR="00613783" w:rsidRPr="004D5859">
        <w:rPr>
          <w:rFonts w:ascii="Times New Roman" w:hAnsi="Times New Roman" w:cs="Times New Roman"/>
        </w:rPr>
        <w:t xml:space="preserve"> in </w:t>
      </w:r>
      <w:r w:rsidR="00B05B45" w:rsidRPr="004D5859">
        <w:rPr>
          <w:rFonts w:ascii="Times New Roman" w:hAnsi="Times New Roman" w:cs="Times New Roman"/>
        </w:rPr>
        <w:t xml:space="preserve">both </w:t>
      </w:r>
      <w:r w:rsidR="00613783" w:rsidRPr="004D5859">
        <w:rPr>
          <w:rFonts w:ascii="Times New Roman" w:hAnsi="Times New Roman" w:cs="Times New Roman"/>
        </w:rPr>
        <w:t xml:space="preserve">ENCHANTED </w:t>
      </w:r>
      <w:r w:rsidR="00B05B45" w:rsidRPr="004D5859">
        <w:rPr>
          <w:rFonts w:ascii="Times New Roman" w:hAnsi="Times New Roman" w:cs="Times New Roman"/>
        </w:rPr>
        <w:t>and I</w:t>
      </w:r>
      <w:r w:rsidR="00613783" w:rsidRPr="004D5859">
        <w:rPr>
          <w:rFonts w:ascii="Times New Roman" w:hAnsi="Times New Roman" w:cs="Times New Roman"/>
        </w:rPr>
        <w:t>ST3</w:t>
      </w:r>
      <w:r w:rsidR="00BF12A7" w:rsidRPr="004D5859">
        <w:rPr>
          <w:rFonts w:ascii="Times New Roman" w:hAnsi="Times New Roman" w:cs="Times New Roman"/>
        </w:rPr>
        <w:t>;</w:t>
      </w:r>
      <w:r w:rsidR="00B05B45" w:rsidRPr="004D5859">
        <w:rPr>
          <w:rFonts w:ascii="Times New Roman" w:hAnsi="Times New Roman" w:cs="Times New Roman"/>
        </w:rPr>
        <w:t xml:space="preserve"> </w:t>
      </w:r>
      <w:r w:rsidR="00405142" w:rsidRPr="004D5859">
        <w:rPr>
          <w:rFonts w:ascii="Times New Roman" w:hAnsi="Times New Roman" w:cs="Times New Roman"/>
        </w:rPr>
        <w:t xml:space="preserve">and </w:t>
      </w:r>
      <w:r w:rsidR="00B05B45" w:rsidRPr="004D5859">
        <w:rPr>
          <w:rFonts w:ascii="Times New Roman" w:hAnsi="Times New Roman" w:cs="Times New Roman"/>
        </w:rPr>
        <w:t xml:space="preserve">the presence of old infarction was only predictive </w:t>
      </w:r>
      <w:r w:rsidR="00DF72CC" w:rsidRPr="004D5859">
        <w:rPr>
          <w:rFonts w:ascii="Times New Roman" w:hAnsi="Times New Roman" w:cs="Times New Roman"/>
        </w:rPr>
        <w:t xml:space="preserve">of </w:t>
      </w:r>
      <w:proofErr w:type="spellStart"/>
      <w:r w:rsidR="00DF72CC" w:rsidRPr="004D5859">
        <w:rPr>
          <w:rFonts w:ascii="Times New Roman" w:hAnsi="Times New Roman" w:cs="Times New Roman"/>
        </w:rPr>
        <w:t>sICH</w:t>
      </w:r>
      <w:proofErr w:type="spellEnd"/>
      <w:r w:rsidR="00DF72CC" w:rsidRPr="004D5859">
        <w:rPr>
          <w:rFonts w:ascii="Times New Roman" w:hAnsi="Times New Roman" w:cs="Times New Roman"/>
        </w:rPr>
        <w:t xml:space="preserve"> </w:t>
      </w:r>
      <w:r w:rsidR="00B05B45" w:rsidRPr="004D5859">
        <w:rPr>
          <w:rFonts w:ascii="Times New Roman" w:hAnsi="Times New Roman" w:cs="Times New Roman"/>
        </w:rPr>
        <w:t xml:space="preserve">in IST3. </w:t>
      </w:r>
      <w:r w:rsidR="00F2528D" w:rsidRPr="004D5859">
        <w:rPr>
          <w:rFonts w:ascii="Times New Roman" w:hAnsi="Times New Roman" w:cs="Times New Roman"/>
        </w:rPr>
        <w:t xml:space="preserve"> </w:t>
      </w:r>
      <w:r w:rsidR="00B05B45" w:rsidRPr="004D5859">
        <w:rPr>
          <w:rFonts w:ascii="Times New Roman" w:hAnsi="Times New Roman" w:cs="Times New Roman"/>
        </w:rPr>
        <w:t xml:space="preserve">It is possible that the lower proportion of the ENCHANTED cohort in this </w:t>
      </w:r>
      <w:r w:rsidR="00405142" w:rsidRPr="004D5859">
        <w:rPr>
          <w:rFonts w:ascii="Times New Roman" w:hAnsi="Times New Roman" w:cs="Times New Roman"/>
        </w:rPr>
        <w:t xml:space="preserve">later </w:t>
      </w:r>
      <w:r w:rsidR="00B05B45" w:rsidRPr="004D5859">
        <w:rPr>
          <w:rFonts w:ascii="Times New Roman" w:hAnsi="Times New Roman" w:cs="Times New Roman"/>
        </w:rPr>
        <w:t>category (35% vs</w:t>
      </w:r>
      <w:r w:rsidR="00345E63" w:rsidRPr="004D5859">
        <w:rPr>
          <w:rFonts w:ascii="Times New Roman" w:hAnsi="Times New Roman" w:cs="Times New Roman"/>
        </w:rPr>
        <w:t>.</w:t>
      </w:r>
      <w:r w:rsidR="00B05B45" w:rsidRPr="004D5859">
        <w:rPr>
          <w:rFonts w:ascii="Times New Roman" w:hAnsi="Times New Roman" w:cs="Times New Roman"/>
        </w:rPr>
        <w:t xml:space="preserve"> 44%) is one part of the explanation, but the younger age is another explanation. </w:t>
      </w:r>
      <w:r w:rsidR="00613783" w:rsidRPr="004D5859">
        <w:rPr>
          <w:rFonts w:ascii="Times New Roman" w:hAnsi="Times New Roman" w:cs="Times New Roman"/>
        </w:rPr>
        <w:t xml:space="preserve"> </w:t>
      </w:r>
    </w:p>
    <w:p w14:paraId="62D882E3" w14:textId="051987E6" w:rsidR="00A213ED" w:rsidRPr="004D5859" w:rsidRDefault="009E1970" w:rsidP="007F005C">
      <w:pPr>
        <w:spacing w:after="120" w:line="480" w:lineRule="auto"/>
        <w:rPr>
          <w:rFonts w:ascii="Times New Roman" w:hAnsi="Times New Roman" w:cs="Times New Roman"/>
        </w:rPr>
      </w:pPr>
      <w:r w:rsidRPr="004D5859">
        <w:rPr>
          <w:rFonts w:ascii="Times New Roman" w:hAnsi="Times New Roman" w:cs="Times New Roman"/>
        </w:rPr>
        <w:t xml:space="preserve">There was no heterogeneity of </w:t>
      </w:r>
      <w:r w:rsidR="000B4586" w:rsidRPr="004D5859">
        <w:rPr>
          <w:rFonts w:ascii="Times New Roman" w:hAnsi="Times New Roman" w:cs="Times New Roman"/>
        </w:rPr>
        <w:t>alteplase dose</w:t>
      </w:r>
      <w:r w:rsidR="00405142" w:rsidRPr="004D5859">
        <w:rPr>
          <w:rFonts w:ascii="Times New Roman" w:hAnsi="Times New Roman" w:cs="Times New Roman"/>
        </w:rPr>
        <w:t>,</w:t>
      </w:r>
      <w:r w:rsidR="000B4586" w:rsidRPr="004D5859">
        <w:rPr>
          <w:rFonts w:ascii="Times New Roman" w:hAnsi="Times New Roman" w:cs="Times New Roman"/>
        </w:rPr>
        <w:t xml:space="preserve"> </w:t>
      </w:r>
      <w:r w:rsidRPr="004D5859">
        <w:rPr>
          <w:rFonts w:ascii="Times New Roman" w:hAnsi="Times New Roman" w:cs="Times New Roman"/>
        </w:rPr>
        <w:t>treatment effect</w:t>
      </w:r>
      <w:r w:rsidR="00405142" w:rsidRPr="004D5859">
        <w:rPr>
          <w:rFonts w:ascii="Times New Roman" w:hAnsi="Times New Roman" w:cs="Times New Roman"/>
        </w:rPr>
        <w:t>,</w:t>
      </w:r>
      <w:r w:rsidRPr="004D5859">
        <w:rPr>
          <w:rFonts w:ascii="Times New Roman" w:hAnsi="Times New Roman" w:cs="Times New Roman"/>
        </w:rPr>
        <w:t xml:space="preserve"> on functional outcome (</w:t>
      </w:r>
      <w:proofErr w:type="spellStart"/>
      <w:r w:rsidRPr="004D5859">
        <w:rPr>
          <w:rFonts w:ascii="Times New Roman" w:hAnsi="Times New Roman" w:cs="Times New Roman"/>
        </w:rPr>
        <w:t>mRS</w:t>
      </w:r>
      <w:proofErr w:type="spellEnd"/>
      <w:r w:rsidRPr="004D5859">
        <w:rPr>
          <w:rFonts w:ascii="Times New Roman" w:hAnsi="Times New Roman" w:cs="Times New Roman"/>
        </w:rPr>
        <w:t xml:space="preserve"> 3-6) according to imaging characteristics</w:t>
      </w:r>
      <w:r w:rsidR="00405142" w:rsidRPr="004D5859">
        <w:rPr>
          <w:rFonts w:ascii="Times New Roman" w:hAnsi="Times New Roman" w:cs="Times New Roman"/>
        </w:rPr>
        <w:t>,</w:t>
      </w:r>
      <w:r w:rsidRPr="004D5859">
        <w:rPr>
          <w:rFonts w:ascii="Times New Roman" w:hAnsi="Times New Roman" w:cs="Times New Roman"/>
        </w:rPr>
        <w:t xml:space="preserve"> but these analyses had low statistical power. </w:t>
      </w:r>
      <w:r w:rsidR="00F2528D" w:rsidRPr="004D5859">
        <w:rPr>
          <w:rFonts w:ascii="Times New Roman" w:hAnsi="Times New Roman" w:cs="Times New Roman"/>
        </w:rPr>
        <w:t xml:space="preserve"> </w:t>
      </w:r>
      <w:r w:rsidR="00A213ED" w:rsidRPr="004D5859">
        <w:rPr>
          <w:rFonts w:ascii="Times New Roman" w:hAnsi="Times New Roman" w:cs="Times New Roman"/>
        </w:rPr>
        <w:t xml:space="preserve">These results </w:t>
      </w:r>
      <w:r w:rsidR="00A53CF0" w:rsidRPr="004D5859">
        <w:rPr>
          <w:rFonts w:ascii="Times New Roman" w:hAnsi="Times New Roman" w:cs="Times New Roman"/>
        </w:rPr>
        <w:t xml:space="preserve">confirm that whilst the imaging </w:t>
      </w:r>
      <w:r w:rsidR="00A213ED" w:rsidRPr="004D5859">
        <w:rPr>
          <w:rFonts w:ascii="Times New Roman" w:hAnsi="Times New Roman" w:cs="Times New Roman"/>
        </w:rPr>
        <w:t xml:space="preserve">signs </w:t>
      </w:r>
      <w:r w:rsidR="00A53CF0" w:rsidRPr="004D5859">
        <w:rPr>
          <w:rFonts w:ascii="Times New Roman" w:hAnsi="Times New Roman" w:cs="Times New Roman"/>
        </w:rPr>
        <w:t xml:space="preserve">can </w:t>
      </w:r>
      <w:r w:rsidR="00A213ED" w:rsidRPr="004D5859">
        <w:rPr>
          <w:rFonts w:ascii="Times New Roman" w:hAnsi="Times New Roman" w:cs="Times New Roman"/>
        </w:rPr>
        <w:t xml:space="preserve">provide useful prognostic information, </w:t>
      </w:r>
      <w:r w:rsidR="00A53CF0" w:rsidRPr="004D5859">
        <w:rPr>
          <w:rFonts w:ascii="Times New Roman" w:hAnsi="Times New Roman" w:cs="Times New Roman"/>
        </w:rPr>
        <w:t xml:space="preserve">they </w:t>
      </w:r>
      <w:r w:rsidR="00A213ED" w:rsidRPr="004D5859">
        <w:rPr>
          <w:rFonts w:ascii="Times New Roman" w:hAnsi="Times New Roman" w:cs="Times New Roman"/>
        </w:rPr>
        <w:t xml:space="preserve">should not on their own be used to inform alteplase </w:t>
      </w:r>
      <w:r w:rsidR="00A53CF0" w:rsidRPr="004D5859">
        <w:rPr>
          <w:rFonts w:ascii="Times New Roman" w:hAnsi="Times New Roman" w:cs="Times New Roman"/>
        </w:rPr>
        <w:t xml:space="preserve">dose treatment </w:t>
      </w:r>
      <w:r w:rsidR="00A213ED" w:rsidRPr="004D5859">
        <w:rPr>
          <w:rFonts w:ascii="Times New Roman" w:hAnsi="Times New Roman" w:cs="Times New Roman"/>
        </w:rPr>
        <w:t xml:space="preserve">decisions. </w:t>
      </w:r>
      <w:r w:rsidR="00F2528D" w:rsidRPr="004D5859">
        <w:rPr>
          <w:rFonts w:ascii="Times New Roman" w:hAnsi="Times New Roman" w:cs="Times New Roman"/>
        </w:rPr>
        <w:t xml:space="preserve"> </w:t>
      </w:r>
      <w:r w:rsidR="00B05B45" w:rsidRPr="004D5859">
        <w:rPr>
          <w:rFonts w:ascii="Times New Roman" w:hAnsi="Times New Roman" w:cs="Times New Roman"/>
        </w:rPr>
        <w:t xml:space="preserve">The observed </w:t>
      </w:r>
      <w:r w:rsidR="00A213ED" w:rsidRPr="004D5859">
        <w:rPr>
          <w:rFonts w:ascii="Times New Roman" w:hAnsi="Times New Roman" w:cs="Times New Roman"/>
        </w:rPr>
        <w:t xml:space="preserve">statistically significant increased risk of </w:t>
      </w:r>
      <w:proofErr w:type="spellStart"/>
      <w:r w:rsidR="00286729" w:rsidRPr="004D5859">
        <w:rPr>
          <w:rFonts w:ascii="Times New Roman" w:hAnsi="Times New Roman" w:cs="Times New Roman"/>
        </w:rPr>
        <w:t>s</w:t>
      </w:r>
      <w:r w:rsidR="00A213ED" w:rsidRPr="004D5859">
        <w:rPr>
          <w:rFonts w:ascii="Times New Roman" w:hAnsi="Times New Roman" w:cs="Times New Roman"/>
        </w:rPr>
        <w:t>ICH</w:t>
      </w:r>
      <w:proofErr w:type="spellEnd"/>
      <w:r w:rsidR="00A213ED" w:rsidRPr="004D5859">
        <w:rPr>
          <w:rFonts w:ascii="Times New Roman" w:hAnsi="Times New Roman" w:cs="Times New Roman"/>
        </w:rPr>
        <w:t xml:space="preserve"> with </w:t>
      </w:r>
      <w:r w:rsidR="00286729" w:rsidRPr="004D5859">
        <w:rPr>
          <w:rFonts w:ascii="Times New Roman" w:hAnsi="Times New Roman" w:cs="Times New Roman"/>
        </w:rPr>
        <w:t>s</w:t>
      </w:r>
      <w:r w:rsidR="00A213ED" w:rsidRPr="004D5859">
        <w:rPr>
          <w:rFonts w:ascii="Times New Roman" w:hAnsi="Times New Roman" w:cs="Times New Roman"/>
        </w:rPr>
        <w:t>tandard</w:t>
      </w:r>
      <w:r w:rsidR="00C237DC" w:rsidRPr="004D5859">
        <w:rPr>
          <w:rFonts w:ascii="Times New Roman" w:hAnsi="Times New Roman" w:cs="Times New Roman"/>
        </w:rPr>
        <w:t>-</w:t>
      </w:r>
      <w:r w:rsidR="00BF12A7" w:rsidRPr="004D5859">
        <w:rPr>
          <w:rFonts w:ascii="Times New Roman" w:hAnsi="Times New Roman" w:cs="Times New Roman"/>
        </w:rPr>
        <w:t>dose</w:t>
      </w:r>
      <w:r w:rsidR="00A213ED" w:rsidRPr="004D5859">
        <w:rPr>
          <w:rFonts w:ascii="Times New Roman" w:hAnsi="Times New Roman" w:cs="Times New Roman"/>
        </w:rPr>
        <w:t xml:space="preserve"> versus low-dose alteplase provides </w:t>
      </w:r>
      <w:r w:rsidR="00446D88" w:rsidRPr="004D5859">
        <w:rPr>
          <w:rFonts w:ascii="Times New Roman" w:hAnsi="Times New Roman" w:cs="Times New Roman"/>
        </w:rPr>
        <w:t xml:space="preserve">further </w:t>
      </w:r>
      <w:r w:rsidR="00A213ED" w:rsidRPr="004D5859">
        <w:rPr>
          <w:rFonts w:ascii="Times New Roman" w:hAnsi="Times New Roman" w:cs="Times New Roman"/>
        </w:rPr>
        <w:t>reassuring internal validity for our results</w:t>
      </w:r>
      <w:r w:rsidR="00446D88" w:rsidRPr="004D5859">
        <w:rPr>
          <w:rFonts w:ascii="Times New Roman" w:hAnsi="Times New Roman" w:cs="Times New Roman"/>
        </w:rPr>
        <w:t xml:space="preserve">, being </w:t>
      </w:r>
      <w:r w:rsidR="00A213ED" w:rsidRPr="004D5859">
        <w:rPr>
          <w:rFonts w:ascii="Times New Roman" w:hAnsi="Times New Roman" w:cs="Times New Roman"/>
        </w:rPr>
        <w:t xml:space="preserve">consistent with the overall clinical findings of the </w:t>
      </w:r>
      <w:r w:rsidR="00BF32AA" w:rsidRPr="004D5859">
        <w:rPr>
          <w:rFonts w:ascii="Times New Roman" w:hAnsi="Times New Roman" w:cs="Times New Roman"/>
        </w:rPr>
        <w:t xml:space="preserve">ENCHANTED </w:t>
      </w:r>
      <w:proofErr w:type="gramStart"/>
      <w:r w:rsidR="00A213ED" w:rsidRPr="004D5859">
        <w:rPr>
          <w:rFonts w:ascii="Times New Roman" w:hAnsi="Times New Roman" w:cs="Times New Roman"/>
        </w:rPr>
        <w:t>trial</w:t>
      </w:r>
      <w:r w:rsidR="002E3ED7" w:rsidRPr="004D5859">
        <w:rPr>
          <w:rFonts w:ascii="Times New Roman" w:hAnsi="Times New Roman" w:cs="Times New Roman"/>
        </w:rPr>
        <w:t>[</w:t>
      </w:r>
      <w:proofErr w:type="gramEnd"/>
      <w:r w:rsidR="002E3ED7" w:rsidRPr="004D5859">
        <w:rPr>
          <w:rFonts w:ascii="Times New Roman" w:hAnsi="Times New Roman" w:cs="Times New Roman"/>
        </w:rPr>
        <w:t>3]</w:t>
      </w:r>
      <w:r w:rsidR="00286729" w:rsidRPr="004D5859">
        <w:rPr>
          <w:rFonts w:ascii="Times New Roman" w:hAnsi="Times New Roman" w:cs="Times New Roman"/>
        </w:rPr>
        <w:t>.</w:t>
      </w:r>
      <w:r w:rsidR="00B53EDF" w:rsidRPr="004D5859">
        <w:rPr>
          <w:rFonts w:ascii="Times New Roman" w:hAnsi="Times New Roman" w:cs="Times New Roman"/>
        </w:rPr>
        <w:t xml:space="preserve"> </w:t>
      </w:r>
    </w:p>
    <w:p w14:paraId="41BD9EF2" w14:textId="53179BAB" w:rsidR="00B05B45" w:rsidRPr="003073C3" w:rsidRDefault="00923EC6" w:rsidP="007F005C">
      <w:pPr>
        <w:spacing w:after="120" w:line="480" w:lineRule="auto"/>
        <w:rPr>
          <w:lang w:val="en-AU"/>
        </w:rPr>
      </w:pPr>
      <w:r w:rsidRPr="004D5859">
        <w:rPr>
          <w:rFonts w:ascii="Times New Roman" w:hAnsi="Times New Roman" w:cs="Times New Roman"/>
        </w:rPr>
        <w:t>T</w:t>
      </w:r>
      <w:r w:rsidR="00A213ED" w:rsidRPr="004D5859">
        <w:rPr>
          <w:rFonts w:ascii="Times New Roman" w:hAnsi="Times New Roman" w:cs="Times New Roman"/>
        </w:rPr>
        <w:t xml:space="preserve">he </w:t>
      </w:r>
      <w:r w:rsidRPr="004D5859">
        <w:rPr>
          <w:rFonts w:ascii="Times New Roman" w:hAnsi="Times New Roman" w:cs="Times New Roman"/>
        </w:rPr>
        <w:t xml:space="preserve">strengths of </w:t>
      </w:r>
      <w:r w:rsidR="00BC72D6" w:rsidRPr="004D5859">
        <w:rPr>
          <w:rFonts w:ascii="Times New Roman" w:hAnsi="Times New Roman" w:cs="Times New Roman"/>
        </w:rPr>
        <w:t xml:space="preserve">our analysis include the </w:t>
      </w:r>
      <w:r w:rsidR="00A213ED" w:rsidRPr="004D5859">
        <w:rPr>
          <w:rFonts w:ascii="Times New Roman" w:hAnsi="Times New Roman" w:cs="Times New Roman"/>
        </w:rPr>
        <w:t>prospective design, with an aim to replicate or refute previous findings from an earlier trial</w:t>
      </w:r>
      <w:r w:rsidR="00446D88" w:rsidRPr="004D5859">
        <w:rPr>
          <w:rFonts w:ascii="Times New Roman" w:hAnsi="Times New Roman" w:cs="Times New Roman"/>
        </w:rPr>
        <w:t xml:space="preserve">, the </w:t>
      </w:r>
      <w:r w:rsidR="00A213ED" w:rsidRPr="004D5859">
        <w:rPr>
          <w:rFonts w:ascii="Times New Roman" w:hAnsi="Times New Roman" w:cs="Times New Roman"/>
        </w:rPr>
        <w:t>common use of imaging definitions and study data forms; the large number of participants</w:t>
      </w:r>
      <w:r w:rsidR="00272C28" w:rsidRPr="004D5859">
        <w:rPr>
          <w:rFonts w:ascii="Times New Roman" w:hAnsi="Times New Roman" w:cs="Times New Roman"/>
        </w:rPr>
        <w:t xml:space="preserve"> in a completely different independent cohort</w:t>
      </w:r>
      <w:r w:rsidR="00A213ED" w:rsidRPr="004D5859">
        <w:rPr>
          <w:rFonts w:ascii="Times New Roman" w:hAnsi="Times New Roman" w:cs="Times New Roman"/>
        </w:rPr>
        <w:t xml:space="preserve">; </w:t>
      </w:r>
      <w:r w:rsidR="00BC72D6" w:rsidRPr="004D5859">
        <w:rPr>
          <w:rFonts w:ascii="Times New Roman" w:hAnsi="Times New Roman" w:cs="Times New Roman"/>
        </w:rPr>
        <w:t xml:space="preserve">the </w:t>
      </w:r>
      <w:r w:rsidR="00A213ED" w:rsidRPr="004D5859">
        <w:rPr>
          <w:rFonts w:ascii="Times New Roman" w:hAnsi="Times New Roman" w:cs="Times New Roman"/>
        </w:rPr>
        <w:t>generali</w:t>
      </w:r>
      <w:r w:rsidR="003B0DE8" w:rsidRPr="004D5859">
        <w:rPr>
          <w:rFonts w:ascii="Times New Roman" w:hAnsi="Times New Roman" w:cs="Times New Roman"/>
        </w:rPr>
        <w:t>s</w:t>
      </w:r>
      <w:r w:rsidR="00A213ED" w:rsidRPr="004D5859">
        <w:rPr>
          <w:rFonts w:ascii="Times New Roman" w:hAnsi="Times New Roman" w:cs="Times New Roman"/>
        </w:rPr>
        <w:t xml:space="preserve">ability across many nations and regions of the world; and the consistency of the results, despite a less expert imaging panel of readers. </w:t>
      </w:r>
      <w:r w:rsidR="00317FB9">
        <w:rPr>
          <w:rFonts w:ascii="Times New Roman" w:hAnsi="Times New Roman" w:cs="Times New Roman"/>
        </w:rPr>
        <w:t xml:space="preserve">This latter point </w:t>
      </w:r>
      <w:r w:rsidR="00F42B1B">
        <w:rPr>
          <w:rFonts w:ascii="Times New Roman" w:hAnsi="Times New Roman" w:cs="Times New Roman"/>
        </w:rPr>
        <w:t xml:space="preserve">may </w:t>
      </w:r>
      <w:r w:rsidR="00317FB9">
        <w:rPr>
          <w:rFonts w:ascii="Times New Roman" w:hAnsi="Times New Roman" w:cs="Times New Roman"/>
        </w:rPr>
        <w:t xml:space="preserve">reflect consistent </w:t>
      </w:r>
      <w:r w:rsidR="00317FB9">
        <w:rPr>
          <w:rFonts w:ascii="Times New Roman" w:hAnsi="Times New Roman" w:cs="Times New Roman"/>
        </w:rPr>
        <w:lastRenderedPageBreak/>
        <w:t xml:space="preserve">training and </w:t>
      </w:r>
      <w:r w:rsidR="00F42B1B">
        <w:rPr>
          <w:rFonts w:ascii="Times New Roman" w:hAnsi="Times New Roman" w:cs="Times New Roman"/>
        </w:rPr>
        <w:t xml:space="preserve">expertise gained through a high volume of </w:t>
      </w:r>
      <w:r w:rsidR="00317FB9">
        <w:rPr>
          <w:rFonts w:ascii="Times New Roman" w:hAnsi="Times New Roman" w:cs="Times New Roman"/>
        </w:rPr>
        <w:t xml:space="preserve">scans assessed by each reader. </w:t>
      </w:r>
      <w:r w:rsidR="003B0DE8" w:rsidRPr="004D5859">
        <w:rPr>
          <w:rFonts w:ascii="Times New Roman" w:hAnsi="Times New Roman" w:cs="Times New Roman"/>
        </w:rPr>
        <w:t xml:space="preserve">However, </w:t>
      </w:r>
      <w:r w:rsidR="00405142" w:rsidRPr="004D5859">
        <w:rPr>
          <w:rFonts w:ascii="Times New Roman" w:hAnsi="Times New Roman" w:cs="Times New Roman"/>
        </w:rPr>
        <w:t>there</w:t>
      </w:r>
      <w:r w:rsidR="00BC72D6" w:rsidRPr="004D5859">
        <w:rPr>
          <w:rFonts w:ascii="Times New Roman" w:hAnsi="Times New Roman" w:cs="Times New Roman"/>
        </w:rPr>
        <w:t xml:space="preserve"> are some w</w:t>
      </w:r>
      <w:r w:rsidR="00A213ED" w:rsidRPr="004D5859">
        <w:rPr>
          <w:rFonts w:ascii="Times New Roman" w:hAnsi="Times New Roman" w:cs="Times New Roman"/>
        </w:rPr>
        <w:t>eaknesses</w:t>
      </w:r>
      <w:r w:rsidR="00446D88" w:rsidRPr="004D5859">
        <w:rPr>
          <w:rFonts w:ascii="Times New Roman" w:hAnsi="Times New Roman" w:cs="Times New Roman"/>
        </w:rPr>
        <w:t>,</w:t>
      </w:r>
      <w:r w:rsidR="00405142" w:rsidRPr="004D5859">
        <w:rPr>
          <w:rFonts w:ascii="Times New Roman" w:hAnsi="Times New Roman" w:cs="Times New Roman"/>
        </w:rPr>
        <w:t xml:space="preserve"> </w:t>
      </w:r>
      <w:r w:rsidR="00446D88" w:rsidRPr="004D5859">
        <w:rPr>
          <w:rFonts w:ascii="Times New Roman" w:hAnsi="Times New Roman" w:cs="Times New Roman"/>
        </w:rPr>
        <w:t>as</w:t>
      </w:r>
      <w:r w:rsidR="00405142" w:rsidRPr="004D5859">
        <w:rPr>
          <w:rFonts w:ascii="Times New Roman" w:hAnsi="Times New Roman" w:cs="Times New Roman"/>
        </w:rPr>
        <w:t xml:space="preserve"> some members of t</w:t>
      </w:r>
      <w:r w:rsidR="00A213ED" w:rsidRPr="004D5859">
        <w:rPr>
          <w:rFonts w:ascii="Times New Roman" w:hAnsi="Times New Roman" w:cs="Times New Roman"/>
        </w:rPr>
        <w:t xml:space="preserve">he study team were </w:t>
      </w:r>
      <w:r w:rsidR="00446D88" w:rsidRPr="004D5859">
        <w:rPr>
          <w:rFonts w:ascii="Times New Roman" w:hAnsi="Times New Roman" w:cs="Times New Roman"/>
        </w:rPr>
        <w:t xml:space="preserve">also part of the </w:t>
      </w:r>
      <w:r w:rsidR="00A213ED" w:rsidRPr="004D5859">
        <w:rPr>
          <w:rFonts w:ascii="Times New Roman" w:hAnsi="Times New Roman" w:cs="Times New Roman"/>
        </w:rPr>
        <w:t>IST3 study group (RIL and JMW)</w:t>
      </w:r>
      <w:r w:rsidR="00405142" w:rsidRPr="004D5859">
        <w:rPr>
          <w:rFonts w:ascii="Times New Roman" w:hAnsi="Times New Roman" w:cs="Times New Roman"/>
        </w:rPr>
        <w:t>, and</w:t>
      </w:r>
      <w:r w:rsidR="00A213ED" w:rsidRPr="004D5859">
        <w:rPr>
          <w:rFonts w:ascii="Times New Roman" w:hAnsi="Times New Roman" w:cs="Times New Roman"/>
        </w:rPr>
        <w:t xml:space="preserve"> the less expert imaging panel may </w:t>
      </w:r>
      <w:r w:rsidR="00405142" w:rsidRPr="004D5859">
        <w:rPr>
          <w:rFonts w:ascii="Times New Roman" w:hAnsi="Times New Roman" w:cs="Times New Roman"/>
        </w:rPr>
        <w:t xml:space="preserve">have </w:t>
      </w:r>
      <w:r w:rsidR="00A213ED" w:rsidRPr="004D5859">
        <w:rPr>
          <w:rFonts w:ascii="Times New Roman" w:hAnsi="Times New Roman" w:cs="Times New Roman"/>
        </w:rPr>
        <w:t>under</w:t>
      </w:r>
      <w:r w:rsidR="00405142" w:rsidRPr="004D5859">
        <w:rPr>
          <w:rFonts w:ascii="Times New Roman" w:hAnsi="Times New Roman" w:cs="Times New Roman"/>
        </w:rPr>
        <w:t>-</w:t>
      </w:r>
      <w:r w:rsidR="00A213ED" w:rsidRPr="004D5859">
        <w:rPr>
          <w:rFonts w:ascii="Times New Roman" w:hAnsi="Times New Roman" w:cs="Times New Roman"/>
        </w:rPr>
        <w:t>estimate</w:t>
      </w:r>
      <w:r w:rsidR="00405142" w:rsidRPr="004D5859">
        <w:rPr>
          <w:rFonts w:ascii="Times New Roman" w:hAnsi="Times New Roman" w:cs="Times New Roman"/>
        </w:rPr>
        <w:t>d</w:t>
      </w:r>
      <w:r w:rsidR="00A213ED" w:rsidRPr="004D5859">
        <w:rPr>
          <w:rFonts w:ascii="Times New Roman" w:hAnsi="Times New Roman" w:cs="Times New Roman"/>
        </w:rPr>
        <w:t xml:space="preserve"> the prognostic value of some imaging features</w:t>
      </w:r>
      <w:r w:rsidR="00405142" w:rsidRPr="004D5859">
        <w:rPr>
          <w:rFonts w:ascii="Times New Roman" w:hAnsi="Times New Roman" w:cs="Times New Roman"/>
        </w:rPr>
        <w:t xml:space="preserve">. </w:t>
      </w:r>
      <w:r w:rsidR="00F2528D" w:rsidRPr="004D5859">
        <w:rPr>
          <w:rFonts w:ascii="Times New Roman" w:hAnsi="Times New Roman" w:cs="Times New Roman"/>
        </w:rPr>
        <w:t xml:space="preserve"> </w:t>
      </w:r>
      <w:r w:rsidR="004175A9" w:rsidRPr="00F42B1B">
        <w:rPr>
          <w:rFonts w:ascii="Times New Roman" w:hAnsi="Times New Roman" w:cs="Times New Roman"/>
          <w:color w:val="000000" w:themeColor="text1"/>
          <w:u w:color="FB0007"/>
          <w:lang w:val="en-US"/>
        </w:rPr>
        <w:t>The assessment of acute ischaemic signs had only fair to moderate reproducibility</w:t>
      </w:r>
      <w:r w:rsidR="00F42B1B">
        <w:rPr>
          <w:rFonts w:ascii="Times New Roman" w:hAnsi="Times New Roman" w:cs="Times New Roman"/>
          <w:color w:val="000000" w:themeColor="text1"/>
          <w:u w:color="FB0007"/>
          <w:lang w:val="en-US"/>
        </w:rPr>
        <w:t>,</w:t>
      </w:r>
      <w:r w:rsidR="004175A9" w:rsidRPr="00F42B1B">
        <w:rPr>
          <w:rFonts w:ascii="Times New Roman" w:hAnsi="Times New Roman" w:cs="Times New Roman"/>
          <w:color w:val="000000" w:themeColor="text1"/>
          <w:u w:color="FB0007"/>
          <w:lang w:val="en-US"/>
        </w:rPr>
        <w:t xml:space="preserve"> as shown by the</w:t>
      </w:r>
      <w:r w:rsidR="000C13A8" w:rsidRPr="00F42B1B">
        <w:rPr>
          <w:rFonts w:ascii="Times New Roman" w:hAnsi="Times New Roman" w:cs="Times New Roman"/>
          <w:color w:val="000000" w:themeColor="text1"/>
          <w:u w:color="FB0007"/>
          <w:lang w:val="en-US"/>
        </w:rPr>
        <w:t xml:space="preserve"> mid</w:t>
      </w:r>
      <w:r w:rsidR="00F42B1B">
        <w:rPr>
          <w:rFonts w:ascii="Times New Roman" w:hAnsi="Times New Roman" w:cs="Times New Roman"/>
          <w:color w:val="000000" w:themeColor="text1"/>
          <w:u w:color="FB0007"/>
          <w:lang w:val="en-US"/>
        </w:rPr>
        <w:t>-</w:t>
      </w:r>
      <w:r w:rsidR="000C13A8" w:rsidRPr="00F42B1B">
        <w:rPr>
          <w:rFonts w:ascii="Times New Roman" w:hAnsi="Times New Roman" w:cs="Times New Roman"/>
          <w:color w:val="000000" w:themeColor="text1"/>
          <w:u w:color="FB0007"/>
          <w:lang w:val="en-US"/>
        </w:rPr>
        <w:t>range coefficient for agreement</w:t>
      </w:r>
      <w:r w:rsidR="004175A9" w:rsidRPr="00F42B1B">
        <w:rPr>
          <w:rFonts w:ascii="Times New Roman" w:hAnsi="Times New Roman" w:cs="Times New Roman"/>
          <w:color w:val="000000" w:themeColor="text1"/>
          <w:u w:color="FB0007"/>
          <w:lang w:val="en-US"/>
        </w:rPr>
        <w:t xml:space="preserve"> between raters. </w:t>
      </w:r>
      <w:r w:rsidR="00F42B1B">
        <w:rPr>
          <w:rFonts w:ascii="Times New Roman" w:hAnsi="Times New Roman" w:cs="Times New Roman"/>
          <w:color w:val="000000" w:themeColor="text1"/>
          <w:u w:color="FB0007"/>
          <w:lang w:val="en-US"/>
        </w:rPr>
        <w:t xml:space="preserve"> However, s</w:t>
      </w:r>
      <w:r w:rsidR="00AB30D7" w:rsidRPr="00F42B1B">
        <w:rPr>
          <w:rFonts w:ascii="Times New Roman" w:hAnsi="Times New Roman" w:cs="Times New Roman"/>
          <w:color w:val="000000" w:themeColor="text1"/>
          <w:u w:color="FB0007"/>
          <w:lang w:val="en-US"/>
        </w:rPr>
        <w:t>imila</w:t>
      </w:r>
      <w:r w:rsidR="000C13A8" w:rsidRPr="00F42B1B">
        <w:rPr>
          <w:rFonts w:ascii="Times New Roman" w:hAnsi="Times New Roman" w:cs="Times New Roman"/>
          <w:color w:val="000000" w:themeColor="text1"/>
          <w:u w:color="FB0007"/>
          <w:lang w:val="en-US"/>
        </w:rPr>
        <w:t>r levels of</w:t>
      </w:r>
      <w:r w:rsidR="00DF6A45" w:rsidRPr="00F42B1B">
        <w:rPr>
          <w:rFonts w:ascii="Times New Roman" w:hAnsi="Times New Roman" w:cs="Times New Roman"/>
          <w:color w:val="000000" w:themeColor="text1"/>
          <w:u w:color="FB0007"/>
          <w:lang w:val="en-US"/>
        </w:rPr>
        <w:t xml:space="preserve"> </w:t>
      </w:r>
      <w:r w:rsidR="00AB30D7" w:rsidRPr="00F42B1B">
        <w:rPr>
          <w:rFonts w:ascii="Times New Roman" w:hAnsi="Times New Roman" w:cs="Times New Roman"/>
          <w:color w:val="000000" w:themeColor="text1"/>
          <w:u w:color="FB0007"/>
          <w:lang w:val="en-US"/>
        </w:rPr>
        <w:t>agreement were found in IST</w:t>
      </w:r>
      <w:r w:rsidR="00F42B1B">
        <w:rPr>
          <w:rFonts w:ascii="Times New Roman" w:hAnsi="Times New Roman" w:cs="Times New Roman"/>
          <w:color w:val="000000" w:themeColor="text1"/>
          <w:u w:color="FB0007"/>
          <w:lang w:val="en-US"/>
        </w:rPr>
        <w:t>-</w:t>
      </w:r>
      <w:r w:rsidR="00AB30D7" w:rsidRPr="00F42B1B">
        <w:rPr>
          <w:rFonts w:ascii="Times New Roman" w:hAnsi="Times New Roman" w:cs="Times New Roman"/>
          <w:color w:val="000000" w:themeColor="text1"/>
          <w:u w:color="FB0007"/>
          <w:lang w:val="en-US"/>
        </w:rPr>
        <w:t xml:space="preserve">3 despite </w:t>
      </w:r>
      <w:r w:rsidR="00F42B1B">
        <w:rPr>
          <w:rFonts w:ascii="Times New Roman" w:hAnsi="Times New Roman" w:cs="Times New Roman"/>
          <w:color w:val="000000" w:themeColor="text1"/>
          <w:u w:color="FB0007"/>
          <w:lang w:val="en-US"/>
        </w:rPr>
        <w:t xml:space="preserve">the reader panel comprising greater neuroradiological </w:t>
      </w:r>
      <w:proofErr w:type="gramStart"/>
      <w:r w:rsidR="00F42B1B">
        <w:rPr>
          <w:rFonts w:ascii="Times New Roman" w:hAnsi="Times New Roman" w:cs="Times New Roman"/>
          <w:color w:val="000000" w:themeColor="text1"/>
          <w:u w:color="FB0007"/>
          <w:lang w:val="en-US"/>
        </w:rPr>
        <w:t>expertise</w:t>
      </w:r>
      <w:r w:rsidR="00FD06A5">
        <w:rPr>
          <w:rFonts w:ascii="Times New Roman" w:hAnsi="Times New Roman" w:cs="Times New Roman"/>
          <w:color w:val="000000" w:themeColor="text1"/>
          <w:u w:color="FB0007"/>
          <w:lang w:val="en-US"/>
        </w:rPr>
        <w:t>[</w:t>
      </w:r>
      <w:proofErr w:type="gramEnd"/>
      <w:r w:rsidR="00FD06A5">
        <w:rPr>
          <w:rFonts w:ascii="Times New Roman" w:hAnsi="Times New Roman" w:cs="Times New Roman"/>
          <w:color w:val="000000" w:themeColor="text1"/>
          <w:u w:color="FB0007"/>
          <w:lang w:val="en-US"/>
        </w:rPr>
        <w:t>20]</w:t>
      </w:r>
      <w:r w:rsidR="00AB30D7" w:rsidRPr="00F42B1B">
        <w:rPr>
          <w:rFonts w:ascii="Times New Roman" w:hAnsi="Times New Roman" w:cs="Times New Roman"/>
          <w:color w:val="000000" w:themeColor="text1"/>
          <w:u w:color="FB0007"/>
          <w:lang w:val="en-US"/>
        </w:rPr>
        <w:t xml:space="preserve">. </w:t>
      </w:r>
      <w:r w:rsidR="00952B5B">
        <w:rPr>
          <w:rFonts w:ascii="Times New Roman" w:hAnsi="Times New Roman" w:cs="Times New Roman"/>
          <w:color w:val="000000" w:themeColor="text1"/>
          <w:u w:color="FB0007"/>
          <w:lang w:val="en-US"/>
        </w:rPr>
        <w:t xml:space="preserve">Caution should applied when brain CT scan </w:t>
      </w:r>
      <w:bookmarkStart w:id="3" w:name="_GoBack"/>
      <w:bookmarkEnd w:id="3"/>
      <w:r w:rsidR="00952B5B">
        <w:rPr>
          <w:rFonts w:ascii="Times New Roman" w:hAnsi="Times New Roman" w:cs="Times New Roman"/>
          <w:color w:val="000000" w:themeColor="text1"/>
          <w:u w:color="FB0007"/>
          <w:lang w:val="en-US"/>
        </w:rPr>
        <w:t xml:space="preserve">signs are used to discuss individual patient management. </w:t>
      </w:r>
      <w:r w:rsidR="00E42BBA">
        <w:rPr>
          <w:rFonts w:ascii="Times New Roman" w:hAnsi="Times New Roman" w:cs="Times New Roman"/>
          <w:lang w:val="en-AU"/>
        </w:rPr>
        <w:t>Although some of the relative effects of the imaging factors appeared large in our analysis</w:t>
      </w:r>
      <w:proofErr w:type="gramStart"/>
      <w:r w:rsidR="00E42BBA">
        <w:rPr>
          <w:rFonts w:ascii="Times New Roman" w:hAnsi="Times New Roman" w:cs="Times New Roman"/>
          <w:lang w:val="en-AU"/>
        </w:rPr>
        <w:t>;</w:t>
      </w:r>
      <w:proofErr w:type="gramEnd"/>
      <w:r w:rsidR="00E42BBA">
        <w:rPr>
          <w:rFonts w:ascii="Times New Roman" w:hAnsi="Times New Roman" w:cs="Times New Roman"/>
          <w:lang w:val="en-AU"/>
        </w:rPr>
        <w:t xml:space="preserve"> in absolute terms, the incidences of outcomes and differences caused by the presence of imaging signs are too small to alter </w:t>
      </w:r>
      <w:r w:rsidR="00F6462F">
        <w:rPr>
          <w:rFonts w:ascii="Times New Roman" w:hAnsi="Times New Roman" w:cs="Times New Roman"/>
          <w:lang w:val="en-AU"/>
        </w:rPr>
        <w:t xml:space="preserve">the decision to </w:t>
      </w:r>
      <w:proofErr w:type="spellStart"/>
      <w:r w:rsidR="00F6462F">
        <w:rPr>
          <w:rFonts w:ascii="Times New Roman" w:hAnsi="Times New Roman" w:cs="Times New Roman"/>
          <w:lang w:val="en-AU"/>
        </w:rPr>
        <w:t>thrombolyse</w:t>
      </w:r>
      <w:proofErr w:type="spellEnd"/>
      <w:r w:rsidR="00F6462F">
        <w:rPr>
          <w:rFonts w:ascii="Times New Roman" w:hAnsi="Times New Roman" w:cs="Times New Roman"/>
          <w:lang w:val="en-AU"/>
        </w:rPr>
        <w:t>.</w:t>
      </w:r>
      <w:r w:rsidR="00E42BBA">
        <w:rPr>
          <w:rFonts w:ascii="Times New Roman" w:hAnsi="Times New Roman" w:cs="Times New Roman"/>
          <w:lang w:val="en-AU"/>
        </w:rPr>
        <w:t xml:space="preserve"> </w:t>
      </w:r>
      <w:r w:rsidR="00405142" w:rsidRPr="004D5859">
        <w:rPr>
          <w:rFonts w:ascii="Times New Roman" w:hAnsi="Times New Roman" w:cs="Times New Roman"/>
        </w:rPr>
        <w:t>Finally,</w:t>
      </w:r>
      <w:r w:rsidR="00A213ED" w:rsidRPr="004D5859">
        <w:rPr>
          <w:rFonts w:ascii="Times New Roman" w:hAnsi="Times New Roman" w:cs="Times New Roman"/>
        </w:rPr>
        <w:t xml:space="preserve"> the large and very heterogenous number of scanners utili</w:t>
      </w:r>
      <w:r w:rsidR="003B0DE8" w:rsidRPr="004D5859">
        <w:rPr>
          <w:rFonts w:ascii="Times New Roman" w:hAnsi="Times New Roman" w:cs="Times New Roman"/>
        </w:rPr>
        <w:t>s</w:t>
      </w:r>
      <w:r w:rsidR="00A213ED" w:rsidRPr="004D5859">
        <w:rPr>
          <w:rFonts w:ascii="Times New Roman" w:hAnsi="Times New Roman" w:cs="Times New Roman"/>
        </w:rPr>
        <w:t xml:space="preserve">ed in the study </w:t>
      </w:r>
      <w:r w:rsidR="00405142" w:rsidRPr="004D5859">
        <w:rPr>
          <w:rFonts w:ascii="Times New Roman" w:hAnsi="Times New Roman" w:cs="Times New Roman"/>
        </w:rPr>
        <w:t xml:space="preserve">may </w:t>
      </w:r>
      <w:r w:rsidR="00A213ED" w:rsidRPr="004D5859">
        <w:rPr>
          <w:rFonts w:ascii="Times New Roman" w:hAnsi="Times New Roman" w:cs="Times New Roman"/>
        </w:rPr>
        <w:t>have reduced prognostic power</w:t>
      </w:r>
      <w:r w:rsidR="008F58EC" w:rsidRPr="004D5859">
        <w:rPr>
          <w:rFonts w:ascii="Times New Roman" w:hAnsi="Times New Roman" w:cs="Times New Roman"/>
        </w:rPr>
        <w:t xml:space="preserve"> but adds real-world relev</w:t>
      </w:r>
      <w:r w:rsidR="00DF72CC" w:rsidRPr="004D5859">
        <w:rPr>
          <w:rFonts w:ascii="Times New Roman" w:hAnsi="Times New Roman" w:cs="Times New Roman"/>
        </w:rPr>
        <w:t>a</w:t>
      </w:r>
      <w:r w:rsidR="008F58EC" w:rsidRPr="004D5859">
        <w:rPr>
          <w:rFonts w:ascii="Times New Roman" w:hAnsi="Times New Roman" w:cs="Times New Roman"/>
        </w:rPr>
        <w:t>nce</w:t>
      </w:r>
      <w:r w:rsidR="00BC72D6" w:rsidRPr="004D5859">
        <w:rPr>
          <w:rFonts w:ascii="Times New Roman" w:hAnsi="Times New Roman" w:cs="Times New Roman"/>
        </w:rPr>
        <w:t>.</w:t>
      </w:r>
      <w:r w:rsidR="00A213ED" w:rsidRPr="004D5859">
        <w:rPr>
          <w:rFonts w:ascii="Times New Roman" w:hAnsi="Times New Roman" w:cs="Times New Roman"/>
        </w:rPr>
        <w:t xml:space="preserve"> </w:t>
      </w:r>
    </w:p>
    <w:p w14:paraId="0AFC1FF4" w14:textId="60EA8E40" w:rsidR="00B05B45" w:rsidRPr="004D5859" w:rsidRDefault="00272C28" w:rsidP="007F005C">
      <w:pPr>
        <w:spacing w:after="120" w:line="480" w:lineRule="auto"/>
        <w:rPr>
          <w:rFonts w:ascii="Times New Roman" w:hAnsi="Times New Roman" w:cs="Times New Roman"/>
        </w:rPr>
      </w:pPr>
      <w:r w:rsidRPr="004D5859">
        <w:rPr>
          <w:rFonts w:ascii="Times New Roman" w:hAnsi="Times New Roman" w:cs="Times New Roman"/>
        </w:rPr>
        <w:t xml:space="preserve">In summary, </w:t>
      </w:r>
      <w:r w:rsidR="00405142" w:rsidRPr="004D5859">
        <w:rPr>
          <w:rFonts w:ascii="Times New Roman" w:hAnsi="Times New Roman" w:cs="Times New Roman"/>
        </w:rPr>
        <w:t xml:space="preserve">our analyses </w:t>
      </w:r>
      <w:r w:rsidRPr="004D5859">
        <w:rPr>
          <w:rFonts w:ascii="Times New Roman" w:hAnsi="Times New Roman" w:cs="Times New Roman"/>
        </w:rPr>
        <w:t xml:space="preserve">have confirmed the important prognostic value of brain imaging signs in </w:t>
      </w:r>
      <w:r w:rsidR="00405142" w:rsidRPr="004D5859">
        <w:rPr>
          <w:rFonts w:ascii="Times New Roman" w:hAnsi="Times New Roman" w:cs="Times New Roman"/>
        </w:rPr>
        <w:t xml:space="preserve">patients </w:t>
      </w:r>
      <w:r w:rsidRPr="004D5859">
        <w:rPr>
          <w:rFonts w:ascii="Times New Roman" w:hAnsi="Times New Roman" w:cs="Times New Roman"/>
        </w:rPr>
        <w:t xml:space="preserve">scanned within a few hours of </w:t>
      </w:r>
      <w:r w:rsidR="00405142" w:rsidRPr="004D5859">
        <w:rPr>
          <w:rFonts w:ascii="Times New Roman" w:hAnsi="Times New Roman" w:cs="Times New Roman"/>
        </w:rPr>
        <w:t xml:space="preserve">the onset of AIS, and </w:t>
      </w:r>
      <w:r w:rsidR="00B55C48" w:rsidRPr="004D5859">
        <w:rPr>
          <w:rFonts w:ascii="Times New Roman" w:hAnsi="Times New Roman" w:cs="Times New Roman"/>
        </w:rPr>
        <w:t xml:space="preserve">together with those </w:t>
      </w:r>
      <w:r w:rsidR="00405142" w:rsidRPr="004D5859">
        <w:rPr>
          <w:rFonts w:ascii="Times New Roman" w:hAnsi="Times New Roman" w:cs="Times New Roman"/>
        </w:rPr>
        <w:t xml:space="preserve">of </w:t>
      </w:r>
      <w:r w:rsidR="00B55C48" w:rsidRPr="004D5859">
        <w:rPr>
          <w:rFonts w:ascii="Times New Roman" w:hAnsi="Times New Roman" w:cs="Times New Roman"/>
        </w:rPr>
        <w:t>IST3</w:t>
      </w:r>
      <w:r w:rsidR="003B0DE8" w:rsidRPr="004D5859">
        <w:rPr>
          <w:rFonts w:ascii="Times New Roman" w:hAnsi="Times New Roman" w:cs="Times New Roman"/>
        </w:rPr>
        <w:t>,</w:t>
      </w:r>
      <w:r w:rsidR="00B55C48" w:rsidRPr="004D5859">
        <w:rPr>
          <w:rFonts w:ascii="Times New Roman" w:hAnsi="Times New Roman" w:cs="Times New Roman"/>
        </w:rPr>
        <w:t xml:space="preserve"> now provide robust evidence to help guide clinicians when considering prognosis </w:t>
      </w:r>
      <w:r w:rsidR="00405142" w:rsidRPr="004D5859">
        <w:rPr>
          <w:rFonts w:ascii="Times New Roman" w:hAnsi="Times New Roman" w:cs="Times New Roman"/>
        </w:rPr>
        <w:t>in such</w:t>
      </w:r>
      <w:r w:rsidR="003B0DE8" w:rsidRPr="004D5859">
        <w:rPr>
          <w:rFonts w:ascii="Times New Roman" w:hAnsi="Times New Roman" w:cs="Times New Roman"/>
        </w:rPr>
        <w:t xml:space="preserve"> patients</w:t>
      </w:r>
      <w:r w:rsidR="00B55C48" w:rsidRPr="004D5859">
        <w:rPr>
          <w:rFonts w:ascii="Times New Roman" w:hAnsi="Times New Roman" w:cs="Times New Roman"/>
        </w:rPr>
        <w:t xml:space="preserve"> treated with thrombolysis.</w:t>
      </w:r>
      <w:r w:rsidR="00405142" w:rsidRPr="004D5859">
        <w:rPr>
          <w:rFonts w:ascii="Times New Roman" w:hAnsi="Times New Roman" w:cs="Times New Roman"/>
        </w:rPr>
        <w:t xml:space="preserve"> </w:t>
      </w:r>
      <w:r w:rsidR="00F2528D" w:rsidRPr="004D5859">
        <w:rPr>
          <w:rFonts w:ascii="Times New Roman" w:hAnsi="Times New Roman" w:cs="Times New Roman"/>
        </w:rPr>
        <w:t xml:space="preserve"> </w:t>
      </w:r>
      <w:r w:rsidR="00405142" w:rsidRPr="004D5859">
        <w:rPr>
          <w:rFonts w:ascii="Times New Roman" w:hAnsi="Times New Roman" w:cs="Times New Roman"/>
        </w:rPr>
        <w:t xml:space="preserve">Certain imaging </w:t>
      </w:r>
      <w:r w:rsidRPr="004D5859">
        <w:rPr>
          <w:rFonts w:ascii="Times New Roman" w:hAnsi="Times New Roman" w:cs="Times New Roman"/>
        </w:rPr>
        <w:t>signs can predict early and delayed death, and functional outcome</w:t>
      </w:r>
      <w:r w:rsidR="00BF12A7" w:rsidRPr="004D5859">
        <w:rPr>
          <w:rFonts w:ascii="Times New Roman" w:hAnsi="Times New Roman" w:cs="Times New Roman"/>
        </w:rPr>
        <w:t>,</w:t>
      </w:r>
      <w:r w:rsidRPr="004D5859">
        <w:rPr>
          <w:rFonts w:ascii="Times New Roman" w:hAnsi="Times New Roman" w:cs="Times New Roman"/>
        </w:rPr>
        <w:t xml:space="preserve"> </w:t>
      </w:r>
      <w:r w:rsidR="00B55C48" w:rsidRPr="004D5859">
        <w:rPr>
          <w:rFonts w:ascii="Times New Roman" w:hAnsi="Times New Roman" w:cs="Times New Roman"/>
        </w:rPr>
        <w:t xml:space="preserve">but are less useful when trying to identify who </w:t>
      </w:r>
      <w:r w:rsidR="00405142" w:rsidRPr="004D5859">
        <w:rPr>
          <w:rFonts w:ascii="Times New Roman" w:hAnsi="Times New Roman" w:cs="Times New Roman"/>
        </w:rPr>
        <w:t>has the potential to be harmed from</w:t>
      </w:r>
      <w:r w:rsidR="00B55C48" w:rsidRPr="004D5859">
        <w:rPr>
          <w:rFonts w:ascii="Times New Roman" w:hAnsi="Times New Roman" w:cs="Times New Roman"/>
        </w:rPr>
        <w:t xml:space="preserve"> </w:t>
      </w:r>
      <w:proofErr w:type="spellStart"/>
      <w:r w:rsidR="003B0DE8" w:rsidRPr="004D5859">
        <w:rPr>
          <w:rFonts w:ascii="Times New Roman" w:hAnsi="Times New Roman" w:cs="Times New Roman"/>
        </w:rPr>
        <w:t>sICH</w:t>
      </w:r>
      <w:proofErr w:type="spellEnd"/>
      <w:r w:rsidR="00B55C48" w:rsidRPr="004D5859">
        <w:rPr>
          <w:rFonts w:ascii="Times New Roman" w:hAnsi="Times New Roman" w:cs="Times New Roman"/>
        </w:rPr>
        <w:t xml:space="preserve"> after alteplase.</w:t>
      </w:r>
    </w:p>
    <w:p w14:paraId="2963605B" w14:textId="77777777" w:rsidR="00EF5F48" w:rsidRPr="004D5859" w:rsidRDefault="00BF12A7" w:rsidP="00EF5F48">
      <w:pPr>
        <w:spacing w:after="120" w:line="480" w:lineRule="auto"/>
        <w:rPr>
          <w:rFonts w:ascii="Times New Roman" w:hAnsi="Times New Roman" w:cs="Times New Roman"/>
          <w:b/>
        </w:rPr>
      </w:pPr>
      <w:r w:rsidRPr="004D5859">
        <w:rPr>
          <w:rFonts w:ascii="Times New Roman" w:hAnsi="Times New Roman" w:cs="Times New Roman"/>
          <w:b/>
        </w:rPr>
        <w:br w:type="page"/>
      </w:r>
      <w:r w:rsidR="00EF5F48" w:rsidRPr="004D5859">
        <w:rPr>
          <w:rFonts w:ascii="Times New Roman" w:hAnsi="Times New Roman" w:cs="Times New Roman"/>
          <w:b/>
        </w:rPr>
        <w:lastRenderedPageBreak/>
        <w:t xml:space="preserve">Table 1: Baseline clinical and imaging variables by </w:t>
      </w:r>
      <w:proofErr w:type="spellStart"/>
      <w:r w:rsidR="00EF5F48" w:rsidRPr="004D5859">
        <w:rPr>
          <w:rFonts w:ascii="Times New Roman" w:hAnsi="Times New Roman" w:cs="Times New Roman"/>
          <w:b/>
        </w:rPr>
        <w:t>alteplase</w:t>
      </w:r>
      <w:proofErr w:type="spellEnd"/>
      <w:r w:rsidR="00EF5F48" w:rsidRPr="004D5859">
        <w:rPr>
          <w:rFonts w:ascii="Times New Roman" w:hAnsi="Times New Roman" w:cs="Times New Roman"/>
          <w:b/>
        </w:rPr>
        <w:t xml:space="preserve"> dose</w:t>
      </w:r>
    </w:p>
    <w:p w14:paraId="64744179" w14:textId="77777777" w:rsidR="00EF5F48" w:rsidRPr="004D5859" w:rsidRDefault="00EF5F48" w:rsidP="00EF5F48">
      <w:pPr>
        <w:spacing w:after="120" w:line="480" w:lineRule="auto"/>
        <w:rPr>
          <w:rFonts w:ascii="Times New Roman" w:hAnsi="Times New Roman" w:cs="Times New Roman"/>
          <w:b/>
        </w:rPr>
      </w:pPr>
    </w:p>
    <w:tbl>
      <w:tblPr>
        <w:tblW w:w="0" w:type="auto"/>
        <w:tblLook w:val="04A0" w:firstRow="1" w:lastRow="0" w:firstColumn="1" w:lastColumn="0" w:noHBand="0" w:noVBand="1"/>
      </w:tblPr>
      <w:tblGrid>
        <w:gridCol w:w="2025"/>
        <w:gridCol w:w="3049"/>
        <w:gridCol w:w="2512"/>
        <w:gridCol w:w="1650"/>
      </w:tblGrid>
      <w:tr w:rsidR="00EF5F48" w:rsidRPr="004D5859" w14:paraId="596F362D" w14:textId="77777777" w:rsidTr="00AD0DF7">
        <w:trPr>
          <w:trHeight w:val="448"/>
        </w:trPr>
        <w:tc>
          <w:tcPr>
            <w:tcW w:w="0" w:type="auto"/>
            <w:tcBorders>
              <w:top w:val="single" w:sz="4" w:space="0" w:color="auto"/>
              <w:left w:val="nil"/>
              <w:bottom w:val="single" w:sz="4" w:space="0" w:color="auto"/>
              <w:right w:val="nil"/>
            </w:tcBorders>
            <w:shd w:val="clear" w:color="auto" w:fill="auto"/>
            <w:vAlign w:val="bottom"/>
            <w:hideMark/>
          </w:tcPr>
          <w:p w14:paraId="5B00A48F" w14:textId="77777777" w:rsidR="00EF5F48" w:rsidRPr="004D5859" w:rsidRDefault="00EF5F48" w:rsidP="00AD0DF7">
            <w:pP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shd w:val="clear" w:color="auto" w:fill="auto"/>
            <w:vAlign w:val="bottom"/>
            <w:hideMark/>
          </w:tcPr>
          <w:p w14:paraId="42B5E77A" w14:textId="77777777" w:rsidR="00EF5F48" w:rsidRPr="004D5859" w:rsidRDefault="00EF5F48" w:rsidP="00AD0DF7">
            <w:pP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shd w:val="clear" w:color="auto" w:fill="auto"/>
            <w:vAlign w:val="bottom"/>
            <w:hideMark/>
          </w:tcPr>
          <w:p w14:paraId="577E11E1"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Low-dose</w:t>
            </w:r>
            <w:r w:rsidRPr="004D5859">
              <w:rPr>
                <w:rFonts w:ascii="Times New Roman" w:hAnsi="Times New Roman" w:cs="Times New Roman"/>
                <w:b/>
                <w:sz w:val="20"/>
                <w:szCs w:val="20"/>
              </w:rPr>
              <w:br/>
            </w:r>
            <w:proofErr w:type="spellStart"/>
            <w:r w:rsidRPr="004D5859">
              <w:rPr>
                <w:rFonts w:ascii="Times New Roman" w:hAnsi="Times New Roman" w:cs="Times New Roman"/>
                <w:b/>
                <w:sz w:val="20"/>
                <w:szCs w:val="20"/>
              </w:rPr>
              <w:t>Alteplase</w:t>
            </w:r>
            <w:proofErr w:type="spellEnd"/>
            <w:r w:rsidRPr="004D5859">
              <w:rPr>
                <w:rFonts w:ascii="Times New Roman" w:hAnsi="Times New Roman" w:cs="Times New Roman"/>
                <w:b/>
                <w:sz w:val="20"/>
                <w:szCs w:val="20"/>
              </w:rPr>
              <w:t xml:space="preserve"> group (N=1465)</w:t>
            </w:r>
          </w:p>
        </w:tc>
        <w:tc>
          <w:tcPr>
            <w:tcW w:w="0" w:type="auto"/>
            <w:tcBorders>
              <w:top w:val="single" w:sz="4" w:space="0" w:color="auto"/>
              <w:left w:val="nil"/>
              <w:bottom w:val="single" w:sz="4" w:space="0" w:color="auto"/>
              <w:right w:val="nil"/>
            </w:tcBorders>
            <w:shd w:val="clear" w:color="auto" w:fill="auto"/>
            <w:vAlign w:val="bottom"/>
            <w:hideMark/>
          </w:tcPr>
          <w:p w14:paraId="1A80C76C"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Standard-dose</w:t>
            </w:r>
            <w:r w:rsidRPr="004D5859">
              <w:rPr>
                <w:rFonts w:ascii="Times New Roman" w:hAnsi="Times New Roman" w:cs="Times New Roman"/>
                <w:b/>
                <w:sz w:val="20"/>
                <w:szCs w:val="20"/>
              </w:rPr>
              <w:br/>
            </w:r>
            <w:proofErr w:type="spellStart"/>
            <w:r w:rsidRPr="004D5859">
              <w:rPr>
                <w:rFonts w:ascii="Times New Roman" w:hAnsi="Times New Roman" w:cs="Times New Roman"/>
                <w:b/>
                <w:sz w:val="20"/>
                <w:szCs w:val="20"/>
              </w:rPr>
              <w:t>Alteplase</w:t>
            </w:r>
            <w:proofErr w:type="spellEnd"/>
            <w:r w:rsidRPr="004D5859">
              <w:rPr>
                <w:rFonts w:ascii="Times New Roman" w:hAnsi="Times New Roman" w:cs="Times New Roman"/>
                <w:b/>
                <w:sz w:val="20"/>
                <w:szCs w:val="20"/>
              </w:rPr>
              <w:t xml:space="preserve"> group (N=1451)</w:t>
            </w:r>
          </w:p>
        </w:tc>
      </w:tr>
      <w:tr w:rsidR="00EF5F48" w:rsidRPr="004D5859" w14:paraId="0BB556CC" w14:textId="77777777" w:rsidTr="00AD0DF7">
        <w:trPr>
          <w:trHeight w:val="320"/>
        </w:trPr>
        <w:tc>
          <w:tcPr>
            <w:tcW w:w="0" w:type="auto"/>
            <w:tcBorders>
              <w:top w:val="single" w:sz="4" w:space="0" w:color="auto"/>
              <w:left w:val="nil"/>
              <w:bottom w:val="nil"/>
              <w:right w:val="nil"/>
            </w:tcBorders>
            <w:shd w:val="clear" w:color="auto" w:fill="auto"/>
            <w:vAlign w:val="bottom"/>
          </w:tcPr>
          <w:p w14:paraId="1A7E422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Mean age (years)</w:t>
            </w:r>
          </w:p>
        </w:tc>
        <w:tc>
          <w:tcPr>
            <w:tcW w:w="0" w:type="auto"/>
            <w:tcBorders>
              <w:top w:val="single" w:sz="4" w:space="0" w:color="auto"/>
              <w:left w:val="nil"/>
              <w:bottom w:val="nil"/>
              <w:right w:val="nil"/>
            </w:tcBorders>
            <w:shd w:val="clear" w:color="auto" w:fill="auto"/>
            <w:vAlign w:val="bottom"/>
          </w:tcPr>
          <w:p w14:paraId="78BD8C6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67 (13)</w:t>
            </w:r>
          </w:p>
        </w:tc>
        <w:tc>
          <w:tcPr>
            <w:tcW w:w="0" w:type="auto"/>
            <w:tcBorders>
              <w:top w:val="single" w:sz="4" w:space="0" w:color="auto"/>
              <w:left w:val="nil"/>
              <w:bottom w:val="nil"/>
              <w:right w:val="nil"/>
            </w:tcBorders>
            <w:shd w:val="clear" w:color="auto" w:fill="auto"/>
            <w:vAlign w:val="bottom"/>
          </w:tcPr>
          <w:p w14:paraId="1AC0B712" w14:textId="77777777" w:rsidR="00EF5F48" w:rsidRPr="004D5859" w:rsidRDefault="00EF5F48" w:rsidP="00AD0DF7">
            <w:pPr>
              <w:rPr>
                <w:rFonts w:ascii="Times New Roman" w:hAnsi="Times New Roman" w:cs="Times New Roman"/>
                <w:sz w:val="20"/>
                <w:szCs w:val="20"/>
              </w:rPr>
            </w:pPr>
          </w:p>
        </w:tc>
        <w:tc>
          <w:tcPr>
            <w:tcW w:w="0" w:type="auto"/>
            <w:tcBorders>
              <w:top w:val="single" w:sz="4" w:space="0" w:color="auto"/>
              <w:left w:val="nil"/>
              <w:bottom w:val="nil"/>
              <w:right w:val="nil"/>
            </w:tcBorders>
            <w:shd w:val="clear" w:color="auto" w:fill="auto"/>
            <w:vAlign w:val="bottom"/>
          </w:tcPr>
          <w:p w14:paraId="6E3BEB0D" w14:textId="77777777" w:rsidR="00EF5F48" w:rsidRPr="004D5859" w:rsidRDefault="00EF5F48" w:rsidP="00AD0DF7">
            <w:pPr>
              <w:rPr>
                <w:rFonts w:ascii="Times New Roman" w:hAnsi="Times New Roman" w:cs="Times New Roman"/>
                <w:sz w:val="20"/>
                <w:szCs w:val="20"/>
              </w:rPr>
            </w:pPr>
          </w:p>
        </w:tc>
      </w:tr>
      <w:tr w:rsidR="00EF5F48" w:rsidRPr="004D5859" w14:paraId="1A6FD656" w14:textId="77777777" w:rsidTr="00AD0DF7">
        <w:trPr>
          <w:trHeight w:val="320"/>
        </w:trPr>
        <w:tc>
          <w:tcPr>
            <w:tcW w:w="0" w:type="auto"/>
            <w:tcBorders>
              <w:top w:val="nil"/>
              <w:left w:val="nil"/>
              <w:bottom w:val="nil"/>
              <w:right w:val="nil"/>
            </w:tcBorders>
            <w:shd w:val="clear" w:color="auto" w:fill="auto"/>
            <w:vAlign w:val="bottom"/>
            <w:hideMark/>
          </w:tcPr>
          <w:p w14:paraId="46CF9A5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Age Categories</w:t>
            </w:r>
          </w:p>
        </w:tc>
        <w:tc>
          <w:tcPr>
            <w:tcW w:w="3049" w:type="dxa"/>
            <w:tcBorders>
              <w:top w:val="nil"/>
              <w:left w:val="nil"/>
              <w:bottom w:val="nil"/>
              <w:right w:val="nil"/>
            </w:tcBorders>
            <w:shd w:val="clear" w:color="auto" w:fill="auto"/>
            <w:vAlign w:val="bottom"/>
            <w:hideMark/>
          </w:tcPr>
          <w:p w14:paraId="2561BBD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≤80</w:t>
            </w:r>
          </w:p>
        </w:tc>
        <w:tc>
          <w:tcPr>
            <w:tcW w:w="2512" w:type="dxa"/>
            <w:tcBorders>
              <w:top w:val="nil"/>
              <w:left w:val="nil"/>
              <w:bottom w:val="nil"/>
              <w:right w:val="nil"/>
            </w:tcBorders>
            <w:shd w:val="clear" w:color="auto" w:fill="auto"/>
            <w:vAlign w:val="bottom"/>
            <w:hideMark/>
          </w:tcPr>
          <w:p w14:paraId="31705A6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1233/1465 (84.2)</w:t>
            </w:r>
          </w:p>
        </w:tc>
        <w:tc>
          <w:tcPr>
            <w:tcW w:w="0" w:type="auto"/>
            <w:tcBorders>
              <w:top w:val="nil"/>
              <w:left w:val="nil"/>
              <w:bottom w:val="nil"/>
              <w:right w:val="nil"/>
            </w:tcBorders>
            <w:shd w:val="clear" w:color="auto" w:fill="auto"/>
            <w:vAlign w:val="bottom"/>
            <w:hideMark/>
          </w:tcPr>
          <w:p w14:paraId="3E493B2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1234/1451 (85.0)</w:t>
            </w:r>
          </w:p>
        </w:tc>
      </w:tr>
      <w:tr w:rsidR="00EF5F48" w:rsidRPr="004D5859" w14:paraId="4A877571" w14:textId="77777777" w:rsidTr="00AD0DF7">
        <w:trPr>
          <w:trHeight w:val="320"/>
        </w:trPr>
        <w:tc>
          <w:tcPr>
            <w:tcW w:w="0" w:type="auto"/>
            <w:tcBorders>
              <w:top w:val="nil"/>
              <w:left w:val="nil"/>
              <w:bottom w:val="nil"/>
              <w:right w:val="nil"/>
            </w:tcBorders>
            <w:shd w:val="clear" w:color="auto" w:fill="auto"/>
            <w:vAlign w:val="bottom"/>
            <w:hideMark/>
          </w:tcPr>
          <w:p w14:paraId="4F7E626E"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3E92F0D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&gt;80</w:t>
            </w:r>
          </w:p>
        </w:tc>
        <w:tc>
          <w:tcPr>
            <w:tcW w:w="0" w:type="auto"/>
            <w:tcBorders>
              <w:top w:val="nil"/>
              <w:left w:val="nil"/>
              <w:bottom w:val="nil"/>
              <w:right w:val="nil"/>
            </w:tcBorders>
            <w:shd w:val="clear" w:color="auto" w:fill="auto"/>
            <w:vAlign w:val="bottom"/>
            <w:hideMark/>
          </w:tcPr>
          <w:p w14:paraId="262E9B5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232/1465 (15.8)</w:t>
            </w:r>
          </w:p>
        </w:tc>
        <w:tc>
          <w:tcPr>
            <w:tcW w:w="0" w:type="auto"/>
            <w:tcBorders>
              <w:top w:val="nil"/>
              <w:left w:val="nil"/>
              <w:bottom w:val="nil"/>
              <w:right w:val="nil"/>
            </w:tcBorders>
            <w:shd w:val="clear" w:color="auto" w:fill="auto"/>
            <w:vAlign w:val="bottom"/>
            <w:hideMark/>
          </w:tcPr>
          <w:p w14:paraId="6509F84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217/1451 (15.0)</w:t>
            </w:r>
          </w:p>
        </w:tc>
      </w:tr>
      <w:tr w:rsidR="00EF5F48" w:rsidRPr="004D5859" w14:paraId="49221D85" w14:textId="77777777" w:rsidTr="00AD0DF7">
        <w:trPr>
          <w:trHeight w:val="320"/>
        </w:trPr>
        <w:tc>
          <w:tcPr>
            <w:tcW w:w="0" w:type="auto"/>
            <w:tcBorders>
              <w:top w:val="nil"/>
              <w:left w:val="nil"/>
              <w:bottom w:val="nil"/>
              <w:right w:val="nil"/>
            </w:tcBorders>
            <w:shd w:val="clear" w:color="auto" w:fill="auto"/>
            <w:vAlign w:val="bottom"/>
            <w:hideMark/>
          </w:tcPr>
          <w:p w14:paraId="49B1573A"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336C2A7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≥18 and ≤50</w:t>
            </w:r>
          </w:p>
        </w:tc>
        <w:tc>
          <w:tcPr>
            <w:tcW w:w="0" w:type="auto"/>
            <w:tcBorders>
              <w:top w:val="nil"/>
              <w:left w:val="nil"/>
              <w:bottom w:val="nil"/>
              <w:right w:val="nil"/>
            </w:tcBorders>
            <w:shd w:val="clear" w:color="auto" w:fill="auto"/>
            <w:vAlign w:val="bottom"/>
            <w:hideMark/>
          </w:tcPr>
          <w:p w14:paraId="57A6856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148/1465 (10.1)</w:t>
            </w:r>
          </w:p>
        </w:tc>
        <w:tc>
          <w:tcPr>
            <w:tcW w:w="0" w:type="auto"/>
            <w:tcBorders>
              <w:top w:val="nil"/>
              <w:left w:val="nil"/>
              <w:bottom w:val="nil"/>
              <w:right w:val="nil"/>
            </w:tcBorders>
            <w:shd w:val="clear" w:color="auto" w:fill="auto"/>
            <w:vAlign w:val="bottom"/>
            <w:hideMark/>
          </w:tcPr>
          <w:p w14:paraId="2A59912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140/1451 (9.6)</w:t>
            </w:r>
          </w:p>
        </w:tc>
      </w:tr>
      <w:tr w:rsidR="00EF5F48" w:rsidRPr="004D5859" w14:paraId="382EF5A1" w14:textId="77777777" w:rsidTr="00AD0DF7">
        <w:trPr>
          <w:trHeight w:val="320"/>
        </w:trPr>
        <w:tc>
          <w:tcPr>
            <w:tcW w:w="0" w:type="auto"/>
            <w:tcBorders>
              <w:top w:val="nil"/>
              <w:left w:val="nil"/>
              <w:bottom w:val="nil"/>
              <w:right w:val="nil"/>
            </w:tcBorders>
            <w:shd w:val="clear" w:color="auto" w:fill="auto"/>
            <w:vAlign w:val="bottom"/>
            <w:hideMark/>
          </w:tcPr>
          <w:p w14:paraId="3CD3526E"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120E1B0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&gt;50 and ≤60</w:t>
            </w:r>
          </w:p>
        </w:tc>
        <w:tc>
          <w:tcPr>
            <w:tcW w:w="0" w:type="auto"/>
            <w:tcBorders>
              <w:top w:val="nil"/>
              <w:left w:val="nil"/>
              <w:bottom w:val="nil"/>
              <w:right w:val="nil"/>
            </w:tcBorders>
            <w:shd w:val="clear" w:color="auto" w:fill="auto"/>
            <w:vAlign w:val="bottom"/>
            <w:hideMark/>
          </w:tcPr>
          <w:p w14:paraId="422ED56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276/1465 (18.8)</w:t>
            </w:r>
          </w:p>
        </w:tc>
        <w:tc>
          <w:tcPr>
            <w:tcW w:w="0" w:type="auto"/>
            <w:tcBorders>
              <w:top w:val="nil"/>
              <w:left w:val="nil"/>
              <w:bottom w:val="nil"/>
              <w:right w:val="nil"/>
            </w:tcBorders>
            <w:shd w:val="clear" w:color="auto" w:fill="auto"/>
            <w:vAlign w:val="bottom"/>
            <w:hideMark/>
          </w:tcPr>
          <w:p w14:paraId="19BE64D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268/1451 (18.5)</w:t>
            </w:r>
          </w:p>
        </w:tc>
      </w:tr>
      <w:tr w:rsidR="00EF5F48" w:rsidRPr="004D5859" w14:paraId="5A5A1D12" w14:textId="77777777" w:rsidTr="00AD0DF7">
        <w:trPr>
          <w:trHeight w:val="320"/>
        </w:trPr>
        <w:tc>
          <w:tcPr>
            <w:tcW w:w="0" w:type="auto"/>
            <w:tcBorders>
              <w:top w:val="nil"/>
              <w:left w:val="nil"/>
              <w:bottom w:val="nil"/>
              <w:right w:val="nil"/>
            </w:tcBorders>
            <w:shd w:val="clear" w:color="auto" w:fill="auto"/>
            <w:vAlign w:val="bottom"/>
            <w:hideMark/>
          </w:tcPr>
          <w:p w14:paraId="7C91E871"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048F37C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&gt;60 and ≤70</w:t>
            </w:r>
          </w:p>
        </w:tc>
        <w:tc>
          <w:tcPr>
            <w:tcW w:w="0" w:type="auto"/>
            <w:tcBorders>
              <w:top w:val="nil"/>
              <w:left w:val="nil"/>
              <w:bottom w:val="nil"/>
              <w:right w:val="nil"/>
            </w:tcBorders>
            <w:shd w:val="clear" w:color="auto" w:fill="auto"/>
            <w:vAlign w:val="bottom"/>
            <w:hideMark/>
          </w:tcPr>
          <w:p w14:paraId="055BA98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382/1465 (26.1)</w:t>
            </w:r>
          </w:p>
        </w:tc>
        <w:tc>
          <w:tcPr>
            <w:tcW w:w="0" w:type="auto"/>
            <w:tcBorders>
              <w:top w:val="nil"/>
              <w:left w:val="nil"/>
              <w:bottom w:val="nil"/>
              <w:right w:val="nil"/>
            </w:tcBorders>
            <w:shd w:val="clear" w:color="auto" w:fill="auto"/>
            <w:vAlign w:val="bottom"/>
            <w:hideMark/>
          </w:tcPr>
          <w:p w14:paraId="288390E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410/1451 (28.3)</w:t>
            </w:r>
          </w:p>
        </w:tc>
      </w:tr>
      <w:tr w:rsidR="00EF5F48" w:rsidRPr="004D5859" w14:paraId="77FDFEBB" w14:textId="77777777" w:rsidTr="00AD0DF7">
        <w:trPr>
          <w:trHeight w:val="320"/>
        </w:trPr>
        <w:tc>
          <w:tcPr>
            <w:tcW w:w="0" w:type="auto"/>
            <w:tcBorders>
              <w:top w:val="nil"/>
              <w:left w:val="nil"/>
              <w:bottom w:val="nil"/>
              <w:right w:val="nil"/>
            </w:tcBorders>
            <w:shd w:val="clear" w:color="auto" w:fill="auto"/>
            <w:vAlign w:val="bottom"/>
            <w:hideMark/>
          </w:tcPr>
          <w:p w14:paraId="4E1A15C1"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59C15B4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&gt;70 and ≤80</w:t>
            </w:r>
          </w:p>
        </w:tc>
        <w:tc>
          <w:tcPr>
            <w:tcW w:w="0" w:type="auto"/>
            <w:tcBorders>
              <w:top w:val="nil"/>
              <w:left w:val="nil"/>
              <w:bottom w:val="nil"/>
              <w:right w:val="nil"/>
            </w:tcBorders>
            <w:shd w:val="clear" w:color="auto" w:fill="auto"/>
            <w:vAlign w:val="bottom"/>
            <w:hideMark/>
          </w:tcPr>
          <w:p w14:paraId="69D7047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427/1465 (29.1)</w:t>
            </w:r>
          </w:p>
        </w:tc>
        <w:tc>
          <w:tcPr>
            <w:tcW w:w="0" w:type="auto"/>
            <w:tcBorders>
              <w:top w:val="nil"/>
              <w:left w:val="nil"/>
              <w:bottom w:val="nil"/>
              <w:right w:val="nil"/>
            </w:tcBorders>
            <w:shd w:val="clear" w:color="auto" w:fill="auto"/>
            <w:vAlign w:val="bottom"/>
            <w:hideMark/>
          </w:tcPr>
          <w:p w14:paraId="78D3FF8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416/1451 (28.7)</w:t>
            </w:r>
          </w:p>
        </w:tc>
      </w:tr>
      <w:tr w:rsidR="00EF5F48" w:rsidRPr="004D5859" w14:paraId="110EABB2" w14:textId="77777777" w:rsidTr="00AD0DF7">
        <w:trPr>
          <w:trHeight w:val="320"/>
        </w:trPr>
        <w:tc>
          <w:tcPr>
            <w:tcW w:w="0" w:type="auto"/>
            <w:tcBorders>
              <w:top w:val="nil"/>
              <w:left w:val="nil"/>
              <w:bottom w:val="nil"/>
              <w:right w:val="nil"/>
            </w:tcBorders>
            <w:shd w:val="clear" w:color="auto" w:fill="auto"/>
            <w:vAlign w:val="bottom"/>
            <w:hideMark/>
          </w:tcPr>
          <w:p w14:paraId="66224A56"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4C8AAF9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&gt;80 and ≤90</w:t>
            </w:r>
          </w:p>
        </w:tc>
        <w:tc>
          <w:tcPr>
            <w:tcW w:w="0" w:type="auto"/>
            <w:tcBorders>
              <w:top w:val="nil"/>
              <w:left w:val="nil"/>
              <w:bottom w:val="nil"/>
              <w:right w:val="nil"/>
            </w:tcBorders>
            <w:shd w:val="clear" w:color="auto" w:fill="auto"/>
            <w:vAlign w:val="bottom"/>
            <w:hideMark/>
          </w:tcPr>
          <w:p w14:paraId="7F7E1DD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198/1465 (13.5)</w:t>
            </w:r>
          </w:p>
        </w:tc>
        <w:tc>
          <w:tcPr>
            <w:tcW w:w="0" w:type="auto"/>
            <w:tcBorders>
              <w:top w:val="nil"/>
              <w:left w:val="nil"/>
              <w:bottom w:val="nil"/>
              <w:right w:val="nil"/>
            </w:tcBorders>
            <w:shd w:val="clear" w:color="auto" w:fill="auto"/>
            <w:vAlign w:val="bottom"/>
            <w:hideMark/>
          </w:tcPr>
          <w:p w14:paraId="244BF54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188/1451 (13.0)</w:t>
            </w:r>
          </w:p>
        </w:tc>
      </w:tr>
      <w:tr w:rsidR="00EF5F48" w:rsidRPr="004D5859" w14:paraId="0741B11B" w14:textId="77777777" w:rsidTr="00AD0DF7">
        <w:trPr>
          <w:trHeight w:val="320"/>
        </w:trPr>
        <w:tc>
          <w:tcPr>
            <w:tcW w:w="0" w:type="auto"/>
            <w:tcBorders>
              <w:top w:val="nil"/>
              <w:left w:val="nil"/>
              <w:bottom w:val="nil"/>
              <w:right w:val="nil"/>
            </w:tcBorders>
            <w:shd w:val="clear" w:color="auto" w:fill="auto"/>
            <w:vAlign w:val="bottom"/>
            <w:hideMark/>
          </w:tcPr>
          <w:p w14:paraId="7ADD96E4"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21F290C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&gt;90</w:t>
            </w:r>
          </w:p>
        </w:tc>
        <w:tc>
          <w:tcPr>
            <w:tcW w:w="0" w:type="auto"/>
            <w:tcBorders>
              <w:top w:val="nil"/>
              <w:left w:val="nil"/>
              <w:bottom w:val="nil"/>
              <w:right w:val="nil"/>
            </w:tcBorders>
            <w:shd w:val="clear" w:color="auto" w:fill="auto"/>
            <w:vAlign w:val="bottom"/>
            <w:hideMark/>
          </w:tcPr>
          <w:p w14:paraId="71A8138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34/1465 (2.3)</w:t>
            </w:r>
          </w:p>
        </w:tc>
        <w:tc>
          <w:tcPr>
            <w:tcW w:w="0" w:type="auto"/>
            <w:tcBorders>
              <w:top w:val="nil"/>
              <w:left w:val="nil"/>
              <w:bottom w:val="nil"/>
              <w:right w:val="nil"/>
            </w:tcBorders>
            <w:shd w:val="clear" w:color="auto" w:fill="auto"/>
            <w:vAlign w:val="bottom"/>
            <w:hideMark/>
          </w:tcPr>
          <w:p w14:paraId="5803077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29/1451 (2.0)</w:t>
            </w:r>
          </w:p>
        </w:tc>
      </w:tr>
      <w:tr w:rsidR="00EF5F48" w:rsidRPr="004D5859" w14:paraId="369D9896" w14:textId="77777777" w:rsidTr="00AD0DF7">
        <w:trPr>
          <w:trHeight w:val="320"/>
        </w:trPr>
        <w:tc>
          <w:tcPr>
            <w:tcW w:w="0" w:type="auto"/>
            <w:tcBorders>
              <w:top w:val="nil"/>
              <w:left w:val="nil"/>
              <w:bottom w:val="nil"/>
              <w:right w:val="nil"/>
            </w:tcBorders>
            <w:shd w:val="clear" w:color="auto" w:fill="auto"/>
            <w:vAlign w:val="bottom"/>
          </w:tcPr>
          <w:p w14:paraId="7E34029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Baseline NIHSS</w:t>
            </w:r>
          </w:p>
        </w:tc>
        <w:tc>
          <w:tcPr>
            <w:tcW w:w="0" w:type="auto"/>
            <w:tcBorders>
              <w:top w:val="nil"/>
              <w:left w:val="nil"/>
              <w:bottom w:val="nil"/>
              <w:right w:val="nil"/>
            </w:tcBorders>
            <w:shd w:val="clear" w:color="auto" w:fill="auto"/>
            <w:vAlign w:val="bottom"/>
          </w:tcPr>
          <w:p w14:paraId="2C554EE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8 [5-14]</w:t>
            </w:r>
          </w:p>
        </w:tc>
        <w:tc>
          <w:tcPr>
            <w:tcW w:w="0" w:type="auto"/>
            <w:tcBorders>
              <w:top w:val="nil"/>
              <w:left w:val="nil"/>
              <w:bottom w:val="nil"/>
              <w:right w:val="nil"/>
            </w:tcBorders>
            <w:shd w:val="clear" w:color="auto" w:fill="auto"/>
            <w:vAlign w:val="bottom"/>
          </w:tcPr>
          <w:p w14:paraId="5FBFBB5E"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tcPr>
          <w:p w14:paraId="5983F6BD" w14:textId="77777777" w:rsidR="00EF5F48" w:rsidRPr="004D5859" w:rsidRDefault="00EF5F48" w:rsidP="00AD0DF7">
            <w:pPr>
              <w:rPr>
                <w:rFonts w:ascii="Times New Roman" w:hAnsi="Times New Roman" w:cs="Times New Roman"/>
                <w:sz w:val="20"/>
                <w:szCs w:val="20"/>
              </w:rPr>
            </w:pPr>
          </w:p>
        </w:tc>
      </w:tr>
      <w:tr w:rsidR="00EF5F48" w:rsidRPr="004D5859" w14:paraId="6D044FEA" w14:textId="77777777" w:rsidTr="00AD0DF7">
        <w:trPr>
          <w:trHeight w:val="320"/>
        </w:trPr>
        <w:tc>
          <w:tcPr>
            <w:tcW w:w="0" w:type="auto"/>
            <w:tcBorders>
              <w:top w:val="nil"/>
              <w:left w:val="nil"/>
              <w:bottom w:val="nil"/>
              <w:right w:val="nil"/>
            </w:tcBorders>
            <w:shd w:val="clear" w:color="auto" w:fill="auto"/>
            <w:vAlign w:val="bottom"/>
            <w:hideMark/>
          </w:tcPr>
          <w:p w14:paraId="56F389D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NIHSS score categories</w:t>
            </w:r>
          </w:p>
        </w:tc>
        <w:tc>
          <w:tcPr>
            <w:tcW w:w="0" w:type="auto"/>
            <w:tcBorders>
              <w:top w:val="nil"/>
              <w:left w:val="nil"/>
              <w:bottom w:val="nil"/>
              <w:right w:val="nil"/>
            </w:tcBorders>
            <w:shd w:val="clear" w:color="auto" w:fill="auto"/>
            <w:vAlign w:val="bottom"/>
            <w:hideMark/>
          </w:tcPr>
          <w:p w14:paraId="57FC8ED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0-5</w:t>
            </w:r>
          </w:p>
        </w:tc>
        <w:tc>
          <w:tcPr>
            <w:tcW w:w="0" w:type="auto"/>
            <w:tcBorders>
              <w:top w:val="nil"/>
              <w:left w:val="nil"/>
              <w:bottom w:val="nil"/>
              <w:right w:val="nil"/>
            </w:tcBorders>
            <w:shd w:val="clear" w:color="auto" w:fill="auto"/>
            <w:vAlign w:val="bottom"/>
            <w:hideMark/>
          </w:tcPr>
          <w:p w14:paraId="0EFFD63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428/1465 (29.2)</w:t>
            </w:r>
          </w:p>
        </w:tc>
        <w:tc>
          <w:tcPr>
            <w:tcW w:w="0" w:type="auto"/>
            <w:tcBorders>
              <w:top w:val="nil"/>
              <w:left w:val="nil"/>
              <w:bottom w:val="nil"/>
              <w:right w:val="nil"/>
            </w:tcBorders>
            <w:shd w:val="clear" w:color="auto" w:fill="auto"/>
            <w:vAlign w:val="bottom"/>
            <w:hideMark/>
          </w:tcPr>
          <w:p w14:paraId="07CA0A9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443/1451 (30.5)</w:t>
            </w:r>
          </w:p>
        </w:tc>
      </w:tr>
      <w:tr w:rsidR="00EF5F48" w:rsidRPr="004D5859" w14:paraId="56BA46B1" w14:textId="77777777" w:rsidTr="00AD0DF7">
        <w:trPr>
          <w:trHeight w:val="320"/>
        </w:trPr>
        <w:tc>
          <w:tcPr>
            <w:tcW w:w="0" w:type="auto"/>
            <w:tcBorders>
              <w:top w:val="nil"/>
              <w:left w:val="nil"/>
              <w:bottom w:val="nil"/>
              <w:right w:val="nil"/>
            </w:tcBorders>
            <w:shd w:val="clear" w:color="auto" w:fill="auto"/>
            <w:vAlign w:val="bottom"/>
            <w:hideMark/>
          </w:tcPr>
          <w:p w14:paraId="597AABC8"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521D078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6-10</w:t>
            </w:r>
          </w:p>
        </w:tc>
        <w:tc>
          <w:tcPr>
            <w:tcW w:w="0" w:type="auto"/>
            <w:tcBorders>
              <w:top w:val="nil"/>
              <w:left w:val="nil"/>
              <w:bottom w:val="nil"/>
              <w:right w:val="nil"/>
            </w:tcBorders>
            <w:shd w:val="clear" w:color="auto" w:fill="auto"/>
            <w:vAlign w:val="bottom"/>
            <w:hideMark/>
          </w:tcPr>
          <w:p w14:paraId="3EB680C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491/1465 (33.5)</w:t>
            </w:r>
          </w:p>
        </w:tc>
        <w:tc>
          <w:tcPr>
            <w:tcW w:w="0" w:type="auto"/>
            <w:tcBorders>
              <w:top w:val="nil"/>
              <w:left w:val="nil"/>
              <w:bottom w:val="nil"/>
              <w:right w:val="nil"/>
            </w:tcBorders>
            <w:shd w:val="clear" w:color="auto" w:fill="auto"/>
            <w:vAlign w:val="bottom"/>
            <w:hideMark/>
          </w:tcPr>
          <w:p w14:paraId="7A77887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446/1451 (30.7)</w:t>
            </w:r>
          </w:p>
        </w:tc>
      </w:tr>
      <w:tr w:rsidR="00EF5F48" w:rsidRPr="004D5859" w14:paraId="5C1A6498" w14:textId="77777777" w:rsidTr="00AD0DF7">
        <w:trPr>
          <w:trHeight w:val="320"/>
        </w:trPr>
        <w:tc>
          <w:tcPr>
            <w:tcW w:w="0" w:type="auto"/>
            <w:tcBorders>
              <w:top w:val="nil"/>
              <w:left w:val="nil"/>
              <w:bottom w:val="nil"/>
              <w:right w:val="nil"/>
            </w:tcBorders>
            <w:shd w:val="clear" w:color="auto" w:fill="auto"/>
            <w:vAlign w:val="bottom"/>
            <w:hideMark/>
          </w:tcPr>
          <w:p w14:paraId="4336E704"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2C4961D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11-15</w:t>
            </w:r>
          </w:p>
        </w:tc>
        <w:tc>
          <w:tcPr>
            <w:tcW w:w="0" w:type="auto"/>
            <w:tcBorders>
              <w:top w:val="nil"/>
              <w:left w:val="nil"/>
              <w:bottom w:val="nil"/>
              <w:right w:val="nil"/>
            </w:tcBorders>
            <w:shd w:val="clear" w:color="auto" w:fill="auto"/>
            <w:vAlign w:val="bottom"/>
            <w:hideMark/>
          </w:tcPr>
          <w:p w14:paraId="163A4ED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276/1465 (18.8)</w:t>
            </w:r>
          </w:p>
        </w:tc>
        <w:tc>
          <w:tcPr>
            <w:tcW w:w="0" w:type="auto"/>
            <w:tcBorders>
              <w:top w:val="nil"/>
              <w:left w:val="nil"/>
              <w:bottom w:val="nil"/>
              <w:right w:val="nil"/>
            </w:tcBorders>
            <w:shd w:val="clear" w:color="auto" w:fill="auto"/>
            <w:vAlign w:val="bottom"/>
            <w:hideMark/>
          </w:tcPr>
          <w:p w14:paraId="55EF659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280/1451 (19.3)</w:t>
            </w:r>
          </w:p>
        </w:tc>
      </w:tr>
      <w:tr w:rsidR="00EF5F48" w:rsidRPr="004D5859" w14:paraId="7425F3FA" w14:textId="77777777" w:rsidTr="00AD0DF7">
        <w:trPr>
          <w:trHeight w:val="320"/>
        </w:trPr>
        <w:tc>
          <w:tcPr>
            <w:tcW w:w="0" w:type="auto"/>
            <w:tcBorders>
              <w:top w:val="nil"/>
              <w:left w:val="nil"/>
              <w:bottom w:val="nil"/>
              <w:right w:val="nil"/>
            </w:tcBorders>
            <w:shd w:val="clear" w:color="auto" w:fill="auto"/>
            <w:vAlign w:val="bottom"/>
            <w:hideMark/>
          </w:tcPr>
          <w:p w14:paraId="7B920145"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2B479D0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16-20</w:t>
            </w:r>
          </w:p>
        </w:tc>
        <w:tc>
          <w:tcPr>
            <w:tcW w:w="0" w:type="auto"/>
            <w:tcBorders>
              <w:top w:val="nil"/>
              <w:left w:val="nil"/>
              <w:bottom w:val="nil"/>
              <w:right w:val="nil"/>
            </w:tcBorders>
            <w:shd w:val="clear" w:color="auto" w:fill="auto"/>
            <w:vAlign w:val="bottom"/>
            <w:hideMark/>
          </w:tcPr>
          <w:p w14:paraId="756074E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170/1465 (11.6)</w:t>
            </w:r>
          </w:p>
        </w:tc>
        <w:tc>
          <w:tcPr>
            <w:tcW w:w="0" w:type="auto"/>
            <w:tcBorders>
              <w:top w:val="nil"/>
              <w:left w:val="nil"/>
              <w:bottom w:val="nil"/>
              <w:right w:val="nil"/>
            </w:tcBorders>
            <w:shd w:val="clear" w:color="auto" w:fill="auto"/>
            <w:vAlign w:val="bottom"/>
            <w:hideMark/>
          </w:tcPr>
          <w:p w14:paraId="1071ADD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183/1451 (12.6)</w:t>
            </w:r>
          </w:p>
        </w:tc>
      </w:tr>
      <w:tr w:rsidR="00EF5F48" w:rsidRPr="004D5859" w14:paraId="6CADAD94" w14:textId="77777777" w:rsidTr="00AD0DF7">
        <w:trPr>
          <w:trHeight w:val="320"/>
        </w:trPr>
        <w:tc>
          <w:tcPr>
            <w:tcW w:w="0" w:type="auto"/>
            <w:tcBorders>
              <w:top w:val="nil"/>
              <w:left w:val="nil"/>
              <w:bottom w:val="nil"/>
              <w:right w:val="nil"/>
            </w:tcBorders>
            <w:shd w:val="clear" w:color="auto" w:fill="auto"/>
            <w:vAlign w:val="bottom"/>
            <w:hideMark/>
          </w:tcPr>
          <w:p w14:paraId="6F0DC1D7"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7DD2576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&gt;20</w:t>
            </w:r>
          </w:p>
        </w:tc>
        <w:tc>
          <w:tcPr>
            <w:tcW w:w="0" w:type="auto"/>
            <w:tcBorders>
              <w:top w:val="nil"/>
              <w:left w:val="nil"/>
              <w:bottom w:val="nil"/>
              <w:right w:val="nil"/>
            </w:tcBorders>
            <w:shd w:val="clear" w:color="auto" w:fill="auto"/>
            <w:vAlign w:val="bottom"/>
            <w:hideMark/>
          </w:tcPr>
          <w:p w14:paraId="097005D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100/1465 (6.8)</w:t>
            </w:r>
          </w:p>
        </w:tc>
        <w:tc>
          <w:tcPr>
            <w:tcW w:w="0" w:type="auto"/>
            <w:tcBorders>
              <w:top w:val="nil"/>
              <w:left w:val="nil"/>
              <w:bottom w:val="nil"/>
              <w:right w:val="nil"/>
            </w:tcBorders>
            <w:shd w:val="clear" w:color="auto" w:fill="auto"/>
            <w:vAlign w:val="bottom"/>
            <w:hideMark/>
          </w:tcPr>
          <w:p w14:paraId="299C4FC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99/1451 (6.8)</w:t>
            </w:r>
          </w:p>
        </w:tc>
      </w:tr>
      <w:tr w:rsidR="00EF5F48" w:rsidRPr="004D5859" w14:paraId="345DF2BA" w14:textId="77777777" w:rsidTr="00AD0DF7">
        <w:trPr>
          <w:trHeight w:val="320"/>
        </w:trPr>
        <w:tc>
          <w:tcPr>
            <w:tcW w:w="0" w:type="auto"/>
            <w:tcBorders>
              <w:top w:val="nil"/>
              <w:left w:val="nil"/>
              <w:bottom w:val="nil"/>
              <w:right w:val="nil"/>
            </w:tcBorders>
            <w:shd w:val="clear" w:color="auto" w:fill="auto"/>
            <w:vAlign w:val="bottom"/>
          </w:tcPr>
          <w:p w14:paraId="5DE9059E" w14:textId="77777777" w:rsidR="00EF5F48" w:rsidRPr="004D5859" w:rsidRDefault="00EF5F48" w:rsidP="00AD0DF7">
            <w:pPr>
              <w:rPr>
                <w:rFonts w:ascii="Times New Roman" w:hAnsi="Times New Roman" w:cs="Times New Roman"/>
                <w:sz w:val="20"/>
                <w:szCs w:val="20"/>
              </w:rPr>
            </w:pPr>
            <w:r>
              <w:rPr>
                <w:rFonts w:ascii="Times New Roman" w:hAnsi="Times New Roman" w:cs="Times New Roman"/>
                <w:sz w:val="20"/>
                <w:szCs w:val="20"/>
              </w:rPr>
              <w:t xml:space="preserve">Pre-stroke </w:t>
            </w: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=1</w:t>
            </w:r>
          </w:p>
        </w:tc>
        <w:tc>
          <w:tcPr>
            <w:tcW w:w="0" w:type="auto"/>
            <w:tcBorders>
              <w:top w:val="nil"/>
              <w:left w:val="nil"/>
              <w:bottom w:val="nil"/>
              <w:right w:val="nil"/>
            </w:tcBorders>
            <w:shd w:val="clear" w:color="auto" w:fill="auto"/>
            <w:vAlign w:val="bottom"/>
          </w:tcPr>
          <w:p w14:paraId="4F896C2B"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tcPr>
          <w:p w14:paraId="66078B6E" w14:textId="77777777" w:rsidR="00EF5F48" w:rsidRPr="004D5859" w:rsidRDefault="00EF5F48" w:rsidP="00AD0DF7">
            <w:pPr>
              <w:rPr>
                <w:rFonts w:ascii="Times New Roman" w:hAnsi="Times New Roman" w:cs="Times New Roman"/>
                <w:sz w:val="20"/>
                <w:szCs w:val="20"/>
              </w:rPr>
            </w:pPr>
            <w:r>
              <w:rPr>
                <w:rFonts w:ascii="Times New Roman" w:hAnsi="Times New Roman" w:cs="Times New Roman"/>
                <w:sz w:val="20"/>
                <w:szCs w:val="20"/>
              </w:rPr>
              <w:t>280/1462 (19.2)</w:t>
            </w:r>
          </w:p>
        </w:tc>
        <w:tc>
          <w:tcPr>
            <w:tcW w:w="0" w:type="auto"/>
            <w:tcBorders>
              <w:top w:val="nil"/>
              <w:left w:val="nil"/>
              <w:bottom w:val="nil"/>
              <w:right w:val="nil"/>
            </w:tcBorders>
            <w:shd w:val="clear" w:color="auto" w:fill="auto"/>
            <w:vAlign w:val="bottom"/>
          </w:tcPr>
          <w:p w14:paraId="4A7CE4AF" w14:textId="77777777" w:rsidR="00EF5F48" w:rsidRPr="004D5859" w:rsidRDefault="00EF5F48" w:rsidP="00AD0DF7">
            <w:pPr>
              <w:rPr>
                <w:rFonts w:ascii="Times New Roman" w:hAnsi="Times New Roman" w:cs="Times New Roman"/>
                <w:sz w:val="20"/>
                <w:szCs w:val="20"/>
              </w:rPr>
            </w:pPr>
            <w:r>
              <w:rPr>
                <w:rFonts w:ascii="Times New Roman" w:hAnsi="Times New Roman" w:cs="Times New Roman"/>
                <w:sz w:val="20"/>
                <w:szCs w:val="20"/>
              </w:rPr>
              <w:t>297/1447 (20.5)</w:t>
            </w:r>
          </w:p>
        </w:tc>
      </w:tr>
      <w:tr w:rsidR="00EF5F48" w:rsidRPr="004D5859" w14:paraId="369A8103" w14:textId="77777777" w:rsidTr="00AD0DF7">
        <w:trPr>
          <w:trHeight w:val="320"/>
        </w:trPr>
        <w:tc>
          <w:tcPr>
            <w:tcW w:w="0" w:type="auto"/>
            <w:tcBorders>
              <w:top w:val="nil"/>
              <w:left w:val="nil"/>
              <w:bottom w:val="nil"/>
              <w:right w:val="nil"/>
            </w:tcBorders>
            <w:shd w:val="clear" w:color="auto" w:fill="auto"/>
            <w:vAlign w:val="bottom"/>
            <w:hideMark/>
          </w:tcPr>
          <w:p w14:paraId="1335ABA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Time to randomisation (hours)</w:t>
            </w:r>
          </w:p>
        </w:tc>
        <w:tc>
          <w:tcPr>
            <w:tcW w:w="0" w:type="auto"/>
            <w:tcBorders>
              <w:top w:val="nil"/>
              <w:left w:val="nil"/>
              <w:bottom w:val="nil"/>
              <w:right w:val="nil"/>
            </w:tcBorders>
            <w:shd w:val="clear" w:color="auto" w:fill="auto"/>
            <w:vAlign w:val="bottom"/>
            <w:hideMark/>
          </w:tcPr>
          <w:p w14:paraId="0D06F69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 to ≤3</w:t>
            </w:r>
          </w:p>
        </w:tc>
        <w:tc>
          <w:tcPr>
            <w:tcW w:w="0" w:type="auto"/>
            <w:tcBorders>
              <w:top w:val="nil"/>
              <w:left w:val="nil"/>
              <w:bottom w:val="nil"/>
              <w:right w:val="nil"/>
            </w:tcBorders>
            <w:shd w:val="clear" w:color="auto" w:fill="auto"/>
            <w:vAlign w:val="bottom"/>
            <w:hideMark/>
          </w:tcPr>
          <w:p w14:paraId="5F2EDF4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858/1443 (59.5)</w:t>
            </w:r>
          </w:p>
        </w:tc>
        <w:tc>
          <w:tcPr>
            <w:tcW w:w="0" w:type="auto"/>
            <w:tcBorders>
              <w:top w:val="nil"/>
              <w:left w:val="nil"/>
              <w:bottom w:val="nil"/>
              <w:right w:val="nil"/>
            </w:tcBorders>
            <w:shd w:val="clear" w:color="auto" w:fill="auto"/>
            <w:vAlign w:val="bottom"/>
            <w:hideMark/>
          </w:tcPr>
          <w:p w14:paraId="2438EAF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848/ 1431 (59.3)</w:t>
            </w:r>
          </w:p>
        </w:tc>
      </w:tr>
      <w:tr w:rsidR="00EF5F48" w:rsidRPr="004D5859" w14:paraId="460A533E" w14:textId="77777777" w:rsidTr="00AD0DF7">
        <w:trPr>
          <w:trHeight w:val="320"/>
        </w:trPr>
        <w:tc>
          <w:tcPr>
            <w:tcW w:w="0" w:type="auto"/>
            <w:tcBorders>
              <w:top w:val="nil"/>
              <w:left w:val="nil"/>
              <w:bottom w:val="nil"/>
              <w:right w:val="nil"/>
            </w:tcBorders>
            <w:shd w:val="clear" w:color="auto" w:fill="auto"/>
            <w:vAlign w:val="bottom"/>
            <w:hideMark/>
          </w:tcPr>
          <w:p w14:paraId="605418EB"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154CDE7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&gt;3 </w:t>
            </w:r>
          </w:p>
        </w:tc>
        <w:tc>
          <w:tcPr>
            <w:tcW w:w="0" w:type="auto"/>
            <w:tcBorders>
              <w:top w:val="nil"/>
              <w:left w:val="nil"/>
              <w:bottom w:val="nil"/>
              <w:right w:val="nil"/>
            </w:tcBorders>
            <w:shd w:val="clear" w:color="auto" w:fill="auto"/>
            <w:vAlign w:val="bottom"/>
            <w:hideMark/>
          </w:tcPr>
          <w:p w14:paraId="4100499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585/1443 (40.5)</w:t>
            </w:r>
          </w:p>
        </w:tc>
        <w:tc>
          <w:tcPr>
            <w:tcW w:w="0" w:type="auto"/>
            <w:tcBorders>
              <w:top w:val="nil"/>
              <w:left w:val="nil"/>
              <w:bottom w:val="nil"/>
              <w:right w:val="nil"/>
            </w:tcBorders>
            <w:shd w:val="clear" w:color="auto" w:fill="auto"/>
            <w:vAlign w:val="bottom"/>
            <w:hideMark/>
          </w:tcPr>
          <w:p w14:paraId="4312DF3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583/1431 (40.7)</w:t>
            </w:r>
          </w:p>
        </w:tc>
      </w:tr>
      <w:tr w:rsidR="00EF5F48" w:rsidRPr="004D5859" w14:paraId="21EFCDF9" w14:textId="77777777" w:rsidTr="00AD0DF7">
        <w:trPr>
          <w:trHeight w:val="640"/>
        </w:trPr>
        <w:tc>
          <w:tcPr>
            <w:tcW w:w="0" w:type="auto"/>
            <w:tcBorders>
              <w:top w:val="nil"/>
              <w:left w:val="nil"/>
              <w:bottom w:val="nil"/>
              <w:right w:val="nil"/>
            </w:tcBorders>
            <w:shd w:val="clear" w:color="auto" w:fill="auto"/>
            <w:vAlign w:val="bottom"/>
            <w:hideMark/>
          </w:tcPr>
          <w:p w14:paraId="15283A9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Assessment of AIC on baseline images by site clinicians</w:t>
            </w:r>
          </w:p>
        </w:tc>
        <w:tc>
          <w:tcPr>
            <w:tcW w:w="0" w:type="auto"/>
            <w:tcBorders>
              <w:top w:val="nil"/>
              <w:left w:val="nil"/>
              <w:bottom w:val="nil"/>
              <w:right w:val="nil"/>
            </w:tcBorders>
            <w:shd w:val="clear" w:color="auto" w:fill="auto"/>
            <w:vAlign w:val="bottom"/>
            <w:hideMark/>
          </w:tcPr>
          <w:p w14:paraId="435C1D6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No change &amp; visible lesion</w:t>
            </w:r>
          </w:p>
        </w:tc>
        <w:tc>
          <w:tcPr>
            <w:tcW w:w="0" w:type="auto"/>
            <w:tcBorders>
              <w:top w:val="nil"/>
              <w:left w:val="nil"/>
              <w:bottom w:val="nil"/>
              <w:right w:val="nil"/>
            </w:tcBorders>
            <w:shd w:val="clear" w:color="auto" w:fill="auto"/>
            <w:vAlign w:val="bottom"/>
            <w:hideMark/>
          </w:tcPr>
          <w:p w14:paraId="3FE1BA6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987/1463 (67.5)</w:t>
            </w:r>
          </w:p>
        </w:tc>
        <w:tc>
          <w:tcPr>
            <w:tcW w:w="0" w:type="auto"/>
            <w:tcBorders>
              <w:top w:val="nil"/>
              <w:left w:val="nil"/>
              <w:bottom w:val="nil"/>
              <w:right w:val="nil"/>
            </w:tcBorders>
            <w:shd w:val="clear" w:color="auto" w:fill="auto"/>
            <w:vAlign w:val="bottom"/>
            <w:hideMark/>
          </w:tcPr>
          <w:p w14:paraId="51B82EF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965/1448 (66.6)</w:t>
            </w:r>
          </w:p>
        </w:tc>
      </w:tr>
      <w:tr w:rsidR="00EF5F48" w:rsidRPr="004D5859" w14:paraId="06F66EAC" w14:textId="77777777" w:rsidTr="00AD0DF7">
        <w:trPr>
          <w:trHeight w:val="320"/>
        </w:trPr>
        <w:tc>
          <w:tcPr>
            <w:tcW w:w="0" w:type="auto"/>
            <w:tcBorders>
              <w:top w:val="nil"/>
              <w:left w:val="nil"/>
              <w:bottom w:val="nil"/>
              <w:right w:val="nil"/>
            </w:tcBorders>
            <w:shd w:val="clear" w:color="auto" w:fill="auto"/>
            <w:vAlign w:val="bottom"/>
            <w:hideMark/>
          </w:tcPr>
          <w:p w14:paraId="07BD7B10"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0B26D1B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Visible change</w:t>
            </w:r>
          </w:p>
        </w:tc>
        <w:tc>
          <w:tcPr>
            <w:tcW w:w="0" w:type="auto"/>
            <w:tcBorders>
              <w:top w:val="nil"/>
              <w:left w:val="nil"/>
              <w:bottom w:val="nil"/>
              <w:right w:val="nil"/>
            </w:tcBorders>
            <w:shd w:val="clear" w:color="auto" w:fill="auto"/>
            <w:vAlign w:val="bottom"/>
            <w:hideMark/>
          </w:tcPr>
          <w:p w14:paraId="6B48C04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359/1463 (24.5)</w:t>
            </w:r>
          </w:p>
        </w:tc>
        <w:tc>
          <w:tcPr>
            <w:tcW w:w="0" w:type="auto"/>
            <w:tcBorders>
              <w:top w:val="nil"/>
              <w:left w:val="nil"/>
              <w:bottom w:val="nil"/>
              <w:right w:val="nil"/>
            </w:tcBorders>
            <w:shd w:val="clear" w:color="auto" w:fill="auto"/>
            <w:vAlign w:val="bottom"/>
            <w:hideMark/>
          </w:tcPr>
          <w:p w14:paraId="61048F3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353/1448 (24.4)</w:t>
            </w:r>
          </w:p>
        </w:tc>
      </w:tr>
      <w:tr w:rsidR="00EF5F48" w:rsidRPr="004D5859" w14:paraId="08468866" w14:textId="77777777" w:rsidTr="00AD0DF7">
        <w:trPr>
          <w:trHeight w:val="320"/>
        </w:trPr>
        <w:tc>
          <w:tcPr>
            <w:tcW w:w="0" w:type="auto"/>
            <w:tcBorders>
              <w:top w:val="nil"/>
              <w:left w:val="nil"/>
              <w:bottom w:val="nil"/>
              <w:right w:val="nil"/>
            </w:tcBorders>
            <w:shd w:val="clear" w:color="auto" w:fill="auto"/>
            <w:vAlign w:val="bottom"/>
            <w:hideMark/>
          </w:tcPr>
          <w:p w14:paraId="3700797A"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2841119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Visible lesion</w:t>
            </w:r>
          </w:p>
        </w:tc>
        <w:tc>
          <w:tcPr>
            <w:tcW w:w="0" w:type="auto"/>
            <w:tcBorders>
              <w:top w:val="nil"/>
              <w:left w:val="nil"/>
              <w:bottom w:val="nil"/>
              <w:right w:val="nil"/>
            </w:tcBorders>
            <w:shd w:val="clear" w:color="auto" w:fill="auto"/>
            <w:vAlign w:val="bottom"/>
            <w:hideMark/>
          </w:tcPr>
          <w:p w14:paraId="634D9B2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339/1463 (23.2)</w:t>
            </w:r>
          </w:p>
        </w:tc>
        <w:tc>
          <w:tcPr>
            <w:tcW w:w="0" w:type="auto"/>
            <w:tcBorders>
              <w:top w:val="nil"/>
              <w:left w:val="nil"/>
              <w:bottom w:val="nil"/>
              <w:right w:val="nil"/>
            </w:tcBorders>
            <w:shd w:val="clear" w:color="auto" w:fill="auto"/>
            <w:vAlign w:val="bottom"/>
            <w:hideMark/>
          </w:tcPr>
          <w:p w14:paraId="3345652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346/1448 (23.9)</w:t>
            </w:r>
          </w:p>
        </w:tc>
      </w:tr>
      <w:tr w:rsidR="00EF5F48" w:rsidRPr="004D5859" w14:paraId="23EB802C" w14:textId="77777777" w:rsidTr="00AD0DF7">
        <w:trPr>
          <w:trHeight w:val="320"/>
        </w:trPr>
        <w:tc>
          <w:tcPr>
            <w:tcW w:w="0" w:type="auto"/>
            <w:tcBorders>
              <w:top w:val="nil"/>
              <w:left w:val="nil"/>
              <w:bottom w:val="nil"/>
              <w:right w:val="nil"/>
            </w:tcBorders>
            <w:shd w:val="clear" w:color="auto" w:fill="auto"/>
            <w:vAlign w:val="bottom"/>
            <w:hideMark/>
          </w:tcPr>
          <w:p w14:paraId="14EB74D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Assessment of AIC on baseline images centrally</w:t>
            </w:r>
          </w:p>
        </w:tc>
        <w:tc>
          <w:tcPr>
            <w:tcW w:w="0" w:type="auto"/>
            <w:tcBorders>
              <w:top w:val="nil"/>
              <w:left w:val="nil"/>
              <w:bottom w:val="nil"/>
              <w:right w:val="nil"/>
            </w:tcBorders>
            <w:shd w:val="clear" w:color="auto" w:fill="auto"/>
            <w:vAlign w:val="bottom"/>
            <w:hideMark/>
          </w:tcPr>
          <w:p w14:paraId="27EF2AE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Scan completely normal</w:t>
            </w:r>
          </w:p>
        </w:tc>
        <w:tc>
          <w:tcPr>
            <w:tcW w:w="0" w:type="auto"/>
            <w:tcBorders>
              <w:top w:val="nil"/>
              <w:left w:val="nil"/>
              <w:bottom w:val="nil"/>
              <w:right w:val="nil"/>
            </w:tcBorders>
            <w:shd w:val="clear" w:color="auto" w:fill="auto"/>
            <w:vAlign w:val="bottom"/>
            <w:hideMark/>
          </w:tcPr>
          <w:p w14:paraId="1D4D0FD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501/1464 (34.2)</w:t>
            </w:r>
          </w:p>
        </w:tc>
        <w:tc>
          <w:tcPr>
            <w:tcW w:w="0" w:type="auto"/>
            <w:tcBorders>
              <w:top w:val="nil"/>
              <w:left w:val="nil"/>
              <w:bottom w:val="nil"/>
              <w:right w:val="nil"/>
            </w:tcBorders>
            <w:shd w:val="clear" w:color="auto" w:fill="auto"/>
            <w:vAlign w:val="bottom"/>
            <w:hideMark/>
          </w:tcPr>
          <w:p w14:paraId="3064BE7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475/1447 (32.8)</w:t>
            </w:r>
          </w:p>
        </w:tc>
      </w:tr>
      <w:tr w:rsidR="00EF5F48" w:rsidRPr="004D5859" w14:paraId="31C34AB9" w14:textId="77777777" w:rsidTr="00AD0DF7">
        <w:trPr>
          <w:trHeight w:val="320"/>
        </w:trPr>
        <w:tc>
          <w:tcPr>
            <w:tcW w:w="0" w:type="auto"/>
            <w:tcBorders>
              <w:top w:val="nil"/>
              <w:left w:val="nil"/>
              <w:bottom w:val="nil"/>
              <w:right w:val="nil"/>
            </w:tcBorders>
            <w:shd w:val="clear" w:color="auto" w:fill="auto"/>
            <w:vAlign w:val="bottom"/>
            <w:hideMark/>
          </w:tcPr>
          <w:p w14:paraId="1CA0E084"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62D1FB3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Not normal but no AIC</w:t>
            </w:r>
          </w:p>
        </w:tc>
        <w:tc>
          <w:tcPr>
            <w:tcW w:w="0" w:type="auto"/>
            <w:tcBorders>
              <w:top w:val="nil"/>
              <w:left w:val="nil"/>
              <w:bottom w:val="nil"/>
              <w:right w:val="nil"/>
            </w:tcBorders>
            <w:shd w:val="clear" w:color="auto" w:fill="auto"/>
            <w:vAlign w:val="bottom"/>
            <w:hideMark/>
          </w:tcPr>
          <w:p w14:paraId="2C9EA5C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461/1464 (31.5)</w:t>
            </w:r>
          </w:p>
        </w:tc>
        <w:tc>
          <w:tcPr>
            <w:tcW w:w="0" w:type="auto"/>
            <w:tcBorders>
              <w:top w:val="nil"/>
              <w:left w:val="nil"/>
              <w:bottom w:val="nil"/>
              <w:right w:val="nil"/>
            </w:tcBorders>
            <w:shd w:val="clear" w:color="auto" w:fill="auto"/>
            <w:vAlign w:val="bottom"/>
            <w:hideMark/>
          </w:tcPr>
          <w:p w14:paraId="5D4B6DE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486/1447 (33.6)</w:t>
            </w:r>
          </w:p>
        </w:tc>
      </w:tr>
      <w:tr w:rsidR="00EF5F48" w:rsidRPr="004D5859" w14:paraId="1A480EC2" w14:textId="77777777" w:rsidTr="00AD0DF7">
        <w:trPr>
          <w:trHeight w:val="320"/>
        </w:trPr>
        <w:tc>
          <w:tcPr>
            <w:tcW w:w="0" w:type="auto"/>
            <w:tcBorders>
              <w:top w:val="nil"/>
              <w:left w:val="nil"/>
              <w:bottom w:val="nil"/>
              <w:right w:val="nil"/>
            </w:tcBorders>
            <w:shd w:val="clear" w:color="auto" w:fill="auto"/>
            <w:vAlign w:val="bottom"/>
            <w:hideMark/>
          </w:tcPr>
          <w:p w14:paraId="2C1669F5"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72EBB22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Signs of any AIC</w:t>
            </w:r>
          </w:p>
        </w:tc>
        <w:tc>
          <w:tcPr>
            <w:tcW w:w="0" w:type="auto"/>
            <w:tcBorders>
              <w:top w:val="nil"/>
              <w:left w:val="nil"/>
              <w:bottom w:val="nil"/>
              <w:right w:val="nil"/>
            </w:tcBorders>
            <w:shd w:val="clear" w:color="auto" w:fill="auto"/>
            <w:vAlign w:val="bottom"/>
            <w:hideMark/>
          </w:tcPr>
          <w:p w14:paraId="571F177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502/1464 (34.3)</w:t>
            </w:r>
          </w:p>
        </w:tc>
        <w:tc>
          <w:tcPr>
            <w:tcW w:w="0" w:type="auto"/>
            <w:tcBorders>
              <w:top w:val="nil"/>
              <w:left w:val="nil"/>
              <w:bottom w:val="nil"/>
              <w:right w:val="nil"/>
            </w:tcBorders>
            <w:shd w:val="clear" w:color="auto" w:fill="auto"/>
            <w:vAlign w:val="bottom"/>
            <w:hideMark/>
          </w:tcPr>
          <w:p w14:paraId="5ED486E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486/1447 (33.6)</w:t>
            </w:r>
          </w:p>
        </w:tc>
      </w:tr>
      <w:tr w:rsidR="00EF5F48" w:rsidRPr="004D5859" w14:paraId="471E0546" w14:textId="77777777" w:rsidTr="00AD0DF7">
        <w:trPr>
          <w:trHeight w:val="320"/>
        </w:trPr>
        <w:tc>
          <w:tcPr>
            <w:tcW w:w="0" w:type="auto"/>
            <w:tcBorders>
              <w:top w:val="nil"/>
              <w:left w:val="nil"/>
              <w:bottom w:val="nil"/>
              <w:right w:val="nil"/>
            </w:tcBorders>
            <w:shd w:val="clear" w:color="auto" w:fill="auto"/>
            <w:vAlign w:val="bottom"/>
            <w:hideMark/>
          </w:tcPr>
          <w:p w14:paraId="596ADCD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Early </w:t>
            </w:r>
            <w:r>
              <w:rPr>
                <w:rFonts w:ascii="Times New Roman" w:hAnsi="Times New Roman" w:cs="Times New Roman"/>
                <w:sz w:val="20"/>
                <w:szCs w:val="20"/>
              </w:rPr>
              <w:t>ischaemic</w:t>
            </w:r>
            <w:r w:rsidRPr="004D5859">
              <w:rPr>
                <w:rFonts w:ascii="Times New Roman" w:hAnsi="Times New Roman" w:cs="Times New Roman"/>
                <w:sz w:val="20"/>
                <w:szCs w:val="20"/>
              </w:rPr>
              <w:t xml:space="preserve"> lesion/change territory</w:t>
            </w:r>
          </w:p>
        </w:tc>
        <w:tc>
          <w:tcPr>
            <w:tcW w:w="0" w:type="auto"/>
            <w:tcBorders>
              <w:top w:val="nil"/>
              <w:left w:val="nil"/>
              <w:bottom w:val="nil"/>
              <w:right w:val="nil"/>
            </w:tcBorders>
            <w:shd w:val="clear" w:color="auto" w:fill="auto"/>
            <w:vAlign w:val="bottom"/>
            <w:hideMark/>
          </w:tcPr>
          <w:p w14:paraId="73A76FC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Indeterminate</w:t>
            </w:r>
          </w:p>
        </w:tc>
        <w:tc>
          <w:tcPr>
            <w:tcW w:w="0" w:type="auto"/>
            <w:tcBorders>
              <w:top w:val="nil"/>
              <w:left w:val="nil"/>
              <w:bottom w:val="nil"/>
              <w:right w:val="nil"/>
            </w:tcBorders>
            <w:shd w:val="clear" w:color="auto" w:fill="auto"/>
            <w:vAlign w:val="bottom"/>
            <w:hideMark/>
          </w:tcPr>
          <w:p w14:paraId="79775A2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971/1465 (66.3)</w:t>
            </w:r>
          </w:p>
        </w:tc>
        <w:tc>
          <w:tcPr>
            <w:tcW w:w="0" w:type="auto"/>
            <w:tcBorders>
              <w:top w:val="nil"/>
              <w:left w:val="nil"/>
              <w:bottom w:val="nil"/>
              <w:right w:val="nil"/>
            </w:tcBorders>
            <w:shd w:val="clear" w:color="auto" w:fill="auto"/>
            <w:vAlign w:val="bottom"/>
            <w:hideMark/>
          </w:tcPr>
          <w:p w14:paraId="72C9E9D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971/1451 (66.9)</w:t>
            </w:r>
          </w:p>
        </w:tc>
      </w:tr>
      <w:tr w:rsidR="00EF5F48" w:rsidRPr="004D5859" w14:paraId="00CA0AF5" w14:textId="77777777" w:rsidTr="00AD0DF7">
        <w:trPr>
          <w:trHeight w:val="320"/>
        </w:trPr>
        <w:tc>
          <w:tcPr>
            <w:tcW w:w="0" w:type="auto"/>
            <w:tcBorders>
              <w:top w:val="nil"/>
              <w:left w:val="nil"/>
              <w:bottom w:val="nil"/>
              <w:right w:val="nil"/>
            </w:tcBorders>
            <w:shd w:val="clear" w:color="auto" w:fill="auto"/>
            <w:vAlign w:val="bottom"/>
            <w:hideMark/>
          </w:tcPr>
          <w:p w14:paraId="65BD329B"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264B5EE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MCA or ACA or border zone</w:t>
            </w:r>
          </w:p>
        </w:tc>
        <w:tc>
          <w:tcPr>
            <w:tcW w:w="0" w:type="auto"/>
            <w:tcBorders>
              <w:top w:val="nil"/>
              <w:left w:val="nil"/>
              <w:bottom w:val="nil"/>
              <w:right w:val="nil"/>
            </w:tcBorders>
            <w:shd w:val="clear" w:color="auto" w:fill="auto"/>
            <w:vAlign w:val="bottom"/>
            <w:hideMark/>
          </w:tcPr>
          <w:p w14:paraId="348430F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425/1465 (29.0)</w:t>
            </w:r>
          </w:p>
        </w:tc>
        <w:tc>
          <w:tcPr>
            <w:tcW w:w="0" w:type="auto"/>
            <w:tcBorders>
              <w:top w:val="nil"/>
              <w:left w:val="nil"/>
              <w:bottom w:val="nil"/>
              <w:right w:val="nil"/>
            </w:tcBorders>
            <w:shd w:val="clear" w:color="auto" w:fill="auto"/>
            <w:vAlign w:val="bottom"/>
            <w:hideMark/>
          </w:tcPr>
          <w:p w14:paraId="4E5728E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413/1451 (28.5)</w:t>
            </w:r>
          </w:p>
        </w:tc>
      </w:tr>
      <w:tr w:rsidR="00EF5F48" w:rsidRPr="004D5859" w14:paraId="33AC793F" w14:textId="77777777" w:rsidTr="00AD0DF7">
        <w:trPr>
          <w:trHeight w:val="320"/>
        </w:trPr>
        <w:tc>
          <w:tcPr>
            <w:tcW w:w="0" w:type="auto"/>
            <w:tcBorders>
              <w:top w:val="nil"/>
              <w:left w:val="nil"/>
              <w:bottom w:val="nil"/>
              <w:right w:val="nil"/>
            </w:tcBorders>
            <w:shd w:val="clear" w:color="auto" w:fill="auto"/>
            <w:vAlign w:val="bottom"/>
            <w:hideMark/>
          </w:tcPr>
          <w:p w14:paraId="6212F9F8"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0D0C9C4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Posterior</w:t>
            </w:r>
          </w:p>
        </w:tc>
        <w:tc>
          <w:tcPr>
            <w:tcW w:w="0" w:type="auto"/>
            <w:tcBorders>
              <w:top w:val="nil"/>
              <w:left w:val="nil"/>
              <w:bottom w:val="nil"/>
              <w:right w:val="nil"/>
            </w:tcBorders>
            <w:shd w:val="clear" w:color="auto" w:fill="auto"/>
            <w:vAlign w:val="bottom"/>
            <w:hideMark/>
          </w:tcPr>
          <w:p w14:paraId="37D508E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25/1465 (1.7)</w:t>
            </w:r>
          </w:p>
        </w:tc>
        <w:tc>
          <w:tcPr>
            <w:tcW w:w="0" w:type="auto"/>
            <w:tcBorders>
              <w:top w:val="nil"/>
              <w:left w:val="nil"/>
              <w:bottom w:val="nil"/>
              <w:right w:val="nil"/>
            </w:tcBorders>
            <w:shd w:val="clear" w:color="auto" w:fill="auto"/>
            <w:vAlign w:val="bottom"/>
            <w:hideMark/>
          </w:tcPr>
          <w:p w14:paraId="02C3FC2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11/1451 (0.8)</w:t>
            </w:r>
          </w:p>
        </w:tc>
      </w:tr>
      <w:tr w:rsidR="00EF5F48" w:rsidRPr="004D5859" w14:paraId="3DBD6672" w14:textId="77777777" w:rsidTr="00AD0DF7">
        <w:trPr>
          <w:trHeight w:val="320"/>
        </w:trPr>
        <w:tc>
          <w:tcPr>
            <w:tcW w:w="0" w:type="auto"/>
            <w:tcBorders>
              <w:top w:val="nil"/>
              <w:left w:val="nil"/>
              <w:bottom w:val="nil"/>
              <w:right w:val="nil"/>
            </w:tcBorders>
            <w:shd w:val="clear" w:color="auto" w:fill="auto"/>
            <w:vAlign w:val="bottom"/>
            <w:hideMark/>
          </w:tcPr>
          <w:p w14:paraId="7AB43802"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6ED5989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Lacunar</w:t>
            </w:r>
          </w:p>
        </w:tc>
        <w:tc>
          <w:tcPr>
            <w:tcW w:w="0" w:type="auto"/>
            <w:tcBorders>
              <w:top w:val="nil"/>
              <w:left w:val="nil"/>
              <w:bottom w:val="nil"/>
              <w:right w:val="nil"/>
            </w:tcBorders>
            <w:shd w:val="clear" w:color="auto" w:fill="auto"/>
            <w:vAlign w:val="bottom"/>
            <w:hideMark/>
          </w:tcPr>
          <w:p w14:paraId="134AC5A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44/1465 (3.0)</w:t>
            </w:r>
          </w:p>
        </w:tc>
        <w:tc>
          <w:tcPr>
            <w:tcW w:w="0" w:type="auto"/>
            <w:tcBorders>
              <w:top w:val="nil"/>
              <w:left w:val="nil"/>
              <w:bottom w:val="nil"/>
              <w:right w:val="nil"/>
            </w:tcBorders>
            <w:shd w:val="clear" w:color="auto" w:fill="auto"/>
            <w:vAlign w:val="bottom"/>
            <w:hideMark/>
          </w:tcPr>
          <w:p w14:paraId="368C419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56/1451 (3.9)</w:t>
            </w:r>
          </w:p>
        </w:tc>
      </w:tr>
      <w:tr w:rsidR="00EF5F48" w:rsidRPr="004D5859" w14:paraId="6BA24B76" w14:textId="77777777" w:rsidTr="00AD0DF7">
        <w:trPr>
          <w:trHeight w:val="320"/>
        </w:trPr>
        <w:tc>
          <w:tcPr>
            <w:tcW w:w="0" w:type="auto"/>
            <w:tcBorders>
              <w:top w:val="nil"/>
              <w:left w:val="nil"/>
              <w:bottom w:val="nil"/>
              <w:right w:val="nil"/>
            </w:tcBorders>
            <w:shd w:val="clear" w:color="auto" w:fill="auto"/>
            <w:vAlign w:val="bottom"/>
            <w:hideMark/>
          </w:tcPr>
          <w:p w14:paraId="260FF16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Early </w:t>
            </w:r>
            <w:r>
              <w:rPr>
                <w:rFonts w:ascii="Times New Roman" w:hAnsi="Times New Roman" w:cs="Times New Roman"/>
                <w:sz w:val="20"/>
                <w:szCs w:val="20"/>
              </w:rPr>
              <w:t>ischaemic</w:t>
            </w:r>
            <w:r w:rsidRPr="004D5859">
              <w:rPr>
                <w:rFonts w:ascii="Times New Roman" w:hAnsi="Times New Roman" w:cs="Times New Roman"/>
                <w:sz w:val="20"/>
                <w:szCs w:val="20"/>
              </w:rPr>
              <w:t xml:space="preserve"> lesion size</w:t>
            </w:r>
          </w:p>
        </w:tc>
        <w:tc>
          <w:tcPr>
            <w:tcW w:w="0" w:type="auto"/>
            <w:tcBorders>
              <w:top w:val="nil"/>
              <w:left w:val="nil"/>
              <w:bottom w:val="nil"/>
              <w:right w:val="nil"/>
            </w:tcBorders>
            <w:shd w:val="clear" w:color="auto" w:fill="auto"/>
            <w:vAlign w:val="bottom"/>
            <w:hideMark/>
          </w:tcPr>
          <w:p w14:paraId="4CAD4CB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None visible</w:t>
            </w:r>
          </w:p>
        </w:tc>
        <w:tc>
          <w:tcPr>
            <w:tcW w:w="0" w:type="auto"/>
            <w:tcBorders>
              <w:top w:val="nil"/>
              <w:left w:val="nil"/>
              <w:bottom w:val="nil"/>
              <w:right w:val="nil"/>
            </w:tcBorders>
            <w:shd w:val="clear" w:color="auto" w:fill="auto"/>
            <w:vAlign w:val="bottom"/>
            <w:hideMark/>
          </w:tcPr>
          <w:p w14:paraId="2F65072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994/1454 (68.4)</w:t>
            </w:r>
          </w:p>
        </w:tc>
        <w:tc>
          <w:tcPr>
            <w:tcW w:w="0" w:type="auto"/>
            <w:tcBorders>
              <w:top w:val="nil"/>
              <w:left w:val="nil"/>
              <w:bottom w:val="nil"/>
              <w:right w:val="nil"/>
            </w:tcBorders>
            <w:shd w:val="clear" w:color="auto" w:fill="auto"/>
            <w:vAlign w:val="bottom"/>
            <w:hideMark/>
          </w:tcPr>
          <w:p w14:paraId="51D175D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994/1439 (69.1)</w:t>
            </w:r>
          </w:p>
        </w:tc>
      </w:tr>
      <w:tr w:rsidR="00EF5F48" w:rsidRPr="004D5859" w14:paraId="6C2E624C" w14:textId="77777777" w:rsidTr="00AD0DF7">
        <w:trPr>
          <w:trHeight w:val="320"/>
        </w:trPr>
        <w:tc>
          <w:tcPr>
            <w:tcW w:w="0" w:type="auto"/>
            <w:tcBorders>
              <w:top w:val="nil"/>
              <w:left w:val="nil"/>
              <w:bottom w:val="nil"/>
              <w:right w:val="nil"/>
            </w:tcBorders>
            <w:shd w:val="clear" w:color="auto" w:fill="auto"/>
            <w:vAlign w:val="bottom"/>
            <w:hideMark/>
          </w:tcPr>
          <w:p w14:paraId="4C35DAF6"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491DFB3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Small</w:t>
            </w:r>
          </w:p>
        </w:tc>
        <w:tc>
          <w:tcPr>
            <w:tcW w:w="0" w:type="auto"/>
            <w:tcBorders>
              <w:top w:val="nil"/>
              <w:left w:val="nil"/>
              <w:bottom w:val="nil"/>
              <w:right w:val="nil"/>
            </w:tcBorders>
            <w:shd w:val="clear" w:color="auto" w:fill="auto"/>
            <w:vAlign w:val="bottom"/>
            <w:hideMark/>
          </w:tcPr>
          <w:p w14:paraId="1E3A48E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105/1454 (7.2)</w:t>
            </w:r>
          </w:p>
        </w:tc>
        <w:tc>
          <w:tcPr>
            <w:tcW w:w="0" w:type="auto"/>
            <w:tcBorders>
              <w:top w:val="nil"/>
              <w:left w:val="nil"/>
              <w:bottom w:val="nil"/>
              <w:right w:val="nil"/>
            </w:tcBorders>
            <w:shd w:val="clear" w:color="auto" w:fill="auto"/>
            <w:vAlign w:val="bottom"/>
            <w:hideMark/>
          </w:tcPr>
          <w:p w14:paraId="3D0B0E3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101/1439 (7.0)</w:t>
            </w:r>
          </w:p>
        </w:tc>
      </w:tr>
      <w:tr w:rsidR="00EF5F48" w:rsidRPr="004D5859" w14:paraId="7F6FE66F" w14:textId="77777777" w:rsidTr="00AD0DF7">
        <w:trPr>
          <w:trHeight w:val="320"/>
        </w:trPr>
        <w:tc>
          <w:tcPr>
            <w:tcW w:w="0" w:type="auto"/>
            <w:tcBorders>
              <w:top w:val="nil"/>
              <w:left w:val="nil"/>
              <w:bottom w:val="nil"/>
              <w:right w:val="nil"/>
            </w:tcBorders>
            <w:shd w:val="clear" w:color="auto" w:fill="auto"/>
            <w:vAlign w:val="bottom"/>
            <w:hideMark/>
          </w:tcPr>
          <w:p w14:paraId="4A7DEE87"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5C3480B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Medium</w:t>
            </w:r>
          </w:p>
        </w:tc>
        <w:tc>
          <w:tcPr>
            <w:tcW w:w="0" w:type="auto"/>
            <w:tcBorders>
              <w:top w:val="nil"/>
              <w:left w:val="nil"/>
              <w:bottom w:val="nil"/>
              <w:right w:val="nil"/>
            </w:tcBorders>
            <w:shd w:val="clear" w:color="auto" w:fill="auto"/>
            <w:vAlign w:val="bottom"/>
            <w:hideMark/>
          </w:tcPr>
          <w:p w14:paraId="6539E35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298/1454 (20.5)</w:t>
            </w:r>
          </w:p>
        </w:tc>
        <w:tc>
          <w:tcPr>
            <w:tcW w:w="0" w:type="auto"/>
            <w:tcBorders>
              <w:top w:val="nil"/>
              <w:left w:val="nil"/>
              <w:bottom w:val="nil"/>
              <w:right w:val="nil"/>
            </w:tcBorders>
            <w:shd w:val="clear" w:color="auto" w:fill="auto"/>
            <w:vAlign w:val="bottom"/>
            <w:hideMark/>
          </w:tcPr>
          <w:p w14:paraId="78D4313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285/1439 (19.8)</w:t>
            </w:r>
          </w:p>
        </w:tc>
      </w:tr>
      <w:tr w:rsidR="00EF5F48" w:rsidRPr="004D5859" w14:paraId="7C3B808C" w14:textId="77777777" w:rsidTr="00AD0DF7">
        <w:trPr>
          <w:trHeight w:val="320"/>
        </w:trPr>
        <w:tc>
          <w:tcPr>
            <w:tcW w:w="0" w:type="auto"/>
            <w:tcBorders>
              <w:top w:val="nil"/>
              <w:left w:val="nil"/>
              <w:bottom w:val="nil"/>
              <w:right w:val="nil"/>
            </w:tcBorders>
            <w:shd w:val="clear" w:color="auto" w:fill="auto"/>
            <w:vAlign w:val="bottom"/>
            <w:hideMark/>
          </w:tcPr>
          <w:p w14:paraId="02E83507"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2146F50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Large</w:t>
            </w:r>
          </w:p>
        </w:tc>
        <w:tc>
          <w:tcPr>
            <w:tcW w:w="0" w:type="auto"/>
            <w:tcBorders>
              <w:top w:val="nil"/>
              <w:left w:val="nil"/>
              <w:bottom w:val="nil"/>
              <w:right w:val="nil"/>
            </w:tcBorders>
            <w:shd w:val="clear" w:color="auto" w:fill="auto"/>
            <w:vAlign w:val="bottom"/>
            <w:hideMark/>
          </w:tcPr>
          <w:p w14:paraId="3A33032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55/1454 (3.8)</w:t>
            </w:r>
          </w:p>
        </w:tc>
        <w:tc>
          <w:tcPr>
            <w:tcW w:w="0" w:type="auto"/>
            <w:tcBorders>
              <w:top w:val="nil"/>
              <w:left w:val="nil"/>
              <w:bottom w:val="nil"/>
              <w:right w:val="nil"/>
            </w:tcBorders>
            <w:shd w:val="clear" w:color="auto" w:fill="auto"/>
            <w:vAlign w:val="bottom"/>
            <w:hideMark/>
          </w:tcPr>
          <w:p w14:paraId="520DF34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59/1439 (4.1)</w:t>
            </w:r>
          </w:p>
        </w:tc>
      </w:tr>
      <w:tr w:rsidR="00EF5F48" w:rsidRPr="004D5859" w14:paraId="20BCD07C" w14:textId="77777777" w:rsidTr="00AD0DF7">
        <w:trPr>
          <w:trHeight w:val="320"/>
        </w:trPr>
        <w:tc>
          <w:tcPr>
            <w:tcW w:w="0" w:type="auto"/>
            <w:tcBorders>
              <w:top w:val="nil"/>
              <w:left w:val="nil"/>
              <w:bottom w:val="nil"/>
              <w:right w:val="nil"/>
            </w:tcBorders>
            <w:shd w:val="clear" w:color="auto" w:fill="auto"/>
            <w:vAlign w:val="bottom"/>
            <w:hideMark/>
          </w:tcPr>
          <w:p w14:paraId="11BF882D"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7BD7F00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Very large</w:t>
            </w:r>
          </w:p>
        </w:tc>
        <w:tc>
          <w:tcPr>
            <w:tcW w:w="0" w:type="auto"/>
            <w:tcBorders>
              <w:top w:val="nil"/>
              <w:left w:val="nil"/>
              <w:bottom w:val="nil"/>
              <w:right w:val="nil"/>
            </w:tcBorders>
            <w:shd w:val="clear" w:color="auto" w:fill="auto"/>
            <w:vAlign w:val="bottom"/>
            <w:hideMark/>
          </w:tcPr>
          <w:p w14:paraId="261F1F0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2/1454 (0.1)</w:t>
            </w:r>
          </w:p>
        </w:tc>
        <w:tc>
          <w:tcPr>
            <w:tcW w:w="0" w:type="auto"/>
            <w:tcBorders>
              <w:top w:val="nil"/>
              <w:left w:val="nil"/>
              <w:bottom w:val="nil"/>
              <w:right w:val="nil"/>
            </w:tcBorders>
            <w:shd w:val="clear" w:color="auto" w:fill="auto"/>
            <w:vAlign w:val="bottom"/>
            <w:hideMark/>
          </w:tcPr>
          <w:p w14:paraId="12F6CA5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 1439 (0.0)</w:t>
            </w:r>
          </w:p>
        </w:tc>
      </w:tr>
      <w:tr w:rsidR="00EF5F48" w:rsidRPr="004D5859" w14:paraId="5982FE97" w14:textId="77777777" w:rsidTr="00AD0DF7">
        <w:trPr>
          <w:trHeight w:val="320"/>
        </w:trPr>
        <w:tc>
          <w:tcPr>
            <w:tcW w:w="0" w:type="auto"/>
            <w:tcBorders>
              <w:top w:val="nil"/>
              <w:left w:val="nil"/>
              <w:bottom w:val="nil"/>
              <w:right w:val="nil"/>
            </w:tcBorders>
            <w:shd w:val="clear" w:color="auto" w:fill="auto"/>
            <w:vAlign w:val="bottom"/>
            <w:hideMark/>
          </w:tcPr>
          <w:p w14:paraId="0696E1F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ASPECT score</w:t>
            </w:r>
          </w:p>
        </w:tc>
        <w:tc>
          <w:tcPr>
            <w:tcW w:w="0" w:type="auto"/>
            <w:tcBorders>
              <w:top w:val="nil"/>
              <w:left w:val="nil"/>
              <w:bottom w:val="nil"/>
              <w:right w:val="nil"/>
            </w:tcBorders>
            <w:shd w:val="clear" w:color="auto" w:fill="auto"/>
            <w:vAlign w:val="bottom"/>
            <w:hideMark/>
          </w:tcPr>
          <w:p w14:paraId="65678E0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0-4</w:t>
            </w:r>
          </w:p>
        </w:tc>
        <w:tc>
          <w:tcPr>
            <w:tcW w:w="0" w:type="auto"/>
            <w:tcBorders>
              <w:top w:val="nil"/>
              <w:left w:val="nil"/>
              <w:bottom w:val="nil"/>
              <w:right w:val="nil"/>
            </w:tcBorders>
            <w:shd w:val="clear" w:color="auto" w:fill="auto"/>
            <w:vAlign w:val="bottom"/>
            <w:hideMark/>
          </w:tcPr>
          <w:p w14:paraId="50C19A4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85/1465 (5.8)</w:t>
            </w:r>
          </w:p>
        </w:tc>
        <w:tc>
          <w:tcPr>
            <w:tcW w:w="0" w:type="auto"/>
            <w:tcBorders>
              <w:top w:val="nil"/>
              <w:left w:val="nil"/>
              <w:bottom w:val="nil"/>
              <w:right w:val="nil"/>
            </w:tcBorders>
            <w:shd w:val="clear" w:color="auto" w:fill="auto"/>
            <w:vAlign w:val="bottom"/>
            <w:hideMark/>
          </w:tcPr>
          <w:p w14:paraId="2E499FC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78/1451 (5.4)</w:t>
            </w:r>
          </w:p>
        </w:tc>
      </w:tr>
      <w:tr w:rsidR="00EF5F48" w:rsidRPr="004D5859" w14:paraId="24C64202" w14:textId="77777777" w:rsidTr="00AD0DF7">
        <w:trPr>
          <w:trHeight w:val="320"/>
        </w:trPr>
        <w:tc>
          <w:tcPr>
            <w:tcW w:w="0" w:type="auto"/>
            <w:tcBorders>
              <w:top w:val="nil"/>
              <w:left w:val="nil"/>
              <w:bottom w:val="nil"/>
              <w:right w:val="nil"/>
            </w:tcBorders>
            <w:shd w:val="clear" w:color="auto" w:fill="auto"/>
            <w:vAlign w:val="bottom"/>
            <w:hideMark/>
          </w:tcPr>
          <w:p w14:paraId="116DBF46"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3A4FA0C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5-7</w:t>
            </w:r>
          </w:p>
        </w:tc>
        <w:tc>
          <w:tcPr>
            <w:tcW w:w="0" w:type="auto"/>
            <w:tcBorders>
              <w:top w:val="nil"/>
              <w:left w:val="nil"/>
              <w:bottom w:val="nil"/>
              <w:right w:val="nil"/>
            </w:tcBorders>
            <w:shd w:val="clear" w:color="auto" w:fill="auto"/>
            <w:vAlign w:val="bottom"/>
            <w:hideMark/>
          </w:tcPr>
          <w:p w14:paraId="1BD866B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133/1465 (9.1)</w:t>
            </w:r>
          </w:p>
        </w:tc>
        <w:tc>
          <w:tcPr>
            <w:tcW w:w="0" w:type="auto"/>
            <w:tcBorders>
              <w:top w:val="nil"/>
              <w:left w:val="nil"/>
              <w:bottom w:val="nil"/>
              <w:right w:val="nil"/>
            </w:tcBorders>
            <w:shd w:val="clear" w:color="auto" w:fill="auto"/>
            <w:vAlign w:val="bottom"/>
            <w:hideMark/>
          </w:tcPr>
          <w:p w14:paraId="57E91B3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146/1451 (10.1)</w:t>
            </w:r>
          </w:p>
        </w:tc>
      </w:tr>
      <w:tr w:rsidR="00EF5F48" w:rsidRPr="004D5859" w14:paraId="20F4EE8F" w14:textId="77777777" w:rsidTr="00AD0DF7">
        <w:trPr>
          <w:trHeight w:val="320"/>
        </w:trPr>
        <w:tc>
          <w:tcPr>
            <w:tcW w:w="0" w:type="auto"/>
            <w:tcBorders>
              <w:top w:val="nil"/>
              <w:left w:val="nil"/>
              <w:bottom w:val="nil"/>
              <w:right w:val="nil"/>
            </w:tcBorders>
            <w:shd w:val="clear" w:color="auto" w:fill="auto"/>
            <w:vAlign w:val="bottom"/>
            <w:hideMark/>
          </w:tcPr>
          <w:p w14:paraId="64DF1A92"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5E0B36B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8-10</w:t>
            </w:r>
          </w:p>
        </w:tc>
        <w:tc>
          <w:tcPr>
            <w:tcW w:w="0" w:type="auto"/>
            <w:tcBorders>
              <w:top w:val="nil"/>
              <w:left w:val="nil"/>
              <w:bottom w:val="nil"/>
              <w:right w:val="nil"/>
            </w:tcBorders>
            <w:shd w:val="clear" w:color="auto" w:fill="auto"/>
            <w:vAlign w:val="bottom"/>
            <w:hideMark/>
          </w:tcPr>
          <w:p w14:paraId="6F3E147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1247/1465 (85.1)</w:t>
            </w:r>
          </w:p>
        </w:tc>
        <w:tc>
          <w:tcPr>
            <w:tcW w:w="0" w:type="auto"/>
            <w:tcBorders>
              <w:top w:val="nil"/>
              <w:left w:val="nil"/>
              <w:bottom w:val="nil"/>
              <w:right w:val="nil"/>
            </w:tcBorders>
            <w:shd w:val="clear" w:color="auto" w:fill="auto"/>
            <w:vAlign w:val="bottom"/>
            <w:hideMark/>
          </w:tcPr>
          <w:p w14:paraId="3BA4163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1227/1451 (84.6)</w:t>
            </w:r>
          </w:p>
        </w:tc>
      </w:tr>
      <w:tr w:rsidR="00EF5F48" w:rsidRPr="004D5859" w14:paraId="3FF8D756" w14:textId="77777777" w:rsidTr="00AD0DF7">
        <w:trPr>
          <w:trHeight w:val="320"/>
        </w:trPr>
        <w:tc>
          <w:tcPr>
            <w:tcW w:w="0" w:type="auto"/>
            <w:tcBorders>
              <w:top w:val="nil"/>
              <w:left w:val="nil"/>
              <w:bottom w:val="nil"/>
              <w:right w:val="nil"/>
            </w:tcBorders>
            <w:shd w:val="clear" w:color="auto" w:fill="auto"/>
            <w:vAlign w:val="bottom"/>
            <w:hideMark/>
          </w:tcPr>
          <w:p w14:paraId="6F70AEB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Degree of tissue </w:t>
            </w:r>
            <w:proofErr w:type="spellStart"/>
            <w:r w:rsidRPr="004D5859">
              <w:rPr>
                <w:rFonts w:ascii="Times New Roman" w:hAnsi="Times New Roman" w:cs="Times New Roman"/>
                <w:sz w:val="20"/>
                <w:szCs w:val="20"/>
              </w:rPr>
              <w:t>hypoattenuation</w:t>
            </w:r>
            <w:proofErr w:type="spellEnd"/>
          </w:p>
        </w:tc>
        <w:tc>
          <w:tcPr>
            <w:tcW w:w="0" w:type="auto"/>
            <w:tcBorders>
              <w:top w:val="nil"/>
              <w:left w:val="nil"/>
              <w:bottom w:val="nil"/>
              <w:right w:val="nil"/>
            </w:tcBorders>
            <w:shd w:val="clear" w:color="auto" w:fill="auto"/>
            <w:vAlign w:val="bottom"/>
            <w:hideMark/>
          </w:tcPr>
          <w:p w14:paraId="50EBFA0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None</w:t>
            </w:r>
          </w:p>
        </w:tc>
        <w:tc>
          <w:tcPr>
            <w:tcW w:w="0" w:type="auto"/>
            <w:tcBorders>
              <w:top w:val="nil"/>
              <w:left w:val="nil"/>
              <w:bottom w:val="nil"/>
              <w:right w:val="nil"/>
            </w:tcBorders>
            <w:shd w:val="clear" w:color="auto" w:fill="auto"/>
            <w:vAlign w:val="bottom"/>
            <w:hideMark/>
          </w:tcPr>
          <w:p w14:paraId="07E48E8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1030/1464 (70.4)</w:t>
            </w:r>
          </w:p>
        </w:tc>
        <w:tc>
          <w:tcPr>
            <w:tcW w:w="0" w:type="auto"/>
            <w:tcBorders>
              <w:top w:val="nil"/>
              <w:left w:val="nil"/>
              <w:bottom w:val="nil"/>
              <w:right w:val="nil"/>
            </w:tcBorders>
            <w:shd w:val="clear" w:color="auto" w:fill="auto"/>
            <w:vAlign w:val="bottom"/>
            <w:hideMark/>
          </w:tcPr>
          <w:p w14:paraId="663CA7A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1035/1447 (71.5)</w:t>
            </w:r>
          </w:p>
        </w:tc>
      </w:tr>
      <w:tr w:rsidR="00EF5F48" w:rsidRPr="004D5859" w14:paraId="258511AD" w14:textId="77777777" w:rsidTr="00AD0DF7">
        <w:trPr>
          <w:trHeight w:val="320"/>
        </w:trPr>
        <w:tc>
          <w:tcPr>
            <w:tcW w:w="0" w:type="auto"/>
            <w:tcBorders>
              <w:top w:val="nil"/>
              <w:left w:val="nil"/>
              <w:bottom w:val="nil"/>
              <w:right w:val="nil"/>
            </w:tcBorders>
            <w:shd w:val="clear" w:color="auto" w:fill="auto"/>
            <w:vAlign w:val="bottom"/>
            <w:hideMark/>
          </w:tcPr>
          <w:p w14:paraId="4869C905"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1D51A94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Mild</w:t>
            </w:r>
          </w:p>
        </w:tc>
        <w:tc>
          <w:tcPr>
            <w:tcW w:w="0" w:type="auto"/>
            <w:tcBorders>
              <w:top w:val="nil"/>
              <w:left w:val="nil"/>
              <w:bottom w:val="nil"/>
              <w:right w:val="nil"/>
            </w:tcBorders>
            <w:shd w:val="clear" w:color="auto" w:fill="auto"/>
            <w:noWrap/>
            <w:vAlign w:val="bottom"/>
            <w:hideMark/>
          </w:tcPr>
          <w:p w14:paraId="60D8925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368/1464 (25.1)</w:t>
            </w:r>
          </w:p>
        </w:tc>
        <w:tc>
          <w:tcPr>
            <w:tcW w:w="0" w:type="auto"/>
            <w:tcBorders>
              <w:top w:val="nil"/>
              <w:left w:val="nil"/>
              <w:bottom w:val="nil"/>
              <w:right w:val="nil"/>
            </w:tcBorders>
            <w:shd w:val="clear" w:color="auto" w:fill="auto"/>
            <w:noWrap/>
            <w:vAlign w:val="bottom"/>
            <w:hideMark/>
          </w:tcPr>
          <w:p w14:paraId="6F72E34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353/1447 (24.4)</w:t>
            </w:r>
          </w:p>
        </w:tc>
      </w:tr>
      <w:tr w:rsidR="00EF5F48" w:rsidRPr="004D5859" w14:paraId="29FB45E5" w14:textId="77777777" w:rsidTr="00AD0DF7">
        <w:trPr>
          <w:trHeight w:val="320"/>
        </w:trPr>
        <w:tc>
          <w:tcPr>
            <w:tcW w:w="0" w:type="auto"/>
            <w:tcBorders>
              <w:top w:val="nil"/>
              <w:left w:val="nil"/>
              <w:bottom w:val="nil"/>
              <w:right w:val="nil"/>
            </w:tcBorders>
            <w:shd w:val="clear" w:color="auto" w:fill="auto"/>
            <w:vAlign w:val="bottom"/>
            <w:hideMark/>
          </w:tcPr>
          <w:p w14:paraId="7D03E466"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195E12F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Severe</w:t>
            </w:r>
          </w:p>
        </w:tc>
        <w:tc>
          <w:tcPr>
            <w:tcW w:w="0" w:type="auto"/>
            <w:tcBorders>
              <w:top w:val="nil"/>
              <w:left w:val="nil"/>
              <w:bottom w:val="nil"/>
              <w:right w:val="nil"/>
            </w:tcBorders>
            <w:shd w:val="clear" w:color="auto" w:fill="auto"/>
            <w:noWrap/>
            <w:vAlign w:val="bottom"/>
            <w:hideMark/>
          </w:tcPr>
          <w:p w14:paraId="490B708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66/1464 (4.5)</w:t>
            </w:r>
          </w:p>
        </w:tc>
        <w:tc>
          <w:tcPr>
            <w:tcW w:w="0" w:type="auto"/>
            <w:tcBorders>
              <w:top w:val="nil"/>
              <w:left w:val="nil"/>
              <w:bottom w:val="nil"/>
              <w:right w:val="nil"/>
            </w:tcBorders>
            <w:shd w:val="clear" w:color="auto" w:fill="auto"/>
            <w:noWrap/>
            <w:vAlign w:val="bottom"/>
            <w:hideMark/>
          </w:tcPr>
          <w:p w14:paraId="56E8546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59/1447 (4.1)</w:t>
            </w:r>
          </w:p>
        </w:tc>
      </w:tr>
      <w:tr w:rsidR="00EF5F48" w:rsidRPr="004D5859" w14:paraId="01453A7B" w14:textId="77777777" w:rsidTr="00AD0DF7">
        <w:trPr>
          <w:trHeight w:val="320"/>
        </w:trPr>
        <w:tc>
          <w:tcPr>
            <w:tcW w:w="0" w:type="auto"/>
            <w:tcBorders>
              <w:top w:val="nil"/>
              <w:left w:val="nil"/>
              <w:bottom w:val="nil"/>
              <w:right w:val="nil"/>
            </w:tcBorders>
            <w:shd w:val="clear" w:color="auto" w:fill="auto"/>
            <w:vAlign w:val="bottom"/>
            <w:hideMark/>
          </w:tcPr>
          <w:p w14:paraId="27B51E7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Degree of swelling</w:t>
            </w:r>
          </w:p>
        </w:tc>
        <w:tc>
          <w:tcPr>
            <w:tcW w:w="0" w:type="auto"/>
            <w:tcBorders>
              <w:top w:val="nil"/>
              <w:left w:val="nil"/>
              <w:bottom w:val="nil"/>
              <w:right w:val="nil"/>
            </w:tcBorders>
            <w:shd w:val="clear" w:color="auto" w:fill="auto"/>
            <w:vAlign w:val="bottom"/>
            <w:hideMark/>
          </w:tcPr>
          <w:p w14:paraId="6A5D63A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None</w:t>
            </w:r>
          </w:p>
        </w:tc>
        <w:tc>
          <w:tcPr>
            <w:tcW w:w="0" w:type="auto"/>
            <w:tcBorders>
              <w:top w:val="nil"/>
              <w:left w:val="nil"/>
              <w:bottom w:val="nil"/>
              <w:right w:val="nil"/>
            </w:tcBorders>
            <w:shd w:val="clear" w:color="auto" w:fill="auto"/>
            <w:vAlign w:val="bottom"/>
            <w:hideMark/>
          </w:tcPr>
          <w:p w14:paraId="1BC5345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965/1465 (65.9)</w:t>
            </w:r>
          </w:p>
        </w:tc>
        <w:tc>
          <w:tcPr>
            <w:tcW w:w="0" w:type="auto"/>
            <w:tcBorders>
              <w:top w:val="nil"/>
              <w:left w:val="nil"/>
              <w:bottom w:val="nil"/>
              <w:right w:val="nil"/>
            </w:tcBorders>
            <w:shd w:val="clear" w:color="auto" w:fill="auto"/>
            <w:vAlign w:val="bottom"/>
            <w:hideMark/>
          </w:tcPr>
          <w:p w14:paraId="7775E7A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968/1451 (66.7)</w:t>
            </w:r>
          </w:p>
        </w:tc>
      </w:tr>
      <w:tr w:rsidR="00EF5F48" w:rsidRPr="004D5859" w14:paraId="238FEDCF" w14:textId="77777777" w:rsidTr="00AD0DF7">
        <w:trPr>
          <w:trHeight w:val="320"/>
        </w:trPr>
        <w:tc>
          <w:tcPr>
            <w:tcW w:w="0" w:type="auto"/>
            <w:tcBorders>
              <w:top w:val="nil"/>
              <w:left w:val="nil"/>
              <w:bottom w:val="nil"/>
              <w:right w:val="nil"/>
            </w:tcBorders>
            <w:shd w:val="clear" w:color="auto" w:fill="auto"/>
            <w:vAlign w:val="bottom"/>
            <w:hideMark/>
          </w:tcPr>
          <w:p w14:paraId="57E12C5E"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746FE80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Mild </w:t>
            </w:r>
            <w:proofErr w:type="spellStart"/>
            <w:r w:rsidRPr="004D5859">
              <w:rPr>
                <w:rFonts w:ascii="Times New Roman" w:hAnsi="Times New Roman" w:cs="Times New Roman"/>
                <w:sz w:val="20"/>
                <w:szCs w:val="20"/>
              </w:rPr>
              <w:t>sulcal</w:t>
            </w:r>
            <w:proofErr w:type="spellEnd"/>
            <w:r w:rsidRPr="004D5859">
              <w:rPr>
                <w:rFonts w:ascii="Times New Roman" w:hAnsi="Times New Roman" w:cs="Times New Roman"/>
                <w:sz w:val="20"/>
                <w:szCs w:val="20"/>
              </w:rPr>
              <w:t xml:space="preserve"> effacement</w:t>
            </w:r>
          </w:p>
        </w:tc>
        <w:tc>
          <w:tcPr>
            <w:tcW w:w="0" w:type="auto"/>
            <w:tcBorders>
              <w:top w:val="nil"/>
              <w:left w:val="nil"/>
              <w:bottom w:val="nil"/>
              <w:right w:val="nil"/>
            </w:tcBorders>
            <w:shd w:val="clear" w:color="auto" w:fill="auto"/>
            <w:vAlign w:val="bottom"/>
            <w:hideMark/>
          </w:tcPr>
          <w:p w14:paraId="0424CCE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271/1465 (18.5)</w:t>
            </w:r>
          </w:p>
        </w:tc>
        <w:tc>
          <w:tcPr>
            <w:tcW w:w="0" w:type="auto"/>
            <w:tcBorders>
              <w:top w:val="nil"/>
              <w:left w:val="nil"/>
              <w:bottom w:val="nil"/>
              <w:right w:val="nil"/>
            </w:tcBorders>
            <w:shd w:val="clear" w:color="auto" w:fill="auto"/>
            <w:vAlign w:val="bottom"/>
            <w:hideMark/>
          </w:tcPr>
          <w:p w14:paraId="12D57FA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253/1451 (17.4)</w:t>
            </w:r>
          </w:p>
        </w:tc>
      </w:tr>
      <w:tr w:rsidR="00EF5F48" w:rsidRPr="004D5859" w14:paraId="0CCFCCAC" w14:textId="77777777" w:rsidTr="00AD0DF7">
        <w:trPr>
          <w:trHeight w:val="320"/>
        </w:trPr>
        <w:tc>
          <w:tcPr>
            <w:tcW w:w="0" w:type="auto"/>
            <w:tcBorders>
              <w:top w:val="nil"/>
              <w:left w:val="nil"/>
              <w:bottom w:val="nil"/>
              <w:right w:val="nil"/>
            </w:tcBorders>
            <w:shd w:val="clear" w:color="auto" w:fill="auto"/>
            <w:vAlign w:val="bottom"/>
            <w:hideMark/>
          </w:tcPr>
          <w:p w14:paraId="63A2EF7F"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7CCAB80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Mild ventricular effacement</w:t>
            </w:r>
          </w:p>
        </w:tc>
        <w:tc>
          <w:tcPr>
            <w:tcW w:w="0" w:type="auto"/>
            <w:tcBorders>
              <w:top w:val="nil"/>
              <w:left w:val="nil"/>
              <w:bottom w:val="nil"/>
              <w:right w:val="nil"/>
            </w:tcBorders>
            <w:shd w:val="clear" w:color="auto" w:fill="auto"/>
            <w:vAlign w:val="bottom"/>
            <w:hideMark/>
          </w:tcPr>
          <w:p w14:paraId="0803873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195/1465 (13.3)</w:t>
            </w:r>
          </w:p>
        </w:tc>
        <w:tc>
          <w:tcPr>
            <w:tcW w:w="0" w:type="auto"/>
            <w:tcBorders>
              <w:top w:val="nil"/>
              <w:left w:val="nil"/>
              <w:bottom w:val="nil"/>
              <w:right w:val="nil"/>
            </w:tcBorders>
            <w:shd w:val="clear" w:color="auto" w:fill="auto"/>
            <w:vAlign w:val="bottom"/>
            <w:hideMark/>
          </w:tcPr>
          <w:p w14:paraId="0A662CC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205/1451 (14.1)</w:t>
            </w:r>
          </w:p>
        </w:tc>
      </w:tr>
      <w:tr w:rsidR="00EF5F48" w:rsidRPr="004D5859" w14:paraId="05191385" w14:textId="77777777" w:rsidTr="00AD0DF7">
        <w:trPr>
          <w:trHeight w:val="320"/>
        </w:trPr>
        <w:tc>
          <w:tcPr>
            <w:tcW w:w="0" w:type="auto"/>
            <w:tcBorders>
              <w:top w:val="nil"/>
              <w:left w:val="nil"/>
              <w:bottom w:val="nil"/>
              <w:right w:val="nil"/>
            </w:tcBorders>
            <w:shd w:val="clear" w:color="auto" w:fill="auto"/>
            <w:vAlign w:val="bottom"/>
            <w:hideMark/>
          </w:tcPr>
          <w:p w14:paraId="1AEB8CD2"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59861FD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Moderate effacement</w:t>
            </w:r>
          </w:p>
        </w:tc>
        <w:tc>
          <w:tcPr>
            <w:tcW w:w="0" w:type="auto"/>
            <w:tcBorders>
              <w:top w:val="nil"/>
              <w:left w:val="nil"/>
              <w:bottom w:val="nil"/>
              <w:right w:val="nil"/>
            </w:tcBorders>
            <w:shd w:val="clear" w:color="auto" w:fill="auto"/>
            <w:vAlign w:val="bottom"/>
            <w:hideMark/>
          </w:tcPr>
          <w:p w14:paraId="097F725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34/1465 (2.3)</w:t>
            </w:r>
          </w:p>
        </w:tc>
        <w:tc>
          <w:tcPr>
            <w:tcW w:w="0" w:type="auto"/>
            <w:tcBorders>
              <w:top w:val="nil"/>
              <w:left w:val="nil"/>
              <w:bottom w:val="nil"/>
              <w:right w:val="nil"/>
            </w:tcBorders>
            <w:shd w:val="clear" w:color="auto" w:fill="auto"/>
            <w:vAlign w:val="bottom"/>
            <w:hideMark/>
          </w:tcPr>
          <w:p w14:paraId="795320A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25/1451 (1.7)</w:t>
            </w:r>
          </w:p>
        </w:tc>
      </w:tr>
      <w:tr w:rsidR="00EF5F48" w:rsidRPr="004D5859" w14:paraId="5426E308" w14:textId="77777777" w:rsidTr="00AD0DF7">
        <w:trPr>
          <w:trHeight w:val="320"/>
        </w:trPr>
        <w:tc>
          <w:tcPr>
            <w:tcW w:w="0" w:type="auto"/>
            <w:tcBorders>
              <w:top w:val="nil"/>
              <w:left w:val="nil"/>
              <w:bottom w:val="nil"/>
              <w:right w:val="nil"/>
            </w:tcBorders>
            <w:shd w:val="clear" w:color="auto" w:fill="auto"/>
            <w:vAlign w:val="bottom"/>
            <w:hideMark/>
          </w:tcPr>
          <w:p w14:paraId="2E0E8F3D"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7F99DA4B" w14:textId="77777777" w:rsidR="00EF5F48" w:rsidRPr="00D342E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Severe effacement</w:t>
            </w:r>
          </w:p>
        </w:tc>
        <w:tc>
          <w:tcPr>
            <w:tcW w:w="0" w:type="auto"/>
            <w:tcBorders>
              <w:top w:val="nil"/>
              <w:left w:val="nil"/>
              <w:bottom w:val="nil"/>
              <w:right w:val="nil"/>
            </w:tcBorders>
            <w:shd w:val="clear" w:color="auto" w:fill="auto"/>
            <w:vAlign w:val="bottom"/>
            <w:hideMark/>
          </w:tcPr>
          <w:p w14:paraId="4C5865D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0/1465 (0.0)</w:t>
            </w:r>
          </w:p>
        </w:tc>
        <w:tc>
          <w:tcPr>
            <w:tcW w:w="0" w:type="auto"/>
            <w:tcBorders>
              <w:top w:val="nil"/>
              <w:left w:val="nil"/>
              <w:bottom w:val="nil"/>
              <w:right w:val="nil"/>
            </w:tcBorders>
            <w:shd w:val="clear" w:color="auto" w:fill="auto"/>
            <w:vAlign w:val="bottom"/>
            <w:hideMark/>
          </w:tcPr>
          <w:p w14:paraId="7648711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0/1451 (0.0)</w:t>
            </w:r>
          </w:p>
        </w:tc>
      </w:tr>
      <w:tr w:rsidR="00EF5F48" w:rsidRPr="004D5859" w14:paraId="69229B5B" w14:textId="77777777" w:rsidTr="00AD0DF7">
        <w:trPr>
          <w:trHeight w:val="320"/>
        </w:trPr>
        <w:tc>
          <w:tcPr>
            <w:tcW w:w="0" w:type="auto"/>
            <w:tcBorders>
              <w:top w:val="nil"/>
              <w:left w:val="nil"/>
              <w:bottom w:val="nil"/>
              <w:right w:val="nil"/>
            </w:tcBorders>
            <w:shd w:val="clear" w:color="auto" w:fill="auto"/>
            <w:vAlign w:val="bottom"/>
            <w:hideMark/>
          </w:tcPr>
          <w:p w14:paraId="72E090E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Location of </w:t>
            </w:r>
            <w:proofErr w:type="spellStart"/>
            <w:r w:rsidRPr="004D5859">
              <w:rPr>
                <w:rFonts w:ascii="Times New Roman" w:hAnsi="Times New Roman" w:cs="Times New Roman"/>
                <w:sz w:val="20"/>
                <w:szCs w:val="20"/>
              </w:rPr>
              <w:t>hyperattenuated</w:t>
            </w:r>
            <w:proofErr w:type="spellEnd"/>
            <w:r w:rsidRPr="004D5859">
              <w:rPr>
                <w:rFonts w:ascii="Times New Roman" w:hAnsi="Times New Roman" w:cs="Times New Roman"/>
                <w:sz w:val="20"/>
                <w:szCs w:val="20"/>
              </w:rPr>
              <w:t xml:space="preserve"> arteries</w:t>
            </w:r>
          </w:p>
        </w:tc>
        <w:tc>
          <w:tcPr>
            <w:tcW w:w="0" w:type="auto"/>
            <w:tcBorders>
              <w:top w:val="nil"/>
              <w:left w:val="nil"/>
              <w:bottom w:val="nil"/>
              <w:right w:val="nil"/>
            </w:tcBorders>
            <w:shd w:val="clear" w:color="auto" w:fill="auto"/>
            <w:vAlign w:val="bottom"/>
            <w:hideMark/>
          </w:tcPr>
          <w:p w14:paraId="2C24F14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None</w:t>
            </w:r>
          </w:p>
        </w:tc>
        <w:tc>
          <w:tcPr>
            <w:tcW w:w="0" w:type="auto"/>
            <w:tcBorders>
              <w:top w:val="nil"/>
              <w:left w:val="nil"/>
              <w:bottom w:val="nil"/>
              <w:right w:val="nil"/>
            </w:tcBorders>
            <w:shd w:val="clear" w:color="auto" w:fill="auto"/>
            <w:vAlign w:val="bottom"/>
            <w:hideMark/>
          </w:tcPr>
          <w:p w14:paraId="2049CDB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1221/1465 (83.3)</w:t>
            </w:r>
          </w:p>
        </w:tc>
        <w:tc>
          <w:tcPr>
            <w:tcW w:w="0" w:type="auto"/>
            <w:tcBorders>
              <w:top w:val="nil"/>
              <w:left w:val="nil"/>
              <w:bottom w:val="nil"/>
              <w:right w:val="nil"/>
            </w:tcBorders>
            <w:shd w:val="clear" w:color="auto" w:fill="auto"/>
            <w:vAlign w:val="bottom"/>
            <w:hideMark/>
          </w:tcPr>
          <w:p w14:paraId="4A66E9C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1204/1451 (83.0)</w:t>
            </w:r>
          </w:p>
        </w:tc>
      </w:tr>
      <w:tr w:rsidR="00EF5F48" w:rsidRPr="004D5859" w14:paraId="3EEF6859" w14:textId="77777777" w:rsidTr="00AD0DF7">
        <w:trPr>
          <w:trHeight w:val="320"/>
        </w:trPr>
        <w:tc>
          <w:tcPr>
            <w:tcW w:w="0" w:type="auto"/>
            <w:tcBorders>
              <w:top w:val="nil"/>
              <w:left w:val="nil"/>
              <w:bottom w:val="nil"/>
              <w:right w:val="nil"/>
            </w:tcBorders>
            <w:shd w:val="clear" w:color="auto" w:fill="auto"/>
            <w:vAlign w:val="bottom"/>
            <w:hideMark/>
          </w:tcPr>
          <w:p w14:paraId="6FAED0C4"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208BDFD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Only anterior circulation</w:t>
            </w:r>
          </w:p>
        </w:tc>
        <w:tc>
          <w:tcPr>
            <w:tcW w:w="0" w:type="auto"/>
            <w:tcBorders>
              <w:top w:val="nil"/>
              <w:left w:val="nil"/>
              <w:bottom w:val="nil"/>
              <w:right w:val="nil"/>
            </w:tcBorders>
            <w:shd w:val="clear" w:color="auto" w:fill="auto"/>
            <w:vAlign w:val="bottom"/>
            <w:hideMark/>
          </w:tcPr>
          <w:p w14:paraId="3116556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230/1465 (15.7)</w:t>
            </w:r>
          </w:p>
        </w:tc>
        <w:tc>
          <w:tcPr>
            <w:tcW w:w="0" w:type="auto"/>
            <w:tcBorders>
              <w:top w:val="nil"/>
              <w:left w:val="nil"/>
              <w:bottom w:val="nil"/>
              <w:right w:val="nil"/>
            </w:tcBorders>
            <w:shd w:val="clear" w:color="auto" w:fill="auto"/>
            <w:vAlign w:val="bottom"/>
            <w:hideMark/>
          </w:tcPr>
          <w:p w14:paraId="40D8242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229/1451 (15.8)</w:t>
            </w:r>
          </w:p>
        </w:tc>
      </w:tr>
      <w:tr w:rsidR="00EF5F48" w:rsidRPr="004D5859" w14:paraId="4C8247F4" w14:textId="77777777" w:rsidTr="00AD0DF7">
        <w:trPr>
          <w:trHeight w:val="320"/>
        </w:trPr>
        <w:tc>
          <w:tcPr>
            <w:tcW w:w="0" w:type="auto"/>
            <w:tcBorders>
              <w:top w:val="nil"/>
              <w:left w:val="nil"/>
              <w:bottom w:val="nil"/>
              <w:right w:val="nil"/>
            </w:tcBorders>
            <w:shd w:val="clear" w:color="auto" w:fill="auto"/>
            <w:vAlign w:val="bottom"/>
            <w:hideMark/>
          </w:tcPr>
          <w:p w14:paraId="0182EE0F"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16F3731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Only posterior circulation</w:t>
            </w:r>
          </w:p>
        </w:tc>
        <w:tc>
          <w:tcPr>
            <w:tcW w:w="0" w:type="auto"/>
            <w:tcBorders>
              <w:top w:val="nil"/>
              <w:left w:val="nil"/>
              <w:bottom w:val="nil"/>
              <w:right w:val="nil"/>
            </w:tcBorders>
            <w:shd w:val="clear" w:color="auto" w:fill="auto"/>
            <w:vAlign w:val="bottom"/>
            <w:hideMark/>
          </w:tcPr>
          <w:p w14:paraId="14940C2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9/1465 (0.6)</w:t>
            </w:r>
          </w:p>
        </w:tc>
        <w:tc>
          <w:tcPr>
            <w:tcW w:w="0" w:type="auto"/>
            <w:tcBorders>
              <w:top w:val="nil"/>
              <w:left w:val="nil"/>
              <w:bottom w:val="nil"/>
              <w:right w:val="nil"/>
            </w:tcBorders>
            <w:shd w:val="clear" w:color="auto" w:fill="auto"/>
            <w:vAlign w:val="bottom"/>
            <w:hideMark/>
          </w:tcPr>
          <w:p w14:paraId="0EA4349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12/1451 (0.8)</w:t>
            </w:r>
          </w:p>
        </w:tc>
      </w:tr>
      <w:tr w:rsidR="00EF5F48" w:rsidRPr="004D5859" w14:paraId="6AFE2DCA" w14:textId="77777777" w:rsidTr="00AD0DF7">
        <w:trPr>
          <w:trHeight w:val="320"/>
        </w:trPr>
        <w:tc>
          <w:tcPr>
            <w:tcW w:w="0" w:type="auto"/>
            <w:tcBorders>
              <w:top w:val="nil"/>
              <w:left w:val="nil"/>
              <w:bottom w:val="nil"/>
              <w:right w:val="nil"/>
            </w:tcBorders>
            <w:shd w:val="clear" w:color="auto" w:fill="auto"/>
            <w:vAlign w:val="bottom"/>
            <w:hideMark/>
          </w:tcPr>
          <w:p w14:paraId="3D0F3B96"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0C6DC6D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MCA, or ACA, or BA</w:t>
            </w:r>
          </w:p>
        </w:tc>
        <w:tc>
          <w:tcPr>
            <w:tcW w:w="0" w:type="auto"/>
            <w:tcBorders>
              <w:top w:val="nil"/>
              <w:left w:val="nil"/>
              <w:bottom w:val="nil"/>
              <w:right w:val="nil"/>
            </w:tcBorders>
            <w:shd w:val="clear" w:color="auto" w:fill="auto"/>
            <w:vAlign w:val="bottom"/>
            <w:hideMark/>
          </w:tcPr>
          <w:p w14:paraId="6A727F7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243/1465 (16.6)</w:t>
            </w:r>
          </w:p>
        </w:tc>
        <w:tc>
          <w:tcPr>
            <w:tcW w:w="0" w:type="auto"/>
            <w:tcBorders>
              <w:top w:val="nil"/>
              <w:left w:val="nil"/>
              <w:bottom w:val="nil"/>
              <w:right w:val="nil"/>
            </w:tcBorders>
            <w:shd w:val="clear" w:color="auto" w:fill="auto"/>
            <w:vAlign w:val="bottom"/>
            <w:hideMark/>
          </w:tcPr>
          <w:p w14:paraId="45911C7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244/1451 (16.8)</w:t>
            </w:r>
          </w:p>
        </w:tc>
      </w:tr>
      <w:tr w:rsidR="00EF5F48" w:rsidRPr="004D5859" w14:paraId="0F1625CA" w14:textId="77777777" w:rsidTr="00AD0DF7">
        <w:trPr>
          <w:trHeight w:val="320"/>
        </w:trPr>
        <w:tc>
          <w:tcPr>
            <w:tcW w:w="0" w:type="auto"/>
            <w:tcBorders>
              <w:top w:val="nil"/>
              <w:left w:val="nil"/>
              <w:bottom w:val="nil"/>
              <w:right w:val="nil"/>
            </w:tcBorders>
            <w:shd w:val="clear" w:color="auto" w:fill="auto"/>
            <w:vAlign w:val="bottom"/>
            <w:hideMark/>
          </w:tcPr>
          <w:p w14:paraId="342F8470"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1DF87F7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MCA, or ACA, or PCA </w:t>
            </w:r>
          </w:p>
        </w:tc>
        <w:tc>
          <w:tcPr>
            <w:tcW w:w="0" w:type="auto"/>
            <w:tcBorders>
              <w:top w:val="nil"/>
              <w:left w:val="nil"/>
              <w:bottom w:val="nil"/>
              <w:right w:val="nil"/>
            </w:tcBorders>
            <w:shd w:val="clear" w:color="auto" w:fill="auto"/>
            <w:vAlign w:val="bottom"/>
            <w:hideMark/>
          </w:tcPr>
          <w:p w14:paraId="613E328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234/1465 (16.0)</w:t>
            </w:r>
          </w:p>
        </w:tc>
        <w:tc>
          <w:tcPr>
            <w:tcW w:w="0" w:type="auto"/>
            <w:tcBorders>
              <w:top w:val="nil"/>
              <w:left w:val="nil"/>
              <w:bottom w:val="nil"/>
              <w:right w:val="nil"/>
            </w:tcBorders>
            <w:shd w:val="clear" w:color="auto" w:fill="auto"/>
            <w:vAlign w:val="bottom"/>
            <w:hideMark/>
          </w:tcPr>
          <w:p w14:paraId="2A26018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233/1451 (16.1)</w:t>
            </w:r>
          </w:p>
        </w:tc>
      </w:tr>
      <w:tr w:rsidR="00EF5F48" w:rsidRPr="004D5859" w14:paraId="648DDD98" w14:textId="77777777" w:rsidTr="00AD0DF7">
        <w:trPr>
          <w:trHeight w:val="320"/>
        </w:trPr>
        <w:tc>
          <w:tcPr>
            <w:tcW w:w="0" w:type="auto"/>
            <w:tcBorders>
              <w:top w:val="nil"/>
              <w:left w:val="nil"/>
              <w:bottom w:val="nil"/>
              <w:right w:val="nil"/>
            </w:tcBorders>
            <w:shd w:val="clear" w:color="auto" w:fill="auto"/>
            <w:vAlign w:val="bottom"/>
            <w:hideMark/>
          </w:tcPr>
          <w:p w14:paraId="5FB4664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Pre-existing brain changes</w:t>
            </w:r>
          </w:p>
        </w:tc>
        <w:tc>
          <w:tcPr>
            <w:tcW w:w="0" w:type="auto"/>
            <w:tcBorders>
              <w:top w:val="nil"/>
              <w:left w:val="nil"/>
              <w:bottom w:val="nil"/>
              <w:right w:val="nil"/>
            </w:tcBorders>
            <w:shd w:val="clear" w:color="auto" w:fill="auto"/>
            <w:vAlign w:val="bottom"/>
            <w:hideMark/>
          </w:tcPr>
          <w:p w14:paraId="26C3F4C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Evidence of atrophy</w:t>
            </w:r>
          </w:p>
        </w:tc>
        <w:tc>
          <w:tcPr>
            <w:tcW w:w="0" w:type="auto"/>
            <w:tcBorders>
              <w:top w:val="nil"/>
              <w:left w:val="nil"/>
              <w:bottom w:val="nil"/>
              <w:right w:val="nil"/>
            </w:tcBorders>
            <w:shd w:val="clear" w:color="auto" w:fill="auto"/>
            <w:noWrap/>
            <w:vAlign w:val="bottom"/>
            <w:hideMark/>
          </w:tcPr>
          <w:p w14:paraId="46933BD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934/1465 (63.8)</w:t>
            </w:r>
          </w:p>
        </w:tc>
        <w:tc>
          <w:tcPr>
            <w:tcW w:w="0" w:type="auto"/>
            <w:tcBorders>
              <w:top w:val="nil"/>
              <w:left w:val="nil"/>
              <w:bottom w:val="nil"/>
              <w:right w:val="nil"/>
            </w:tcBorders>
            <w:shd w:val="clear" w:color="auto" w:fill="auto"/>
            <w:noWrap/>
            <w:vAlign w:val="bottom"/>
            <w:hideMark/>
          </w:tcPr>
          <w:p w14:paraId="196C232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915/1451 (63.1)</w:t>
            </w:r>
          </w:p>
        </w:tc>
      </w:tr>
      <w:tr w:rsidR="00EF5F48" w:rsidRPr="004D5859" w14:paraId="3C4E4E5A" w14:textId="77777777" w:rsidTr="00AD0DF7">
        <w:trPr>
          <w:trHeight w:val="320"/>
        </w:trPr>
        <w:tc>
          <w:tcPr>
            <w:tcW w:w="0" w:type="auto"/>
            <w:tcBorders>
              <w:top w:val="nil"/>
              <w:left w:val="nil"/>
              <w:bottom w:val="nil"/>
              <w:right w:val="nil"/>
            </w:tcBorders>
            <w:shd w:val="clear" w:color="auto" w:fill="auto"/>
            <w:vAlign w:val="bottom"/>
            <w:hideMark/>
          </w:tcPr>
          <w:p w14:paraId="317AFA2B"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55DC175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Evidence of </w:t>
            </w:r>
            <w:proofErr w:type="spellStart"/>
            <w:r w:rsidRPr="004D5859">
              <w:rPr>
                <w:rFonts w:ascii="Times New Roman" w:hAnsi="Times New Roman" w:cs="Times New Roman"/>
                <w:sz w:val="20"/>
                <w:szCs w:val="20"/>
              </w:rPr>
              <w:t>leukoaraiosis</w:t>
            </w:r>
            <w:proofErr w:type="spellEnd"/>
          </w:p>
        </w:tc>
        <w:tc>
          <w:tcPr>
            <w:tcW w:w="0" w:type="auto"/>
            <w:tcBorders>
              <w:top w:val="nil"/>
              <w:left w:val="nil"/>
              <w:bottom w:val="nil"/>
              <w:right w:val="nil"/>
            </w:tcBorders>
            <w:shd w:val="clear" w:color="auto" w:fill="auto"/>
            <w:vAlign w:val="bottom"/>
            <w:hideMark/>
          </w:tcPr>
          <w:p w14:paraId="7777542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488/1465 (33.3)</w:t>
            </w:r>
          </w:p>
        </w:tc>
        <w:tc>
          <w:tcPr>
            <w:tcW w:w="0" w:type="auto"/>
            <w:tcBorders>
              <w:top w:val="nil"/>
              <w:left w:val="nil"/>
              <w:bottom w:val="nil"/>
              <w:right w:val="nil"/>
            </w:tcBorders>
            <w:shd w:val="clear" w:color="auto" w:fill="auto"/>
            <w:vAlign w:val="bottom"/>
            <w:hideMark/>
          </w:tcPr>
          <w:p w14:paraId="37E3E17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465/1451 (32.0)</w:t>
            </w:r>
          </w:p>
        </w:tc>
      </w:tr>
      <w:tr w:rsidR="00EF5F48" w:rsidRPr="004D5859" w14:paraId="28FF831F" w14:textId="77777777" w:rsidTr="00AD0DF7">
        <w:trPr>
          <w:trHeight w:val="320"/>
        </w:trPr>
        <w:tc>
          <w:tcPr>
            <w:tcW w:w="0" w:type="auto"/>
            <w:tcBorders>
              <w:top w:val="nil"/>
              <w:left w:val="nil"/>
              <w:right w:val="nil"/>
            </w:tcBorders>
            <w:shd w:val="clear" w:color="auto" w:fill="auto"/>
            <w:vAlign w:val="bottom"/>
            <w:hideMark/>
          </w:tcPr>
          <w:p w14:paraId="2320B9A6" w14:textId="77777777" w:rsidR="00EF5F48" w:rsidRPr="004D5859" w:rsidRDefault="00EF5F48" w:rsidP="00AD0DF7">
            <w:pPr>
              <w:rPr>
                <w:rFonts w:ascii="Times New Roman" w:hAnsi="Times New Roman" w:cs="Times New Roman"/>
                <w:sz w:val="20"/>
                <w:szCs w:val="20"/>
              </w:rPr>
            </w:pPr>
          </w:p>
        </w:tc>
        <w:tc>
          <w:tcPr>
            <w:tcW w:w="0" w:type="auto"/>
            <w:tcBorders>
              <w:top w:val="nil"/>
              <w:left w:val="nil"/>
              <w:right w:val="nil"/>
            </w:tcBorders>
            <w:shd w:val="clear" w:color="auto" w:fill="auto"/>
            <w:vAlign w:val="bottom"/>
            <w:hideMark/>
          </w:tcPr>
          <w:p w14:paraId="397EDEC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Evidence of old infarcts</w:t>
            </w:r>
          </w:p>
        </w:tc>
        <w:tc>
          <w:tcPr>
            <w:tcW w:w="0" w:type="auto"/>
            <w:tcBorders>
              <w:top w:val="nil"/>
              <w:left w:val="nil"/>
              <w:right w:val="nil"/>
            </w:tcBorders>
            <w:shd w:val="clear" w:color="auto" w:fill="auto"/>
            <w:vAlign w:val="bottom"/>
            <w:hideMark/>
          </w:tcPr>
          <w:p w14:paraId="53368C4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488/1465 (33.3)</w:t>
            </w:r>
          </w:p>
        </w:tc>
        <w:tc>
          <w:tcPr>
            <w:tcW w:w="0" w:type="auto"/>
            <w:tcBorders>
              <w:top w:val="nil"/>
              <w:left w:val="nil"/>
              <w:right w:val="nil"/>
            </w:tcBorders>
            <w:shd w:val="clear" w:color="auto" w:fill="auto"/>
            <w:vAlign w:val="bottom"/>
            <w:hideMark/>
          </w:tcPr>
          <w:p w14:paraId="6EB175C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533/1451 (36.7)</w:t>
            </w:r>
          </w:p>
        </w:tc>
      </w:tr>
      <w:tr w:rsidR="00EF5F48" w:rsidRPr="004D5859" w14:paraId="7A363549" w14:textId="77777777" w:rsidTr="00AD0DF7">
        <w:trPr>
          <w:trHeight w:val="300"/>
        </w:trPr>
        <w:tc>
          <w:tcPr>
            <w:tcW w:w="0" w:type="auto"/>
            <w:tcBorders>
              <w:top w:val="nil"/>
              <w:left w:val="nil"/>
              <w:bottom w:val="single" w:sz="4" w:space="0" w:color="auto"/>
              <w:right w:val="nil"/>
            </w:tcBorders>
            <w:shd w:val="clear" w:color="auto" w:fill="auto"/>
            <w:vAlign w:val="bottom"/>
            <w:hideMark/>
          </w:tcPr>
          <w:p w14:paraId="6D56089C" w14:textId="77777777" w:rsidR="00EF5F48" w:rsidRPr="004D5859" w:rsidRDefault="00EF5F48" w:rsidP="00AD0DF7">
            <w:pP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bottom"/>
            <w:hideMark/>
          </w:tcPr>
          <w:p w14:paraId="18954C6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Evidence of old haemorrhage</w:t>
            </w:r>
          </w:p>
        </w:tc>
        <w:tc>
          <w:tcPr>
            <w:tcW w:w="0" w:type="auto"/>
            <w:tcBorders>
              <w:top w:val="nil"/>
              <w:left w:val="nil"/>
              <w:bottom w:val="single" w:sz="4" w:space="0" w:color="auto"/>
              <w:right w:val="nil"/>
            </w:tcBorders>
            <w:shd w:val="clear" w:color="auto" w:fill="auto"/>
            <w:vAlign w:val="bottom"/>
            <w:hideMark/>
          </w:tcPr>
          <w:p w14:paraId="32A0A51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13/1465 (0.9)</w:t>
            </w:r>
          </w:p>
        </w:tc>
        <w:tc>
          <w:tcPr>
            <w:tcW w:w="0" w:type="auto"/>
            <w:tcBorders>
              <w:top w:val="nil"/>
              <w:left w:val="nil"/>
              <w:bottom w:val="single" w:sz="4" w:space="0" w:color="auto"/>
              <w:right w:val="nil"/>
            </w:tcBorders>
            <w:shd w:val="clear" w:color="auto" w:fill="auto"/>
            <w:vAlign w:val="bottom"/>
            <w:hideMark/>
          </w:tcPr>
          <w:p w14:paraId="57EB555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16/1451 (1.1)</w:t>
            </w:r>
          </w:p>
        </w:tc>
      </w:tr>
    </w:tbl>
    <w:p w14:paraId="0CA71853" w14:textId="77777777" w:rsidR="00EF5F48" w:rsidRPr="004D5859" w:rsidRDefault="00EF5F48" w:rsidP="00EF5F48">
      <w:pPr>
        <w:spacing w:before="120"/>
        <w:rPr>
          <w:rFonts w:ascii="Times New Roman" w:hAnsi="Times New Roman" w:cs="Times New Roman"/>
          <w:sz w:val="20"/>
          <w:szCs w:val="20"/>
        </w:rPr>
      </w:pPr>
      <w:r w:rsidRPr="004D5859">
        <w:rPr>
          <w:rFonts w:ascii="Times New Roman" w:hAnsi="Times New Roman" w:cs="Times New Roman"/>
          <w:sz w:val="20"/>
          <w:szCs w:val="20"/>
        </w:rPr>
        <w:t>Data are n (%), mean (SD), median (interquartile range)</w:t>
      </w:r>
      <w:r w:rsidRPr="004D5859" w:rsidDel="00405142">
        <w:rPr>
          <w:rFonts w:ascii="Times New Roman" w:hAnsi="Times New Roman" w:cs="Times New Roman"/>
          <w:sz w:val="20"/>
          <w:szCs w:val="20"/>
        </w:rPr>
        <w:t xml:space="preserve"> </w:t>
      </w:r>
    </w:p>
    <w:p w14:paraId="015CE3B9" w14:textId="77777777" w:rsidR="00EF5F48" w:rsidRDefault="00EF5F48" w:rsidP="00EF5F48">
      <w:pPr>
        <w:spacing w:before="120"/>
        <w:rPr>
          <w:rFonts w:ascii="Times New Roman" w:hAnsi="Times New Roman" w:cs="Times New Roman"/>
          <w:sz w:val="20"/>
          <w:szCs w:val="20"/>
        </w:rPr>
      </w:pPr>
      <w:r w:rsidRPr="004D5859">
        <w:rPr>
          <w:rFonts w:ascii="Times New Roman" w:hAnsi="Times New Roman" w:cs="Times New Roman"/>
          <w:sz w:val="20"/>
          <w:szCs w:val="20"/>
        </w:rPr>
        <w:t xml:space="preserve">ACA denotes anterior cerebral artery, AIC acute </w:t>
      </w:r>
      <w:r>
        <w:rPr>
          <w:rFonts w:ascii="Times New Roman" w:hAnsi="Times New Roman" w:cs="Times New Roman"/>
          <w:sz w:val="20"/>
          <w:szCs w:val="20"/>
        </w:rPr>
        <w:t>ischaemic</w:t>
      </w:r>
      <w:r w:rsidRPr="004D5859">
        <w:rPr>
          <w:rFonts w:ascii="Times New Roman" w:hAnsi="Times New Roman" w:cs="Times New Roman"/>
          <w:sz w:val="20"/>
          <w:szCs w:val="20"/>
        </w:rPr>
        <w:t xml:space="preserve"> changes, BA basilar artery, MCA middle cerebral artery, NIHSS National Institutes of Health Stroke Scale, PCA posterior cerebral artery.</w:t>
      </w:r>
    </w:p>
    <w:p w14:paraId="3F71A342" w14:textId="059103A8" w:rsidR="00EF5F48" w:rsidRDefault="00EF5F48">
      <w:pPr>
        <w:rPr>
          <w:rFonts w:ascii="Times New Roman" w:hAnsi="Times New Roman" w:cs="Times New Roman"/>
          <w:sz w:val="20"/>
          <w:szCs w:val="20"/>
        </w:rPr>
      </w:pPr>
      <w:r>
        <w:rPr>
          <w:rFonts w:ascii="Times New Roman" w:hAnsi="Times New Roman" w:cs="Times New Roman"/>
          <w:sz w:val="20"/>
          <w:szCs w:val="20"/>
        </w:rPr>
        <w:br w:type="page"/>
      </w:r>
    </w:p>
    <w:p w14:paraId="1B94DCE1" w14:textId="77777777" w:rsidR="00EF5F48" w:rsidRDefault="00EF5F48" w:rsidP="00EF5F48">
      <w:pPr>
        <w:spacing w:line="480" w:lineRule="auto"/>
        <w:rPr>
          <w:rFonts w:ascii="Times New Roman" w:hAnsi="Times New Roman" w:cs="Times New Roman"/>
          <w:b/>
        </w:rPr>
        <w:sectPr w:rsidR="00EF5F48" w:rsidSect="00EF5F4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8" w:gutter="0"/>
          <w:cols w:space="708"/>
          <w:docGrid w:linePitch="360"/>
        </w:sectPr>
      </w:pPr>
    </w:p>
    <w:p w14:paraId="3932D763" w14:textId="01279EEA" w:rsidR="00EF5F48" w:rsidRPr="004D5859" w:rsidRDefault="00EF5F48" w:rsidP="003C06D8">
      <w:pPr>
        <w:spacing w:line="480" w:lineRule="auto"/>
        <w:rPr>
          <w:rFonts w:ascii="Times New Roman" w:hAnsi="Times New Roman" w:cs="Times New Roman"/>
          <w:b/>
        </w:rPr>
      </w:pPr>
      <w:r w:rsidRPr="004D5859">
        <w:rPr>
          <w:rFonts w:ascii="Times New Roman" w:hAnsi="Times New Roman" w:cs="Times New Roman"/>
          <w:b/>
        </w:rPr>
        <w:t>Table 2: Logistic regression analysis of associations between imaging signs and age, NIHSS score, and time to randomization</w:t>
      </w:r>
    </w:p>
    <w:p w14:paraId="6E7DD5F7" w14:textId="77777777" w:rsidR="00EF5F48" w:rsidRPr="004D5859" w:rsidRDefault="00EF5F48" w:rsidP="00EF5F48">
      <w:pPr>
        <w:spacing w:line="480" w:lineRule="auto"/>
        <w:rPr>
          <w:rFonts w:ascii="Times New Roman" w:hAnsi="Times New Roman" w:cs="Times New Roman"/>
        </w:rPr>
      </w:pPr>
    </w:p>
    <w:tbl>
      <w:tblPr>
        <w:tblW w:w="0" w:type="auto"/>
        <w:tblLayout w:type="fixed"/>
        <w:tblLook w:val="04A0" w:firstRow="1" w:lastRow="0" w:firstColumn="1" w:lastColumn="0" w:noHBand="0" w:noVBand="1"/>
      </w:tblPr>
      <w:tblGrid>
        <w:gridCol w:w="2518"/>
        <w:gridCol w:w="1985"/>
        <w:gridCol w:w="1134"/>
        <w:gridCol w:w="1984"/>
        <w:gridCol w:w="1134"/>
        <w:gridCol w:w="2126"/>
        <w:gridCol w:w="1560"/>
      </w:tblGrid>
      <w:tr w:rsidR="00EF5F48" w:rsidRPr="004D5859" w14:paraId="2EE0254B" w14:textId="77777777" w:rsidTr="00AD0DF7">
        <w:trPr>
          <w:trHeight w:val="570"/>
        </w:trPr>
        <w:tc>
          <w:tcPr>
            <w:tcW w:w="2518" w:type="dxa"/>
            <w:tcBorders>
              <w:top w:val="single" w:sz="4" w:space="0" w:color="auto"/>
              <w:left w:val="nil"/>
              <w:bottom w:val="single" w:sz="4" w:space="0" w:color="auto"/>
              <w:right w:val="nil"/>
            </w:tcBorders>
            <w:shd w:val="clear" w:color="auto" w:fill="auto"/>
            <w:noWrap/>
            <w:vAlign w:val="bottom"/>
            <w:hideMark/>
          </w:tcPr>
          <w:p w14:paraId="6C865F3C" w14:textId="77777777" w:rsidR="00EF5F48" w:rsidRPr="004D5859" w:rsidRDefault="00EF5F48" w:rsidP="00AD0DF7">
            <w:pPr>
              <w:rPr>
                <w:rFonts w:ascii="Times New Roman" w:hAnsi="Times New Roman" w:cs="Times New Roman"/>
                <w:sz w:val="20"/>
                <w:szCs w:val="20"/>
              </w:rPr>
            </w:pPr>
          </w:p>
        </w:tc>
        <w:tc>
          <w:tcPr>
            <w:tcW w:w="1985" w:type="dxa"/>
            <w:tcBorders>
              <w:top w:val="single" w:sz="4" w:space="0" w:color="auto"/>
              <w:left w:val="nil"/>
              <w:bottom w:val="single" w:sz="4" w:space="0" w:color="auto"/>
              <w:right w:val="nil"/>
            </w:tcBorders>
            <w:shd w:val="clear" w:color="auto" w:fill="auto"/>
            <w:vAlign w:val="bottom"/>
            <w:hideMark/>
          </w:tcPr>
          <w:p w14:paraId="7A008066"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Age, adjusted for NIHSS score</w:t>
            </w:r>
          </w:p>
        </w:tc>
        <w:tc>
          <w:tcPr>
            <w:tcW w:w="1134" w:type="dxa"/>
            <w:tcBorders>
              <w:top w:val="single" w:sz="4" w:space="0" w:color="auto"/>
              <w:left w:val="nil"/>
              <w:bottom w:val="single" w:sz="4" w:space="0" w:color="auto"/>
              <w:right w:val="nil"/>
            </w:tcBorders>
            <w:shd w:val="clear" w:color="auto" w:fill="auto"/>
            <w:vAlign w:val="bottom"/>
            <w:hideMark/>
          </w:tcPr>
          <w:p w14:paraId="004AAFC9" w14:textId="77777777" w:rsidR="00EF5F48" w:rsidRPr="004D5859" w:rsidRDefault="00EF5F48" w:rsidP="00AD0DF7">
            <w:pP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r w:rsidRPr="004D5859">
              <w:rPr>
                <w:rFonts w:ascii="Times New Roman" w:hAnsi="Times New Roman" w:cs="Times New Roman"/>
                <w:b/>
                <w:sz w:val="20"/>
                <w:szCs w:val="20"/>
              </w:rPr>
              <w:t xml:space="preserve"> value</w:t>
            </w:r>
          </w:p>
        </w:tc>
        <w:tc>
          <w:tcPr>
            <w:tcW w:w="1984" w:type="dxa"/>
            <w:tcBorders>
              <w:top w:val="single" w:sz="4" w:space="0" w:color="auto"/>
              <w:left w:val="nil"/>
              <w:bottom w:val="single" w:sz="4" w:space="0" w:color="auto"/>
              <w:right w:val="nil"/>
            </w:tcBorders>
            <w:shd w:val="clear" w:color="auto" w:fill="auto"/>
            <w:vAlign w:val="bottom"/>
            <w:hideMark/>
          </w:tcPr>
          <w:p w14:paraId="4C4666B2"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NIHSS score, adjusted for age</w:t>
            </w:r>
          </w:p>
        </w:tc>
        <w:tc>
          <w:tcPr>
            <w:tcW w:w="1134" w:type="dxa"/>
            <w:tcBorders>
              <w:top w:val="single" w:sz="4" w:space="0" w:color="auto"/>
              <w:left w:val="nil"/>
              <w:bottom w:val="single" w:sz="4" w:space="0" w:color="auto"/>
              <w:right w:val="nil"/>
            </w:tcBorders>
            <w:shd w:val="clear" w:color="auto" w:fill="auto"/>
            <w:vAlign w:val="bottom"/>
            <w:hideMark/>
          </w:tcPr>
          <w:p w14:paraId="43DE88BE" w14:textId="77777777" w:rsidR="00EF5F48" w:rsidRPr="004D5859" w:rsidRDefault="00EF5F48" w:rsidP="00AD0DF7">
            <w:pP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r w:rsidRPr="004D5859">
              <w:rPr>
                <w:rFonts w:ascii="Times New Roman" w:hAnsi="Times New Roman" w:cs="Times New Roman"/>
                <w:b/>
                <w:sz w:val="20"/>
                <w:szCs w:val="20"/>
              </w:rPr>
              <w:t xml:space="preserve"> value</w:t>
            </w:r>
          </w:p>
        </w:tc>
        <w:tc>
          <w:tcPr>
            <w:tcW w:w="2126" w:type="dxa"/>
            <w:tcBorders>
              <w:top w:val="single" w:sz="4" w:space="0" w:color="auto"/>
              <w:left w:val="nil"/>
              <w:bottom w:val="single" w:sz="4" w:space="0" w:color="auto"/>
              <w:right w:val="nil"/>
            </w:tcBorders>
            <w:shd w:val="clear" w:color="auto" w:fill="auto"/>
            <w:vAlign w:val="bottom"/>
            <w:hideMark/>
          </w:tcPr>
          <w:p w14:paraId="4B30AD3A"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Delay, adjusted for age and NIHSS score</w:t>
            </w:r>
          </w:p>
        </w:tc>
        <w:tc>
          <w:tcPr>
            <w:tcW w:w="1560" w:type="dxa"/>
            <w:tcBorders>
              <w:top w:val="single" w:sz="4" w:space="0" w:color="auto"/>
              <w:left w:val="nil"/>
              <w:bottom w:val="single" w:sz="4" w:space="0" w:color="auto"/>
              <w:right w:val="nil"/>
            </w:tcBorders>
            <w:shd w:val="clear" w:color="auto" w:fill="auto"/>
            <w:noWrap/>
            <w:vAlign w:val="bottom"/>
            <w:hideMark/>
          </w:tcPr>
          <w:p w14:paraId="2572597F" w14:textId="77777777" w:rsidR="00EF5F48" w:rsidRPr="004D5859" w:rsidRDefault="00EF5F48" w:rsidP="00AD0DF7">
            <w:pP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r w:rsidRPr="004D5859">
              <w:rPr>
                <w:rFonts w:ascii="Times New Roman" w:hAnsi="Times New Roman" w:cs="Times New Roman"/>
                <w:b/>
                <w:sz w:val="20"/>
                <w:szCs w:val="20"/>
              </w:rPr>
              <w:t xml:space="preserve"> value</w:t>
            </w:r>
          </w:p>
        </w:tc>
      </w:tr>
      <w:tr w:rsidR="00EF5F48" w:rsidRPr="004D5859" w14:paraId="04B66F5E" w14:textId="77777777" w:rsidTr="00AD0DF7">
        <w:trPr>
          <w:trHeight w:val="300"/>
        </w:trPr>
        <w:tc>
          <w:tcPr>
            <w:tcW w:w="2518" w:type="dxa"/>
            <w:tcBorders>
              <w:top w:val="single" w:sz="4" w:space="0" w:color="auto"/>
              <w:left w:val="nil"/>
              <w:bottom w:val="nil"/>
              <w:right w:val="nil"/>
            </w:tcBorders>
            <w:shd w:val="clear" w:color="auto" w:fill="auto"/>
            <w:noWrap/>
            <w:vAlign w:val="bottom"/>
            <w:hideMark/>
          </w:tcPr>
          <w:p w14:paraId="6803850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Early </w:t>
            </w:r>
            <w:r>
              <w:rPr>
                <w:rFonts w:ascii="Times New Roman" w:hAnsi="Times New Roman" w:cs="Times New Roman"/>
                <w:sz w:val="20"/>
                <w:szCs w:val="20"/>
              </w:rPr>
              <w:t>ischaemic</w:t>
            </w:r>
            <w:r w:rsidRPr="004D5859">
              <w:rPr>
                <w:rFonts w:ascii="Times New Roman" w:hAnsi="Times New Roman" w:cs="Times New Roman"/>
                <w:sz w:val="20"/>
                <w:szCs w:val="20"/>
              </w:rPr>
              <w:t xml:space="preserve"> signs</w:t>
            </w:r>
          </w:p>
        </w:tc>
        <w:tc>
          <w:tcPr>
            <w:tcW w:w="1985" w:type="dxa"/>
            <w:tcBorders>
              <w:top w:val="single" w:sz="4" w:space="0" w:color="auto"/>
              <w:left w:val="nil"/>
              <w:bottom w:val="nil"/>
              <w:right w:val="nil"/>
            </w:tcBorders>
            <w:shd w:val="clear" w:color="auto" w:fill="auto"/>
            <w:noWrap/>
            <w:vAlign w:val="bottom"/>
            <w:hideMark/>
          </w:tcPr>
          <w:p w14:paraId="6A12AAF7" w14:textId="77777777" w:rsidR="00EF5F48" w:rsidRPr="004D5859" w:rsidRDefault="00EF5F48" w:rsidP="00AD0DF7">
            <w:pPr>
              <w:rPr>
                <w:rFonts w:ascii="Times New Roman" w:hAnsi="Times New Roman" w:cs="Times New Roman"/>
                <w:sz w:val="20"/>
                <w:szCs w:val="20"/>
              </w:rPr>
            </w:pPr>
          </w:p>
        </w:tc>
        <w:tc>
          <w:tcPr>
            <w:tcW w:w="1134" w:type="dxa"/>
            <w:tcBorders>
              <w:top w:val="single" w:sz="4" w:space="0" w:color="auto"/>
              <w:left w:val="nil"/>
              <w:bottom w:val="nil"/>
              <w:right w:val="nil"/>
            </w:tcBorders>
            <w:shd w:val="clear" w:color="auto" w:fill="auto"/>
            <w:noWrap/>
            <w:vAlign w:val="bottom"/>
            <w:hideMark/>
          </w:tcPr>
          <w:p w14:paraId="6935AEA1" w14:textId="77777777" w:rsidR="00EF5F48" w:rsidRPr="004D5859" w:rsidRDefault="00EF5F48" w:rsidP="00AD0DF7">
            <w:pPr>
              <w:rPr>
                <w:rFonts w:ascii="Times New Roman" w:hAnsi="Times New Roman" w:cs="Times New Roman"/>
                <w:sz w:val="20"/>
                <w:szCs w:val="20"/>
              </w:rPr>
            </w:pPr>
          </w:p>
        </w:tc>
        <w:tc>
          <w:tcPr>
            <w:tcW w:w="1984" w:type="dxa"/>
            <w:tcBorders>
              <w:top w:val="single" w:sz="4" w:space="0" w:color="auto"/>
              <w:left w:val="nil"/>
              <w:bottom w:val="nil"/>
              <w:right w:val="nil"/>
            </w:tcBorders>
            <w:shd w:val="clear" w:color="auto" w:fill="auto"/>
            <w:noWrap/>
            <w:vAlign w:val="bottom"/>
            <w:hideMark/>
          </w:tcPr>
          <w:p w14:paraId="4B793BB7" w14:textId="77777777" w:rsidR="00EF5F48" w:rsidRPr="004D5859" w:rsidRDefault="00EF5F48" w:rsidP="00AD0DF7">
            <w:pPr>
              <w:rPr>
                <w:rFonts w:ascii="Times New Roman" w:hAnsi="Times New Roman" w:cs="Times New Roman"/>
                <w:sz w:val="20"/>
                <w:szCs w:val="20"/>
              </w:rPr>
            </w:pPr>
          </w:p>
        </w:tc>
        <w:tc>
          <w:tcPr>
            <w:tcW w:w="1134" w:type="dxa"/>
            <w:tcBorders>
              <w:top w:val="single" w:sz="4" w:space="0" w:color="auto"/>
              <w:left w:val="nil"/>
              <w:bottom w:val="nil"/>
              <w:right w:val="nil"/>
            </w:tcBorders>
            <w:shd w:val="clear" w:color="auto" w:fill="auto"/>
            <w:noWrap/>
            <w:vAlign w:val="bottom"/>
            <w:hideMark/>
          </w:tcPr>
          <w:p w14:paraId="04F4C489" w14:textId="77777777" w:rsidR="00EF5F48" w:rsidRPr="004D5859" w:rsidRDefault="00EF5F48" w:rsidP="00AD0DF7">
            <w:pPr>
              <w:rPr>
                <w:rFonts w:ascii="Times New Roman" w:hAnsi="Times New Roman" w:cs="Times New Roman"/>
                <w:sz w:val="20"/>
                <w:szCs w:val="20"/>
              </w:rPr>
            </w:pPr>
          </w:p>
        </w:tc>
        <w:tc>
          <w:tcPr>
            <w:tcW w:w="2126" w:type="dxa"/>
            <w:tcBorders>
              <w:top w:val="single" w:sz="4" w:space="0" w:color="auto"/>
              <w:left w:val="nil"/>
              <w:bottom w:val="nil"/>
              <w:right w:val="nil"/>
            </w:tcBorders>
            <w:shd w:val="clear" w:color="auto" w:fill="auto"/>
            <w:noWrap/>
            <w:vAlign w:val="bottom"/>
            <w:hideMark/>
          </w:tcPr>
          <w:p w14:paraId="3D246235" w14:textId="77777777" w:rsidR="00EF5F48" w:rsidRPr="004D5859" w:rsidRDefault="00EF5F48" w:rsidP="00AD0DF7">
            <w:pPr>
              <w:rPr>
                <w:rFonts w:ascii="Times New Roman" w:hAnsi="Times New Roman" w:cs="Times New Roman"/>
                <w:sz w:val="20"/>
                <w:szCs w:val="20"/>
              </w:rPr>
            </w:pPr>
          </w:p>
        </w:tc>
        <w:tc>
          <w:tcPr>
            <w:tcW w:w="1560" w:type="dxa"/>
            <w:tcBorders>
              <w:top w:val="single" w:sz="4" w:space="0" w:color="auto"/>
              <w:left w:val="nil"/>
              <w:bottom w:val="nil"/>
              <w:right w:val="nil"/>
            </w:tcBorders>
            <w:shd w:val="clear" w:color="auto" w:fill="auto"/>
            <w:noWrap/>
            <w:vAlign w:val="bottom"/>
            <w:hideMark/>
          </w:tcPr>
          <w:p w14:paraId="37D86C10" w14:textId="77777777" w:rsidR="00EF5F48" w:rsidRPr="004D5859" w:rsidRDefault="00EF5F48" w:rsidP="00AD0DF7">
            <w:pPr>
              <w:rPr>
                <w:rFonts w:ascii="Times New Roman" w:hAnsi="Times New Roman" w:cs="Times New Roman"/>
                <w:sz w:val="20"/>
                <w:szCs w:val="20"/>
              </w:rPr>
            </w:pPr>
          </w:p>
        </w:tc>
      </w:tr>
      <w:tr w:rsidR="00EF5F48" w:rsidRPr="004D5859" w14:paraId="77AF399B" w14:textId="77777777" w:rsidTr="00AD0DF7">
        <w:trPr>
          <w:trHeight w:val="300"/>
        </w:trPr>
        <w:tc>
          <w:tcPr>
            <w:tcW w:w="2518" w:type="dxa"/>
            <w:tcBorders>
              <w:top w:val="nil"/>
              <w:left w:val="nil"/>
              <w:bottom w:val="nil"/>
              <w:right w:val="nil"/>
            </w:tcBorders>
            <w:shd w:val="clear" w:color="auto" w:fill="auto"/>
            <w:noWrap/>
            <w:vAlign w:val="bottom"/>
            <w:hideMark/>
          </w:tcPr>
          <w:p w14:paraId="65DB1C8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Visible </w:t>
            </w:r>
            <w:r>
              <w:rPr>
                <w:rFonts w:ascii="Times New Roman" w:hAnsi="Times New Roman" w:cs="Times New Roman"/>
                <w:sz w:val="20"/>
                <w:szCs w:val="20"/>
              </w:rPr>
              <w:t>ischaemic</w:t>
            </w:r>
            <w:r w:rsidRPr="004D5859">
              <w:rPr>
                <w:rFonts w:ascii="Times New Roman" w:hAnsi="Times New Roman" w:cs="Times New Roman"/>
                <w:sz w:val="20"/>
                <w:szCs w:val="20"/>
              </w:rPr>
              <w:t xml:space="preserve"> lesion</w:t>
            </w:r>
          </w:p>
        </w:tc>
        <w:tc>
          <w:tcPr>
            <w:tcW w:w="1985" w:type="dxa"/>
            <w:tcBorders>
              <w:top w:val="nil"/>
              <w:left w:val="nil"/>
              <w:bottom w:val="nil"/>
              <w:right w:val="nil"/>
            </w:tcBorders>
            <w:shd w:val="clear" w:color="auto" w:fill="auto"/>
            <w:noWrap/>
            <w:vAlign w:val="bottom"/>
            <w:hideMark/>
          </w:tcPr>
          <w:p w14:paraId="21E317E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1.00 (0.99-1.00)</w:t>
            </w:r>
          </w:p>
        </w:tc>
        <w:tc>
          <w:tcPr>
            <w:tcW w:w="1134" w:type="dxa"/>
            <w:tcBorders>
              <w:top w:val="nil"/>
              <w:left w:val="nil"/>
              <w:bottom w:val="nil"/>
              <w:right w:val="nil"/>
            </w:tcBorders>
            <w:shd w:val="clear" w:color="auto" w:fill="auto"/>
            <w:noWrap/>
            <w:vAlign w:val="bottom"/>
            <w:hideMark/>
          </w:tcPr>
          <w:p w14:paraId="2019BC9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0.1536</w:t>
            </w:r>
          </w:p>
        </w:tc>
        <w:tc>
          <w:tcPr>
            <w:tcW w:w="1984" w:type="dxa"/>
            <w:tcBorders>
              <w:top w:val="nil"/>
              <w:left w:val="nil"/>
              <w:bottom w:val="nil"/>
              <w:right w:val="nil"/>
            </w:tcBorders>
            <w:shd w:val="clear" w:color="auto" w:fill="auto"/>
            <w:noWrap/>
            <w:vAlign w:val="bottom"/>
            <w:hideMark/>
          </w:tcPr>
          <w:p w14:paraId="16657A8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1.05 (1.04-1.06)</w:t>
            </w:r>
          </w:p>
        </w:tc>
        <w:tc>
          <w:tcPr>
            <w:tcW w:w="1134" w:type="dxa"/>
            <w:tcBorders>
              <w:top w:val="nil"/>
              <w:left w:val="nil"/>
              <w:bottom w:val="nil"/>
              <w:right w:val="nil"/>
            </w:tcBorders>
            <w:shd w:val="clear" w:color="auto" w:fill="auto"/>
            <w:noWrap/>
            <w:vAlign w:val="bottom"/>
            <w:hideMark/>
          </w:tcPr>
          <w:p w14:paraId="4E1A35F4"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&lt;0.0001</w:t>
            </w:r>
          </w:p>
        </w:tc>
        <w:tc>
          <w:tcPr>
            <w:tcW w:w="2126" w:type="dxa"/>
            <w:tcBorders>
              <w:top w:val="nil"/>
              <w:left w:val="nil"/>
              <w:bottom w:val="nil"/>
              <w:right w:val="nil"/>
            </w:tcBorders>
            <w:shd w:val="clear" w:color="auto" w:fill="auto"/>
            <w:noWrap/>
            <w:vAlign w:val="bottom"/>
            <w:hideMark/>
          </w:tcPr>
          <w:p w14:paraId="5E94B23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1.09 (1.01-1.17)</w:t>
            </w:r>
          </w:p>
        </w:tc>
        <w:tc>
          <w:tcPr>
            <w:tcW w:w="1560" w:type="dxa"/>
            <w:tcBorders>
              <w:top w:val="nil"/>
              <w:left w:val="nil"/>
              <w:bottom w:val="nil"/>
              <w:right w:val="nil"/>
            </w:tcBorders>
            <w:shd w:val="clear" w:color="auto" w:fill="auto"/>
            <w:noWrap/>
            <w:vAlign w:val="bottom"/>
            <w:hideMark/>
          </w:tcPr>
          <w:p w14:paraId="098613B8"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0.0182</w:t>
            </w:r>
          </w:p>
        </w:tc>
      </w:tr>
      <w:tr w:rsidR="00EF5F48" w:rsidRPr="004D5859" w14:paraId="42A22C4C" w14:textId="77777777" w:rsidTr="00AD0DF7">
        <w:trPr>
          <w:trHeight w:val="300"/>
        </w:trPr>
        <w:tc>
          <w:tcPr>
            <w:tcW w:w="2518" w:type="dxa"/>
            <w:tcBorders>
              <w:top w:val="nil"/>
              <w:left w:val="nil"/>
              <w:bottom w:val="nil"/>
              <w:right w:val="nil"/>
            </w:tcBorders>
            <w:shd w:val="clear" w:color="auto" w:fill="auto"/>
            <w:noWrap/>
            <w:vAlign w:val="bottom"/>
            <w:hideMark/>
          </w:tcPr>
          <w:p w14:paraId="1841DF41"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Hypoattenuation</w:t>
            </w:r>
            <w:proofErr w:type="spellEnd"/>
          </w:p>
        </w:tc>
        <w:tc>
          <w:tcPr>
            <w:tcW w:w="1985" w:type="dxa"/>
            <w:tcBorders>
              <w:top w:val="nil"/>
              <w:left w:val="nil"/>
              <w:bottom w:val="nil"/>
              <w:right w:val="nil"/>
            </w:tcBorders>
            <w:shd w:val="clear" w:color="auto" w:fill="auto"/>
            <w:noWrap/>
            <w:vAlign w:val="bottom"/>
            <w:hideMark/>
          </w:tcPr>
          <w:p w14:paraId="321E827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1.00 (0.99-1.00)</w:t>
            </w:r>
          </w:p>
        </w:tc>
        <w:tc>
          <w:tcPr>
            <w:tcW w:w="1134" w:type="dxa"/>
            <w:tcBorders>
              <w:top w:val="nil"/>
              <w:left w:val="nil"/>
              <w:bottom w:val="nil"/>
              <w:right w:val="nil"/>
            </w:tcBorders>
            <w:shd w:val="clear" w:color="auto" w:fill="auto"/>
            <w:noWrap/>
            <w:vAlign w:val="bottom"/>
            <w:hideMark/>
          </w:tcPr>
          <w:p w14:paraId="57804F3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0.3826</w:t>
            </w:r>
          </w:p>
        </w:tc>
        <w:tc>
          <w:tcPr>
            <w:tcW w:w="1984" w:type="dxa"/>
            <w:tcBorders>
              <w:top w:val="nil"/>
              <w:left w:val="nil"/>
              <w:bottom w:val="nil"/>
              <w:right w:val="nil"/>
            </w:tcBorders>
            <w:shd w:val="clear" w:color="auto" w:fill="auto"/>
            <w:noWrap/>
            <w:vAlign w:val="bottom"/>
            <w:hideMark/>
          </w:tcPr>
          <w:p w14:paraId="706B18F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1.04 (1.03-1.06)</w:t>
            </w:r>
          </w:p>
        </w:tc>
        <w:tc>
          <w:tcPr>
            <w:tcW w:w="1134" w:type="dxa"/>
            <w:tcBorders>
              <w:top w:val="nil"/>
              <w:left w:val="nil"/>
              <w:bottom w:val="nil"/>
              <w:right w:val="nil"/>
            </w:tcBorders>
            <w:shd w:val="clear" w:color="auto" w:fill="auto"/>
            <w:noWrap/>
            <w:vAlign w:val="bottom"/>
            <w:hideMark/>
          </w:tcPr>
          <w:p w14:paraId="57A89EFB"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&lt;0.0001</w:t>
            </w:r>
          </w:p>
        </w:tc>
        <w:tc>
          <w:tcPr>
            <w:tcW w:w="2126" w:type="dxa"/>
            <w:tcBorders>
              <w:top w:val="nil"/>
              <w:left w:val="nil"/>
              <w:bottom w:val="nil"/>
              <w:right w:val="nil"/>
            </w:tcBorders>
            <w:shd w:val="clear" w:color="auto" w:fill="auto"/>
            <w:noWrap/>
            <w:vAlign w:val="bottom"/>
            <w:hideMark/>
          </w:tcPr>
          <w:p w14:paraId="7AE7DD5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1.08 (1.01-1.16)</w:t>
            </w:r>
          </w:p>
        </w:tc>
        <w:tc>
          <w:tcPr>
            <w:tcW w:w="1560" w:type="dxa"/>
            <w:tcBorders>
              <w:top w:val="nil"/>
              <w:left w:val="nil"/>
              <w:bottom w:val="nil"/>
              <w:right w:val="nil"/>
            </w:tcBorders>
            <w:shd w:val="clear" w:color="auto" w:fill="auto"/>
            <w:noWrap/>
            <w:vAlign w:val="bottom"/>
            <w:hideMark/>
          </w:tcPr>
          <w:p w14:paraId="2C228056"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0.0241</w:t>
            </w:r>
          </w:p>
        </w:tc>
      </w:tr>
      <w:tr w:rsidR="00EF5F48" w:rsidRPr="004D5859" w14:paraId="2FA0D3EB" w14:textId="77777777" w:rsidTr="00AD0DF7">
        <w:trPr>
          <w:trHeight w:val="300"/>
        </w:trPr>
        <w:tc>
          <w:tcPr>
            <w:tcW w:w="2518" w:type="dxa"/>
            <w:tcBorders>
              <w:top w:val="nil"/>
              <w:left w:val="nil"/>
              <w:bottom w:val="nil"/>
              <w:right w:val="nil"/>
            </w:tcBorders>
            <w:shd w:val="clear" w:color="auto" w:fill="auto"/>
            <w:noWrap/>
            <w:vAlign w:val="bottom"/>
            <w:hideMark/>
          </w:tcPr>
          <w:p w14:paraId="628A3D4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Large lesion</w:t>
            </w:r>
          </w:p>
        </w:tc>
        <w:tc>
          <w:tcPr>
            <w:tcW w:w="1985" w:type="dxa"/>
            <w:tcBorders>
              <w:top w:val="nil"/>
              <w:left w:val="nil"/>
              <w:bottom w:val="nil"/>
              <w:right w:val="nil"/>
            </w:tcBorders>
            <w:shd w:val="clear" w:color="auto" w:fill="auto"/>
            <w:noWrap/>
            <w:vAlign w:val="bottom"/>
            <w:hideMark/>
          </w:tcPr>
          <w:p w14:paraId="6C5D5BD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0.99 (0.98-1.01)</w:t>
            </w:r>
          </w:p>
        </w:tc>
        <w:tc>
          <w:tcPr>
            <w:tcW w:w="1134" w:type="dxa"/>
            <w:tcBorders>
              <w:top w:val="nil"/>
              <w:left w:val="nil"/>
              <w:bottom w:val="nil"/>
              <w:right w:val="nil"/>
            </w:tcBorders>
            <w:shd w:val="clear" w:color="auto" w:fill="auto"/>
            <w:noWrap/>
            <w:vAlign w:val="bottom"/>
            <w:hideMark/>
          </w:tcPr>
          <w:p w14:paraId="5499A79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0.4953</w:t>
            </w:r>
          </w:p>
        </w:tc>
        <w:tc>
          <w:tcPr>
            <w:tcW w:w="1984" w:type="dxa"/>
            <w:tcBorders>
              <w:top w:val="nil"/>
              <w:left w:val="nil"/>
              <w:bottom w:val="nil"/>
              <w:right w:val="nil"/>
            </w:tcBorders>
            <w:shd w:val="clear" w:color="auto" w:fill="auto"/>
            <w:noWrap/>
            <w:vAlign w:val="bottom"/>
            <w:hideMark/>
          </w:tcPr>
          <w:p w14:paraId="25BF2D3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1.10 (1.07-1.13)</w:t>
            </w:r>
          </w:p>
        </w:tc>
        <w:tc>
          <w:tcPr>
            <w:tcW w:w="1134" w:type="dxa"/>
            <w:tcBorders>
              <w:top w:val="nil"/>
              <w:left w:val="nil"/>
              <w:bottom w:val="nil"/>
              <w:right w:val="nil"/>
            </w:tcBorders>
            <w:shd w:val="clear" w:color="auto" w:fill="auto"/>
            <w:noWrap/>
            <w:vAlign w:val="bottom"/>
            <w:hideMark/>
          </w:tcPr>
          <w:p w14:paraId="32356268"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&lt;0.0001</w:t>
            </w:r>
          </w:p>
        </w:tc>
        <w:tc>
          <w:tcPr>
            <w:tcW w:w="2126" w:type="dxa"/>
            <w:tcBorders>
              <w:top w:val="nil"/>
              <w:left w:val="nil"/>
              <w:bottom w:val="nil"/>
              <w:right w:val="nil"/>
            </w:tcBorders>
            <w:shd w:val="clear" w:color="auto" w:fill="auto"/>
            <w:noWrap/>
            <w:vAlign w:val="bottom"/>
            <w:hideMark/>
          </w:tcPr>
          <w:p w14:paraId="450CECB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1.06 (0.96-1.18)</w:t>
            </w:r>
          </w:p>
        </w:tc>
        <w:tc>
          <w:tcPr>
            <w:tcW w:w="1560" w:type="dxa"/>
            <w:tcBorders>
              <w:top w:val="nil"/>
              <w:left w:val="nil"/>
              <w:bottom w:val="nil"/>
              <w:right w:val="nil"/>
            </w:tcBorders>
            <w:shd w:val="clear" w:color="auto" w:fill="auto"/>
            <w:noWrap/>
            <w:vAlign w:val="bottom"/>
            <w:hideMark/>
          </w:tcPr>
          <w:p w14:paraId="1BE15C5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0.2690</w:t>
            </w:r>
          </w:p>
        </w:tc>
      </w:tr>
      <w:tr w:rsidR="00EF5F48" w:rsidRPr="004D5859" w14:paraId="5319F5AE" w14:textId="77777777" w:rsidTr="00AD0DF7">
        <w:trPr>
          <w:trHeight w:val="300"/>
        </w:trPr>
        <w:tc>
          <w:tcPr>
            <w:tcW w:w="2518" w:type="dxa"/>
            <w:tcBorders>
              <w:top w:val="nil"/>
              <w:left w:val="nil"/>
              <w:bottom w:val="nil"/>
              <w:right w:val="nil"/>
            </w:tcBorders>
            <w:shd w:val="clear" w:color="auto" w:fill="auto"/>
            <w:noWrap/>
            <w:vAlign w:val="bottom"/>
            <w:hideMark/>
          </w:tcPr>
          <w:p w14:paraId="47EEB57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Swelling</w:t>
            </w:r>
          </w:p>
        </w:tc>
        <w:tc>
          <w:tcPr>
            <w:tcW w:w="1985" w:type="dxa"/>
            <w:tcBorders>
              <w:top w:val="nil"/>
              <w:left w:val="nil"/>
              <w:bottom w:val="nil"/>
              <w:right w:val="nil"/>
            </w:tcBorders>
            <w:shd w:val="clear" w:color="auto" w:fill="auto"/>
            <w:noWrap/>
            <w:vAlign w:val="bottom"/>
            <w:hideMark/>
          </w:tcPr>
          <w:p w14:paraId="2BB3661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1.00 (0.99-1.00)</w:t>
            </w:r>
          </w:p>
        </w:tc>
        <w:tc>
          <w:tcPr>
            <w:tcW w:w="1134" w:type="dxa"/>
            <w:tcBorders>
              <w:top w:val="nil"/>
              <w:left w:val="nil"/>
              <w:bottom w:val="nil"/>
              <w:right w:val="nil"/>
            </w:tcBorders>
            <w:shd w:val="clear" w:color="auto" w:fill="auto"/>
            <w:noWrap/>
            <w:vAlign w:val="bottom"/>
            <w:hideMark/>
          </w:tcPr>
          <w:p w14:paraId="1C5FBF5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0.1836</w:t>
            </w:r>
          </w:p>
        </w:tc>
        <w:tc>
          <w:tcPr>
            <w:tcW w:w="1984" w:type="dxa"/>
            <w:tcBorders>
              <w:top w:val="nil"/>
              <w:left w:val="nil"/>
              <w:bottom w:val="nil"/>
              <w:right w:val="nil"/>
            </w:tcBorders>
            <w:shd w:val="clear" w:color="auto" w:fill="auto"/>
            <w:noWrap/>
            <w:vAlign w:val="bottom"/>
            <w:hideMark/>
          </w:tcPr>
          <w:p w14:paraId="203B6D2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1.05 (1.03-1.06)</w:t>
            </w:r>
          </w:p>
        </w:tc>
        <w:tc>
          <w:tcPr>
            <w:tcW w:w="1134" w:type="dxa"/>
            <w:tcBorders>
              <w:top w:val="nil"/>
              <w:left w:val="nil"/>
              <w:bottom w:val="nil"/>
              <w:right w:val="nil"/>
            </w:tcBorders>
            <w:shd w:val="clear" w:color="auto" w:fill="auto"/>
            <w:noWrap/>
            <w:vAlign w:val="bottom"/>
            <w:hideMark/>
          </w:tcPr>
          <w:p w14:paraId="22D74C22"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&lt;0.0001</w:t>
            </w:r>
          </w:p>
        </w:tc>
        <w:tc>
          <w:tcPr>
            <w:tcW w:w="2126" w:type="dxa"/>
            <w:tcBorders>
              <w:top w:val="nil"/>
              <w:left w:val="nil"/>
              <w:bottom w:val="nil"/>
              <w:right w:val="nil"/>
            </w:tcBorders>
            <w:shd w:val="clear" w:color="auto" w:fill="auto"/>
            <w:noWrap/>
            <w:vAlign w:val="bottom"/>
            <w:hideMark/>
          </w:tcPr>
          <w:p w14:paraId="38907B7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1.09 (1.01-1.17)</w:t>
            </w:r>
          </w:p>
        </w:tc>
        <w:tc>
          <w:tcPr>
            <w:tcW w:w="1560" w:type="dxa"/>
            <w:tcBorders>
              <w:top w:val="nil"/>
              <w:left w:val="nil"/>
              <w:bottom w:val="nil"/>
              <w:right w:val="nil"/>
            </w:tcBorders>
            <w:shd w:val="clear" w:color="auto" w:fill="auto"/>
            <w:noWrap/>
            <w:vAlign w:val="bottom"/>
            <w:hideMark/>
          </w:tcPr>
          <w:p w14:paraId="19DD1FCF"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0.0180</w:t>
            </w:r>
          </w:p>
        </w:tc>
      </w:tr>
      <w:tr w:rsidR="00EF5F48" w:rsidRPr="004D5859" w14:paraId="72D93465" w14:textId="77777777" w:rsidTr="00AD0DF7">
        <w:trPr>
          <w:trHeight w:val="300"/>
        </w:trPr>
        <w:tc>
          <w:tcPr>
            <w:tcW w:w="2518" w:type="dxa"/>
            <w:tcBorders>
              <w:top w:val="nil"/>
              <w:left w:val="nil"/>
              <w:bottom w:val="nil"/>
              <w:right w:val="nil"/>
            </w:tcBorders>
            <w:shd w:val="clear" w:color="auto" w:fill="auto"/>
            <w:noWrap/>
            <w:vAlign w:val="bottom"/>
            <w:hideMark/>
          </w:tcPr>
          <w:p w14:paraId="25F2F7DE"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Hyperattenuated</w:t>
            </w:r>
            <w:proofErr w:type="spellEnd"/>
            <w:r w:rsidRPr="004D5859">
              <w:rPr>
                <w:rFonts w:ascii="Times New Roman" w:hAnsi="Times New Roman" w:cs="Times New Roman"/>
                <w:sz w:val="20"/>
                <w:szCs w:val="20"/>
              </w:rPr>
              <w:t xml:space="preserve"> arteries</w:t>
            </w:r>
          </w:p>
        </w:tc>
        <w:tc>
          <w:tcPr>
            <w:tcW w:w="1985" w:type="dxa"/>
            <w:tcBorders>
              <w:top w:val="nil"/>
              <w:left w:val="nil"/>
              <w:bottom w:val="nil"/>
              <w:right w:val="nil"/>
            </w:tcBorders>
            <w:shd w:val="clear" w:color="auto" w:fill="auto"/>
            <w:noWrap/>
            <w:vAlign w:val="bottom"/>
            <w:hideMark/>
          </w:tcPr>
          <w:p w14:paraId="751BC97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1.00 (0.99-1.01)</w:t>
            </w:r>
          </w:p>
        </w:tc>
        <w:tc>
          <w:tcPr>
            <w:tcW w:w="1134" w:type="dxa"/>
            <w:tcBorders>
              <w:top w:val="nil"/>
              <w:left w:val="nil"/>
              <w:bottom w:val="nil"/>
              <w:right w:val="nil"/>
            </w:tcBorders>
            <w:shd w:val="clear" w:color="auto" w:fill="auto"/>
            <w:noWrap/>
            <w:vAlign w:val="bottom"/>
            <w:hideMark/>
          </w:tcPr>
          <w:p w14:paraId="460C3DC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0.9289</w:t>
            </w:r>
          </w:p>
        </w:tc>
        <w:tc>
          <w:tcPr>
            <w:tcW w:w="1984" w:type="dxa"/>
            <w:tcBorders>
              <w:top w:val="nil"/>
              <w:left w:val="nil"/>
              <w:bottom w:val="nil"/>
              <w:right w:val="nil"/>
            </w:tcBorders>
            <w:shd w:val="clear" w:color="auto" w:fill="auto"/>
            <w:noWrap/>
            <w:vAlign w:val="bottom"/>
            <w:hideMark/>
          </w:tcPr>
          <w:p w14:paraId="5EAA146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0.91 (0.90-0.93)</w:t>
            </w:r>
          </w:p>
        </w:tc>
        <w:tc>
          <w:tcPr>
            <w:tcW w:w="1134" w:type="dxa"/>
            <w:tcBorders>
              <w:top w:val="nil"/>
              <w:left w:val="nil"/>
              <w:bottom w:val="nil"/>
              <w:right w:val="nil"/>
            </w:tcBorders>
            <w:shd w:val="clear" w:color="auto" w:fill="auto"/>
            <w:noWrap/>
            <w:vAlign w:val="bottom"/>
            <w:hideMark/>
          </w:tcPr>
          <w:p w14:paraId="3DDE17A6"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&lt;0.0001</w:t>
            </w:r>
          </w:p>
        </w:tc>
        <w:tc>
          <w:tcPr>
            <w:tcW w:w="2126" w:type="dxa"/>
            <w:tcBorders>
              <w:top w:val="nil"/>
              <w:left w:val="nil"/>
              <w:bottom w:val="nil"/>
              <w:right w:val="nil"/>
            </w:tcBorders>
            <w:shd w:val="clear" w:color="auto" w:fill="auto"/>
            <w:noWrap/>
            <w:vAlign w:val="bottom"/>
            <w:hideMark/>
          </w:tcPr>
          <w:p w14:paraId="0C3E1FC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1.04 (0.95-1.13)</w:t>
            </w:r>
          </w:p>
        </w:tc>
        <w:tc>
          <w:tcPr>
            <w:tcW w:w="1560" w:type="dxa"/>
            <w:tcBorders>
              <w:top w:val="nil"/>
              <w:left w:val="nil"/>
              <w:bottom w:val="nil"/>
              <w:right w:val="nil"/>
            </w:tcBorders>
            <w:shd w:val="clear" w:color="auto" w:fill="auto"/>
            <w:noWrap/>
            <w:vAlign w:val="bottom"/>
            <w:hideMark/>
          </w:tcPr>
          <w:p w14:paraId="46562BC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0.4044</w:t>
            </w:r>
          </w:p>
        </w:tc>
      </w:tr>
      <w:tr w:rsidR="00EF5F48" w:rsidRPr="004D5859" w14:paraId="130AA3EF" w14:textId="77777777" w:rsidTr="00AD0DF7">
        <w:trPr>
          <w:trHeight w:val="300"/>
        </w:trPr>
        <w:tc>
          <w:tcPr>
            <w:tcW w:w="2518" w:type="dxa"/>
            <w:tcBorders>
              <w:top w:val="nil"/>
              <w:left w:val="nil"/>
              <w:bottom w:val="nil"/>
              <w:right w:val="nil"/>
            </w:tcBorders>
            <w:shd w:val="clear" w:color="auto" w:fill="auto"/>
            <w:noWrap/>
            <w:vAlign w:val="bottom"/>
            <w:hideMark/>
          </w:tcPr>
          <w:p w14:paraId="11BC0A1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Pre-existing signs</w:t>
            </w:r>
          </w:p>
        </w:tc>
        <w:tc>
          <w:tcPr>
            <w:tcW w:w="1985" w:type="dxa"/>
            <w:tcBorders>
              <w:top w:val="nil"/>
              <w:left w:val="nil"/>
              <w:bottom w:val="nil"/>
              <w:right w:val="nil"/>
            </w:tcBorders>
            <w:shd w:val="clear" w:color="auto" w:fill="auto"/>
            <w:noWrap/>
            <w:vAlign w:val="bottom"/>
            <w:hideMark/>
          </w:tcPr>
          <w:p w14:paraId="75DCEB73" w14:textId="77777777" w:rsidR="00EF5F48" w:rsidRPr="004D5859" w:rsidRDefault="00EF5F48" w:rsidP="00AD0DF7">
            <w:pPr>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374190B7" w14:textId="77777777" w:rsidR="00EF5F48" w:rsidRPr="004D5859" w:rsidRDefault="00EF5F48" w:rsidP="00AD0DF7">
            <w:pPr>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14:paraId="695992B9" w14:textId="77777777" w:rsidR="00EF5F48" w:rsidRPr="004D5859" w:rsidRDefault="00EF5F48" w:rsidP="00AD0DF7">
            <w:pPr>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C5E9FAC" w14:textId="77777777" w:rsidR="00EF5F48" w:rsidRPr="004D5859" w:rsidRDefault="00EF5F48" w:rsidP="00AD0DF7">
            <w:pPr>
              <w:rPr>
                <w:rFonts w:ascii="Times New Roman" w:hAnsi="Times New Roman" w:cs="Times New Roman"/>
                <w:sz w:val="20"/>
                <w:szCs w:val="20"/>
              </w:rPr>
            </w:pPr>
          </w:p>
        </w:tc>
        <w:tc>
          <w:tcPr>
            <w:tcW w:w="2126" w:type="dxa"/>
            <w:tcBorders>
              <w:top w:val="nil"/>
              <w:left w:val="nil"/>
              <w:bottom w:val="nil"/>
              <w:right w:val="nil"/>
            </w:tcBorders>
            <w:shd w:val="clear" w:color="auto" w:fill="auto"/>
            <w:noWrap/>
            <w:vAlign w:val="bottom"/>
            <w:hideMark/>
          </w:tcPr>
          <w:p w14:paraId="45204281" w14:textId="77777777" w:rsidR="00EF5F48" w:rsidRPr="004D5859" w:rsidRDefault="00EF5F48" w:rsidP="00AD0DF7">
            <w:pPr>
              <w:rPr>
                <w:rFonts w:ascii="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1A43179" w14:textId="77777777" w:rsidR="00EF5F48" w:rsidRPr="004D5859" w:rsidRDefault="00EF5F48" w:rsidP="00AD0DF7">
            <w:pPr>
              <w:rPr>
                <w:rFonts w:ascii="Times New Roman" w:hAnsi="Times New Roman" w:cs="Times New Roman"/>
                <w:sz w:val="20"/>
                <w:szCs w:val="20"/>
              </w:rPr>
            </w:pPr>
          </w:p>
        </w:tc>
      </w:tr>
      <w:tr w:rsidR="00EF5F48" w:rsidRPr="004D5859" w14:paraId="4038E800" w14:textId="77777777" w:rsidTr="00AD0DF7">
        <w:trPr>
          <w:trHeight w:val="320"/>
        </w:trPr>
        <w:tc>
          <w:tcPr>
            <w:tcW w:w="2518" w:type="dxa"/>
            <w:tcBorders>
              <w:top w:val="nil"/>
              <w:left w:val="nil"/>
              <w:bottom w:val="nil"/>
              <w:right w:val="nil"/>
            </w:tcBorders>
            <w:shd w:val="clear" w:color="auto" w:fill="auto"/>
            <w:vAlign w:val="bottom"/>
            <w:hideMark/>
          </w:tcPr>
          <w:p w14:paraId="1A3FCB6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Atrophy</w:t>
            </w:r>
          </w:p>
        </w:tc>
        <w:tc>
          <w:tcPr>
            <w:tcW w:w="1985" w:type="dxa"/>
            <w:tcBorders>
              <w:top w:val="nil"/>
              <w:left w:val="nil"/>
              <w:bottom w:val="nil"/>
              <w:right w:val="nil"/>
            </w:tcBorders>
            <w:shd w:val="clear" w:color="auto" w:fill="auto"/>
            <w:noWrap/>
            <w:vAlign w:val="bottom"/>
            <w:hideMark/>
          </w:tcPr>
          <w:p w14:paraId="1C6B5A5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1.10 (1.09-1.11)</w:t>
            </w:r>
          </w:p>
        </w:tc>
        <w:tc>
          <w:tcPr>
            <w:tcW w:w="1134" w:type="dxa"/>
            <w:tcBorders>
              <w:top w:val="nil"/>
              <w:left w:val="nil"/>
              <w:bottom w:val="nil"/>
              <w:right w:val="nil"/>
            </w:tcBorders>
            <w:shd w:val="clear" w:color="auto" w:fill="auto"/>
            <w:noWrap/>
            <w:vAlign w:val="bottom"/>
            <w:hideMark/>
          </w:tcPr>
          <w:p w14:paraId="5D759FF8"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&lt;0.0001</w:t>
            </w:r>
          </w:p>
        </w:tc>
        <w:tc>
          <w:tcPr>
            <w:tcW w:w="1984" w:type="dxa"/>
            <w:tcBorders>
              <w:top w:val="nil"/>
              <w:left w:val="nil"/>
              <w:bottom w:val="nil"/>
              <w:right w:val="nil"/>
            </w:tcBorders>
            <w:shd w:val="clear" w:color="auto" w:fill="auto"/>
            <w:noWrap/>
            <w:vAlign w:val="bottom"/>
            <w:hideMark/>
          </w:tcPr>
          <w:p w14:paraId="0486E5E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1.01 (1.00-1.02)</w:t>
            </w:r>
          </w:p>
        </w:tc>
        <w:tc>
          <w:tcPr>
            <w:tcW w:w="1134" w:type="dxa"/>
            <w:tcBorders>
              <w:top w:val="nil"/>
              <w:left w:val="nil"/>
              <w:bottom w:val="nil"/>
              <w:right w:val="nil"/>
            </w:tcBorders>
            <w:shd w:val="clear" w:color="auto" w:fill="auto"/>
            <w:noWrap/>
            <w:vAlign w:val="bottom"/>
            <w:hideMark/>
          </w:tcPr>
          <w:p w14:paraId="462F2B0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0.1788</w:t>
            </w:r>
          </w:p>
        </w:tc>
        <w:tc>
          <w:tcPr>
            <w:tcW w:w="2126" w:type="dxa"/>
            <w:tcBorders>
              <w:top w:val="nil"/>
              <w:left w:val="nil"/>
              <w:bottom w:val="nil"/>
              <w:right w:val="nil"/>
            </w:tcBorders>
            <w:shd w:val="clear" w:color="auto" w:fill="auto"/>
            <w:noWrap/>
            <w:vAlign w:val="bottom"/>
            <w:hideMark/>
          </w:tcPr>
          <w:p w14:paraId="1A93AB4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0.98 (0.92-1.05)</w:t>
            </w:r>
          </w:p>
        </w:tc>
        <w:tc>
          <w:tcPr>
            <w:tcW w:w="1560" w:type="dxa"/>
            <w:tcBorders>
              <w:top w:val="nil"/>
              <w:left w:val="nil"/>
              <w:bottom w:val="nil"/>
              <w:right w:val="nil"/>
            </w:tcBorders>
            <w:shd w:val="clear" w:color="auto" w:fill="auto"/>
            <w:noWrap/>
            <w:vAlign w:val="bottom"/>
            <w:hideMark/>
          </w:tcPr>
          <w:p w14:paraId="2E1D970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0.5543</w:t>
            </w:r>
          </w:p>
        </w:tc>
      </w:tr>
      <w:tr w:rsidR="00EF5F48" w:rsidRPr="004D5859" w14:paraId="2831A01F" w14:textId="77777777" w:rsidTr="00AD0DF7">
        <w:trPr>
          <w:trHeight w:val="320"/>
        </w:trPr>
        <w:tc>
          <w:tcPr>
            <w:tcW w:w="2518" w:type="dxa"/>
            <w:tcBorders>
              <w:top w:val="nil"/>
              <w:left w:val="nil"/>
              <w:right w:val="nil"/>
            </w:tcBorders>
            <w:shd w:val="clear" w:color="auto" w:fill="auto"/>
            <w:vAlign w:val="bottom"/>
            <w:hideMark/>
          </w:tcPr>
          <w:p w14:paraId="622921C3"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Leukoaraiosis</w:t>
            </w:r>
            <w:proofErr w:type="spellEnd"/>
          </w:p>
        </w:tc>
        <w:tc>
          <w:tcPr>
            <w:tcW w:w="1985" w:type="dxa"/>
            <w:tcBorders>
              <w:top w:val="nil"/>
              <w:left w:val="nil"/>
              <w:right w:val="nil"/>
            </w:tcBorders>
            <w:shd w:val="clear" w:color="auto" w:fill="auto"/>
            <w:noWrap/>
            <w:vAlign w:val="bottom"/>
            <w:hideMark/>
          </w:tcPr>
          <w:p w14:paraId="5F0126E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1.08 (1.07-1.09)</w:t>
            </w:r>
          </w:p>
        </w:tc>
        <w:tc>
          <w:tcPr>
            <w:tcW w:w="1134" w:type="dxa"/>
            <w:tcBorders>
              <w:top w:val="nil"/>
              <w:left w:val="nil"/>
              <w:right w:val="nil"/>
            </w:tcBorders>
            <w:shd w:val="clear" w:color="auto" w:fill="auto"/>
            <w:noWrap/>
            <w:vAlign w:val="bottom"/>
            <w:hideMark/>
          </w:tcPr>
          <w:p w14:paraId="4A3E6FCB"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&lt;0.0001</w:t>
            </w:r>
          </w:p>
        </w:tc>
        <w:tc>
          <w:tcPr>
            <w:tcW w:w="1984" w:type="dxa"/>
            <w:tcBorders>
              <w:top w:val="nil"/>
              <w:left w:val="nil"/>
              <w:right w:val="nil"/>
            </w:tcBorders>
            <w:shd w:val="clear" w:color="auto" w:fill="auto"/>
            <w:noWrap/>
            <w:vAlign w:val="bottom"/>
            <w:hideMark/>
          </w:tcPr>
          <w:p w14:paraId="58538C9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0.99 (.0.97-1.00)</w:t>
            </w:r>
          </w:p>
        </w:tc>
        <w:tc>
          <w:tcPr>
            <w:tcW w:w="1134" w:type="dxa"/>
            <w:tcBorders>
              <w:top w:val="nil"/>
              <w:left w:val="nil"/>
              <w:right w:val="nil"/>
            </w:tcBorders>
            <w:shd w:val="clear" w:color="auto" w:fill="auto"/>
            <w:noWrap/>
            <w:vAlign w:val="bottom"/>
            <w:hideMark/>
          </w:tcPr>
          <w:p w14:paraId="184598D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0.0598</w:t>
            </w:r>
          </w:p>
        </w:tc>
        <w:tc>
          <w:tcPr>
            <w:tcW w:w="2126" w:type="dxa"/>
            <w:tcBorders>
              <w:top w:val="nil"/>
              <w:left w:val="nil"/>
              <w:right w:val="nil"/>
            </w:tcBorders>
            <w:shd w:val="clear" w:color="auto" w:fill="auto"/>
            <w:noWrap/>
            <w:vAlign w:val="bottom"/>
            <w:hideMark/>
          </w:tcPr>
          <w:p w14:paraId="4105EA2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.1.07 (1.00-1.15)</w:t>
            </w:r>
          </w:p>
        </w:tc>
        <w:tc>
          <w:tcPr>
            <w:tcW w:w="1560" w:type="dxa"/>
            <w:tcBorders>
              <w:top w:val="nil"/>
              <w:left w:val="nil"/>
              <w:right w:val="nil"/>
            </w:tcBorders>
            <w:shd w:val="clear" w:color="auto" w:fill="auto"/>
            <w:noWrap/>
            <w:vAlign w:val="bottom"/>
            <w:hideMark/>
          </w:tcPr>
          <w:p w14:paraId="1AF4461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0.0528</w:t>
            </w:r>
          </w:p>
        </w:tc>
      </w:tr>
      <w:tr w:rsidR="00EF5F48" w:rsidRPr="004D5859" w14:paraId="32145FE1" w14:textId="77777777" w:rsidTr="00AD0DF7">
        <w:trPr>
          <w:trHeight w:val="320"/>
        </w:trPr>
        <w:tc>
          <w:tcPr>
            <w:tcW w:w="2518" w:type="dxa"/>
            <w:tcBorders>
              <w:top w:val="nil"/>
              <w:left w:val="nil"/>
              <w:bottom w:val="single" w:sz="4" w:space="0" w:color="auto"/>
              <w:right w:val="nil"/>
            </w:tcBorders>
            <w:shd w:val="clear" w:color="auto" w:fill="auto"/>
            <w:vAlign w:val="bottom"/>
            <w:hideMark/>
          </w:tcPr>
          <w:p w14:paraId="12D88ED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Old infarct</w:t>
            </w:r>
          </w:p>
        </w:tc>
        <w:tc>
          <w:tcPr>
            <w:tcW w:w="1985" w:type="dxa"/>
            <w:tcBorders>
              <w:top w:val="nil"/>
              <w:left w:val="nil"/>
              <w:bottom w:val="single" w:sz="4" w:space="0" w:color="auto"/>
              <w:right w:val="nil"/>
            </w:tcBorders>
            <w:shd w:val="clear" w:color="auto" w:fill="auto"/>
            <w:noWrap/>
            <w:vAlign w:val="bottom"/>
            <w:hideMark/>
          </w:tcPr>
          <w:p w14:paraId="18ECB62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1.03 (1.03-1.04)</w:t>
            </w:r>
          </w:p>
        </w:tc>
        <w:tc>
          <w:tcPr>
            <w:tcW w:w="1134" w:type="dxa"/>
            <w:tcBorders>
              <w:top w:val="nil"/>
              <w:left w:val="nil"/>
              <w:bottom w:val="single" w:sz="4" w:space="0" w:color="auto"/>
              <w:right w:val="nil"/>
            </w:tcBorders>
            <w:shd w:val="clear" w:color="auto" w:fill="auto"/>
            <w:noWrap/>
            <w:vAlign w:val="bottom"/>
            <w:hideMark/>
          </w:tcPr>
          <w:p w14:paraId="4C15E803"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&lt;0.0001</w:t>
            </w:r>
          </w:p>
        </w:tc>
        <w:tc>
          <w:tcPr>
            <w:tcW w:w="1984" w:type="dxa"/>
            <w:tcBorders>
              <w:top w:val="nil"/>
              <w:left w:val="nil"/>
              <w:bottom w:val="single" w:sz="4" w:space="0" w:color="auto"/>
              <w:right w:val="nil"/>
            </w:tcBorders>
            <w:shd w:val="clear" w:color="auto" w:fill="auto"/>
            <w:noWrap/>
            <w:vAlign w:val="bottom"/>
            <w:hideMark/>
          </w:tcPr>
          <w:p w14:paraId="7F72AB1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0.99 (0.98-1.01)</w:t>
            </w:r>
          </w:p>
        </w:tc>
        <w:tc>
          <w:tcPr>
            <w:tcW w:w="1134" w:type="dxa"/>
            <w:tcBorders>
              <w:top w:val="nil"/>
              <w:left w:val="nil"/>
              <w:bottom w:val="single" w:sz="4" w:space="0" w:color="auto"/>
              <w:right w:val="nil"/>
            </w:tcBorders>
            <w:shd w:val="clear" w:color="auto" w:fill="auto"/>
            <w:noWrap/>
            <w:vAlign w:val="bottom"/>
            <w:hideMark/>
          </w:tcPr>
          <w:p w14:paraId="6D1B19D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0.239</w:t>
            </w:r>
          </w:p>
        </w:tc>
        <w:tc>
          <w:tcPr>
            <w:tcW w:w="2126" w:type="dxa"/>
            <w:tcBorders>
              <w:top w:val="nil"/>
              <w:left w:val="nil"/>
              <w:bottom w:val="single" w:sz="4" w:space="0" w:color="auto"/>
              <w:right w:val="nil"/>
            </w:tcBorders>
            <w:shd w:val="clear" w:color="auto" w:fill="auto"/>
            <w:noWrap/>
            <w:vAlign w:val="bottom"/>
            <w:hideMark/>
          </w:tcPr>
          <w:p w14:paraId="43BBA18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1.09 (1.01-1.16)</w:t>
            </w:r>
          </w:p>
        </w:tc>
        <w:tc>
          <w:tcPr>
            <w:tcW w:w="1560" w:type="dxa"/>
            <w:tcBorders>
              <w:top w:val="nil"/>
              <w:left w:val="nil"/>
              <w:bottom w:val="single" w:sz="4" w:space="0" w:color="auto"/>
              <w:right w:val="nil"/>
            </w:tcBorders>
            <w:shd w:val="clear" w:color="auto" w:fill="auto"/>
            <w:noWrap/>
            <w:vAlign w:val="bottom"/>
            <w:hideMark/>
          </w:tcPr>
          <w:p w14:paraId="10309016"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0.0174</w:t>
            </w:r>
          </w:p>
        </w:tc>
      </w:tr>
    </w:tbl>
    <w:p w14:paraId="52AF03F1" w14:textId="77777777" w:rsidR="00EF5F48" w:rsidRPr="004D5859" w:rsidRDefault="00EF5F48" w:rsidP="00EF5F48">
      <w:pPr>
        <w:spacing w:before="120"/>
        <w:rPr>
          <w:rFonts w:ascii="Times New Roman" w:hAnsi="Times New Roman" w:cs="Times New Roman"/>
          <w:sz w:val="20"/>
          <w:szCs w:val="20"/>
        </w:rPr>
      </w:pPr>
      <w:r w:rsidRPr="004D5859">
        <w:rPr>
          <w:rFonts w:ascii="Times New Roman" w:hAnsi="Times New Roman" w:cs="Times New Roman"/>
          <w:sz w:val="20"/>
          <w:szCs w:val="20"/>
        </w:rPr>
        <w:t xml:space="preserve">Data are OR (95% CI) and p value. </w:t>
      </w:r>
    </w:p>
    <w:p w14:paraId="1F372026" w14:textId="77777777" w:rsidR="00EF5F48" w:rsidRPr="004D5859" w:rsidRDefault="00EF5F48" w:rsidP="00EF5F48">
      <w:pPr>
        <w:spacing w:before="120"/>
        <w:rPr>
          <w:rFonts w:ascii="Times New Roman" w:hAnsi="Times New Roman" w:cs="Times New Roman"/>
          <w:sz w:val="20"/>
          <w:szCs w:val="20"/>
        </w:rPr>
      </w:pPr>
      <w:r w:rsidRPr="004D5859">
        <w:rPr>
          <w:rFonts w:ascii="Times New Roman" w:hAnsi="Times New Roman" w:cs="Times New Roman"/>
          <w:sz w:val="20"/>
          <w:szCs w:val="20"/>
        </w:rPr>
        <w:t>NIHSS denotes National Institutes of Health Stroke Scale.</w:t>
      </w:r>
    </w:p>
    <w:p w14:paraId="5F651C68" w14:textId="77777777" w:rsidR="00EF5F48" w:rsidRDefault="00EF5F48" w:rsidP="00EF5F48">
      <w:pPr>
        <w:spacing w:line="480" w:lineRule="auto"/>
        <w:rPr>
          <w:rFonts w:ascii="Times New Roman" w:hAnsi="Times New Roman" w:cs="Times New Roman"/>
          <w:sz w:val="20"/>
          <w:szCs w:val="20"/>
        </w:rPr>
      </w:pPr>
    </w:p>
    <w:p w14:paraId="515C942F" w14:textId="77777777" w:rsidR="00EF5F48" w:rsidRDefault="00EF5F48" w:rsidP="00EF5F48">
      <w:pPr>
        <w:spacing w:line="480" w:lineRule="auto"/>
        <w:rPr>
          <w:rFonts w:ascii="Times New Roman" w:hAnsi="Times New Roman" w:cs="Times New Roman"/>
          <w:b/>
          <w:sz w:val="20"/>
          <w:szCs w:val="20"/>
        </w:rPr>
      </w:pPr>
      <w:r>
        <w:rPr>
          <w:rFonts w:ascii="Times New Roman" w:hAnsi="Times New Roman" w:cs="Times New Roman"/>
          <w:b/>
          <w:sz w:val="20"/>
          <w:szCs w:val="20"/>
        </w:rPr>
        <w:br w:type="page"/>
      </w:r>
    </w:p>
    <w:p w14:paraId="44FF9C85" w14:textId="587310E9" w:rsidR="00EF5F48" w:rsidRPr="004D5859" w:rsidRDefault="00EF5F48" w:rsidP="00EF5F48">
      <w:pPr>
        <w:spacing w:line="480" w:lineRule="auto"/>
        <w:rPr>
          <w:rFonts w:ascii="Times New Roman" w:hAnsi="Times New Roman" w:cs="Times New Roman"/>
          <w:sz w:val="20"/>
          <w:szCs w:val="20"/>
        </w:rPr>
      </w:pPr>
      <w:r w:rsidRPr="004D5859">
        <w:rPr>
          <w:rFonts w:ascii="Times New Roman" w:hAnsi="Times New Roman" w:cs="Times New Roman"/>
          <w:b/>
          <w:sz w:val="20"/>
          <w:szCs w:val="20"/>
        </w:rPr>
        <w:t>Table 3: Logistic regression analysis of associations between individual imaging signs and primary and secondary outcomes, adjusted for age, NIHSS score, and time to randomisation</w:t>
      </w:r>
    </w:p>
    <w:tbl>
      <w:tblPr>
        <w:tblW w:w="14034" w:type="dxa"/>
        <w:tblLayout w:type="fixed"/>
        <w:tblLook w:val="04A0" w:firstRow="1" w:lastRow="0" w:firstColumn="1" w:lastColumn="0" w:noHBand="0" w:noVBand="1"/>
      </w:tblPr>
      <w:tblGrid>
        <w:gridCol w:w="1101"/>
        <w:gridCol w:w="1559"/>
        <w:gridCol w:w="2018"/>
        <w:gridCol w:w="851"/>
        <w:gridCol w:w="1984"/>
        <w:gridCol w:w="851"/>
        <w:gridCol w:w="1984"/>
        <w:gridCol w:w="851"/>
        <w:gridCol w:w="1842"/>
        <w:gridCol w:w="993"/>
      </w:tblGrid>
      <w:tr w:rsidR="00EF5F48" w:rsidRPr="004D5859" w14:paraId="66D3B560" w14:textId="77777777" w:rsidTr="00AD0DF7">
        <w:trPr>
          <w:trHeight w:val="71"/>
        </w:trPr>
        <w:tc>
          <w:tcPr>
            <w:tcW w:w="1101" w:type="dxa"/>
            <w:tcBorders>
              <w:top w:val="single" w:sz="4" w:space="0" w:color="auto"/>
              <w:left w:val="nil"/>
              <w:right w:val="nil"/>
            </w:tcBorders>
            <w:shd w:val="clear" w:color="auto" w:fill="auto"/>
            <w:noWrap/>
            <w:vAlign w:val="center"/>
            <w:hideMark/>
          </w:tcPr>
          <w:p w14:paraId="1D2472E2" w14:textId="77777777" w:rsidR="00EF5F48" w:rsidRPr="004D5859" w:rsidRDefault="00EF5F48" w:rsidP="00AD0DF7">
            <w:pPr>
              <w:rPr>
                <w:rFonts w:ascii="Times New Roman" w:hAnsi="Times New Roman" w:cs="Times New Roman"/>
                <w:sz w:val="20"/>
                <w:szCs w:val="20"/>
              </w:rPr>
            </w:pPr>
          </w:p>
        </w:tc>
        <w:tc>
          <w:tcPr>
            <w:tcW w:w="1559" w:type="dxa"/>
            <w:tcBorders>
              <w:top w:val="single" w:sz="4" w:space="0" w:color="auto"/>
              <w:left w:val="nil"/>
              <w:right w:val="nil"/>
            </w:tcBorders>
            <w:shd w:val="clear" w:color="auto" w:fill="auto"/>
            <w:noWrap/>
            <w:vAlign w:val="center"/>
            <w:hideMark/>
          </w:tcPr>
          <w:p w14:paraId="1A581667" w14:textId="77777777" w:rsidR="00EF5F48" w:rsidRPr="004D5859" w:rsidRDefault="00EF5F48" w:rsidP="00AD0DF7">
            <w:pPr>
              <w:rPr>
                <w:rFonts w:ascii="Times New Roman" w:hAnsi="Times New Roman" w:cs="Times New Roman"/>
                <w:b/>
                <w:sz w:val="20"/>
                <w:szCs w:val="20"/>
              </w:rPr>
            </w:pPr>
          </w:p>
        </w:tc>
        <w:tc>
          <w:tcPr>
            <w:tcW w:w="2018" w:type="dxa"/>
            <w:tcBorders>
              <w:top w:val="single" w:sz="4" w:space="0" w:color="auto"/>
              <w:left w:val="nil"/>
              <w:right w:val="nil"/>
            </w:tcBorders>
            <w:shd w:val="clear" w:color="auto" w:fill="auto"/>
            <w:noWrap/>
            <w:vAlign w:val="center"/>
            <w:hideMark/>
          </w:tcPr>
          <w:p w14:paraId="40604024" w14:textId="77777777" w:rsidR="00EF5F48" w:rsidRPr="004D5859" w:rsidRDefault="00EF5F48" w:rsidP="00AD0DF7">
            <w:pPr>
              <w:rPr>
                <w:rFonts w:ascii="Times New Roman" w:hAnsi="Times New Roman" w:cs="Times New Roman"/>
                <w:b/>
                <w:sz w:val="20"/>
                <w:szCs w:val="20"/>
              </w:rPr>
            </w:pPr>
            <w:proofErr w:type="spellStart"/>
            <w:proofErr w:type="gramStart"/>
            <w:r w:rsidRPr="004D5859">
              <w:rPr>
                <w:rFonts w:ascii="Times New Roman" w:hAnsi="Times New Roman" w:cs="Times New Roman"/>
                <w:b/>
                <w:sz w:val="20"/>
                <w:szCs w:val="20"/>
              </w:rPr>
              <w:t>sICH</w:t>
            </w:r>
            <w:proofErr w:type="spellEnd"/>
            <w:proofErr w:type="gramEnd"/>
            <w:r w:rsidRPr="004D5859">
              <w:rPr>
                <w:rFonts w:ascii="Times New Roman" w:hAnsi="Times New Roman" w:cs="Times New Roman"/>
                <w:b/>
                <w:sz w:val="20"/>
                <w:szCs w:val="20"/>
              </w:rPr>
              <w:t xml:space="preserve"> (IST3)</w:t>
            </w:r>
          </w:p>
        </w:tc>
        <w:tc>
          <w:tcPr>
            <w:tcW w:w="851" w:type="dxa"/>
            <w:tcBorders>
              <w:top w:val="single" w:sz="4" w:space="0" w:color="auto"/>
              <w:left w:val="nil"/>
              <w:right w:val="nil"/>
            </w:tcBorders>
            <w:shd w:val="clear" w:color="auto" w:fill="auto"/>
            <w:noWrap/>
            <w:vAlign w:val="center"/>
            <w:hideMark/>
          </w:tcPr>
          <w:p w14:paraId="47896CEF" w14:textId="77777777" w:rsidR="00EF5F48" w:rsidRPr="004D5859" w:rsidRDefault="00EF5F48" w:rsidP="00AD0DF7">
            <w:pPr>
              <w:rPr>
                <w:rFonts w:ascii="Times New Roman" w:hAnsi="Times New Roman" w:cs="Times New Roman"/>
                <w:b/>
                <w:sz w:val="20"/>
                <w:szCs w:val="20"/>
              </w:rPr>
            </w:pPr>
          </w:p>
        </w:tc>
        <w:tc>
          <w:tcPr>
            <w:tcW w:w="1984" w:type="dxa"/>
            <w:tcBorders>
              <w:top w:val="single" w:sz="4" w:space="0" w:color="auto"/>
              <w:left w:val="nil"/>
              <w:right w:val="nil"/>
            </w:tcBorders>
            <w:shd w:val="clear" w:color="auto" w:fill="auto"/>
            <w:noWrap/>
            <w:vAlign w:val="center"/>
            <w:hideMark/>
          </w:tcPr>
          <w:p w14:paraId="7E24EE14"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Death within 7 days</w:t>
            </w:r>
          </w:p>
        </w:tc>
        <w:tc>
          <w:tcPr>
            <w:tcW w:w="851" w:type="dxa"/>
            <w:tcBorders>
              <w:top w:val="single" w:sz="4" w:space="0" w:color="auto"/>
              <w:left w:val="nil"/>
              <w:right w:val="nil"/>
            </w:tcBorders>
            <w:shd w:val="clear" w:color="auto" w:fill="auto"/>
            <w:noWrap/>
            <w:vAlign w:val="center"/>
            <w:hideMark/>
          </w:tcPr>
          <w:p w14:paraId="69CE6CA0" w14:textId="77777777" w:rsidR="00EF5F48" w:rsidRPr="004D5859" w:rsidRDefault="00EF5F48" w:rsidP="00AD0DF7">
            <w:pPr>
              <w:rPr>
                <w:rFonts w:ascii="Times New Roman" w:hAnsi="Times New Roman" w:cs="Times New Roman"/>
                <w:b/>
                <w:sz w:val="20"/>
                <w:szCs w:val="20"/>
              </w:rPr>
            </w:pPr>
          </w:p>
        </w:tc>
        <w:tc>
          <w:tcPr>
            <w:tcW w:w="1984" w:type="dxa"/>
            <w:tcBorders>
              <w:top w:val="single" w:sz="4" w:space="0" w:color="auto"/>
              <w:left w:val="nil"/>
              <w:right w:val="nil"/>
            </w:tcBorders>
            <w:shd w:val="clear" w:color="auto" w:fill="auto"/>
            <w:noWrap/>
            <w:vAlign w:val="center"/>
            <w:hideMark/>
          </w:tcPr>
          <w:p w14:paraId="2F2A1D9A"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Death within 90 days</w:t>
            </w:r>
          </w:p>
        </w:tc>
        <w:tc>
          <w:tcPr>
            <w:tcW w:w="851" w:type="dxa"/>
            <w:tcBorders>
              <w:top w:val="single" w:sz="4" w:space="0" w:color="auto"/>
              <w:left w:val="nil"/>
              <w:right w:val="nil"/>
            </w:tcBorders>
            <w:shd w:val="clear" w:color="auto" w:fill="auto"/>
            <w:noWrap/>
            <w:vAlign w:val="center"/>
            <w:hideMark/>
          </w:tcPr>
          <w:p w14:paraId="7DBE70DD" w14:textId="77777777" w:rsidR="00EF5F48" w:rsidRPr="004D5859" w:rsidRDefault="00EF5F48" w:rsidP="00AD0DF7">
            <w:pPr>
              <w:rPr>
                <w:rFonts w:ascii="Times New Roman" w:hAnsi="Times New Roman" w:cs="Times New Roman"/>
                <w:b/>
                <w:sz w:val="20"/>
                <w:szCs w:val="20"/>
              </w:rPr>
            </w:pPr>
          </w:p>
        </w:tc>
        <w:tc>
          <w:tcPr>
            <w:tcW w:w="1842" w:type="dxa"/>
            <w:tcBorders>
              <w:top w:val="single" w:sz="4" w:space="0" w:color="auto"/>
              <w:left w:val="nil"/>
              <w:right w:val="nil"/>
            </w:tcBorders>
            <w:shd w:val="clear" w:color="auto" w:fill="auto"/>
            <w:noWrap/>
            <w:vAlign w:val="center"/>
            <w:hideMark/>
          </w:tcPr>
          <w:p w14:paraId="0DFCB8E9" w14:textId="77777777" w:rsidR="00EF5F48" w:rsidRPr="004D5859" w:rsidRDefault="00EF5F48" w:rsidP="00AD0DF7">
            <w:pPr>
              <w:rPr>
                <w:rFonts w:ascii="Times New Roman" w:hAnsi="Times New Roman" w:cs="Times New Roman"/>
                <w:b/>
                <w:sz w:val="20"/>
                <w:szCs w:val="20"/>
              </w:rPr>
            </w:pPr>
            <w:proofErr w:type="spellStart"/>
            <w:proofErr w:type="gramStart"/>
            <w:r w:rsidRPr="004D5859">
              <w:rPr>
                <w:rFonts w:ascii="Times New Roman" w:hAnsi="Times New Roman" w:cs="Times New Roman"/>
                <w:b/>
                <w:sz w:val="20"/>
                <w:szCs w:val="20"/>
              </w:rPr>
              <w:t>mRS</w:t>
            </w:r>
            <w:proofErr w:type="spellEnd"/>
            <w:proofErr w:type="gramEnd"/>
            <w:r w:rsidRPr="004D5859">
              <w:rPr>
                <w:rFonts w:ascii="Times New Roman" w:hAnsi="Times New Roman" w:cs="Times New Roman"/>
                <w:b/>
                <w:sz w:val="20"/>
                <w:szCs w:val="20"/>
              </w:rPr>
              <w:t xml:space="preserve"> 0-2</w:t>
            </w:r>
          </w:p>
        </w:tc>
        <w:tc>
          <w:tcPr>
            <w:tcW w:w="993" w:type="dxa"/>
            <w:tcBorders>
              <w:top w:val="single" w:sz="4" w:space="0" w:color="auto"/>
              <w:left w:val="nil"/>
              <w:right w:val="nil"/>
            </w:tcBorders>
            <w:shd w:val="clear" w:color="auto" w:fill="auto"/>
            <w:noWrap/>
            <w:vAlign w:val="center"/>
            <w:hideMark/>
          </w:tcPr>
          <w:p w14:paraId="334E8867" w14:textId="77777777" w:rsidR="00EF5F48" w:rsidRPr="004D5859" w:rsidRDefault="00EF5F48" w:rsidP="00AD0DF7">
            <w:pPr>
              <w:rPr>
                <w:rFonts w:ascii="Times New Roman" w:hAnsi="Times New Roman" w:cs="Times New Roman"/>
                <w:sz w:val="20"/>
                <w:szCs w:val="20"/>
              </w:rPr>
            </w:pPr>
          </w:p>
        </w:tc>
      </w:tr>
      <w:tr w:rsidR="00EF5F48" w:rsidRPr="004D5859" w14:paraId="3332441F" w14:textId="77777777" w:rsidTr="00AD0DF7">
        <w:trPr>
          <w:trHeight w:val="317"/>
        </w:trPr>
        <w:tc>
          <w:tcPr>
            <w:tcW w:w="1101" w:type="dxa"/>
            <w:tcBorders>
              <w:top w:val="nil"/>
              <w:left w:val="nil"/>
              <w:bottom w:val="single" w:sz="4" w:space="0" w:color="auto"/>
              <w:right w:val="nil"/>
            </w:tcBorders>
            <w:shd w:val="clear" w:color="auto" w:fill="auto"/>
            <w:noWrap/>
            <w:vAlign w:val="center"/>
            <w:hideMark/>
          </w:tcPr>
          <w:p w14:paraId="62E21B89"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bottom w:val="single" w:sz="4" w:space="0" w:color="auto"/>
              <w:right w:val="nil"/>
            </w:tcBorders>
            <w:shd w:val="clear" w:color="auto" w:fill="auto"/>
            <w:noWrap/>
            <w:vAlign w:val="center"/>
            <w:hideMark/>
          </w:tcPr>
          <w:p w14:paraId="174733AF" w14:textId="77777777" w:rsidR="00EF5F48" w:rsidRPr="004D5859" w:rsidRDefault="00EF5F48" w:rsidP="00AD0DF7">
            <w:pPr>
              <w:rPr>
                <w:rFonts w:ascii="Times New Roman" w:hAnsi="Times New Roman" w:cs="Times New Roman"/>
                <w:b/>
                <w:sz w:val="20"/>
                <w:szCs w:val="20"/>
              </w:rPr>
            </w:pPr>
          </w:p>
        </w:tc>
        <w:tc>
          <w:tcPr>
            <w:tcW w:w="2018" w:type="dxa"/>
            <w:tcBorders>
              <w:top w:val="nil"/>
              <w:left w:val="nil"/>
              <w:bottom w:val="single" w:sz="4" w:space="0" w:color="auto"/>
              <w:right w:val="nil"/>
            </w:tcBorders>
            <w:shd w:val="clear" w:color="auto" w:fill="auto"/>
            <w:noWrap/>
            <w:vAlign w:val="center"/>
            <w:hideMark/>
          </w:tcPr>
          <w:p w14:paraId="21967D0B" w14:textId="77777777" w:rsidR="00EF5F48" w:rsidRPr="004D5859" w:rsidRDefault="00EF5F48" w:rsidP="00AD0DF7">
            <w:pPr>
              <w:rPr>
                <w:rFonts w:ascii="Times New Roman" w:hAnsi="Times New Roman" w:cs="Times New Roman"/>
                <w:b/>
                <w:sz w:val="20"/>
                <w:szCs w:val="20"/>
              </w:rPr>
            </w:pPr>
            <w:r>
              <w:rPr>
                <w:rFonts w:ascii="Times New Roman" w:hAnsi="Times New Roman" w:cs="Times New Roman"/>
                <w:b/>
                <w:sz w:val="20"/>
                <w:szCs w:val="20"/>
              </w:rPr>
              <w:t xml:space="preserve">Adjusted </w:t>
            </w:r>
            <w:r w:rsidRPr="004D5859">
              <w:rPr>
                <w:rFonts w:ascii="Times New Roman" w:hAnsi="Times New Roman" w:cs="Times New Roman"/>
                <w:b/>
                <w:sz w:val="20"/>
                <w:szCs w:val="20"/>
              </w:rPr>
              <w:t>Odds ratio (95%CI)</w:t>
            </w:r>
          </w:p>
        </w:tc>
        <w:tc>
          <w:tcPr>
            <w:tcW w:w="851" w:type="dxa"/>
            <w:tcBorders>
              <w:top w:val="nil"/>
              <w:left w:val="nil"/>
              <w:bottom w:val="single" w:sz="4" w:space="0" w:color="auto"/>
              <w:right w:val="nil"/>
            </w:tcBorders>
            <w:shd w:val="clear" w:color="auto" w:fill="auto"/>
            <w:noWrap/>
            <w:vAlign w:val="center"/>
            <w:hideMark/>
          </w:tcPr>
          <w:p w14:paraId="2547D8E1" w14:textId="77777777" w:rsidR="00EF5F48" w:rsidRPr="004D5859" w:rsidRDefault="00EF5F48" w:rsidP="00AD0DF7">
            <w:pP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p>
        </w:tc>
        <w:tc>
          <w:tcPr>
            <w:tcW w:w="1984" w:type="dxa"/>
            <w:tcBorders>
              <w:top w:val="nil"/>
              <w:left w:val="nil"/>
              <w:bottom w:val="single" w:sz="4" w:space="0" w:color="auto"/>
              <w:right w:val="nil"/>
            </w:tcBorders>
            <w:shd w:val="clear" w:color="auto" w:fill="auto"/>
            <w:noWrap/>
            <w:vAlign w:val="center"/>
            <w:hideMark/>
          </w:tcPr>
          <w:p w14:paraId="5057E6F6" w14:textId="77777777" w:rsidR="00EF5F48" w:rsidRPr="004D5859" w:rsidRDefault="00EF5F48" w:rsidP="00AD0DF7">
            <w:pPr>
              <w:rPr>
                <w:rFonts w:ascii="Times New Roman" w:hAnsi="Times New Roman" w:cs="Times New Roman"/>
                <w:b/>
                <w:sz w:val="20"/>
                <w:szCs w:val="20"/>
              </w:rPr>
            </w:pPr>
            <w:r>
              <w:rPr>
                <w:rFonts w:ascii="Times New Roman" w:hAnsi="Times New Roman" w:cs="Times New Roman"/>
                <w:b/>
                <w:sz w:val="20"/>
                <w:szCs w:val="20"/>
              </w:rPr>
              <w:t xml:space="preserve">Adjusted </w:t>
            </w:r>
            <w:r w:rsidRPr="004D5859">
              <w:rPr>
                <w:rFonts w:ascii="Times New Roman" w:hAnsi="Times New Roman" w:cs="Times New Roman"/>
                <w:b/>
                <w:sz w:val="20"/>
                <w:szCs w:val="20"/>
              </w:rPr>
              <w:t>Odds ratio (95%CI)</w:t>
            </w:r>
          </w:p>
        </w:tc>
        <w:tc>
          <w:tcPr>
            <w:tcW w:w="851" w:type="dxa"/>
            <w:tcBorders>
              <w:top w:val="nil"/>
              <w:left w:val="nil"/>
              <w:bottom w:val="single" w:sz="4" w:space="0" w:color="auto"/>
              <w:right w:val="nil"/>
            </w:tcBorders>
            <w:shd w:val="clear" w:color="auto" w:fill="auto"/>
            <w:noWrap/>
            <w:vAlign w:val="center"/>
            <w:hideMark/>
          </w:tcPr>
          <w:p w14:paraId="5744402F" w14:textId="77777777" w:rsidR="00EF5F48" w:rsidRPr="004D5859" w:rsidRDefault="00EF5F48" w:rsidP="00AD0DF7">
            <w:pP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p>
        </w:tc>
        <w:tc>
          <w:tcPr>
            <w:tcW w:w="1984" w:type="dxa"/>
            <w:tcBorders>
              <w:top w:val="nil"/>
              <w:left w:val="nil"/>
              <w:bottom w:val="single" w:sz="4" w:space="0" w:color="auto"/>
              <w:right w:val="nil"/>
            </w:tcBorders>
            <w:shd w:val="clear" w:color="auto" w:fill="auto"/>
            <w:noWrap/>
            <w:vAlign w:val="center"/>
            <w:hideMark/>
          </w:tcPr>
          <w:p w14:paraId="705F3C97" w14:textId="77777777" w:rsidR="00EF5F48" w:rsidRPr="004D5859" w:rsidRDefault="00EF5F48" w:rsidP="00AD0DF7">
            <w:pPr>
              <w:rPr>
                <w:rFonts w:ascii="Times New Roman" w:hAnsi="Times New Roman" w:cs="Times New Roman"/>
                <w:b/>
                <w:sz w:val="20"/>
                <w:szCs w:val="20"/>
              </w:rPr>
            </w:pPr>
            <w:r>
              <w:rPr>
                <w:rFonts w:ascii="Times New Roman" w:hAnsi="Times New Roman" w:cs="Times New Roman"/>
                <w:b/>
                <w:sz w:val="20"/>
                <w:szCs w:val="20"/>
              </w:rPr>
              <w:t xml:space="preserve">Adjusted </w:t>
            </w:r>
            <w:r w:rsidRPr="004D5859">
              <w:rPr>
                <w:rFonts w:ascii="Times New Roman" w:hAnsi="Times New Roman" w:cs="Times New Roman"/>
                <w:b/>
                <w:sz w:val="20"/>
                <w:szCs w:val="20"/>
              </w:rPr>
              <w:t>Odds ratio (95%CI)</w:t>
            </w:r>
          </w:p>
        </w:tc>
        <w:tc>
          <w:tcPr>
            <w:tcW w:w="851" w:type="dxa"/>
            <w:tcBorders>
              <w:top w:val="nil"/>
              <w:left w:val="nil"/>
              <w:bottom w:val="single" w:sz="4" w:space="0" w:color="auto"/>
              <w:right w:val="nil"/>
            </w:tcBorders>
            <w:shd w:val="clear" w:color="auto" w:fill="auto"/>
            <w:noWrap/>
            <w:vAlign w:val="center"/>
            <w:hideMark/>
          </w:tcPr>
          <w:p w14:paraId="10A44DD1" w14:textId="77777777" w:rsidR="00EF5F48" w:rsidRPr="004D5859" w:rsidRDefault="00EF5F48" w:rsidP="00AD0DF7">
            <w:pP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p>
        </w:tc>
        <w:tc>
          <w:tcPr>
            <w:tcW w:w="1842" w:type="dxa"/>
            <w:tcBorders>
              <w:top w:val="nil"/>
              <w:left w:val="nil"/>
              <w:bottom w:val="single" w:sz="4" w:space="0" w:color="auto"/>
              <w:right w:val="nil"/>
            </w:tcBorders>
            <w:shd w:val="clear" w:color="auto" w:fill="auto"/>
            <w:noWrap/>
            <w:vAlign w:val="center"/>
            <w:hideMark/>
          </w:tcPr>
          <w:p w14:paraId="0A4A0034" w14:textId="77777777" w:rsidR="00EF5F48" w:rsidRPr="004D5859" w:rsidRDefault="00EF5F48" w:rsidP="00AD0DF7">
            <w:pPr>
              <w:rPr>
                <w:rFonts w:ascii="Times New Roman" w:hAnsi="Times New Roman" w:cs="Times New Roman"/>
                <w:b/>
                <w:sz w:val="20"/>
                <w:szCs w:val="20"/>
              </w:rPr>
            </w:pPr>
            <w:r>
              <w:rPr>
                <w:rFonts w:ascii="Times New Roman" w:hAnsi="Times New Roman" w:cs="Times New Roman"/>
                <w:b/>
                <w:sz w:val="20"/>
                <w:szCs w:val="20"/>
              </w:rPr>
              <w:t xml:space="preserve">Adjusted </w:t>
            </w:r>
            <w:r w:rsidRPr="004D5859">
              <w:rPr>
                <w:rFonts w:ascii="Times New Roman" w:hAnsi="Times New Roman" w:cs="Times New Roman"/>
                <w:b/>
                <w:sz w:val="20"/>
                <w:szCs w:val="20"/>
              </w:rPr>
              <w:t>Odds ratio (95%CI)</w:t>
            </w:r>
          </w:p>
        </w:tc>
        <w:tc>
          <w:tcPr>
            <w:tcW w:w="993" w:type="dxa"/>
            <w:tcBorders>
              <w:top w:val="nil"/>
              <w:left w:val="nil"/>
              <w:bottom w:val="single" w:sz="4" w:space="0" w:color="auto"/>
              <w:right w:val="nil"/>
            </w:tcBorders>
            <w:shd w:val="clear" w:color="auto" w:fill="auto"/>
            <w:noWrap/>
            <w:vAlign w:val="center"/>
            <w:hideMark/>
          </w:tcPr>
          <w:p w14:paraId="53F683FC" w14:textId="77777777" w:rsidR="00EF5F48" w:rsidRPr="004D5859" w:rsidRDefault="00EF5F48" w:rsidP="00AD0DF7">
            <w:pP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p>
        </w:tc>
      </w:tr>
      <w:tr w:rsidR="00EF5F48" w:rsidRPr="004D5859" w14:paraId="08F0C35D" w14:textId="77777777" w:rsidTr="00AD0DF7">
        <w:trPr>
          <w:trHeight w:val="432"/>
        </w:trPr>
        <w:tc>
          <w:tcPr>
            <w:tcW w:w="1101" w:type="dxa"/>
            <w:vMerge w:val="restart"/>
            <w:tcBorders>
              <w:top w:val="single" w:sz="4" w:space="0" w:color="auto"/>
              <w:left w:val="nil"/>
              <w:right w:val="nil"/>
            </w:tcBorders>
            <w:shd w:val="clear" w:color="auto" w:fill="auto"/>
            <w:noWrap/>
            <w:vAlign w:val="center"/>
            <w:hideMark/>
          </w:tcPr>
          <w:p w14:paraId="2A6C307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Early </w:t>
            </w:r>
            <w:r>
              <w:rPr>
                <w:rFonts w:ascii="Times New Roman" w:hAnsi="Times New Roman" w:cs="Times New Roman"/>
                <w:sz w:val="20"/>
                <w:szCs w:val="20"/>
              </w:rPr>
              <w:t>ischaemic</w:t>
            </w:r>
            <w:r w:rsidRPr="004D5859">
              <w:rPr>
                <w:rFonts w:ascii="Times New Roman" w:hAnsi="Times New Roman" w:cs="Times New Roman"/>
                <w:sz w:val="20"/>
                <w:szCs w:val="20"/>
              </w:rPr>
              <w:t xml:space="preserve"> signs</w:t>
            </w:r>
          </w:p>
        </w:tc>
        <w:tc>
          <w:tcPr>
            <w:tcW w:w="1559" w:type="dxa"/>
            <w:tcBorders>
              <w:top w:val="single" w:sz="4" w:space="0" w:color="auto"/>
              <w:left w:val="nil"/>
              <w:bottom w:val="nil"/>
              <w:right w:val="nil"/>
            </w:tcBorders>
            <w:shd w:val="clear" w:color="auto" w:fill="auto"/>
            <w:noWrap/>
            <w:vAlign w:val="center"/>
            <w:hideMark/>
          </w:tcPr>
          <w:p w14:paraId="138CA2A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Visible </w:t>
            </w:r>
            <w:r>
              <w:rPr>
                <w:rFonts w:ascii="Times New Roman" w:hAnsi="Times New Roman" w:cs="Times New Roman"/>
                <w:sz w:val="20"/>
                <w:szCs w:val="20"/>
              </w:rPr>
              <w:t>ischaemic</w:t>
            </w:r>
            <w:r w:rsidRPr="004D5859">
              <w:rPr>
                <w:rFonts w:ascii="Times New Roman" w:hAnsi="Times New Roman" w:cs="Times New Roman"/>
                <w:sz w:val="20"/>
                <w:szCs w:val="20"/>
              </w:rPr>
              <w:t xml:space="preserve"> lesion</w:t>
            </w:r>
          </w:p>
        </w:tc>
        <w:tc>
          <w:tcPr>
            <w:tcW w:w="2018" w:type="dxa"/>
            <w:tcBorders>
              <w:top w:val="single" w:sz="4" w:space="0" w:color="auto"/>
              <w:left w:val="nil"/>
              <w:bottom w:val="nil"/>
              <w:right w:val="nil"/>
            </w:tcBorders>
            <w:shd w:val="clear" w:color="auto" w:fill="auto"/>
            <w:noWrap/>
            <w:vAlign w:val="center"/>
            <w:hideMark/>
          </w:tcPr>
          <w:p w14:paraId="1548641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1.3 (0.82-2.08)</w:t>
            </w:r>
          </w:p>
        </w:tc>
        <w:tc>
          <w:tcPr>
            <w:tcW w:w="851" w:type="dxa"/>
            <w:tcBorders>
              <w:top w:val="single" w:sz="4" w:space="0" w:color="auto"/>
              <w:left w:val="nil"/>
              <w:bottom w:val="nil"/>
              <w:right w:val="nil"/>
            </w:tcBorders>
            <w:shd w:val="clear" w:color="auto" w:fill="auto"/>
            <w:noWrap/>
            <w:vAlign w:val="center"/>
            <w:hideMark/>
          </w:tcPr>
          <w:p w14:paraId="1535940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0.2666</w:t>
            </w:r>
          </w:p>
        </w:tc>
        <w:tc>
          <w:tcPr>
            <w:tcW w:w="1984" w:type="dxa"/>
            <w:tcBorders>
              <w:top w:val="single" w:sz="4" w:space="0" w:color="auto"/>
              <w:left w:val="nil"/>
              <w:bottom w:val="nil"/>
              <w:right w:val="nil"/>
            </w:tcBorders>
            <w:shd w:val="clear" w:color="auto" w:fill="auto"/>
            <w:noWrap/>
            <w:vAlign w:val="center"/>
            <w:hideMark/>
          </w:tcPr>
          <w:p w14:paraId="437C0B0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1.52 (1.06-2.18)</w:t>
            </w:r>
          </w:p>
        </w:tc>
        <w:tc>
          <w:tcPr>
            <w:tcW w:w="851" w:type="dxa"/>
            <w:tcBorders>
              <w:top w:val="single" w:sz="4" w:space="0" w:color="auto"/>
              <w:left w:val="nil"/>
              <w:bottom w:val="nil"/>
              <w:right w:val="nil"/>
            </w:tcBorders>
            <w:shd w:val="clear" w:color="auto" w:fill="auto"/>
            <w:noWrap/>
            <w:vAlign w:val="center"/>
            <w:hideMark/>
          </w:tcPr>
          <w:p w14:paraId="08BF365A"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0.0243</w:t>
            </w:r>
          </w:p>
        </w:tc>
        <w:tc>
          <w:tcPr>
            <w:tcW w:w="1984" w:type="dxa"/>
            <w:tcBorders>
              <w:top w:val="single" w:sz="4" w:space="0" w:color="auto"/>
              <w:left w:val="nil"/>
              <w:bottom w:val="nil"/>
              <w:right w:val="nil"/>
            </w:tcBorders>
            <w:shd w:val="clear" w:color="auto" w:fill="auto"/>
            <w:noWrap/>
            <w:vAlign w:val="center"/>
            <w:hideMark/>
          </w:tcPr>
          <w:p w14:paraId="2A94E06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1.27 (0.97-1.68)</w:t>
            </w:r>
          </w:p>
        </w:tc>
        <w:tc>
          <w:tcPr>
            <w:tcW w:w="851" w:type="dxa"/>
            <w:tcBorders>
              <w:top w:val="single" w:sz="4" w:space="0" w:color="auto"/>
              <w:left w:val="nil"/>
              <w:bottom w:val="nil"/>
              <w:right w:val="nil"/>
            </w:tcBorders>
            <w:shd w:val="clear" w:color="auto" w:fill="auto"/>
            <w:noWrap/>
            <w:vAlign w:val="center"/>
            <w:hideMark/>
          </w:tcPr>
          <w:p w14:paraId="2C70C03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0.0819</w:t>
            </w:r>
          </w:p>
        </w:tc>
        <w:tc>
          <w:tcPr>
            <w:tcW w:w="1842" w:type="dxa"/>
            <w:tcBorders>
              <w:top w:val="single" w:sz="4" w:space="0" w:color="auto"/>
              <w:left w:val="nil"/>
              <w:bottom w:val="nil"/>
              <w:right w:val="nil"/>
            </w:tcBorders>
            <w:shd w:val="clear" w:color="auto" w:fill="auto"/>
            <w:noWrap/>
            <w:vAlign w:val="center"/>
            <w:hideMark/>
          </w:tcPr>
          <w:p w14:paraId="7C8B6CD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 (0.59-0.84)</w:t>
            </w:r>
          </w:p>
        </w:tc>
        <w:tc>
          <w:tcPr>
            <w:tcW w:w="993" w:type="dxa"/>
            <w:tcBorders>
              <w:top w:val="single" w:sz="4" w:space="0" w:color="auto"/>
              <w:left w:val="nil"/>
              <w:bottom w:val="nil"/>
              <w:right w:val="nil"/>
            </w:tcBorders>
            <w:shd w:val="clear" w:color="auto" w:fill="auto"/>
            <w:noWrap/>
            <w:vAlign w:val="center"/>
            <w:hideMark/>
          </w:tcPr>
          <w:p w14:paraId="0BDBC3BC"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0.0001</w:t>
            </w:r>
          </w:p>
        </w:tc>
      </w:tr>
      <w:tr w:rsidR="00EF5F48" w:rsidRPr="004D5859" w14:paraId="1EEA4A74" w14:textId="77777777" w:rsidTr="00AD0DF7">
        <w:trPr>
          <w:trHeight w:val="255"/>
        </w:trPr>
        <w:tc>
          <w:tcPr>
            <w:tcW w:w="1101" w:type="dxa"/>
            <w:vMerge/>
            <w:tcBorders>
              <w:left w:val="nil"/>
              <w:right w:val="nil"/>
            </w:tcBorders>
            <w:shd w:val="clear" w:color="auto" w:fill="auto"/>
            <w:noWrap/>
            <w:vAlign w:val="center"/>
            <w:hideMark/>
          </w:tcPr>
          <w:p w14:paraId="178385E1"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14:paraId="2BB3B9F8"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Hypoattenuation</w:t>
            </w:r>
            <w:proofErr w:type="spellEnd"/>
          </w:p>
        </w:tc>
        <w:tc>
          <w:tcPr>
            <w:tcW w:w="2018" w:type="dxa"/>
            <w:tcBorders>
              <w:top w:val="nil"/>
              <w:left w:val="nil"/>
              <w:bottom w:val="nil"/>
              <w:right w:val="nil"/>
            </w:tcBorders>
            <w:shd w:val="clear" w:color="auto" w:fill="auto"/>
            <w:noWrap/>
            <w:vAlign w:val="center"/>
            <w:hideMark/>
          </w:tcPr>
          <w:p w14:paraId="28F21F8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1.17 (0.72-1.9)</w:t>
            </w:r>
          </w:p>
        </w:tc>
        <w:tc>
          <w:tcPr>
            <w:tcW w:w="851" w:type="dxa"/>
            <w:tcBorders>
              <w:top w:val="nil"/>
              <w:left w:val="nil"/>
              <w:bottom w:val="nil"/>
              <w:right w:val="nil"/>
            </w:tcBorders>
            <w:shd w:val="clear" w:color="auto" w:fill="auto"/>
            <w:noWrap/>
            <w:vAlign w:val="center"/>
            <w:hideMark/>
          </w:tcPr>
          <w:p w14:paraId="6BB0865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0.5233</w:t>
            </w:r>
          </w:p>
        </w:tc>
        <w:tc>
          <w:tcPr>
            <w:tcW w:w="1984" w:type="dxa"/>
            <w:tcBorders>
              <w:top w:val="nil"/>
              <w:left w:val="nil"/>
              <w:bottom w:val="nil"/>
              <w:right w:val="nil"/>
            </w:tcBorders>
            <w:shd w:val="clear" w:color="auto" w:fill="auto"/>
            <w:noWrap/>
            <w:vAlign w:val="center"/>
            <w:hideMark/>
          </w:tcPr>
          <w:p w14:paraId="6E1E7A9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1.51 (1.04-2.18)</w:t>
            </w:r>
          </w:p>
        </w:tc>
        <w:tc>
          <w:tcPr>
            <w:tcW w:w="851" w:type="dxa"/>
            <w:tcBorders>
              <w:top w:val="nil"/>
              <w:left w:val="nil"/>
              <w:bottom w:val="nil"/>
              <w:right w:val="nil"/>
            </w:tcBorders>
            <w:shd w:val="clear" w:color="auto" w:fill="auto"/>
            <w:noWrap/>
            <w:vAlign w:val="center"/>
            <w:hideMark/>
          </w:tcPr>
          <w:p w14:paraId="2251DBAF"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0.0287</w:t>
            </w:r>
          </w:p>
        </w:tc>
        <w:tc>
          <w:tcPr>
            <w:tcW w:w="1984" w:type="dxa"/>
            <w:tcBorders>
              <w:top w:val="nil"/>
              <w:left w:val="nil"/>
              <w:bottom w:val="nil"/>
              <w:right w:val="nil"/>
            </w:tcBorders>
            <w:shd w:val="clear" w:color="auto" w:fill="auto"/>
            <w:noWrap/>
            <w:vAlign w:val="center"/>
            <w:hideMark/>
          </w:tcPr>
          <w:p w14:paraId="3965808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1.27 (0.96-1.68)</w:t>
            </w:r>
          </w:p>
        </w:tc>
        <w:tc>
          <w:tcPr>
            <w:tcW w:w="851" w:type="dxa"/>
            <w:tcBorders>
              <w:top w:val="nil"/>
              <w:left w:val="nil"/>
              <w:bottom w:val="nil"/>
              <w:right w:val="nil"/>
            </w:tcBorders>
            <w:shd w:val="clear" w:color="auto" w:fill="auto"/>
            <w:noWrap/>
            <w:vAlign w:val="center"/>
            <w:hideMark/>
          </w:tcPr>
          <w:p w14:paraId="060148A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0.0968</w:t>
            </w:r>
          </w:p>
        </w:tc>
        <w:tc>
          <w:tcPr>
            <w:tcW w:w="1842" w:type="dxa"/>
            <w:tcBorders>
              <w:top w:val="nil"/>
              <w:left w:val="nil"/>
              <w:bottom w:val="nil"/>
              <w:right w:val="nil"/>
            </w:tcBorders>
            <w:shd w:val="clear" w:color="auto" w:fill="auto"/>
            <w:noWrap/>
            <w:vAlign w:val="center"/>
            <w:hideMark/>
          </w:tcPr>
          <w:p w14:paraId="7A4C5D8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0.74 (0.62-0.9)</w:t>
            </w:r>
          </w:p>
        </w:tc>
        <w:tc>
          <w:tcPr>
            <w:tcW w:w="993" w:type="dxa"/>
            <w:tcBorders>
              <w:top w:val="nil"/>
              <w:left w:val="nil"/>
              <w:bottom w:val="nil"/>
              <w:right w:val="nil"/>
            </w:tcBorders>
            <w:shd w:val="clear" w:color="auto" w:fill="auto"/>
            <w:noWrap/>
            <w:vAlign w:val="center"/>
            <w:hideMark/>
          </w:tcPr>
          <w:p w14:paraId="5EAC9C05"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0.0018</w:t>
            </w:r>
          </w:p>
        </w:tc>
      </w:tr>
      <w:tr w:rsidR="00EF5F48" w:rsidRPr="004D5859" w14:paraId="4C5C3103" w14:textId="77777777" w:rsidTr="00AD0DF7">
        <w:trPr>
          <w:trHeight w:val="429"/>
        </w:trPr>
        <w:tc>
          <w:tcPr>
            <w:tcW w:w="1101" w:type="dxa"/>
            <w:vMerge/>
            <w:tcBorders>
              <w:left w:val="nil"/>
              <w:right w:val="nil"/>
            </w:tcBorders>
            <w:shd w:val="clear" w:color="auto" w:fill="auto"/>
            <w:noWrap/>
            <w:vAlign w:val="center"/>
            <w:hideMark/>
          </w:tcPr>
          <w:p w14:paraId="1D37076E"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14:paraId="6324BEC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Severe </w:t>
            </w:r>
            <w:proofErr w:type="spellStart"/>
            <w:r w:rsidRPr="004D5859">
              <w:rPr>
                <w:rFonts w:ascii="Times New Roman" w:hAnsi="Times New Roman" w:cs="Times New Roman"/>
                <w:sz w:val="20"/>
                <w:szCs w:val="20"/>
              </w:rPr>
              <w:t>hypoattenuation</w:t>
            </w:r>
            <w:proofErr w:type="spellEnd"/>
          </w:p>
        </w:tc>
        <w:tc>
          <w:tcPr>
            <w:tcW w:w="2018" w:type="dxa"/>
            <w:tcBorders>
              <w:top w:val="nil"/>
              <w:left w:val="nil"/>
              <w:bottom w:val="nil"/>
              <w:right w:val="nil"/>
            </w:tcBorders>
            <w:shd w:val="clear" w:color="auto" w:fill="auto"/>
            <w:noWrap/>
            <w:vAlign w:val="center"/>
            <w:hideMark/>
          </w:tcPr>
          <w:p w14:paraId="13B7E4D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 (0.28-2.91)</w:t>
            </w:r>
          </w:p>
        </w:tc>
        <w:tc>
          <w:tcPr>
            <w:tcW w:w="851" w:type="dxa"/>
            <w:tcBorders>
              <w:top w:val="nil"/>
              <w:left w:val="nil"/>
              <w:bottom w:val="nil"/>
              <w:right w:val="nil"/>
            </w:tcBorders>
            <w:shd w:val="clear" w:color="auto" w:fill="auto"/>
            <w:noWrap/>
            <w:vAlign w:val="center"/>
            <w:hideMark/>
          </w:tcPr>
          <w:p w14:paraId="10D39C7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0.8642</w:t>
            </w:r>
          </w:p>
        </w:tc>
        <w:tc>
          <w:tcPr>
            <w:tcW w:w="1984" w:type="dxa"/>
            <w:tcBorders>
              <w:top w:val="nil"/>
              <w:left w:val="nil"/>
              <w:bottom w:val="nil"/>
              <w:right w:val="nil"/>
            </w:tcBorders>
            <w:shd w:val="clear" w:color="auto" w:fill="auto"/>
            <w:noWrap/>
            <w:vAlign w:val="center"/>
            <w:hideMark/>
          </w:tcPr>
          <w:p w14:paraId="21268B8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1.24 (0.52-2.96)</w:t>
            </w:r>
          </w:p>
        </w:tc>
        <w:tc>
          <w:tcPr>
            <w:tcW w:w="851" w:type="dxa"/>
            <w:tcBorders>
              <w:top w:val="nil"/>
              <w:left w:val="nil"/>
              <w:bottom w:val="nil"/>
              <w:right w:val="nil"/>
            </w:tcBorders>
            <w:shd w:val="clear" w:color="auto" w:fill="auto"/>
            <w:noWrap/>
            <w:vAlign w:val="center"/>
            <w:hideMark/>
          </w:tcPr>
          <w:p w14:paraId="5EC45F8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0.6203</w:t>
            </w:r>
          </w:p>
        </w:tc>
        <w:tc>
          <w:tcPr>
            <w:tcW w:w="1984" w:type="dxa"/>
            <w:tcBorders>
              <w:top w:val="nil"/>
              <w:left w:val="nil"/>
              <w:bottom w:val="nil"/>
              <w:right w:val="nil"/>
            </w:tcBorders>
            <w:shd w:val="clear" w:color="auto" w:fill="auto"/>
            <w:noWrap/>
            <w:vAlign w:val="center"/>
            <w:hideMark/>
          </w:tcPr>
          <w:p w14:paraId="2E91F74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0.87 (0.43-1.74)</w:t>
            </w:r>
          </w:p>
        </w:tc>
        <w:tc>
          <w:tcPr>
            <w:tcW w:w="851" w:type="dxa"/>
            <w:tcBorders>
              <w:top w:val="nil"/>
              <w:left w:val="nil"/>
              <w:bottom w:val="nil"/>
              <w:right w:val="nil"/>
            </w:tcBorders>
            <w:shd w:val="clear" w:color="auto" w:fill="auto"/>
            <w:noWrap/>
            <w:vAlign w:val="center"/>
            <w:hideMark/>
          </w:tcPr>
          <w:p w14:paraId="30C7C62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0.6908</w:t>
            </w:r>
          </w:p>
        </w:tc>
        <w:tc>
          <w:tcPr>
            <w:tcW w:w="1842" w:type="dxa"/>
            <w:tcBorders>
              <w:top w:val="nil"/>
              <w:left w:val="nil"/>
              <w:bottom w:val="nil"/>
              <w:right w:val="nil"/>
            </w:tcBorders>
            <w:shd w:val="clear" w:color="auto" w:fill="auto"/>
            <w:noWrap/>
            <w:vAlign w:val="center"/>
            <w:hideMark/>
          </w:tcPr>
          <w:p w14:paraId="7B09362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1.16 (0.76-1·78)</w:t>
            </w:r>
          </w:p>
        </w:tc>
        <w:tc>
          <w:tcPr>
            <w:tcW w:w="993" w:type="dxa"/>
            <w:tcBorders>
              <w:top w:val="nil"/>
              <w:left w:val="nil"/>
              <w:bottom w:val="nil"/>
              <w:right w:val="nil"/>
            </w:tcBorders>
            <w:shd w:val="clear" w:color="auto" w:fill="auto"/>
            <w:noWrap/>
            <w:vAlign w:val="center"/>
            <w:hideMark/>
          </w:tcPr>
          <w:p w14:paraId="2B6E952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0.4825</w:t>
            </w:r>
          </w:p>
        </w:tc>
      </w:tr>
      <w:tr w:rsidR="00EF5F48" w:rsidRPr="004D5859" w14:paraId="36CA6F3D" w14:textId="77777777" w:rsidTr="00AD0DF7">
        <w:trPr>
          <w:trHeight w:val="265"/>
        </w:trPr>
        <w:tc>
          <w:tcPr>
            <w:tcW w:w="1101" w:type="dxa"/>
            <w:vMerge/>
            <w:tcBorders>
              <w:left w:val="nil"/>
              <w:right w:val="nil"/>
            </w:tcBorders>
            <w:shd w:val="clear" w:color="auto" w:fill="auto"/>
            <w:noWrap/>
            <w:vAlign w:val="center"/>
            <w:hideMark/>
          </w:tcPr>
          <w:p w14:paraId="07D11D01"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14:paraId="7C526BD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Large lesion</w:t>
            </w:r>
          </w:p>
        </w:tc>
        <w:tc>
          <w:tcPr>
            <w:tcW w:w="2018" w:type="dxa"/>
            <w:tcBorders>
              <w:top w:val="nil"/>
              <w:left w:val="nil"/>
              <w:bottom w:val="nil"/>
              <w:right w:val="nil"/>
            </w:tcBorders>
            <w:shd w:val="clear" w:color="auto" w:fill="auto"/>
            <w:noWrap/>
            <w:vAlign w:val="center"/>
            <w:hideMark/>
          </w:tcPr>
          <w:p w14:paraId="00FF944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0.83 (0.25-2.7)</w:t>
            </w:r>
          </w:p>
        </w:tc>
        <w:tc>
          <w:tcPr>
            <w:tcW w:w="851" w:type="dxa"/>
            <w:tcBorders>
              <w:top w:val="nil"/>
              <w:left w:val="nil"/>
              <w:bottom w:val="nil"/>
              <w:right w:val="nil"/>
            </w:tcBorders>
            <w:shd w:val="clear" w:color="auto" w:fill="auto"/>
            <w:noWrap/>
            <w:vAlign w:val="center"/>
            <w:hideMark/>
          </w:tcPr>
          <w:p w14:paraId="67E785B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0.5460</w:t>
            </w:r>
          </w:p>
        </w:tc>
        <w:tc>
          <w:tcPr>
            <w:tcW w:w="1984" w:type="dxa"/>
            <w:tcBorders>
              <w:top w:val="nil"/>
              <w:left w:val="nil"/>
              <w:bottom w:val="nil"/>
              <w:right w:val="nil"/>
            </w:tcBorders>
            <w:shd w:val="clear" w:color="auto" w:fill="auto"/>
            <w:noWrap/>
            <w:vAlign w:val="center"/>
            <w:hideMark/>
          </w:tcPr>
          <w:p w14:paraId="380179E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2.67 (1.52-4.71)</w:t>
            </w:r>
          </w:p>
        </w:tc>
        <w:tc>
          <w:tcPr>
            <w:tcW w:w="851" w:type="dxa"/>
            <w:tcBorders>
              <w:top w:val="nil"/>
              <w:left w:val="nil"/>
              <w:bottom w:val="nil"/>
              <w:right w:val="nil"/>
            </w:tcBorders>
            <w:shd w:val="clear" w:color="auto" w:fill="auto"/>
            <w:noWrap/>
            <w:vAlign w:val="center"/>
            <w:hideMark/>
          </w:tcPr>
          <w:p w14:paraId="2BAD54C0"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0.0007</w:t>
            </w:r>
          </w:p>
        </w:tc>
        <w:tc>
          <w:tcPr>
            <w:tcW w:w="1984" w:type="dxa"/>
            <w:tcBorders>
              <w:top w:val="nil"/>
              <w:left w:val="nil"/>
              <w:bottom w:val="nil"/>
              <w:right w:val="nil"/>
            </w:tcBorders>
            <w:shd w:val="clear" w:color="auto" w:fill="auto"/>
            <w:noWrap/>
            <w:vAlign w:val="center"/>
            <w:hideMark/>
          </w:tcPr>
          <w:p w14:paraId="3399237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1.94 (1.19-3.17)</w:t>
            </w:r>
          </w:p>
        </w:tc>
        <w:tc>
          <w:tcPr>
            <w:tcW w:w="851" w:type="dxa"/>
            <w:tcBorders>
              <w:top w:val="nil"/>
              <w:left w:val="nil"/>
              <w:bottom w:val="nil"/>
              <w:right w:val="nil"/>
            </w:tcBorders>
            <w:shd w:val="clear" w:color="auto" w:fill="auto"/>
            <w:noWrap/>
            <w:vAlign w:val="center"/>
            <w:hideMark/>
          </w:tcPr>
          <w:p w14:paraId="14F169CA"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0.0078</w:t>
            </w:r>
          </w:p>
        </w:tc>
        <w:tc>
          <w:tcPr>
            <w:tcW w:w="1842" w:type="dxa"/>
            <w:tcBorders>
              <w:top w:val="nil"/>
              <w:left w:val="nil"/>
              <w:bottom w:val="nil"/>
              <w:right w:val="nil"/>
            </w:tcBorders>
            <w:shd w:val="clear" w:color="auto" w:fill="auto"/>
            <w:noWrap/>
            <w:vAlign w:val="center"/>
            <w:hideMark/>
          </w:tcPr>
          <w:p w14:paraId="0C7425A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0.52 (0.33-0·81)</w:t>
            </w:r>
          </w:p>
        </w:tc>
        <w:tc>
          <w:tcPr>
            <w:tcW w:w="993" w:type="dxa"/>
            <w:tcBorders>
              <w:top w:val="nil"/>
              <w:left w:val="nil"/>
              <w:bottom w:val="nil"/>
              <w:right w:val="nil"/>
            </w:tcBorders>
            <w:shd w:val="clear" w:color="auto" w:fill="auto"/>
            <w:noWrap/>
            <w:vAlign w:val="center"/>
            <w:hideMark/>
          </w:tcPr>
          <w:p w14:paraId="5ED54524"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0.0035</w:t>
            </w:r>
          </w:p>
        </w:tc>
      </w:tr>
      <w:tr w:rsidR="00EF5F48" w:rsidRPr="004D5859" w14:paraId="233B2BAC" w14:textId="77777777" w:rsidTr="00AD0DF7">
        <w:trPr>
          <w:trHeight w:val="411"/>
        </w:trPr>
        <w:tc>
          <w:tcPr>
            <w:tcW w:w="1101" w:type="dxa"/>
            <w:vMerge/>
            <w:tcBorders>
              <w:left w:val="nil"/>
              <w:right w:val="nil"/>
            </w:tcBorders>
            <w:shd w:val="clear" w:color="auto" w:fill="auto"/>
            <w:noWrap/>
            <w:vAlign w:val="center"/>
            <w:hideMark/>
          </w:tcPr>
          <w:p w14:paraId="0F1A45FD"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14:paraId="7DFBB1A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Very large lesion</w:t>
            </w:r>
          </w:p>
        </w:tc>
        <w:tc>
          <w:tcPr>
            <w:tcW w:w="2018" w:type="dxa"/>
            <w:tcBorders>
              <w:top w:val="nil"/>
              <w:left w:val="nil"/>
              <w:bottom w:val="nil"/>
              <w:right w:val="nil"/>
            </w:tcBorders>
            <w:shd w:val="clear" w:color="auto" w:fill="auto"/>
            <w:noWrap/>
            <w:vAlign w:val="center"/>
            <w:hideMark/>
          </w:tcPr>
          <w:p w14:paraId="3BDC57F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 (0-0)</w:t>
            </w:r>
          </w:p>
        </w:tc>
        <w:tc>
          <w:tcPr>
            <w:tcW w:w="851" w:type="dxa"/>
            <w:tcBorders>
              <w:top w:val="nil"/>
              <w:left w:val="nil"/>
              <w:bottom w:val="nil"/>
              <w:right w:val="nil"/>
            </w:tcBorders>
            <w:shd w:val="clear" w:color="auto" w:fill="auto"/>
            <w:noWrap/>
            <w:vAlign w:val="center"/>
            <w:hideMark/>
          </w:tcPr>
          <w:p w14:paraId="0F26C2F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0.9876</w:t>
            </w:r>
          </w:p>
        </w:tc>
        <w:tc>
          <w:tcPr>
            <w:tcW w:w="1984" w:type="dxa"/>
            <w:tcBorders>
              <w:top w:val="nil"/>
              <w:left w:val="nil"/>
              <w:bottom w:val="nil"/>
              <w:right w:val="nil"/>
            </w:tcBorders>
            <w:shd w:val="clear" w:color="auto" w:fill="auto"/>
            <w:noWrap/>
            <w:vAlign w:val="center"/>
            <w:hideMark/>
          </w:tcPr>
          <w:p w14:paraId="5D11843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12.08 (0.65-223.57)</w:t>
            </w:r>
          </w:p>
        </w:tc>
        <w:tc>
          <w:tcPr>
            <w:tcW w:w="851" w:type="dxa"/>
            <w:tcBorders>
              <w:top w:val="nil"/>
              <w:left w:val="nil"/>
              <w:bottom w:val="nil"/>
              <w:right w:val="nil"/>
            </w:tcBorders>
            <w:shd w:val="clear" w:color="auto" w:fill="auto"/>
            <w:noWrap/>
            <w:vAlign w:val="center"/>
            <w:hideMark/>
          </w:tcPr>
          <w:p w14:paraId="04095A8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0.0942</w:t>
            </w:r>
          </w:p>
        </w:tc>
        <w:tc>
          <w:tcPr>
            <w:tcW w:w="1984" w:type="dxa"/>
            <w:tcBorders>
              <w:top w:val="nil"/>
              <w:left w:val="nil"/>
              <w:bottom w:val="nil"/>
              <w:right w:val="nil"/>
            </w:tcBorders>
            <w:shd w:val="clear" w:color="auto" w:fill="auto"/>
            <w:noWrap/>
            <w:vAlign w:val="center"/>
            <w:hideMark/>
          </w:tcPr>
          <w:p w14:paraId="75E33AF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6.88 (0.39-120.4)</w:t>
            </w:r>
          </w:p>
        </w:tc>
        <w:tc>
          <w:tcPr>
            <w:tcW w:w="851" w:type="dxa"/>
            <w:tcBorders>
              <w:top w:val="nil"/>
              <w:left w:val="nil"/>
              <w:bottom w:val="nil"/>
              <w:right w:val="nil"/>
            </w:tcBorders>
            <w:shd w:val="clear" w:color="auto" w:fill="auto"/>
            <w:noWrap/>
            <w:vAlign w:val="center"/>
            <w:hideMark/>
          </w:tcPr>
          <w:p w14:paraId="2959357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0.1864</w:t>
            </w:r>
          </w:p>
        </w:tc>
        <w:tc>
          <w:tcPr>
            <w:tcW w:w="1842" w:type="dxa"/>
            <w:tcBorders>
              <w:top w:val="nil"/>
              <w:left w:val="nil"/>
              <w:bottom w:val="nil"/>
              <w:right w:val="nil"/>
            </w:tcBorders>
            <w:shd w:val="clear" w:color="auto" w:fill="auto"/>
            <w:noWrap/>
            <w:vAlign w:val="center"/>
            <w:hideMark/>
          </w:tcPr>
          <w:p w14:paraId="5E64470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 (0-0)</w:t>
            </w:r>
          </w:p>
        </w:tc>
        <w:tc>
          <w:tcPr>
            <w:tcW w:w="993" w:type="dxa"/>
            <w:tcBorders>
              <w:top w:val="nil"/>
              <w:left w:val="nil"/>
              <w:bottom w:val="nil"/>
              <w:right w:val="nil"/>
            </w:tcBorders>
            <w:shd w:val="clear" w:color="auto" w:fill="auto"/>
            <w:noWrap/>
            <w:vAlign w:val="center"/>
            <w:hideMark/>
          </w:tcPr>
          <w:p w14:paraId="4805D7F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0.9701</w:t>
            </w:r>
          </w:p>
        </w:tc>
      </w:tr>
      <w:tr w:rsidR="00EF5F48" w:rsidRPr="004D5859" w14:paraId="2FB398D5" w14:textId="77777777" w:rsidTr="00AD0DF7">
        <w:trPr>
          <w:trHeight w:val="233"/>
        </w:trPr>
        <w:tc>
          <w:tcPr>
            <w:tcW w:w="1101" w:type="dxa"/>
            <w:vMerge/>
            <w:tcBorders>
              <w:left w:val="nil"/>
              <w:right w:val="nil"/>
            </w:tcBorders>
            <w:shd w:val="clear" w:color="auto" w:fill="auto"/>
            <w:noWrap/>
            <w:vAlign w:val="center"/>
            <w:hideMark/>
          </w:tcPr>
          <w:p w14:paraId="30073283"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14:paraId="1F299AF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Swelling</w:t>
            </w:r>
          </w:p>
        </w:tc>
        <w:tc>
          <w:tcPr>
            <w:tcW w:w="2018" w:type="dxa"/>
            <w:tcBorders>
              <w:top w:val="nil"/>
              <w:left w:val="nil"/>
              <w:bottom w:val="nil"/>
              <w:right w:val="nil"/>
            </w:tcBorders>
            <w:shd w:val="clear" w:color="auto" w:fill="auto"/>
            <w:noWrap/>
            <w:vAlign w:val="center"/>
            <w:hideMark/>
          </w:tcPr>
          <w:p w14:paraId="1A29D0B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1.24 (0.78-1.99)</w:t>
            </w:r>
          </w:p>
        </w:tc>
        <w:tc>
          <w:tcPr>
            <w:tcW w:w="851" w:type="dxa"/>
            <w:tcBorders>
              <w:top w:val="nil"/>
              <w:left w:val="nil"/>
              <w:bottom w:val="nil"/>
              <w:right w:val="nil"/>
            </w:tcBorders>
            <w:shd w:val="clear" w:color="auto" w:fill="auto"/>
            <w:noWrap/>
            <w:vAlign w:val="center"/>
            <w:hideMark/>
          </w:tcPr>
          <w:p w14:paraId="5139BD8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0.3597</w:t>
            </w:r>
          </w:p>
        </w:tc>
        <w:tc>
          <w:tcPr>
            <w:tcW w:w="1984" w:type="dxa"/>
            <w:tcBorders>
              <w:top w:val="nil"/>
              <w:left w:val="nil"/>
              <w:bottom w:val="nil"/>
              <w:right w:val="nil"/>
            </w:tcBorders>
            <w:shd w:val="clear" w:color="auto" w:fill="auto"/>
            <w:noWrap/>
            <w:vAlign w:val="center"/>
            <w:hideMark/>
          </w:tcPr>
          <w:p w14:paraId="2F298A5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1.49 (1.03-2.14)</w:t>
            </w:r>
          </w:p>
        </w:tc>
        <w:tc>
          <w:tcPr>
            <w:tcW w:w="851" w:type="dxa"/>
            <w:tcBorders>
              <w:top w:val="nil"/>
              <w:left w:val="nil"/>
              <w:bottom w:val="nil"/>
              <w:right w:val="nil"/>
            </w:tcBorders>
            <w:shd w:val="clear" w:color="auto" w:fill="auto"/>
            <w:noWrap/>
            <w:vAlign w:val="center"/>
            <w:hideMark/>
          </w:tcPr>
          <w:p w14:paraId="67ADD7D7"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0.0323</w:t>
            </w:r>
          </w:p>
        </w:tc>
        <w:tc>
          <w:tcPr>
            <w:tcW w:w="1984" w:type="dxa"/>
            <w:tcBorders>
              <w:top w:val="nil"/>
              <w:left w:val="nil"/>
              <w:bottom w:val="nil"/>
              <w:right w:val="nil"/>
            </w:tcBorders>
            <w:shd w:val="clear" w:color="auto" w:fill="auto"/>
            <w:noWrap/>
            <w:vAlign w:val="center"/>
            <w:hideMark/>
          </w:tcPr>
          <w:p w14:paraId="133E4CF1"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1.27 (0.96-1·67)</w:t>
            </w:r>
          </w:p>
        </w:tc>
        <w:tc>
          <w:tcPr>
            <w:tcW w:w="851" w:type="dxa"/>
            <w:tcBorders>
              <w:top w:val="nil"/>
              <w:left w:val="nil"/>
              <w:bottom w:val="nil"/>
              <w:right w:val="nil"/>
            </w:tcBorders>
            <w:shd w:val="clear" w:color="auto" w:fill="auto"/>
            <w:noWrap/>
            <w:vAlign w:val="center"/>
            <w:hideMark/>
          </w:tcPr>
          <w:p w14:paraId="581A7A5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0.0886</w:t>
            </w:r>
          </w:p>
        </w:tc>
        <w:tc>
          <w:tcPr>
            <w:tcW w:w="1842" w:type="dxa"/>
            <w:tcBorders>
              <w:top w:val="nil"/>
              <w:left w:val="nil"/>
              <w:bottom w:val="nil"/>
              <w:right w:val="nil"/>
            </w:tcBorders>
            <w:shd w:val="clear" w:color="auto" w:fill="auto"/>
            <w:noWrap/>
            <w:vAlign w:val="center"/>
            <w:hideMark/>
          </w:tcPr>
          <w:p w14:paraId="0AD5203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 (0.58-0.84)</w:t>
            </w:r>
          </w:p>
        </w:tc>
        <w:tc>
          <w:tcPr>
            <w:tcW w:w="993" w:type="dxa"/>
            <w:tcBorders>
              <w:top w:val="nil"/>
              <w:left w:val="nil"/>
              <w:bottom w:val="nil"/>
              <w:right w:val="nil"/>
            </w:tcBorders>
            <w:shd w:val="clear" w:color="auto" w:fill="auto"/>
            <w:noWrap/>
            <w:vAlign w:val="center"/>
            <w:hideMark/>
          </w:tcPr>
          <w:p w14:paraId="2D40F2E9"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0.0001</w:t>
            </w:r>
          </w:p>
        </w:tc>
      </w:tr>
      <w:tr w:rsidR="00EF5F48" w:rsidRPr="004D5859" w14:paraId="63957295" w14:textId="77777777" w:rsidTr="00AD0DF7">
        <w:trPr>
          <w:trHeight w:val="435"/>
        </w:trPr>
        <w:tc>
          <w:tcPr>
            <w:tcW w:w="1101" w:type="dxa"/>
            <w:vMerge/>
            <w:tcBorders>
              <w:left w:val="nil"/>
              <w:right w:val="nil"/>
            </w:tcBorders>
            <w:shd w:val="clear" w:color="auto" w:fill="auto"/>
            <w:noWrap/>
            <w:vAlign w:val="center"/>
            <w:hideMark/>
          </w:tcPr>
          <w:p w14:paraId="17FAE219"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14:paraId="0EC08DD6"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Hyperattenuated</w:t>
            </w:r>
            <w:proofErr w:type="spellEnd"/>
            <w:r w:rsidRPr="004D5859">
              <w:rPr>
                <w:rFonts w:ascii="Times New Roman" w:hAnsi="Times New Roman" w:cs="Times New Roman"/>
                <w:sz w:val="20"/>
                <w:szCs w:val="20"/>
              </w:rPr>
              <w:t xml:space="preserve"> arteries</w:t>
            </w:r>
          </w:p>
        </w:tc>
        <w:tc>
          <w:tcPr>
            <w:tcW w:w="2018" w:type="dxa"/>
            <w:tcBorders>
              <w:top w:val="nil"/>
              <w:left w:val="nil"/>
              <w:bottom w:val="nil"/>
              <w:right w:val="nil"/>
            </w:tcBorders>
            <w:shd w:val="clear" w:color="auto" w:fill="auto"/>
            <w:noWrap/>
            <w:vAlign w:val="center"/>
            <w:hideMark/>
          </w:tcPr>
          <w:p w14:paraId="0C0DF96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1.71 (1.01-2.89)</w:t>
            </w:r>
          </w:p>
        </w:tc>
        <w:tc>
          <w:tcPr>
            <w:tcW w:w="851" w:type="dxa"/>
            <w:tcBorders>
              <w:top w:val="nil"/>
              <w:left w:val="nil"/>
              <w:bottom w:val="nil"/>
              <w:right w:val="nil"/>
            </w:tcBorders>
            <w:shd w:val="clear" w:color="auto" w:fill="auto"/>
            <w:noWrap/>
            <w:vAlign w:val="center"/>
            <w:hideMark/>
          </w:tcPr>
          <w:p w14:paraId="0F26844C"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0.0446</w:t>
            </w:r>
          </w:p>
        </w:tc>
        <w:tc>
          <w:tcPr>
            <w:tcW w:w="1984" w:type="dxa"/>
            <w:tcBorders>
              <w:top w:val="nil"/>
              <w:left w:val="nil"/>
              <w:bottom w:val="nil"/>
              <w:right w:val="nil"/>
            </w:tcBorders>
            <w:shd w:val="clear" w:color="auto" w:fill="auto"/>
            <w:noWrap/>
            <w:vAlign w:val="center"/>
            <w:hideMark/>
          </w:tcPr>
          <w:p w14:paraId="53AE05D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2.17 (1.48-3.18)</w:t>
            </w:r>
          </w:p>
        </w:tc>
        <w:tc>
          <w:tcPr>
            <w:tcW w:w="851" w:type="dxa"/>
            <w:tcBorders>
              <w:top w:val="nil"/>
              <w:left w:val="nil"/>
              <w:bottom w:val="nil"/>
              <w:right w:val="nil"/>
            </w:tcBorders>
            <w:shd w:val="clear" w:color="auto" w:fill="auto"/>
            <w:noWrap/>
            <w:vAlign w:val="center"/>
            <w:hideMark/>
          </w:tcPr>
          <w:p w14:paraId="5622E5B7"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0.0001</w:t>
            </w:r>
          </w:p>
        </w:tc>
        <w:tc>
          <w:tcPr>
            <w:tcW w:w="1984" w:type="dxa"/>
            <w:tcBorders>
              <w:top w:val="nil"/>
              <w:left w:val="nil"/>
              <w:bottom w:val="nil"/>
              <w:right w:val="nil"/>
            </w:tcBorders>
            <w:shd w:val="clear" w:color="auto" w:fill="auto"/>
            <w:noWrap/>
            <w:vAlign w:val="center"/>
            <w:hideMark/>
          </w:tcPr>
          <w:p w14:paraId="13D38AC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1.87 (1.39-2.52)</w:t>
            </w:r>
          </w:p>
        </w:tc>
        <w:tc>
          <w:tcPr>
            <w:tcW w:w="851" w:type="dxa"/>
            <w:tcBorders>
              <w:top w:val="nil"/>
              <w:left w:val="nil"/>
              <w:bottom w:val="nil"/>
              <w:right w:val="nil"/>
            </w:tcBorders>
            <w:shd w:val="clear" w:color="auto" w:fill="auto"/>
            <w:noWrap/>
            <w:vAlign w:val="center"/>
            <w:hideMark/>
          </w:tcPr>
          <w:p w14:paraId="3580B4D6"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0.0000</w:t>
            </w:r>
          </w:p>
        </w:tc>
        <w:tc>
          <w:tcPr>
            <w:tcW w:w="1842" w:type="dxa"/>
            <w:tcBorders>
              <w:top w:val="nil"/>
              <w:left w:val="nil"/>
              <w:bottom w:val="nil"/>
              <w:right w:val="nil"/>
            </w:tcBorders>
            <w:shd w:val="clear" w:color="auto" w:fill="auto"/>
            <w:noWrap/>
            <w:vAlign w:val="center"/>
            <w:hideMark/>
          </w:tcPr>
          <w:p w14:paraId="25A651D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0.63 (0.5-0.79)</w:t>
            </w:r>
          </w:p>
        </w:tc>
        <w:tc>
          <w:tcPr>
            <w:tcW w:w="993" w:type="dxa"/>
            <w:tcBorders>
              <w:top w:val="nil"/>
              <w:left w:val="nil"/>
              <w:bottom w:val="nil"/>
              <w:right w:val="nil"/>
            </w:tcBorders>
            <w:shd w:val="clear" w:color="auto" w:fill="auto"/>
            <w:noWrap/>
            <w:vAlign w:val="center"/>
            <w:hideMark/>
          </w:tcPr>
          <w:p w14:paraId="789E14EB"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0.0001</w:t>
            </w:r>
          </w:p>
        </w:tc>
      </w:tr>
      <w:tr w:rsidR="00EF5F48" w:rsidRPr="004D5859" w14:paraId="3B35B209" w14:textId="77777777" w:rsidTr="00AD0DF7">
        <w:trPr>
          <w:trHeight w:val="115"/>
        </w:trPr>
        <w:tc>
          <w:tcPr>
            <w:tcW w:w="1101" w:type="dxa"/>
            <w:vMerge w:val="restart"/>
            <w:tcBorders>
              <w:top w:val="nil"/>
              <w:left w:val="nil"/>
              <w:bottom w:val="single" w:sz="4" w:space="0" w:color="auto"/>
              <w:right w:val="nil"/>
            </w:tcBorders>
            <w:shd w:val="clear" w:color="auto" w:fill="auto"/>
            <w:noWrap/>
            <w:vAlign w:val="center"/>
            <w:hideMark/>
          </w:tcPr>
          <w:p w14:paraId="775997A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Pre-existing signs</w:t>
            </w:r>
          </w:p>
        </w:tc>
        <w:tc>
          <w:tcPr>
            <w:tcW w:w="1559" w:type="dxa"/>
            <w:tcBorders>
              <w:top w:val="nil"/>
              <w:left w:val="nil"/>
              <w:bottom w:val="nil"/>
              <w:right w:val="nil"/>
            </w:tcBorders>
            <w:shd w:val="clear" w:color="auto" w:fill="auto"/>
            <w:vAlign w:val="center"/>
            <w:hideMark/>
          </w:tcPr>
          <w:p w14:paraId="431C574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Atrophy</w:t>
            </w:r>
          </w:p>
        </w:tc>
        <w:tc>
          <w:tcPr>
            <w:tcW w:w="2018" w:type="dxa"/>
            <w:tcBorders>
              <w:top w:val="nil"/>
              <w:left w:val="nil"/>
              <w:bottom w:val="nil"/>
              <w:right w:val="nil"/>
            </w:tcBorders>
            <w:shd w:val="clear" w:color="auto" w:fill="auto"/>
            <w:noWrap/>
            <w:vAlign w:val="center"/>
            <w:hideMark/>
          </w:tcPr>
          <w:p w14:paraId="314D4F2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0.88 (0.51-1.52)</w:t>
            </w:r>
          </w:p>
        </w:tc>
        <w:tc>
          <w:tcPr>
            <w:tcW w:w="851" w:type="dxa"/>
            <w:tcBorders>
              <w:top w:val="nil"/>
              <w:left w:val="nil"/>
              <w:bottom w:val="nil"/>
              <w:right w:val="nil"/>
            </w:tcBorders>
            <w:shd w:val="clear" w:color="auto" w:fill="auto"/>
            <w:noWrap/>
            <w:vAlign w:val="center"/>
            <w:hideMark/>
          </w:tcPr>
          <w:p w14:paraId="7DE3725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0.5420</w:t>
            </w:r>
          </w:p>
        </w:tc>
        <w:tc>
          <w:tcPr>
            <w:tcW w:w="1984" w:type="dxa"/>
            <w:tcBorders>
              <w:top w:val="nil"/>
              <w:left w:val="nil"/>
              <w:bottom w:val="nil"/>
              <w:right w:val="nil"/>
            </w:tcBorders>
            <w:shd w:val="clear" w:color="auto" w:fill="auto"/>
            <w:noWrap/>
            <w:vAlign w:val="center"/>
            <w:hideMark/>
          </w:tcPr>
          <w:p w14:paraId="19A79E7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0.99 (0.64-1.53)</w:t>
            </w:r>
          </w:p>
        </w:tc>
        <w:tc>
          <w:tcPr>
            <w:tcW w:w="851" w:type="dxa"/>
            <w:tcBorders>
              <w:top w:val="nil"/>
              <w:left w:val="nil"/>
              <w:bottom w:val="nil"/>
              <w:right w:val="nil"/>
            </w:tcBorders>
            <w:shd w:val="clear" w:color="auto" w:fill="auto"/>
            <w:noWrap/>
            <w:vAlign w:val="center"/>
            <w:hideMark/>
          </w:tcPr>
          <w:p w14:paraId="4E775A7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0.9629</w:t>
            </w:r>
          </w:p>
        </w:tc>
        <w:tc>
          <w:tcPr>
            <w:tcW w:w="1984" w:type="dxa"/>
            <w:tcBorders>
              <w:top w:val="nil"/>
              <w:left w:val="nil"/>
              <w:bottom w:val="nil"/>
              <w:right w:val="nil"/>
            </w:tcBorders>
            <w:shd w:val="clear" w:color="auto" w:fill="auto"/>
            <w:noWrap/>
            <w:vAlign w:val="center"/>
            <w:hideMark/>
          </w:tcPr>
          <w:p w14:paraId="53D5ED7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1.52 (1.08-2.15)</w:t>
            </w:r>
          </w:p>
        </w:tc>
        <w:tc>
          <w:tcPr>
            <w:tcW w:w="851" w:type="dxa"/>
            <w:tcBorders>
              <w:top w:val="nil"/>
              <w:left w:val="nil"/>
              <w:bottom w:val="nil"/>
              <w:right w:val="nil"/>
            </w:tcBorders>
            <w:shd w:val="clear" w:color="auto" w:fill="auto"/>
            <w:noWrap/>
            <w:vAlign w:val="center"/>
            <w:hideMark/>
          </w:tcPr>
          <w:p w14:paraId="510368C3"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0.0178</w:t>
            </w:r>
          </w:p>
        </w:tc>
        <w:tc>
          <w:tcPr>
            <w:tcW w:w="1842" w:type="dxa"/>
            <w:tcBorders>
              <w:top w:val="nil"/>
              <w:left w:val="nil"/>
              <w:bottom w:val="nil"/>
              <w:right w:val="nil"/>
            </w:tcBorders>
            <w:shd w:val="clear" w:color="auto" w:fill="auto"/>
            <w:noWrap/>
            <w:vAlign w:val="center"/>
            <w:hideMark/>
          </w:tcPr>
          <w:p w14:paraId="0AD6D0B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0.83 (0.68-1.01)</w:t>
            </w:r>
          </w:p>
        </w:tc>
        <w:tc>
          <w:tcPr>
            <w:tcW w:w="993" w:type="dxa"/>
            <w:tcBorders>
              <w:top w:val="nil"/>
              <w:left w:val="nil"/>
              <w:bottom w:val="nil"/>
              <w:right w:val="nil"/>
            </w:tcBorders>
            <w:shd w:val="clear" w:color="auto" w:fill="auto"/>
            <w:noWrap/>
            <w:vAlign w:val="center"/>
            <w:hideMark/>
          </w:tcPr>
          <w:p w14:paraId="6E11C81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0.0625</w:t>
            </w:r>
          </w:p>
        </w:tc>
      </w:tr>
      <w:tr w:rsidR="00EF5F48" w:rsidRPr="004D5859" w14:paraId="61BB266D" w14:textId="77777777" w:rsidTr="00AD0DF7">
        <w:trPr>
          <w:trHeight w:val="175"/>
        </w:trPr>
        <w:tc>
          <w:tcPr>
            <w:tcW w:w="1101" w:type="dxa"/>
            <w:vMerge/>
            <w:tcBorders>
              <w:left w:val="nil"/>
              <w:bottom w:val="single" w:sz="4" w:space="0" w:color="auto"/>
              <w:right w:val="nil"/>
            </w:tcBorders>
            <w:shd w:val="clear" w:color="auto" w:fill="auto"/>
            <w:noWrap/>
            <w:vAlign w:val="center"/>
            <w:hideMark/>
          </w:tcPr>
          <w:p w14:paraId="15FBC609"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bottom w:val="nil"/>
              <w:right w:val="nil"/>
            </w:tcBorders>
            <w:shd w:val="clear" w:color="auto" w:fill="auto"/>
            <w:vAlign w:val="center"/>
            <w:hideMark/>
          </w:tcPr>
          <w:p w14:paraId="76E8F4A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Severe atrophy</w:t>
            </w:r>
          </w:p>
        </w:tc>
        <w:tc>
          <w:tcPr>
            <w:tcW w:w="2018" w:type="dxa"/>
            <w:tcBorders>
              <w:top w:val="nil"/>
              <w:left w:val="nil"/>
              <w:bottom w:val="nil"/>
              <w:right w:val="nil"/>
            </w:tcBorders>
            <w:shd w:val="clear" w:color="auto" w:fill="auto"/>
            <w:noWrap/>
            <w:vAlign w:val="center"/>
            <w:hideMark/>
          </w:tcPr>
          <w:p w14:paraId="61FF6D8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1.59 (0.88-2.86)</w:t>
            </w:r>
          </w:p>
        </w:tc>
        <w:tc>
          <w:tcPr>
            <w:tcW w:w="851" w:type="dxa"/>
            <w:tcBorders>
              <w:top w:val="nil"/>
              <w:left w:val="nil"/>
              <w:bottom w:val="nil"/>
              <w:right w:val="nil"/>
            </w:tcBorders>
            <w:shd w:val="clear" w:color="auto" w:fill="auto"/>
            <w:noWrap/>
            <w:vAlign w:val="center"/>
            <w:hideMark/>
          </w:tcPr>
          <w:p w14:paraId="1F19EEC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0.1246</w:t>
            </w:r>
          </w:p>
        </w:tc>
        <w:tc>
          <w:tcPr>
            <w:tcW w:w="1984" w:type="dxa"/>
            <w:tcBorders>
              <w:top w:val="nil"/>
              <w:left w:val="nil"/>
              <w:bottom w:val="nil"/>
              <w:right w:val="nil"/>
            </w:tcBorders>
            <w:shd w:val="clear" w:color="auto" w:fill="auto"/>
            <w:noWrap/>
            <w:vAlign w:val="center"/>
            <w:hideMark/>
          </w:tcPr>
          <w:p w14:paraId="40E9D8C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0.52 (0.29-0.96)</w:t>
            </w:r>
          </w:p>
        </w:tc>
        <w:tc>
          <w:tcPr>
            <w:tcW w:w="851" w:type="dxa"/>
            <w:tcBorders>
              <w:top w:val="nil"/>
              <w:left w:val="nil"/>
              <w:bottom w:val="nil"/>
              <w:right w:val="nil"/>
            </w:tcBorders>
            <w:shd w:val="clear" w:color="auto" w:fill="auto"/>
            <w:noWrap/>
            <w:vAlign w:val="center"/>
            <w:hideMark/>
          </w:tcPr>
          <w:p w14:paraId="662E22A2"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0.0352</w:t>
            </w:r>
          </w:p>
        </w:tc>
        <w:tc>
          <w:tcPr>
            <w:tcW w:w="1984" w:type="dxa"/>
            <w:tcBorders>
              <w:top w:val="nil"/>
              <w:left w:val="nil"/>
              <w:bottom w:val="nil"/>
              <w:right w:val="nil"/>
            </w:tcBorders>
            <w:shd w:val="clear" w:color="auto" w:fill="auto"/>
            <w:noWrap/>
            <w:vAlign w:val="center"/>
            <w:hideMark/>
          </w:tcPr>
          <w:p w14:paraId="12F3809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1.29 (0.9-1.84)</w:t>
            </w:r>
          </w:p>
        </w:tc>
        <w:tc>
          <w:tcPr>
            <w:tcW w:w="851" w:type="dxa"/>
            <w:tcBorders>
              <w:top w:val="nil"/>
              <w:left w:val="nil"/>
              <w:bottom w:val="nil"/>
              <w:right w:val="nil"/>
            </w:tcBorders>
            <w:shd w:val="clear" w:color="auto" w:fill="auto"/>
            <w:noWrap/>
            <w:vAlign w:val="center"/>
            <w:hideMark/>
          </w:tcPr>
          <w:p w14:paraId="2299BFC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0.1594</w:t>
            </w:r>
          </w:p>
        </w:tc>
        <w:tc>
          <w:tcPr>
            <w:tcW w:w="1842" w:type="dxa"/>
            <w:tcBorders>
              <w:top w:val="nil"/>
              <w:left w:val="nil"/>
              <w:bottom w:val="nil"/>
              <w:right w:val="nil"/>
            </w:tcBorders>
            <w:shd w:val="clear" w:color="auto" w:fill="auto"/>
            <w:noWrap/>
            <w:vAlign w:val="center"/>
            <w:hideMark/>
          </w:tcPr>
          <w:p w14:paraId="7F5E3C3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0.83 (0.64-1.06)</w:t>
            </w:r>
          </w:p>
        </w:tc>
        <w:tc>
          <w:tcPr>
            <w:tcW w:w="993" w:type="dxa"/>
            <w:tcBorders>
              <w:top w:val="nil"/>
              <w:left w:val="nil"/>
              <w:bottom w:val="nil"/>
              <w:right w:val="nil"/>
            </w:tcBorders>
            <w:shd w:val="clear" w:color="auto" w:fill="auto"/>
            <w:noWrap/>
            <w:vAlign w:val="center"/>
            <w:hideMark/>
          </w:tcPr>
          <w:p w14:paraId="5D38A91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0.1327</w:t>
            </w:r>
          </w:p>
        </w:tc>
      </w:tr>
      <w:tr w:rsidR="00EF5F48" w:rsidRPr="004D5859" w14:paraId="208BBE00" w14:textId="77777777" w:rsidTr="00AD0DF7">
        <w:trPr>
          <w:trHeight w:val="79"/>
        </w:trPr>
        <w:tc>
          <w:tcPr>
            <w:tcW w:w="1101" w:type="dxa"/>
            <w:vMerge/>
            <w:tcBorders>
              <w:left w:val="nil"/>
              <w:bottom w:val="single" w:sz="4" w:space="0" w:color="auto"/>
              <w:right w:val="nil"/>
            </w:tcBorders>
            <w:shd w:val="clear" w:color="auto" w:fill="auto"/>
            <w:noWrap/>
            <w:vAlign w:val="center"/>
            <w:hideMark/>
          </w:tcPr>
          <w:p w14:paraId="63BE0C58"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bottom w:val="nil"/>
              <w:right w:val="nil"/>
            </w:tcBorders>
            <w:shd w:val="clear" w:color="auto" w:fill="auto"/>
            <w:vAlign w:val="center"/>
            <w:hideMark/>
          </w:tcPr>
          <w:p w14:paraId="0CEC89A0"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Leukoaraiosis</w:t>
            </w:r>
            <w:proofErr w:type="spellEnd"/>
          </w:p>
        </w:tc>
        <w:tc>
          <w:tcPr>
            <w:tcW w:w="2018" w:type="dxa"/>
            <w:tcBorders>
              <w:top w:val="nil"/>
              <w:left w:val="nil"/>
              <w:bottom w:val="nil"/>
              <w:right w:val="nil"/>
            </w:tcBorders>
            <w:shd w:val="clear" w:color="auto" w:fill="auto"/>
            <w:noWrap/>
            <w:vAlign w:val="center"/>
            <w:hideMark/>
          </w:tcPr>
          <w:p w14:paraId="69688A0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0.84 (0.5-1.4)</w:t>
            </w:r>
          </w:p>
        </w:tc>
        <w:tc>
          <w:tcPr>
            <w:tcW w:w="851" w:type="dxa"/>
            <w:tcBorders>
              <w:top w:val="nil"/>
              <w:left w:val="nil"/>
              <w:bottom w:val="nil"/>
              <w:right w:val="nil"/>
            </w:tcBorders>
            <w:shd w:val="clear" w:color="auto" w:fill="auto"/>
            <w:noWrap/>
            <w:vAlign w:val="center"/>
            <w:hideMark/>
          </w:tcPr>
          <w:p w14:paraId="6A85072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0.4964</w:t>
            </w:r>
          </w:p>
        </w:tc>
        <w:tc>
          <w:tcPr>
            <w:tcW w:w="1984" w:type="dxa"/>
            <w:tcBorders>
              <w:top w:val="nil"/>
              <w:left w:val="nil"/>
              <w:bottom w:val="nil"/>
              <w:right w:val="nil"/>
            </w:tcBorders>
            <w:shd w:val="clear" w:color="auto" w:fill="auto"/>
            <w:noWrap/>
            <w:vAlign w:val="center"/>
            <w:hideMark/>
          </w:tcPr>
          <w:p w14:paraId="0C6FB19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1.07 (0.71-1.61)</w:t>
            </w:r>
          </w:p>
        </w:tc>
        <w:tc>
          <w:tcPr>
            <w:tcW w:w="851" w:type="dxa"/>
            <w:tcBorders>
              <w:top w:val="nil"/>
              <w:left w:val="nil"/>
              <w:bottom w:val="nil"/>
              <w:right w:val="nil"/>
            </w:tcBorders>
            <w:shd w:val="clear" w:color="auto" w:fill="auto"/>
            <w:noWrap/>
            <w:vAlign w:val="center"/>
            <w:hideMark/>
          </w:tcPr>
          <w:p w14:paraId="33FBD81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0.7613</w:t>
            </w:r>
          </w:p>
        </w:tc>
        <w:tc>
          <w:tcPr>
            <w:tcW w:w="1984" w:type="dxa"/>
            <w:tcBorders>
              <w:top w:val="nil"/>
              <w:left w:val="nil"/>
              <w:bottom w:val="nil"/>
              <w:right w:val="nil"/>
            </w:tcBorders>
            <w:shd w:val="clear" w:color="auto" w:fill="auto"/>
            <w:noWrap/>
            <w:vAlign w:val="center"/>
            <w:hideMark/>
          </w:tcPr>
          <w:p w14:paraId="5F9D26E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1.17 (0.87-1.58)</w:t>
            </w:r>
          </w:p>
        </w:tc>
        <w:tc>
          <w:tcPr>
            <w:tcW w:w="851" w:type="dxa"/>
            <w:tcBorders>
              <w:top w:val="nil"/>
              <w:left w:val="nil"/>
              <w:bottom w:val="nil"/>
              <w:right w:val="nil"/>
            </w:tcBorders>
            <w:shd w:val="clear" w:color="auto" w:fill="auto"/>
            <w:noWrap/>
            <w:vAlign w:val="center"/>
            <w:hideMark/>
          </w:tcPr>
          <w:p w14:paraId="2AEAF34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0.2881</w:t>
            </w:r>
          </w:p>
        </w:tc>
        <w:tc>
          <w:tcPr>
            <w:tcW w:w="1842" w:type="dxa"/>
            <w:tcBorders>
              <w:top w:val="nil"/>
              <w:left w:val="nil"/>
              <w:bottom w:val="nil"/>
              <w:right w:val="nil"/>
            </w:tcBorders>
            <w:shd w:val="clear" w:color="auto" w:fill="auto"/>
            <w:noWrap/>
            <w:vAlign w:val="center"/>
            <w:hideMark/>
          </w:tcPr>
          <w:p w14:paraId="128449A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0.71 (0.59-0.86)</w:t>
            </w:r>
          </w:p>
        </w:tc>
        <w:tc>
          <w:tcPr>
            <w:tcW w:w="993" w:type="dxa"/>
            <w:tcBorders>
              <w:top w:val="nil"/>
              <w:left w:val="nil"/>
              <w:bottom w:val="nil"/>
              <w:right w:val="nil"/>
            </w:tcBorders>
            <w:shd w:val="clear" w:color="auto" w:fill="auto"/>
            <w:noWrap/>
            <w:vAlign w:val="center"/>
            <w:hideMark/>
          </w:tcPr>
          <w:p w14:paraId="780986F8"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0.0005</w:t>
            </w:r>
          </w:p>
        </w:tc>
      </w:tr>
      <w:tr w:rsidR="00EF5F48" w:rsidRPr="004D5859" w14:paraId="3047BBFA" w14:textId="77777777" w:rsidTr="00AD0DF7">
        <w:trPr>
          <w:trHeight w:val="281"/>
        </w:trPr>
        <w:tc>
          <w:tcPr>
            <w:tcW w:w="1101" w:type="dxa"/>
            <w:vMerge/>
            <w:tcBorders>
              <w:left w:val="nil"/>
              <w:bottom w:val="single" w:sz="4" w:space="0" w:color="auto"/>
              <w:right w:val="nil"/>
            </w:tcBorders>
            <w:shd w:val="clear" w:color="auto" w:fill="auto"/>
            <w:noWrap/>
            <w:vAlign w:val="center"/>
            <w:hideMark/>
          </w:tcPr>
          <w:p w14:paraId="2C04BAAD"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right w:val="nil"/>
            </w:tcBorders>
            <w:shd w:val="clear" w:color="auto" w:fill="auto"/>
            <w:vAlign w:val="center"/>
            <w:hideMark/>
          </w:tcPr>
          <w:p w14:paraId="4C7A4CE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Severe </w:t>
            </w:r>
            <w:proofErr w:type="spellStart"/>
            <w:r w:rsidRPr="004D5859">
              <w:rPr>
                <w:rFonts w:ascii="Times New Roman" w:hAnsi="Times New Roman" w:cs="Times New Roman"/>
                <w:sz w:val="20"/>
                <w:szCs w:val="20"/>
              </w:rPr>
              <w:t>leukoaraiosis</w:t>
            </w:r>
            <w:proofErr w:type="spellEnd"/>
          </w:p>
        </w:tc>
        <w:tc>
          <w:tcPr>
            <w:tcW w:w="2018" w:type="dxa"/>
            <w:tcBorders>
              <w:top w:val="nil"/>
              <w:left w:val="nil"/>
              <w:right w:val="nil"/>
            </w:tcBorders>
            <w:shd w:val="clear" w:color="auto" w:fill="auto"/>
            <w:noWrap/>
            <w:vAlign w:val="center"/>
            <w:hideMark/>
          </w:tcPr>
          <w:p w14:paraId="0AE5DDE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0.78 (0.36-1.69)</w:t>
            </w:r>
          </w:p>
        </w:tc>
        <w:tc>
          <w:tcPr>
            <w:tcW w:w="851" w:type="dxa"/>
            <w:tcBorders>
              <w:top w:val="nil"/>
              <w:left w:val="nil"/>
              <w:right w:val="nil"/>
            </w:tcBorders>
            <w:shd w:val="clear" w:color="auto" w:fill="auto"/>
            <w:noWrap/>
            <w:vAlign w:val="center"/>
            <w:hideMark/>
          </w:tcPr>
          <w:p w14:paraId="2F7F2E3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0.533</w:t>
            </w:r>
          </w:p>
        </w:tc>
        <w:tc>
          <w:tcPr>
            <w:tcW w:w="1984" w:type="dxa"/>
            <w:tcBorders>
              <w:top w:val="nil"/>
              <w:left w:val="nil"/>
              <w:right w:val="nil"/>
            </w:tcBorders>
            <w:shd w:val="clear" w:color="auto" w:fill="auto"/>
            <w:noWrap/>
            <w:vAlign w:val="center"/>
            <w:hideMark/>
          </w:tcPr>
          <w:p w14:paraId="3D1D473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 (0.68-2.11)</w:t>
            </w:r>
          </w:p>
        </w:tc>
        <w:tc>
          <w:tcPr>
            <w:tcW w:w="851" w:type="dxa"/>
            <w:tcBorders>
              <w:top w:val="nil"/>
              <w:left w:val="nil"/>
              <w:right w:val="nil"/>
            </w:tcBorders>
            <w:shd w:val="clear" w:color="auto" w:fill="auto"/>
            <w:noWrap/>
            <w:vAlign w:val="center"/>
            <w:hideMark/>
          </w:tcPr>
          <w:p w14:paraId="2741717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0.5266</w:t>
            </w:r>
          </w:p>
        </w:tc>
        <w:tc>
          <w:tcPr>
            <w:tcW w:w="1984" w:type="dxa"/>
            <w:tcBorders>
              <w:top w:val="nil"/>
              <w:left w:val="nil"/>
              <w:right w:val="nil"/>
            </w:tcBorders>
            <w:shd w:val="clear" w:color="auto" w:fill="auto"/>
            <w:noWrap/>
            <w:vAlign w:val="center"/>
            <w:hideMark/>
          </w:tcPr>
          <w:p w14:paraId="14AA47A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1.74 (1.2-.2.54)</w:t>
            </w:r>
          </w:p>
        </w:tc>
        <w:tc>
          <w:tcPr>
            <w:tcW w:w="851" w:type="dxa"/>
            <w:tcBorders>
              <w:top w:val="nil"/>
              <w:left w:val="nil"/>
              <w:right w:val="nil"/>
            </w:tcBorders>
            <w:shd w:val="clear" w:color="auto" w:fill="auto"/>
            <w:noWrap/>
            <w:vAlign w:val="center"/>
            <w:hideMark/>
          </w:tcPr>
          <w:p w14:paraId="638AD92E"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0.0037</w:t>
            </w:r>
          </w:p>
        </w:tc>
        <w:tc>
          <w:tcPr>
            <w:tcW w:w="1842" w:type="dxa"/>
            <w:tcBorders>
              <w:top w:val="nil"/>
              <w:left w:val="nil"/>
              <w:right w:val="nil"/>
            </w:tcBorders>
            <w:shd w:val="clear" w:color="auto" w:fill="auto"/>
            <w:noWrap/>
            <w:vAlign w:val="center"/>
            <w:hideMark/>
          </w:tcPr>
          <w:p w14:paraId="60BAB6EA"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0.68 (0.51-0.89)</w:t>
            </w:r>
          </w:p>
        </w:tc>
        <w:tc>
          <w:tcPr>
            <w:tcW w:w="993" w:type="dxa"/>
            <w:tcBorders>
              <w:top w:val="nil"/>
              <w:left w:val="nil"/>
              <w:bottom w:val="nil"/>
              <w:right w:val="nil"/>
            </w:tcBorders>
            <w:shd w:val="clear" w:color="auto" w:fill="auto"/>
            <w:noWrap/>
            <w:vAlign w:val="center"/>
            <w:hideMark/>
          </w:tcPr>
          <w:p w14:paraId="76081CDA"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0.0055</w:t>
            </w:r>
          </w:p>
        </w:tc>
      </w:tr>
      <w:tr w:rsidR="00EF5F48" w:rsidRPr="004D5859" w14:paraId="12E63E4A" w14:textId="77777777" w:rsidTr="00AD0DF7">
        <w:trPr>
          <w:trHeight w:val="103"/>
        </w:trPr>
        <w:tc>
          <w:tcPr>
            <w:tcW w:w="1101" w:type="dxa"/>
            <w:vMerge/>
            <w:tcBorders>
              <w:left w:val="nil"/>
              <w:bottom w:val="single" w:sz="4" w:space="0" w:color="auto"/>
              <w:right w:val="nil"/>
            </w:tcBorders>
            <w:shd w:val="clear" w:color="auto" w:fill="auto"/>
            <w:noWrap/>
            <w:vAlign w:val="center"/>
            <w:hideMark/>
          </w:tcPr>
          <w:p w14:paraId="4B032522" w14:textId="77777777" w:rsidR="00EF5F48" w:rsidRPr="004D5859" w:rsidRDefault="00EF5F48" w:rsidP="00AD0DF7">
            <w:pPr>
              <w:rPr>
                <w:rFonts w:ascii="Times New Roman" w:hAnsi="Times New Roman" w:cs="Times New Roman"/>
                <w:sz w:val="20"/>
                <w:szCs w:val="20"/>
              </w:rPr>
            </w:pPr>
          </w:p>
        </w:tc>
        <w:tc>
          <w:tcPr>
            <w:tcW w:w="1559" w:type="dxa"/>
            <w:tcBorders>
              <w:top w:val="nil"/>
              <w:left w:val="nil"/>
              <w:bottom w:val="single" w:sz="4" w:space="0" w:color="auto"/>
              <w:right w:val="nil"/>
            </w:tcBorders>
            <w:shd w:val="clear" w:color="auto" w:fill="auto"/>
            <w:vAlign w:val="center"/>
            <w:hideMark/>
          </w:tcPr>
          <w:p w14:paraId="52B475D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Old infarct</w:t>
            </w:r>
          </w:p>
        </w:tc>
        <w:tc>
          <w:tcPr>
            <w:tcW w:w="2018" w:type="dxa"/>
            <w:tcBorders>
              <w:top w:val="nil"/>
              <w:left w:val="nil"/>
              <w:bottom w:val="single" w:sz="4" w:space="0" w:color="auto"/>
              <w:right w:val="nil"/>
            </w:tcBorders>
            <w:shd w:val="clear" w:color="auto" w:fill="auto"/>
            <w:noWrap/>
            <w:vAlign w:val="center"/>
            <w:hideMark/>
          </w:tcPr>
          <w:p w14:paraId="7019E04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0.95 (0.59-1.54)</w:t>
            </w:r>
          </w:p>
        </w:tc>
        <w:tc>
          <w:tcPr>
            <w:tcW w:w="851" w:type="dxa"/>
            <w:tcBorders>
              <w:top w:val="nil"/>
              <w:left w:val="nil"/>
              <w:bottom w:val="single" w:sz="4" w:space="0" w:color="auto"/>
              <w:right w:val="nil"/>
            </w:tcBorders>
            <w:shd w:val="clear" w:color="auto" w:fill="auto"/>
            <w:noWrap/>
            <w:vAlign w:val="center"/>
            <w:hideMark/>
          </w:tcPr>
          <w:p w14:paraId="2BBD9A20"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0.838</w:t>
            </w:r>
          </w:p>
        </w:tc>
        <w:tc>
          <w:tcPr>
            <w:tcW w:w="1984" w:type="dxa"/>
            <w:tcBorders>
              <w:top w:val="nil"/>
              <w:left w:val="nil"/>
              <w:bottom w:val="single" w:sz="4" w:space="0" w:color="auto"/>
              <w:right w:val="nil"/>
            </w:tcBorders>
            <w:shd w:val="clear" w:color="auto" w:fill="auto"/>
            <w:noWrap/>
            <w:vAlign w:val="center"/>
            <w:hideMark/>
          </w:tcPr>
          <w:p w14:paraId="23CE763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1.24 (0.85-1.81)</w:t>
            </w:r>
          </w:p>
        </w:tc>
        <w:tc>
          <w:tcPr>
            <w:tcW w:w="851" w:type="dxa"/>
            <w:tcBorders>
              <w:top w:val="nil"/>
              <w:left w:val="nil"/>
              <w:bottom w:val="single" w:sz="4" w:space="0" w:color="auto"/>
              <w:right w:val="nil"/>
            </w:tcBorders>
            <w:shd w:val="clear" w:color="auto" w:fill="auto"/>
            <w:noWrap/>
            <w:vAlign w:val="center"/>
            <w:hideMark/>
          </w:tcPr>
          <w:p w14:paraId="42993B5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0.2646</w:t>
            </w:r>
          </w:p>
        </w:tc>
        <w:tc>
          <w:tcPr>
            <w:tcW w:w="1984" w:type="dxa"/>
            <w:tcBorders>
              <w:top w:val="nil"/>
              <w:left w:val="nil"/>
              <w:bottom w:val="single" w:sz="4" w:space="0" w:color="auto"/>
              <w:right w:val="nil"/>
            </w:tcBorders>
            <w:shd w:val="clear" w:color="auto" w:fill="auto"/>
            <w:noWrap/>
            <w:vAlign w:val="center"/>
            <w:hideMark/>
          </w:tcPr>
          <w:p w14:paraId="0B85ACDB"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1.2 (0.91-1.58)</w:t>
            </w:r>
          </w:p>
        </w:tc>
        <w:tc>
          <w:tcPr>
            <w:tcW w:w="851" w:type="dxa"/>
            <w:tcBorders>
              <w:top w:val="nil"/>
              <w:left w:val="nil"/>
              <w:bottom w:val="single" w:sz="4" w:space="0" w:color="auto"/>
              <w:right w:val="nil"/>
            </w:tcBorders>
            <w:shd w:val="clear" w:color="auto" w:fill="auto"/>
            <w:noWrap/>
            <w:vAlign w:val="center"/>
            <w:hideMark/>
          </w:tcPr>
          <w:p w14:paraId="22450EE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0.2072</w:t>
            </w:r>
          </w:p>
        </w:tc>
        <w:tc>
          <w:tcPr>
            <w:tcW w:w="1842" w:type="dxa"/>
            <w:tcBorders>
              <w:top w:val="nil"/>
              <w:left w:val="nil"/>
              <w:bottom w:val="single" w:sz="4" w:space="0" w:color="auto"/>
              <w:right w:val="nil"/>
            </w:tcBorders>
            <w:shd w:val="clear" w:color="auto" w:fill="auto"/>
            <w:noWrap/>
            <w:vAlign w:val="center"/>
            <w:hideMark/>
          </w:tcPr>
          <w:p w14:paraId="4E59500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 (0.59-0.84)</w:t>
            </w:r>
          </w:p>
        </w:tc>
        <w:tc>
          <w:tcPr>
            <w:tcW w:w="993" w:type="dxa"/>
            <w:tcBorders>
              <w:top w:val="nil"/>
              <w:left w:val="nil"/>
              <w:bottom w:val="nil"/>
              <w:right w:val="nil"/>
            </w:tcBorders>
            <w:shd w:val="clear" w:color="auto" w:fill="auto"/>
            <w:noWrap/>
            <w:vAlign w:val="center"/>
            <w:hideMark/>
          </w:tcPr>
          <w:p w14:paraId="535F87B6"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0.0001</w:t>
            </w:r>
          </w:p>
        </w:tc>
      </w:tr>
    </w:tbl>
    <w:p w14:paraId="25F06950" w14:textId="77777777" w:rsidR="00EF5F48" w:rsidRPr="004D5859" w:rsidRDefault="00EF5F48" w:rsidP="00EF5F48">
      <w:pPr>
        <w:spacing w:before="120"/>
        <w:rPr>
          <w:rFonts w:ascii="Times New Roman" w:hAnsi="Times New Roman" w:cs="Times New Roman"/>
          <w:sz w:val="20"/>
          <w:szCs w:val="20"/>
        </w:rPr>
      </w:pPr>
      <w:r w:rsidRPr="004D5859">
        <w:rPr>
          <w:rFonts w:ascii="Times New Roman" w:hAnsi="Times New Roman" w:cs="Times New Roman"/>
          <w:sz w:val="20"/>
          <w:szCs w:val="20"/>
        </w:rPr>
        <w:t xml:space="preserve">Data are </w:t>
      </w:r>
      <w:r>
        <w:rPr>
          <w:rFonts w:ascii="Times New Roman" w:hAnsi="Times New Roman" w:cs="Times New Roman"/>
          <w:sz w:val="20"/>
          <w:szCs w:val="20"/>
        </w:rPr>
        <w:t xml:space="preserve">adjusted </w:t>
      </w:r>
      <w:r w:rsidRPr="004D5859">
        <w:rPr>
          <w:rFonts w:ascii="Times New Roman" w:hAnsi="Times New Roman" w:cs="Times New Roman"/>
          <w:sz w:val="20"/>
          <w:szCs w:val="20"/>
        </w:rPr>
        <w:t xml:space="preserve">OR (95% CI), p values. </w:t>
      </w:r>
      <w:r>
        <w:rPr>
          <w:rFonts w:ascii="Times New Roman" w:hAnsi="Times New Roman" w:cs="Times New Roman"/>
          <w:sz w:val="20"/>
          <w:szCs w:val="20"/>
        </w:rPr>
        <w:t>Variable results are shown as yes versus no.</w:t>
      </w:r>
    </w:p>
    <w:p w14:paraId="1304E008" w14:textId="77777777" w:rsidR="00EF5F48" w:rsidRPr="004D5859" w:rsidRDefault="00EF5F48" w:rsidP="00EF5F48">
      <w:pPr>
        <w:spacing w:before="120"/>
        <w:rPr>
          <w:rFonts w:ascii="Times New Roman" w:hAnsi="Times New Roman" w:cs="Times New Roman"/>
          <w:sz w:val="20"/>
          <w:szCs w:val="20"/>
        </w:rPr>
      </w:pPr>
      <w:proofErr w:type="spellStart"/>
      <w:proofErr w:type="gramStart"/>
      <w:r w:rsidRPr="004D5859">
        <w:rPr>
          <w:rFonts w:ascii="Times New Roman" w:hAnsi="Times New Roman" w:cs="Times New Roman"/>
          <w:sz w:val="20"/>
          <w:szCs w:val="20"/>
        </w:rPr>
        <w:t>mRS</w:t>
      </w:r>
      <w:proofErr w:type="spellEnd"/>
      <w:proofErr w:type="gramEnd"/>
      <w:r w:rsidRPr="004D5859">
        <w:rPr>
          <w:rFonts w:ascii="Times New Roman" w:hAnsi="Times New Roman" w:cs="Times New Roman"/>
          <w:sz w:val="20"/>
          <w:szCs w:val="20"/>
        </w:rPr>
        <w:t xml:space="preserve"> denotes modified Rankin Scale, </w:t>
      </w:r>
      <w:proofErr w:type="spellStart"/>
      <w:r w:rsidRPr="004D5859">
        <w:rPr>
          <w:rFonts w:ascii="Times New Roman" w:hAnsi="Times New Roman" w:cs="Times New Roman"/>
          <w:sz w:val="20"/>
          <w:szCs w:val="20"/>
        </w:rPr>
        <w:t>sICH</w:t>
      </w:r>
      <w:proofErr w:type="spellEnd"/>
      <w:r w:rsidRPr="004D5859">
        <w:rPr>
          <w:rFonts w:ascii="Times New Roman" w:hAnsi="Times New Roman" w:cs="Times New Roman"/>
          <w:sz w:val="20"/>
          <w:szCs w:val="20"/>
        </w:rPr>
        <w:t xml:space="preserve"> symptomatic </w:t>
      </w:r>
      <w:proofErr w:type="spellStart"/>
      <w:r w:rsidRPr="004D5859">
        <w:rPr>
          <w:rFonts w:ascii="Times New Roman" w:hAnsi="Times New Roman" w:cs="Times New Roman"/>
          <w:sz w:val="20"/>
          <w:szCs w:val="20"/>
        </w:rPr>
        <w:t>intracerebral</w:t>
      </w:r>
      <w:proofErr w:type="spellEnd"/>
      <w:r w:rsidRPr="004D5859">
        <w:rPr>
          <w:rFonts w:ascii="Times New Roman" w:hAnsi="Times New Roman" w:cs="Times New Roman"/>
          <w:sz w:val="20"/>
          <w:szCs w:val="20"/>
        </w:rPr>
        <w:t xml:space="preserve"> </w:t>
      </w:r>
      <w:r>
        <w:rPr>
          <w:rFonts w:ascii="Times New Roman" w:hAnsi="Times New Roman" w:cs="Times New Roman"/>
          <w:sz w:val="20"/>
          <w:szCs w:val="20"/>
        </w:rPr>
        <w:t>haemorrhage</w:t>
      </w:r>
      <w:r w:rsidRPr="004D5859">
        <w:rPr>
          <w:rFonts w:ascii="Times New Roman" w:hAnsi="Times New Roman" w:cs="Times New Roman"/>
          <w:sz w:val="20"/>
          <w:szCs w:val="20"/>
        </w:rPr>
        <w:t xml:space="preserve">; </w:t>
      </w:r>
    </w:p>
    <w:p w14:paraId="3D134EB3" w14:textId="77777777" w:rsidR="00EF5F48" w:rsidRPr="004D5859" w:rsidRDefault="00EF5F48" w:rsidP="00EF5F48">
      <w:pPr>
        <w:spacing w:after="120" w:line="480" w:lineRule="auto"/>
        <w:rPr>
          <w:rFonts w:ascii="Times New Roman" w:hAnsi="Times New Roman" w:cs="Times New Roman"/>
        </w:rPr>
      </w:pPr>
    </w:p>
    <w:p w14:paraId="1DFD66F5" w14:textId="77777777" w:rsidR="00EF5F48" w:rsidRPr="004D5859" w:rsidRDefault="00EF5F48" w:rsidP="00EF5F48">
      <w:pPr>
        <w:spacing w:after="120"/>
        <w:rPr>
          <w:rFonts w:ascii="Times New Roman" w:hAnsi="Times New Roman" w:cs="Times New Roman"/>
          <w:sz w:val="20"/>
          <w:szCs w:val="20"/>
        </w:rPr>
      </w:pPr>
      <w:r w:rsidRPr="004D5859">
        <w:rPr>
          <w:rFonts w:ascii="Times New Roman" w:hAnsi="Times New Roman" w:cs="Times New Roman"/>
          <w:sz w:val="20"/>
          <w:szCs w:val="20"/>
        </w:rPr>
        <w:br w:type="page"/>
      </w:r>
      <w:r w:rsidRPr="004D5859">
        <w:rPr>
          <w:rFonts w:ascii="Times New Roman" w:hAnsi="Times New Roman" w:cs="Times New Roman"/>
          <w:b/>
          <w:sz w:val="20"/>
          <w:szCs w:val="20"/>
        </w:rPr>
        <w:t xml:space="preserve">Table 4: Full multivariable logistic regression models for symptomatic </w:t>
      </w:r>
      <w:proofErr w:type="spellStart"/>
      <w:r w:rsidRPr="004D5859">
        <w:rPr>
          <w:rFonts w:ascii="Times New Roman" w:hAnsi="Times New Roman" w:cs="Times New Roman"/>
          <w:b/>
          <w:sz w:val="20"/>
          <w:szCs w:val="20"/>
        </w:rPr>
        <w:t>intracerebral</w:t>
      </w:r>
      <w:proofErr w:type="spellEnd"/>
      <w:r w:rsidRPr="004D5859">
        <w:rPr>
          <w:rFonts w:ascii="Times New Roman" w:hAnsi="Times New Roman" w:cs="Times New Roman"/>
          <w:b/>
          <w:sz w:val="20"/>
          <w:szCs w:val="20"/>
        </w:rPr>
        <w:t xml:space="preserve"> </w:t>
      </w:r>
      <w:r>
        <w:rPr>
          <w:rFonts w:ascii="Times New Roman" w:hAnsi="Times New Roman" w:cs="Times New Roman"/>
          <w:b/>
          <w:sz w:val="20"/>
          <w:szCs w:val="20"/>
        </w:rPr>
        <w:t>haemorrhage</w:t>
      </w:r>
      <w:r w:rsidRPr="004D5859">
        <w:rPr>
          <w:rFonts w:ascii="Times New Roman" w:hAnsi="Times New Roman" w:cs="Times New Roman"/>
          <w:b/>
          <w:sz w:val="20"/>
          <w:szCs w:val="20"/>
        </w:rPr>
        <w:t xml:space="preserve"> and functional outcome at 3 months</w:t>
      </w:r>
    </w:p>
    <w:tbl>
      <w:tblPr>
        <w:tblW w:w="9266" w:type="dxa"/>
        <w:tblLayout w:type="fixed"/>
        <w:tblLook w:val="04A0" w:firstRow="1" w:lastRow="0" w:firstColumn="1" w:lastColumn="0" w:noHBand="0" w:noVBand="1"/>
      </w:tblPr>
      <w:tblGrid>
        <w:gridCol w:w="3711"/>
        <w:gridCol w:w="1846"/>
        <w:gridCol w:w="28"/>
        <w:gridCol w:w="827"/>
        <w:gridCol w:w="1847"/>
        <w:gridCol w:w="27"/>
        <w:gridCol w:w="980"/>
      </w:tblGrid>
      <w:tr w:rsidR="00EF5F48" w:rsidRPr="004D5859" w14:paraId="33DA5E3A" w14:textId="77777777" w:rsidTr="00AD0DF7">
        <w:trPr>
          <w:trHeight w:val="300"/>
        </w:trPr>
        <w:tc>
          <w:tcPr>
            <w:tcW w:w="3711" w:type="dxa"/>
            <w:tcBorders>
              <w:top w:val="single" w:sz="4" w:space="0" w:color="auto"/>
              <w:left w:val="nil"/>
              <w:right w:val="nil"/>
            </w:tcBorders>
            <w:shd w:val="clear" w:color="auto" w:fill="auto"/>
            <w:noWrap/>
            <w:vAlign w:val="center"/>
            <w:hideMark/>
          </w:tcPr>
          <w:p w14:paraId="1D6382AC" w14:textId="77777777" w:rsidR="00EF5F48" w:rsidRPr="004D5859" w:rsidRDefault="00EF5F48" w:rsidP="00AD0DF7">
            <w:pPr>
              <w:spacing w:before="60" w:after="60"/>
              <w:rPr>
                <w:rFonts w:ascii="Times New Roman" w:hAnsi="Times New Roman" w:cs="Times New Roman"/>
                <w:sz w:val="20"/>
                <w:szCs w:val="20"/>
              </w:rPr>
            </w:pPr>
          </w:p>
        </w:tc>
        <w:tc>
          <w:tcPr>
            <w:tcW w:w="1874" w:type="dxa"/>
            <w:gridSpan w:val="2"/>
            <w:tcBorders>
              <w:top w:val="single" w:sz="4" w:space="0" w:color="auto"/>
              <w:left w:val="nil"/>
              <w:right w:val="nil"/>
            </w:tcBorders>
            <w:shd w:val="clear" w:color="auto" w:fill="auto"/>
            <w:noWrap/>
            <w:vAlign w:val="center"/>
            <w:hideMark/>
          </w:tcPr>
          <w:p w14:paraId="0D98C6C5" w14:textId="77777777" w:rsidR="00EF5F48" w:rsidRPr="004D5859" w:rsidRDefault="00EF5F48" w:rsidP="00AD0DF7">
            <w:pPr>
              <w:spacing w:before="60" w:after="60"/>
              <w:rPr>
                <w:rFonts w:ascii="Times New Roman" w:hAnsi="Times New Roman" w:cs="Times New Roman"/>
                <w:b/>
                <w:sz w:val="20"/>
                <w:szCs w:val="20"/>
              </w:rPr>
            </w:pPr>
            <w:proofErr w:type="spellStart"/>
            <w:proofErr w:type="gramStart"/>
            <w:r w:rsidRPr="004D5859">
              <w:rPr>
                <w:rFonts w:ascii="Times New Roman" w:hAnsi="Times New Roman" w:cs="Times New Roman"/>
                <w:b/>
                <w:sz w:val="20"/>
                <w:szCs w:val="20"/>
              </w:rPr>
              <w:t>sICH</w:t>
            </w:r>
            <w:proofErr w:type="spellEnd"/>
            <w:proofErr w:type="gramEnd"/>
            <w:r w:rsidRPr="004D5859">
              <w:rPr>
                <w:rFonts w:ascii="Times New Roman" w:hAnsi="Times New Roman" w:cs="Times New Roman"/>
                <w:b/>
                <w:sz w:val="20"/>
                <w:szCs w:val="20"/>
              </w:rPr>
              <w:t xml:space="preserve"> </w:t>
            </w:r>
          </w:p>
        </w:tc>
        <w:tc>
          <w:tcPr>
            <w:tcW w:w="827" w:type="dxa"/>
            <w:vMerge w:val="restart"/>
            <w:tcBorders>
              <w:top w:val="single" w:sz="4" w:space="0" w:color="auto"/>
              <w:left w:val="nil"/>
              <w:right w:val="nil"/>
            </w:tcBorders>
            <w:shd w:val="clear" w:color="auto" w:fill="auto"/>
            <w:noWrap/>
            <w:vAlign w:val="center"/>
            <w:hideMark/>
          </w:tcPr>
          <w:p w14:paraId="390E3594" w14:textId="77777777" w:rsidR="00EF5F48" w:rsidRPr="004D5859" w:rsidRDefault="00EF5F48" w:rsidP="00AD0DF7">
            <w:pPr>
              <w:spacing w:before="60" w:after="60"/>
              <w:jc w:val="cente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p>
        </w:tc>
        <w:tc>
          <w:tcPr>
            <w:tcW w:w="1874" w:type="dxa"/>
            <w:gridSpan w:val="2"/>
            <w:tcBorders>
              <w:top w:val="single" w:sz="4" w:space="0" w:color="auto"/>
              <w:left w:val="nil"/>
              <w:right w:val="nil"/>
            </w:tcBorders>
            <w:shd w:val="clear" w:color="auto" w:fill="auto"/>
            <w:noWrap/>
            <w:vAlign w:val="center"/>
            <w:hideMark/>
          </w:tcPr>
          <w:p w14:paraId="712A4993" w14:textId="77777777" w:rsidR="00EF5F48" w:rsidRPr="004D5859" w:rsidRDefault="00EF5F48" w:rsidP="00AD0DF7">
            <w:pPr>
              <w:spacing w:before="60" w:after="60"/>
              <w:rPr>
                <w:rFonts w:ascii="Times New Roman" w:hAnsi="Times New Roman" w:cs="Times New Roman"/>
                <w:b/>
                <w:sz w:val="20"/>
                <w:szCs w:val="20"/>
              </w:rPr>
            </w:pPr>
            <w:proofErr w:type="spellStart"/>
            <w:proofErr w:type="gramStart"/>
            <w:r w:rsidRPr="004D5859">
              <w:rPr>
                <w:rFonts w:ascii="Times New Roman" w:hAnsi="Times New Roman" w:cs="Times New Roman"/>
                <w:b/>
                <w:sz w:val="20"/>
                <w:szCs w:val="20"/>
              </w:rPr>
              <w:t>mRS</w:t>
            </w:r>
            <w:proofErr w:type="spellEnd"/>
            <w:proofErr w:type="gramEnd"/>
            <w:r w:rsidRPr="004D5859">
              <w:rPr>
                <w:rFonts w:ascii="Times New Roman" w:hAnsi="Times New Roman" w:cs="Times New Roman"/>
                <w:b/>
                <w:sz w:val="20"/>
                <w:szCs w:val="20"/>
              </w:rPr>
              <w:t xml:space="preserve"> 0-2</w:t>
            </w:r>
          </w:p>
        </w:tc>
        <w:tc>
          <w:tcPr>
            <w:tcW w:w="980" w:type="dxa"/>
            <w:vMerge w:val="restart"/>
            <w:tcBorders>
              <w:top w:val="single" w:sz="4" w:space="0" w:color="auto"/>
              <w:left w:val="nil"/>
              <w:right w:val="nil"/>
            </w:tcBorders>
            <w:shd w:val="clear" w:color="auto" w:fill="auto"/>
            <w:noWrap/>
            <w:vAlign w:val="center"/>
            <w:hideMark/>
          </w:tcPr>
          <w:p w14:paraId="7E55924C" w14:textId="77777777" w:rsidR="00EF5F48" w:rsidRPr="004D5859" w:rsidRDefault="00EF5F48" w:rsidP="00AD0DF7">
            <w:pPr>
              <w:spacing w:before="60" w:after="60"/>
              <w:jc w:val="cente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p>
        </w:tc>
      </w:tr>
      <w:tr w:rsidR="00EF5F48" w:rsidRPr="004D5859" w14:paraId="49FAFB57" w14:textId="77777777" w:rsidTr="00AD0DF7">
        <w:trPr>
          <w:trHeight w:val="300"/>
        </w:trPr>
        <w:tc>
          <w:tcPr>
            <w:tcW w:w="3711" w:type="dxa"/>
            <w:tcBorders>
              <w:top w:val="nil"/>
              <w:left w:val="nil"/>
              <w:bottom w:val="single" w:sz="4" w:space="0" w:color="auto"/>
              <w:right w:val="nil"/>
            </w:tcBorders>
            <w:shd w:val="clear" w:color="auto" w:fill="auto"/>
            <w:noWrap/>
            <w:vAlign w:val="center"/>
            <w:hideMark/>
          </w:tcPr>
          <w:p w14:paraId="5B5DB135" w14:textId="77777777" w:rsidR="00EF5F48" w:rsidRPr="004D5859" w:rsidRDefault="00EF5F48" w:rsidP="00AD0DF7">
            <w:pPr>
              <w:spacing w:before="60" w:after="60"/>
              <w:rPr>
                <w:rFonts w:ascii="Times New Roman" w:hAnsi="Times New Roman" w:cs="Times New Roman"/>
                <w:sz w:val="20"/>
                <w:szCs w:val="20"/>
              </w:rPr>
            </w:pPr>
          </w:p>
        </w:tc>
        <w:tc>
          <w:tcPr>
            <w:tcW w:w="1874" w:type="dxa"/>
            <w:gridSpan w:val="2"/>
            <w:tcBorders>
              <w:top w:val="nil"/>
              <w:left w:val="nil"/>
              <w:bottom w:val="single" w:sz="4" w:space="0" w:color="auto"/>
              <w:right w:val="nil"/>
            </w:tcBorders>
            <w:shd w:val="clear" w:color="auto" w:fill="auto"/>
            <w:noWrap/>
            <w:vAlign w:val="center"/>
            <w:hideMark/>
          </w:tcPr>
          <w:p w14:paraId="34642BCD" w14:textId="77777777" w:rsidR="00EF5F48" w:rsidRPr="004D5859" w:rsidRDefault="00EF5F48" w:rsidP="00AD0DF7">
            <w:pPr>
              <w:spacing w:before="60" w:after="60"/>
              <w:rPr>
                <w:rFonts w:ascii="Times New Roman" w:hAnsi="Times New Roman" w:cs="Times New Roman"/>
                <w:b/>
                <w:sz w:val="20"/>
                <w:szCs w:val="20"/>
              </w:rPr>
            </w:pPr>
            <w:r>
              <w:rPr>
                <w:rFonts w:ascii="Times New Roman" w:hAnsi="Times New Roman" w:cs="Times New Roman"/>
                <w:b/>
                <w:sz w:val="20"/>
                <w:szCs w:val="20"/>
              </w:rPr>
              <w:t>OR</w:t>
            </w:r>
            <w:r w:rsidRPr="004D5859">
              <w:rPr>
                <w:rFonts w:ascii="Times New Roman" w:hAnsi="Times New Roman" w:cs="Times New Roman"/>
                <w:b/>
                <w:sz w:val="20"/>
                <w:szCs w:val="20"/>
              </w:rPr>
              <w:t xml:space="preserve"> (95%CI)</w:t>
            </w:r>
            <w:r>
              <w:rPr>
                <w:rFonts w:ascii="Times New Roman" w:hAnsi="Times New Roman" w:cs="Times New Roman"/>
                <w:b/>
                <w:sz w:val="20"/>
                <w:szCs w:val="20"/>
              </w:rPr>
              <w:t>*</w:t>
            </w:r>
          </w:p>
        </w:tc>
        <w:tc>
          <w:tcPr>
            <w:tcW w:w="827" w:type="dxa"/>
            <w:vMerge/>
            <w:tcBorders>
              <w:left w:val="nil"/>
              <w:bottom w:val="single" w:sz="4" w:space="0" w:color="auto"/>
              <w:right w:val="nil"/>
            </w:tcBorders>
            <w:shd w:val="clear" w:color="auto" w:fill="auto"/>
            <w:noWrap/>
            <w:vAlign w:val="center"/>
            <w:hideMark/>
          </w:tcPr>
          <w:p w14:paraId="01F12062" w14:textId="77777777" w:rsidR="00EF5F48" w:rsidRPr="004D5859" w:rsidRDefault="00EF5F48" w:rsidP="00AD0DF7">
            <w:pPr>
              <w:spacing w:before="60" w:after="60"/>
              <w:rPr>
                <w:rFonts w:ascii="Times New Roman" w:hAnsi="Times New Roman" w:cs="Times New Roman"/>
                <w:b/>
                <w:sz w:val="20"/>
                <w:szCs w:val="20"/>
              </w:rPr>
            </w:pPr>
          </w:p>
        </w:tc>
        <w:tc>
          <w:tcPr>
            <w:tcW w:w="1874" w:type="dxa"/>
            <w:gridSpan w:val="2"/>
            <w:tcBorders>
              <w:top w:val="nil"/>
              <w:left w:val="nil"/>
              <w:bottom w:val="single" w:sz="4" w:space="0" w:color="auto"/>
              <w:right w:val="nil"/>
            </w:tcBorders>
            <w:shd w:val="clear" w:color="auto" w:fill="auto"/>
            <w:noWrap/>
            <w:vAlign w:val="center"/>
            <w:hideMark/>
          </w:tcPr>
          <w:p w14:paraId="1A73F8F7" w14:textId="77777777" w:rsidR="00EF5F48" w:rsidRPr="004D5859" w:rsidRDefault="00EF5F48" w:rsidP="00AD0DF7">
            <w:pPr>
              <w:spacing w:before="60" w:after="60"/>
              <w:rPr>
                <w:rFonts w:ascii="Times New Roman" w:hAnsi="Times New Roman" w:cs="Times New Roman"/>
                <w:b/>
                <w:sz w:val="20"/>
                <w:szCs w:val="20"/>
              </w:rPr>
            </w:pPr>
            <w:r>
              <w:rPr>
                <w:rFonts w:ascii="Times New Roman" w:hAnsi="Times New Roman" w:cs="Times New Roman"/>
                <w:b/>
                <w:sz w:val="20"/>
                <w:szCs w:val="20"/>
              </w:rPr>
              <w:t>OR</w:t>
            </w:r>
            <w:r w:rsidRPr="004D5859">
              <w:rPr>
                <w:rFonts w:ascii="Times New Roman" w:hAnsi="Times New Roman" w:cs="Times New Roman"/>
                <w:b/>
                <w:sz w:val="20"/>
                <w:szCs w:val="20"/>
              </w:rPr>
              <w:t xml:space="preserve"> (95%CI)</w:t>
            </w:r>
            <w:r>
              <w:rPr>
                <w:rFonts w:ascii="Times New Roman" w:hAnsi="Times New Roman" w:cs="Times New Roman"/>
                <w:b/>
                <w:sz w:val="20"/>
                <w:szCs w:val="20"/>
              </w:rPr>
              <w:t>*</w:t>
            </w:r>
          </w:p>
        </w:tc>
        <w:tc>
          <w:tcPr>
            <w:tcW w:w="980" w:type="dxa"/>
            <w:vMerge/>
            <w:tcBorders>
              <w:left w:val="nil"/>
              <w:bottom w:val="single" w:sz="4" w:space="0" w:color="auto"/>
              <w:right w:val="nil"/>
            </w:tcBorders>
            <w:shd w:val="clear" w:color="auto" w:fill="auto"/>
            <w:noWrap/>
            <w:vAlign w:val="center"/>
            <w:hideMark/>
          </w:tcPr>
          <w:p w14:paraId="6E22D965" w14:textId="77777777" w:rsidR="00EF5F48" w:rsidRPr="004D5859" w:rsidRDefault="00EF5F48" w:rsidP="00AD0DF7">
            <w:pPr>
              <w:spacing w:before="60" w:after="60"/>
              <w:rPr>
                <w:rFonts w:ascii="Times New Roman" w:hAnsi="Times New Roman" w:cs="Times New Roman"/>
                <w:b/>
                <w:sz w:val="20"/>
                <w:szCs w:val="20"/>
              </w:rPr>
            </w:pPr>
          </w:p>
        </w:tc>
      </w:tr>
      <w:tr w:rsidR="00EF5F48" w:rsidRPr="004D5859" w14:paraId="69226161" w14:textId="77777777" w:rsidTr="00AD0DF7">
        <w:trPr>
          <w:trHeight w:val="233"/>
        </w:trPr>
        <w:tc>
          <w:tcPr>
            <w:tcW w:w="3711" w:type="dxa"/>
            <w:tcBorders>
              <w:top w:val="single" w:sz="4" w:space="0" w:color="auto"/>
              <w:left w:val="nil"/>
              <w:bottom w:val="nil"/>
              <w:right w:val="nil"/>
            </w:tcBorders>
            <w:shd w:val="clear" w:color="auto" w:fill="auto"/>
            <w:vAlign w:val="center"/>
            <w:hideMark/>
          </w:tcPr>
          <w:p w14:paraId="3C8917FD"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Age (years)</w:t>
            </w:r>
          </w:p>
        </w:tc>
        <w:tc>
          <w:tcPr>
            <w:tcW w:w="1846" w:type="dxa"/>
            <w:tcBorders>
              <w:top w:val="single" w:sz="4" w:space="0" w:color="auto"/>
              <w:left w:val="nil"/>
              <w:bottom w:val="nil"/>
              <w:right w:val="nil"/>
            </w:tcBorders>
            <w:shd w:val="clear" w:color="auto" w:fill="auto"/>
            <w:noWrap/>
            <w:vAlign w:val="center"/>
            <w:hideMark/>
          </w:tcPr>
          <w:p w14:paraId="726A2783"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1.01 (0.99-1.03)</w:t>
            </w:r>
          </w:p>
        </w:tc>
        <w:tc>
          <w:tcPr>
            <w:tcW w:w="855" w:type="dxa"/>
            <w:gridSpan w:val="2"/>
            <w:tcBorders>
              <w:top w:val="single" w:sz="4" w:space="0" w:color="auto"/>
              <w:left w:val="nil"/>
              <w:bottom w:val="nil"/>
              <w:right w:val="nil"/>
            </w:tcBorders>
            <w:shd w:val="clear" w:color="auto" w:fill="auto"/>
            <w:noWrap/>
            <w:vAlign w:val="center"/>
            <w:hideMark/>
          </w:tcPr>
          <w:p w14:paraId="6D7ACE4A"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0.4557</w:t>
            </w:r>
          </w:p>
        </w:tc>
        <w:tc>
          <w:tcPr>
            <w:tcW w:w="1847" w:type="dxa"/>
            <w:tcBorders>
              <w:top w:val="single" w:sz="4" w:space="0" w:color="auto"/>
              <w:left w:val="nil"/>
              <w:bottom w:val="nil"/>
              <w:right w:val="nil"/>
            </w:tcBorders>
            <w:shd w:val="clear" w:color="auto" w:fill="auto"/>
            <w:noWrap/>
            <w:vAlign w:val="center"/>
            <w:hideMark/>
          </w:tcPr>
          <w:p w14:paraId="1B48D6E9"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0.98 (0.97-0.99)</w:t>
            </w:r>
          </w:p>
        </w:tc>
        <w:tc>
          <w:tcPr>
            <w:tcW w:w="1007" w:type="dxa"/>
            <w:gridSpan w:val="2"/>
            <w:tcBorders>
              <w:top w:val="single" w:sz="4" w:space="0" w:color="auto"/>
              <w:left w:val="nil"/>
              <w:bottom w:val="nil"/>
              <w:right w:val="nil"/>
            </w:tcBorders>
            <w:shd w:val="clear" w:color="auto" w:fill="auto"/>
            <w:noWrap/>
            <w:vAlign w:val="center"/>
            <w:hideMark/>
          </w:tcPr>
          <w:p w14:paraId="54695D05" w14:textId="77777777" w:rsidR="00EF5F48" w:rsidRPr="004D5859" w:rsidRDefault="00EF5F48" w:rsidP="00AD0DF7">
            <w:pPr>
              <w:spacing w:before="60" w:after="60"/>
              <w:rPr>
                <w:rFonts w:ascii="Times New Roman" w:hAnsi="Times New Roman" w:cs="Times New Roman"/>
                <w:b/>
                <w:sz w:val="20"/>
                <w:szCs w:val="20"/>
              </w:rPr>
            </w:pPr>
            <w:r w:rsidRPr="004D5859">
              <w:rPr>
                <w:rFonts w:ascii="Times New Roman" w:hAnsi="Times New Roman" w:cs="Times New Roman"/>
                <w:b/>
                <w:sz w:val="20"/>
                <w:szCs w:val="20"/>
              </w:rPr>
              <w:t>&lt;0.0001</w:t>
            </w:r>
          </w:p>
        </w:tc>
      </w:tr>
      <w:tr w:rsidR="00EF5F48" w:rsidRPr="004D5859" w14:paraId="553E6806" w14:textId="77777777" w:rsidTr="00AD0DF7">
        <w:trPr>
          <w:trHeight w:val="265"/>
        </w:trPr>
        <w:tc>
          <w:tcPr>
            <w:tcW w:w="3711" w:type="dxa"/>
            <w:tcBorders>
              <w:top w:val="nil"/>
              <w:left w:val="nil"/>
              <w:bottom w:val="nil"/>
              <w:right w:val="nil"/>
            </w:tcBorders>
            <w:shd w:val="clear" w:color="auto" w:fill="auto"/>
            <w:vAlign w:val="center"/>
            <w:hideMark/>
          </w:tcPr>
          <w:p w14:paraId="66FEBAE6"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NIHSS score</w:t>
            </w:r>
          </w:p>
        </w:tc>
        <w:tc>
          <w:tcPr>
            <w:tcW w:w="1846" w:type="dxa"/>
            <w:tcBorders>
              <w:top w:val="nil"/>
              <w:left w:val="nil"/>
              <w:bottom w:val="nil"/>
              <w:right w:val="nil"/>
            </w:tcBorders>
            <w:shd w:val="clear" w:color="auto" w:fill="auto"/>
            <w:noWrap/>
            <w:vAlign w:val="center"/>
            <w:hideMark/>
          </w:tcPr>
          <w:p w14:paraId="555502A3"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1.03 (0.99-1.07)</w:t>
            </w:r>
          </w:p>
        </w:tc>
        <w:tc>
          <w:tcPr>
            <w:tcW w:w="855" w:type="dxa"/>
            <w:gridSpan w:val="2"/>
            <w:tcBorders>
              <w:top w:val="nil"/>
              <w:left w:val="nil"/>
              <w:bottom w:val="nil"/>
              <w:right w:val="nil"/>
            </w:tcBorders>
            <w:shd w:val="clear" w:color="auto" w:fill="auto"/>
            <w:noWrap/>
            <w:vAlign w:val="center"/>
            <w:hideMark/>
          </w:tcPr>
          <w:p w14:paraId="3953156F"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0.1038</w:t>
            </w:r>
          </w:p>
        </w:tc>
        <w:tc>
          <w:tcPr>
            <w:tcW w:w="1847" w:type="dxa"/>
            <w:tcBorders>
              <w:top w:val="nil"/>
              <w:left w:val="nil"/>
              <w:bottom w:val="nil"/>
              <w:right w:val="nil"/>
            </w:tcBorders>
            <w:shd w:val="clear" w:color="auto" w:fill="auto"/>
            <w:noWrap/>
            <w:vAlign w:val="center"/>
            <w:hideMark/>
          </w:tcPr>
          <w:p w14:paraId="436A2495"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0.86(0.85-0.88)</w:t>
            </w:r>
          </w:p>
        </w:tc>
        <w:tc>
          <w:tcPr>
            <w:tcW w:w="1007" w:type="dxa"/>
            <w:gridSpan w:val="2"/>
            <w:tcBorders>
              <w:top w:val="nil"/>
              <w:left w:val="nil"/>
              <w:bottom w:val="nil"/>
              <w:right w:val="nil"/>
            </w:tcBorders>
            <w:shd w:val="clear" w:color="auto" w:fill="auto"/>
            <w:noWrap/>
            <w:vAlign w:val="center"/>
            <w:hideMark/>
          </w:tcPr>
          <w:p w14:paraId="5A0A3920" w14:textId="77777777" w:rsidR="00EF5F48" w:rsidRPr="004D5859" w:rsidRDefault="00EF5F48" w:rsidP="00AD0DF7">
            <w:pPr>
              <w:spacing w:before="60" w:after="60"/>
              <w:rPr>
                <w:rFonts w:ascii="Times New Roman" w:hAnsi="Times New Roman" w:cs="Times New Roman"/>
                <w:b/>
                <w:sz w:val="20"/>
                <w:szCs w:val="20"/>
              </w:rPr>
            </w:pPr>
            <w:r w:rsidRPr="004D5859">
              <w:rPr>
                <w:rFonts w:ascii="Times New Roman" w:hAnsi="Times New Roman" w:cs="Times New Roman"/>
                <w:b/>
                <w:sz w:val="20"/>
                <w:szCs w:val="20"/>
              </w:rPr>
              <w:t>&lt;0.0001</w:t>
            </w:r>
          </w:p>
        </w:tc>
      </w:tr>
      <w:tr w:rsidR="00EF5F48" w:rsidRPr="004D5859" w14:paraId="01E969D4" w14:textId="77777777" w:rsidTr="00AD0DF7">
        <w:trPr>
          <w:trHeight w:val="283"/>
        </w:trPr>
        <w:tc>
          <w:tcPr>
            <w:tcW w:w="3711" w:type="dxa"/>
            <w:tcBorders>
              <w:top w:val="nil"/>
              <w:left w:val="nil"/>
              <w:bottom w:val="nil"/>
              <w:right w:val="nil"/>
            </w:tcBorders>
            <w:shd w:val="clear" w:color="auto" w:fill="auto"/>
            <w:vAlign w:val="center"/>
            <w:hideMark/>
          </w:tcPr>
          <w:p w14:paraId="5629A17E"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Time to randomisation (hours)</w:t>
            </w:r>
          </w:p>
        </w:tc>
        <w:tc>
          <w:tcPr>
            <w:tcW w:w="1846" w:type="dxa"/>
            <w:tcBorders>
              <w:top w:val="nil"/>
              <w:left w:val="nil"/>
              <w:bottom w:val="nil"/>
              <w:right w:val="nil"/>
            </w:tcBorders>
            <w:shd w:val="clear" w:color="auto" w:fill="auto"/>
            <w:noWrap/>
            <w:vAlign w:val="center"/>
            <w:hideMark/>
          </w:tcPr>
          <w:p w14:paraId="16254D85"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0.97 (0.77-1.21)</w:t>
            </w:r>
          </w:p>
        </w:tc>
        <w:tc>
          <w:tcPr>
            <w:tcW w:w="855" w:type="dxa"/>
            <w:gridSpan w:val="2"/>
            <w:tcBorders>
              <w:top w:val="nil"/>
              <w:left w:val="nil"/>
              <w:bottom w:val="nil"/>
              <w:right w:val="nil"/>
            </w:tcBorders>
            <w:shd w:val="clear" w:color="auto" w:fill="auto"/>
            <w:noWrap/>
            <w:vAlign w:val="center"/>
            <w:hideMark/>
          </w:tcPr>
          <w:p w14:paraId="301BACA0"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0.7652</w:t>
            </w:r>
          </w:p>
        </w:tc>
        <w:tc>
          <w:tcPr>
            <w:tcW w:w="1847" w:type="dxa"/>
            <w:tcBorders>
              <w:top w:val="nil"/>
              <w:left w:val="nil"/>
              <w:bottom w:val="nil"/>
              <w:right w:val="nil"/>
            </w:tcBorders>
            <w:shd w:val="clear" w:color="auto" w:fill="auto"/>
            <w:noWrap/>
            <w:vAlign w:val="center"/>
            <w:hideMark/>
          </w:tcPr>
          <w:p w14:paraId="30BA50A4"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0.99 (0.92-1.06)</w:t>
            </w:r>
          </w:p>
        </w:tc>
        <w:tc>
          <w:tcPr>
            <w:tcW w:w="1007" w:type="dxa"/>
            <w:gridSpan w:val="2"/>
            <w:tcBorders>
              <w:top w:val="nil"/>
              <w:left w:val="nil"/>
              <w:bottom w:val="nil"/>
              <w:right w:val="nil"/>
            </w:tcBorders>
            <w:shd w:val="clear" w:color="auto" w:fill="auto"/>
            <w:noWrap/>
            <w:vAlign w:val="center"/>
            <w:hideMark/>
          </w:tcPr>
          <w:p w14:paraId="76B4673C"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0.7068</w:t>
            </w:r>
          </w:p>
        </w:tc>
      </w:tr>
      <w:tr w:rsidR="00EF5F48" w:rsidRPr="004D5859" w14:paraId="606F8F35" w14:textId="77777777" w:rsidTr="00AD0DF7">
        <w:trPr>
          <w:trHeight w:val="287"/>
        </w:trPr>
        <w:tc>
          <w:tcPr>
            <w:tcW w:w="3711" w:type="dxa"/>
            <w:tcBorders>
              <w:top w:val="nil"/>
              <w:left w:val="nil"/>
              <w:bottom w:val="nil"/>
              <w:right w:val="nil"/>
            </w:tcBorders>
            <w:shd w:val="clear" w:color="auto" w:fill="auto"/>
            <w:noWrap/>
            <w:vAlign w:val="center"/>
            <w:hideMark/>
          </w:tcPr>
          <w:p w14:paraId="728D9565"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Treatment group (standard vs. low)</w:t>
            </w:r>
          </w:p>
        </w:tc>
        <w:tc>
          <w:tcPr>
            <w:tcW w:w="1846" w:type="dxa"/>
            <w:tcBorders>
              <w:top w:val="nil"/>
              <w:left w:val="nil"/>
              <w:bottom w:val="nil"/>
              <w:right w:val="nil"/>
            </w:tcBorders>
            <w:shd w:val="clear" w:color="auto" w:fill="auto"/>
            <w:noWrap/>
            <w:vAlign w:val="center"/>
            <w:hideMark/>
          </w:tcPr>
          <w:p w14:paraId="3CA94A6A"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1.63 (1.00-2.64)</w:t>
            </w:r>
          </w:p>
        </w:tc>
        <w:tc>
          <w:tcPr>
            <w:tcW w:w="855" w:type="dxa"/>
            <w:gridSpan w:val="2"/>
            <w:tcBorders>
              <w:top w:val="nil"/>
              <w:left w:val="nil"/>
              <w:bottom w:val="nil"/>
              <w:right w:val="nil"/>
            </w:tcBorders>
            <w:shd w:val="clear" w:color="auto" w:fill="auto"/>
            <w:noWrap/>
            <w:vAlign w:val="center"/>
            <w:hideMark/>
          </w:tcPr>
          <w:p w14:paraId="4598A5B1" w14:textId="77777777" w:rsidR="00EF5F48" w:rsidRPr="004D5859" w:rsidRDefault="00EF5F48" w:rsidP="00AD0DF7">
            <w:pPr>
              <w:spacing w:before="60" w:after="60"/>
              <w:rPr>
                <w:rFonts w:ascii="Times New Roman" w:hAnsi="Times New Roman" w:cs="Times New Roman"/>
                <w:b/>
                <w:sz w:val="20"/>
                <w:szCs w:val="20"/>
              </w:rPr>
            </w:pPr>
            <w:r w:rsidRPr="004D5859">
              <w:rPr>
                <w:rFonts w:ascii="Times New Roman" w:hAnsi="Times New Roman" w:cs="Times New Roman"/>
                <w:b/>
                <w:sz w:val="20"/>
                <w:szCs w:val="20"/>
              </w:rPr>
              <w:t>0.0487</w:t>
            </w:r>
          </w:p>
        </w:tc>
        <w:tc>
          <w:tcPr>
            <w:tcW w:w="1847" w:type="dxa"/>
            <w:tcBorders>
              <w:top w:val="nil"/>
              <w:left w:val="nil"/>
              <w:bottom w:val="nil"/>
              <w:right w:val="nil"/>
            </w:tcBorders>
            <w:shd w:val="clear" w:color="auto" w:fill="auto"/>
            <w:noWrap/>
            <w:vAlign w:val="center"/>
            <w:hideMark/>
          </w:tcPr>
          <w:p w14:paraId="0C194155"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1.08 (0.90-1.29)</w:t>
            </w:r>
          </w:p>
        </w:tc>
        <w:tc>
          <w:tcPr>
            <w:tcW w:w="1007" w:type="dxa"/>
            <w:gridSpan w:val="2"/>
            <w:tcBorders>
              <w:top w:val="nil"/>
              <w:left w:val="nil"/>
              <w:bottom w:val="nil"/>
              <w:right w:val="nil"/>
            </w:tcBorders>
            <w:shd w:val="clear" w:color="auto" w:fill="auto"/>
            <w:noWrap/>
            <w:vAlign w:val="center"/>
            <w:hideMark/>
          </w:tcPr>
          <w:p w14:paraId="3FEC1F0A"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0.3983</w:t>
            </w:r>
          </w:p>
        </w:tc>
      </w:tr>
      <w:tr w:rsidR="00EF5F48" w:rsidRPr="004D5859" w14:paraId="635FC4B9" w14:textId="77777777" w:rsidTr="00AD0DF7">
        <w:trPr>
          <w:trHeight w:val="277"/>
        </w:trPr>
        <w:tc>
          <w:tcPr>
            <w:tcW w:w="3711" w:type="dxa"/>
            <w:tcBorders>
              <w:top w:val="nil"/>
              <w:left w:val="nil"/>
              <w:bottom w:val="nil"/>
              <w:right w:val="nil"/>
            </w:tcBorders>
            <w:shd w:val="clear" w:color="auto" w:fill="auto"/>
            <w:noWrap/>
            <w:vAlign w:val="center"/>
            <w:hideMark/>
          </w:tcPr>
          <w:p w14:paraId="32D5D685"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Antiplatelet (Yes vs. No)</w:t>
            </w:r>
          </w:p>
        </w:tc>
        <w:tc>
          <w:tcPr>
            <w:tcW w:w="1846" w:type="dxa"/>
            <w:tcBorders>
              <w:top w:val="nil"/>
              <w:left w:val="nil"/>
              <w:bottom w:val="nil"/>
              <w:right w:val="nil"/>
            </w:tcBorders>
            <w:shd w:val="clear" w:color="auto" w:fill="auto"/>
            <w:noWrap/>
            <w:vAlign w:val="center"/>
            <w:hideMark/>
          </w:tcPr>
          <w:p w14:paraId="5093863B"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1.35 (0.80-2.29)</w:t>
            </w:r>
          </w:p>
        </w:tc>
        <w:tc>
          <w:tcPr>
            <w:tcW w:w="855" w:type="dxa"/>
            <w:gridSpan w:val="2"/>
            <w:tcBorders>
              <w:top w:val="nil"/>
              <w:left w:val="nil"/>
              <w:bottom w:val="nil"/>
              <w:right w:val="nil"/>
            </w:tcBorders>
            <w:shd w:val="clear" w:color="auto" w:fill="auto"/>
            <w:noWrap/>
            <w:vAlign w:val="center"/>
            <w:hideMark/>
          </w:tcPr>
          <w:p w14:paraId="46915E13"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0.2606</w:t>
            </w:r>
          </w:p>
        </w:tc>
        <w:tc>
          <w:tcPr>
            <w:tcW w:w="1847" w:type="dxa"/>
            <w:tcBorders>
              <w:top w:val="nil"/>
              <w:left w:val="nil"/>
              <w:bottom w:val="nil"/>
              <w:right w:val="nil"/>
            </w:tcBorders>
            <w:shd w:val="clear" w:color="auto" w:fill="auto"/>
            <w:noWrap/>
            <w:vAlign w:val="center"/>
            <w:hideMark/>
          </w:tcPr>
          <w:p w14:paraId="51D2D42C"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0.95 (0.77-1.17)</w:t>
            </w:r>
          </w:p>
        </w:tc>
        <w:tc>
          <w:tcPr>
            <w:tcW w:w="1007" w:type="dxa"/>
            <w:gridSpan w:val="2"/>
            <w:tcBorders>
              <w:top w:val="nil"/>
              <w:left w:val="nil"/>
              <w:bottom w:val="nil"/>
              <w:right w:val="nil"/>
            </w:tcBorders>
            <w:shd w:val="clear" w:color="auto" w:fill="auto"/>
            <w:noWrap/>
            <w:vAlign w:val="center"/>
            <w:hideMark/>
          </w:tcPr>
          <w:p w14:paraId="20226A96"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0.6415</w:t>
            </w:r>
          </w:p>
        </w:tc>
      </w:tr>
      <w:tr w:rsidR="00EF5F48" w:rsidRPr="004D5859" w14:paraId="4D4FAC8B" w14:textId="77777777" w:rsidTr="00AD0DF7">
        <w:trPr>
          <w:trHeight w:val="423"/>
        </w:trPr>
        <w:tc>
          <w:tcPr>
            <w:tcW w:w="3711" w:type="dxa"/>
            <w:tcBorders>
              <w:top w:val="nil"/>
              <w:left w:val="nil"/>
              <w:bottom w:val="nil"/>
              <w:right w:val="nil"/>
            </w:tcBorders>
            <w:shd w:val="clear" w:color="auto" w:fill="auto"/>
            <w:noWrap/>
            <w:vAlign w:val="center"/>
            <w:hideMark/>
          </w:tcPr>
          <w:p w14:paraId="6C0ACAF1"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Lesion size (large or very large vs. others)</w:t>
            </w:r>
          </w:p>
        </w:tc>
        <w:tc>
          <w:tcPr>
            <w:tcW w:w="1846" w:type="dxa"/>
            <w:tcBorders>
              <w:top w:val="nil"/>
              <w:left w:val="nil"/>
              <w:bottom w:val="nil"/>
              <w:right w:val="nil"/>
            </w:tcBorders>
            <w:shd w:val="clear" w:color="auto" w:fill="auto"/>
            <w:noWrap/>
            <w:vAlign w:val="center"/>
            <w:hideMark/>
          </w:tcPr>
          <w:p w14:paraId="7518624E"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0.65 (0.19-2.23)</w:t>
            </w:r>
          </w:p>
        </w:tc>
        <w:tc>
          <w:tcPr>
            <w:tcW w:w="855" w:type="dxa"/>
            <w:gridSpan w:val="2"/>
            <w:tcBorders>
              <w:top w:val="nil"/>
              <w:left w:val="nil"/>
              <w:bottom w:val="nil"/>
              <w:right w:val="nil"/>
            </w:tcBorders>
            <w:shd w:val="clear" w:color="auto" w:fill="auto"/>
            <w:noWrap/>
            <w:vAlign w:val="center"/>
            <w:hideMark/>
          </w:tcPr>
          <w:p w14:paraId="438033C3"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0.4898</w:t>
            </w:r>
          </w:p>
        </w:tc>
        <w:tc>
          <w:tcPr>
            <w:tcW w:w="1847" w:type="dxa"/>
            <w:tcBorders>
              <w:top w:val="nil"/>
              <w:left w:val="nil"/>
              <w:bottom w:val="nil"/>
              <w:right w:val="nil"/>
            </w:tcBorders>
            <w:shd w:val="clear" w:color="auto" w:fill="auto"/>
            <w:noWrap/>
            <w:vAlign w:val="center"/>
            <w:hideMark/>
          </w:tcPr>
          <w:p w14:paraId="284E8932"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0.56 (0.34-0.9)</w:t>
            </w:r>
          </w:p>
        </w:tc>
        <w:tc>
          <w:tcPr>
            <w:tcW w:w="1007" w:type="dxa"/>
            <w:gridSpan w:val="2"/>
            <w:tcBorders>
              <w:top w:val="nil"/>
              <w:left w:val="nil"/>
              <w:bottom w:val="nil"/>
              <w:right w:val="nil"/>
            </w:tcBorders>
            <w:shd w:val="clear" w:color="auto" w:fill="auto"/>
            <w:noWrap/>
            <w:vAlign w:val="center"/>
            <w:hideMark/>
          </w:tcPr>
          <w:p w14:paraId="67F21655" w14:textId="77777777" w:rsidR="00EF5F48" w:rsidRPr="004D5859" w:rsidRDefault="00EF5F48" w:rsidP="00AD0DF7">
            <w:pPr>
              <w:spacing w:before="60" w:after="60"/>
              <w:rPr>
                <w:rFonts w:ascii="Times New Roman" w:hAnsi="Times New Roman" w:cs="Times New Roman"/>
                <w:b/>
                <w:sz w:val="20"/>
                <w:szCs w:val="20"/>
              </w:rPr>
            </w:pPr>
            <w:r w:rsidRPr="004D5859">
              <w:rPr>
                <w:rFonts w:ascii="Times New Roman" w:hAnsi="Times New Roman" w:cs="Times New Roman"/>
                <w:b/>
                <w:sz w:val="20"/>
                <w:szCs w:val="20"/>
              </w:rPr>
              <w:t>0.0178</w:t>
            </w:r>
          </w:p>
        </w:tc>
      </w:tr>
      <w:tr w:rsidR="00EF5F48" w:rsidRPr="004D5859" w14:paraId="28CCBF55" w14:textId="77777777" w:rsidTr="00AD0DF7">
        <w:trPr>
          <w:trHeight w:val="345"/>
        </w:trPr>
        <w:tc>
          <w:tcPr>
            <w:tcW w:w="3711" w:type="dxa"/>
            <w:tcBorders>
              <w:top w:val="nil"/>
              <w:left w:val="nil"/>
              <w:bottom w:val="nil"/>
              <w:right w:val="nil"/>
            </w:tcBorders>
            <w:shd w:val="clear" w:color="auto" w:fill="auto"/>
            <w:noWrap/>
            <w:vAlign w:val="center"/>
            <w:hideMark/>
          </w:tcPr>
          <w:p w14:paraId="049B3F65"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Swelling</w:t>
            </w:r>
          </w:p>
        </w:tc>
        <w:tc>
          <w:tcPr>
            <w:tcW w:w="1846" w:type="dxa"/>
            <w:tcBorders>
              <w:top w:val="nil"/>
              <w:left w:val="nil"/>
              <w:bottom w:val="nil"/>
              <w:right w:val="nil"/>
            </w:tcBorders>
            <w:shd w:val="clear" w:color="auto" w:fill="auto"/>
            <w:noWrap/>
            <w:vAlign w:val="center"/>
            <w:hideMark/>
          </w:tcPr>
          <w:p w14:paraId="52DBB293"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0.87 (0.22-3.48)</w:t>
            </w:r>
          </w:p>
        </w:tc>
        <w:tc>
          <w:tcPr>
            <w:tcW w:w="855" w:type="dxa"/>
            <w:gridSpan w:val="2"/>
            <w:tcBorders>
              <w:top w:val="nil"/>
              <w:left w:val="nil"/>
              <w:bottom w:val="nil"/>
              <w:right w:val="nil"/>
            </w:tcBorders>
            <w:shd w:val="clear" w:color="auto" w:fill="auto"/>
            <w:noWrap/>
            <w:vAlign w:val="center"/>
            <w:hideMark/>
          </w:tcPr>
          <w:p w14:paraId="515E83AC"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0.8492</w:t>
            </w:r>
          </w:p>
        </w:tc>
        <w:tc>
          <w:tcPr>
            <w:tcW w:w="1847" w:type="dxa"/>
            <w:tcBorders>
              <w:top w:val="nil"/>
              <w:left w:val="nil"/>
              <w:bottom w:val="nil"/>
              <w:right w:val="nil"/>
            </w:tcBorders>
            <w:shd w:val="clear" w:color="auto" w:fill="auto"/>
            <w:noWrap/>
            <w:vAlign w:val="center"/>
            <w:hideMark/>
          </w:tcPr>
          <w:p w14:paraId="31EE4842"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0.56 (0.32-0.97)</w:t>
            </w:r>
          </w:p>
        </w:tc>
        <w:tc>
          <w:tcPr>
            <w:tcW w:w="1007" w:type="dxa"/>
            <w:gridSpan w:val="2"/>
            <w:tcBorders>
              <w:top w:val="nil"/>
              <w:left w:val="nil"/>
              <w:bottom w:val="nil"/>
              <w:right w:val="nil"/>
            </w:tcBorders>
            <w:shd w:val="clear" w:color="auto" w:fill="auto"/>
            <w:noWrap/>
            <w:vAlign w:val="center"/>
            <w:hideMark/>
          </w:tcPr>
          <w:p w14:paraId="1D56DF99" w14:textId="77777777" w:rsidR="00EF5F48" w:rsidRPr="004D5859" w:rsidRDefault="00EF5F48" w:rsidP="00AD0DF7">
            <w:pPr>
              <w:spacing w:before="60" w:after="60"/>
              <w:rPr>
                <w:rFonts w:ascii="Times New Roman" w:hAnsi="Times New Roman" w:cs="Times New Roman"/>
                <w:b/>
                <w:sz w:val="20"/>
                <w:szCs w:val="20"/>
              </w:rPr>
            </w:pPr>
            <w:r w:rsidRPr="004D5859">
              <w:rPr>
                <w:rFonts w:ascii="Times New Roman" w:hAnsi="Times New Roman" w:cs="Times New Roman"/>
                <w:b/>
                <w:sz w:val="20"/>
                <w:szCs w:val="20"/>
              </w:rPr>
              <w:t>0.0379</w:t>
            </w:r>
          </w:p>
        </w:tc>
      </w:tr>
      <w:tr w:rsidR="00EF5F48" w:rsidRPr="004D5859" w14:paraId="1E6775EF" w14:textId="77777777" w:rsidTr="00AD0DF7">
        <w:trPr>
          <w:trHeight w:val="293"/>
        </w:trPr>
        <w:tc>
          <w:tcPr>
            <w:tcW w:w="3711" w:type="dxa"/>
            <w:tcBorders>
              <w:top w:val="nil"/>
              <w:left w:val="nil"/>
              <w:bottom w:val="nil"/>
              <w:right w:val="nil"/>
            </w:tcBorders>
            <w:shd w:val="clear" w:color="auto" w:fill="auto"/>
            <w:noWrap/>
            <w:vAlign w:val="center"/>
            <w:hideMark/>
          </w:tcPr>
          <w:p w14:paraId="51D4F60C" w14:textId="77777777" w:rsidR="00EF5F48" w:rsidRPr="004D5859" w:rsidRDefault="00EF5F48" w:rsidP="00AD0DF7">
            <w:pPr>
              <w:spacing w:before="60" w:after="60"/>
              <w:rPr>
                <w:rFonts w:ascii="Times New Roman" w:hAnsi="Times New Roman" w:cs="Times New Roman"/>
                <w:sz w:val="20"/>
                <w:szCs w:val="20"/>
              </w:rPr>
            </w:pPr>
            <w:proofErr w:type="spellStart"/>
            <w:r w:rsidRPr="004D5859">
              <w:rPr>
                <w:rFonts w:ascii="Times New Roman" w:hAnsi="Times New Roman" w:cs="Times New Roman"/>
                <w:sz w:val="20"/>
                <w:szCs w:val="20"/>
              </w:rPr>
              <w:t>Hyperattenuated</w:t>
            </w:r>
            <w:proofErr w:type="spellEnd"/>
            <w:r w:rsidRPr="004D5859">
              <w:rPr>
                <w:rFonts w:ascii="Times New Roman" w:hAnsi="Times New Roman" w:cs="Times New Roman"/>
                <w:sz w:val="20"/>
                <w:szCs w:val="20"/>
              </w:rPr>
              <w:t xml:space="preserve"> arteries</w:t>
            </w:r>
          </w:p>
        </w:tc>
        <w:tc>
          <w:tcPr>
            <w:tcW w:w="1846" w:type="dxa"/>
            <w:tcBorders>
              <w:top w:val="nil"/>
              <w:left w:val="nil"/>
              <w:bottom w:val="nil"/>
              <w:right w:val="nil"/>
            </w:tcBorders>
            <w:shd w:val="clear" w:color="auto" w:fill="auto"/>
            <w:noWrap/>
            <w:vAlign w:val="center"/>
            <w:hideMark/>
          </w:tcPr>
          <w:p w14:paraId="71EFFFDA"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1.81 (1.03-3.17)</w:t>
            </w:r>
          </w:p>
        </w:tc>
        <w:tc>
          <w:tcPr>
            <w:tcW w:w="855" w:type="dxa"/>
            <w:gridSpan w:val="2"/>
            <w:tcBorders>
              <w:top w:val="nil"/>
              <w:left w:val="nil"/>
              <w:bottom w:val="nil"/>
              <w:right w:val="nil"/>
            </w:tcBorders>
            <w:shd w:val="clear" w:color="auto" w:fill="auto"/>
            <w:noWrap/>
            <w:vAlign w:val="center"/>
            <w:hideMark/>
          </w:tcPr>
          <w:p w14:paraId="1F3731B4" w14:textId="77777777" w:rsidR="00EF5F48" w:rsidRPr="004D5859" w:rsidRDefault="00EF5F48" w:rsidP="00AD0DF7">
            <w:pPr>
              <w:spacing w:before="60" w:after="60"/>
              <w:rPr>
                <w:rFonts w:ascii="Times New Roman" w:hAnsi="Times New Roman" w:cs="Times New Roman"/>
                <w:b/>
                <w:sz w:val="20"/>
                <w:szCs w:val="20"/>
              </w:rPr>
            </w:pPr>
            <w:r w:rsidRPr="004D5859">
              <w:rPr>
                <w:rFonts w:ascii="Times New Roman" w:hAnsi="Times New Roman" w:cs="Times New Roman"/>
                <w:b/>
                <w:sz w:val="20"/>
                <w:szCs w:val="20"/>
              </w:rPr>
              <w:t>0.0380</w:t>
            </w:r>
          </w:p>
        </w:tc>
        <w:tc>
          <w:tcPr>
            <w:tcW w:w="1847" w:type="dxa"/>
            <w:tcBorders>
              <w:top w:val="nil"/>
              <w:left w:val="nil"/>
              <w:bottom w:val="nil"/>
              <w:right w:val="nil"/>
            </w:tcBorders>
            <w:shd w:val="clear" w:color="auto" w:fill="auto"/>
            <w:noWrap/>
            <w:vAlign w:val="center"/>
            <w:hideMark/>
          </w:tcPr>
          <w:p w14:paraId="237A8243"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0.70 (0.55-0.9)</w:t>
            </w:r>
          </w:p>
        </w:tc>
        <w:tc>
          <w:tcPr>
            <w:tcW w:w="1007" w:type="dxa"/>
            <w:gridSpan w:val="2"/>
            <w:tcBorders>
              <w:top w:val="nil"/>
              <w:left w:val="nil"/>
              <w:bottom w:val="nil"/>
              <w:right w:val="nil"/>
            </w:tcBorders>
            <w:shd w:val="clear" w:color="auto" w:fill="auto"/>
            <w:noWrap/>
            <w:vAlign w:val="center"/>
            <w:hideMark/>
          </w:tcPr>
          <w:p w14:paraId="2DE3FCD6" w14:textId="77777777" w:rsidR="00EF5F48" w:rsidRPr="004D5859" w:rsidRDefault="00EF5F48" w:rsidP="00AD0DF7">
            <w:pPr>
              <w:spacing w:before="60" w:after="60"/>
              <w:rPr>
                <w:rFonts w:ascii="Times New Roman" w:hAnsi="Times New Roman" w:cs="Times New Roman"/>
                <w:b/>
                <w:sz w:val="20"/>
                <w:szCs w:val="20"/>
              </w:rPr>
            </w:pPr>
            <w:r w:rsidRPr="004D5859">
              <w:rPr>
                <w:rFonts w:ascii="Times New Roman" w:hAnsi="Times New Roman" w:cs="Times New Roman"/>
                <w:b/>
                <w:sz w:val="20"/>
                <w:szCs w:val="20"/>
              </w:rPr>
              <w:t>0.0043</w:t>
            </w:r>
          </w:p>
        </w:tc>
      </w:tr>
      <w:tr w:rsidR="00EF5F48" w:rsidRPr="004D5859" w14:paraId="3C283ED5" w14:textId="77777777" w:rsidTr="00AD0DF7">
        <w:trPr>
          <w:trHeight w:val="283"/>
        </w:trPr>
        <w:tc>
          <w:tcPr>
            <w:tcW w:w="3711" w:type="dxa"/>
            <w:tcBorders>
              <w:top w:val="nil"/>
              <w:left w:val="nil"/>
              <w:bottom w:val="nil"/>
              <w:right w:val="nil"/>
            </w:tcBorders>
            <w:shd w:val="clear" w:color="auto" w:fill="auto"/>
            <w:vAlign w:val="center"/>
            <w:hideMark/>
          </w:tcPr>
          <w:p w14:paraId="022423A6"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Old infarct</w:t>
            </w:r>
          </w:p>
        </w:tc>
        <w:tc>
          <w:tcPr>
            <w:tcW w:w="1846" w:type="dxa"/>
            <w:tcBorders>
              <w:top w:val="nil"/>
              <w:left w:val="nil"/>
              <w:bottom w:val="nil"/>
              <w:right w:val="nil"/>
            </w:tcBorders>
            <w:shd w:val="clear" w:color="auto" w:fill="auto"/>
            <w:noWrap/>
            <w:vAlign w:val="center"/>
            <w:hideMark/>
          </w:tcPr>
          <w:p w14:paraId="3F785845"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0.93 (0.56-1.56)</w:t>
            </w:r>
          </w:p>
        </w:tc>
        <w:tc>
          <w:tcPr>
            <w:tcW w:w="855" w:type="dxa"/>
            <w:gridSpan w:val="2"/>
            <w:tcBorders>
              <w:top w:val="nil"/>
              <w:left w:val="nil"/>
              <w:bottom w:val="nil"/>
              <w:right w:val="nil"/>
            </w:tcBorders>
            <w:shd w:val="clear" w:color="auto" w:fill="auto"/>
            <w:noWrap/>
            <w:vAlign w:val="center"/>
            <w:hideMark/>
          </w:tcPr>
          <w:p w14:paraId="06DF150E"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0.7969</w:t>
            </w:r>
          </w:p>
        </w:tc>
        <w:tc>
          <w:tcPr>
            <w:tcW w:w="1847" w:type="dxa"/>
            <w:tcBorders>
              <w:top w:val="nil"/>
              <w:left w:val="nil"/>
              <w:bottom w:val="nil"/>
              <w:right w:val="nil"/>
            </w:tcBorders>
            <w:shd w:val="clear" w:color="auto" w:fill="auto"/>
            <w:noWrap/>
            <w:vAlign w:val="center"/>
            <w:hideMark/>
          </w:tcPr>
          <w:p w14:paraId="3737773A"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0.78 (0.64-0.94)</w:t>
            </w:r>
          </w:p>
        </w:tc>
        <w:tc>
          <w:tcPr>
            <w:tcW w:w="1007" w:type="dxa"/>
            <w:gridSpan w:val="2"/>
            <w:tcBorders>
              <w:top w:val="nil"/>
              <w:left w:val="nil"/>
              <w:bottom w:val="nil"/>
              <w:right w:val="nil"/>
            </w:tcBorders>
            <w:shd w:val="clear" w:color="auto" w:fill="auto"/>
            <w:noWrap/>
            <w:vAlign w:val="center"/>
            <w:hideMark/>
          </w:tcPr>
          <w:p w14:paraId="65E5CE4D" w14:textId="77777777" w:rsidR="00EF5F48" w:rsidRPr="004D5859" w:rsidRDefault="00EF5F48" w:rsidP="00AD0DF7">
            <w:pPr>
              <w:spacing w:before="60" w:after="60"/>
              <w:rPr>
                <w:rFonts w:ascii="Times New Roman" w:hAnsi="Times New Roman" w:cs="Times New Roman"/>
                <w:b/>
                <w:sz w:val="20"/>
                <w:szCs w:val="20"/>
              </w:rPr>
            </w:pPr>
            <w:r w:rsidRPr="004D5859">
              <w:rPr>
                <w:rFonts w:ascii="Times New Roman" w:hAnsi="Times New Roman" w:cs="Times New Roman"/>
                <w:b/>
                <w:sz w:val="20"/>
                <w:szCs w:val="20"/>
              </w:rPr>
              <w:t>0.0090</w:t>
            </w:r>
          </w:p>
        </w:tc>
      </w:tr>
      <w:tr w:rsidR="00EF5F48" w:rsidRPr="004D5859" w14:paraId="3A37F7E8" w14:textId="77777777" w:rsidTr="00AD0DF7">
        <w:trPr>
          <w:trHeight w:val="273"/>
        </w:trPr>
        <w:tc>
          <w:tcPr>
            <w:tcW w:w="3711" w:type="dxa"/>
            <w:tcBorders>
              <w:top w:val="nil"/>
              <w:left w:val="nil"/>
              <w:bottom w:val="nil"/>
              <w:right w:val="nil"/>
            </w:tcBorders>
            <w:shd w:val="clear" w:color="auto" w:fill="auto"/>
            <w:noWrap/>
            <w:vAlign w:val="center"/>
            <w:hideMark/>
          </w:tcPr>
          <w:p w14:paraId="6EFF4991" w14:textId="77777777" w:rsidR="00EF5F48" w:rsidRPr="004D5859" w:rsidRDefault="00EF5F48" w:rsidP="00AD0DF7">
            <w:pPr>
              <w:spacing w:before="60" w:after="60"/>
              <w:rPr>
                <w:rFonts w:ascii="Times New Roman" w:hAnsi="Times New Roman" w:cs="Times New Roman"/>
                <w:sz w:val="20"/>
                <w:szCs w:val="20"/>
              </w:rPr>
            </w:pPr>
            <w:proofErr w:type="spellStart"/>
            <w:r w:rsidRPr="004D5859">
              <w:rPr>
                <w:rFonts w:ascii="Times New Roman" w:hAnsi="Times New Roman" w:cs="Times New Roman"/>
                <w:sz w:val="20"/>
                <w:szCs w:val="20"/>
              </w:rPr>
              <w:t>Hypoattenuation</w:t>
            </w:r>
            <w:proofErr w:type="spellEnd"/>
            <w:r w:rsidRPr="004D5859">
              <w:rPr>
                <w:rFonts w:ascii="Times New Roman" w:hAnsi="Times New Roman" w:cs="Times New Roman"/>
                <w:sz w:val="20"/>
                <w:szCs w:val="20"/>
              </w:rPr>
              <w:t xml:space="preserve"> (mild vs. none)</w:t>
            </w:r>
          </w:p>
        </w:tc>
        <w:tc>
          <w:tcPr>
            <w:tcW w:w="1846" w:type="dxa"/>
            <w:tcBorders>
              <w:top w:val="nil"/>
              <w:left w:val="nil"/>
              <w:bottom w:val="nil"/>
              <w:right w:val="nil"/>
            </w:tcBorders>
            <w:shd w:val="clear" w:color="auto" w:fill="auto"/>
            <w:noWrap/>
            <w:vAlign w:val="center"/>
            <w:hideMark/>
          </w:tcPr>
          <w:p w14:paraId="52B637DC"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1.44 (0.35-5.9)</w:t>
            </w:r>
          </w:p>
        </w:tc>
        <w:tc>
          <w:tcPr>
            <w:tcW w:w="855" w:type="dxa"/>
            <w:gridSpan w:val="2"/>
            <w:tcBorders>
              <w:top w:val="nil"/>
              <w:left w:val="nil"/>
              <w:bottom w:val="nil"/>
              <w:right w:val="nil"/>
            </w:tcBorders>
            <w:shd w:val="clear" w:color="auto" w:fill="auto"/>
            <w:noWrap/>
            <w:vAlign w:val="center"/>
            <w:hideMark/>
          </w:tcPr>
          <w:p w14:paraId="3389DA40"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0.6091</w:t>
            </w:r>
          </w:p>
        </w:tc>
        <w:tc>
          <w:tcPr>
            <w:tcW w:w="1847" w:type="dxa"/>
            <w:tcBorders>
              <w:top w:val="nil"/>
              <w:left w:val="nil"/>
              <w:bottom w:val="nil"/>
              <w:right w:val="nil"/>
            </w:tcBorders>
            <w:shd w:val="clear" w:color="auto" w:fill="auto"/>
            <w:noWrap/>
            <w:vAlign w:val="center"/>
            <w:hideMark/>
          </w:tcPr>
          <w:p w14:paraId="4A868F3C"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1.31 (0.74-2.31)</w:t>
            </w:r>
          </w:p>
        </w:tc>
        <w:tc>
          <w:tcPr>
            <w:tcW w:w="1007" w:type="dxa"/>
            <w:gridSpan w:val="2"/>
            <w:tcBorders>
              <w:top w:val="nil"/>
              <w:left w:val="nil"/>
              <w:bottom w:val="nil"/>
              <w:right w:val="nil"/>
            </w:tcBorders>
            <w:shd w:val="clear" w:color="auto" w:fill="auto"/>
            <w:noWrap/>
            <w:vAlign w:val="center"/>
            <w:hideMark/>
          </w:tcPr>
          <w:p w14:paraId="2731BD4D"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0.3472</w:t>
            </w:r>
          </w:p>
        </w:tc>
      </w:tr>
      <w:tr w:rsidR="00EF5F48" w:rsidRPr="004D5859" w14:paraId="2A27DD8B" w14:textId="77777777" w:rsidTr="00AD0DF7">
        <w:trPr>
          <w:trHeight w:val="277"/>
        </w:trPr>
        <w:tc>
          <w:tcPr>
            <w:tcW w:w="3711" w:type="dxa"/>
            <w:tcBorders>
              <w:top w:val="nil"/>
              <w:left w:val="nil"/>
              <w:bottom w:val="nil"/>
              <w:right w:val="nil"/>
            </w:tcBorders>
            <w:shd w:val="clear" w:color="auto" w:fill="auto"/>
            <w:noWrap/>
            <w:vAlign w:val="center"/>
            <w:hideMark/>
          </w:tcPr>
          <w:p w14:paraId="102E5D52" w14:textId="77777777" w:rsidR="00EF5F48" w:rsidRPr="004D5859" w:rsidRDefault="00EF5F48" w:rsidP="00AD0DF7">
            <w:pPr>
              <w:spacing w:before="60" w:after="60"/>
              <w:rPr>
                <w:rFonts w:ascii="Times New Roman" w:hAnsi="Times New Roman" w:cs="Times New Roman"/>
                <w:sz w:val="20"/>
                <w:szCs w:val="20"/>
              </w:rPr>
            </w:pPr>
            <w:proofErr w:type="spellStart"/>
            <w:r w:rsidRPr="004D5859">
              <w:rPr>
                <w:rFonts w:ascii="Times New Roman" w:hAnsi="Times New Roman" w:cs="Times New Roman"/>
                <w:sz w:val="20"/>
                <w:szCs w:val="20"/>
              </w:rPr>
              <w:t>Hypoattenuation</w:t>
            </w:r>
            <w:proofErr w:type="spellEnd"/>
            <w:r w:rsidRPr="004D5859">
              <w:rPr>
                <w:rFonts w:ascii="Times New Roman" w:hAnsi="Times New Roman" w:cs="Times New Roman"/>
                <w:sz w:val="20"/>
                <w:szCs w:val="20"/>
              </w:rPr>
              <w:t xml:space="preserve"> (severe vs. none)</w:t>
            </w:r>
          </w:p>
        </w:tc>
        <w:tc>
          <w:tcPr>
            <w:tcW w:w="1846" w:type="dxa"/>
            <w:tcBorders>
              <w:top w:val="nil"/>
              <w:left w:val="nil"/>
              <w:bottom w:val="nil"/>
              <w:right w:val="nil"/>
            </w:tcBorders>
            <w:shd w:val="clear" w:color="auto" w:fill="auto"/>
            <w:noWrap/>
            <w:vAlign w:val="center"/>
            <w:hideMark/>
          </w:tcPr>
          <w:p w14:paraId="5DBEC4B1"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0.91 (0.13-6.45)</w:t>
            </w:r>
          </w:p>
        </w:tc>
        <w:tc>
          <w:tcPr>
            <w:tcW w:w="855" w:type="dxa"/>
            <w:gridSpan w:val="2"/>
            <w:tcBorders>
              <w:top w:val="nil"/>
              <w:left w:val="nil"/>
              <w:bottom w:val="nil"/>
              <w:right w:val="nil"/>
            </w:tcBorders>
            <w:shd w:val="clear" w:color="auto" w:fill="auto"/>
            <w:noWrap/>
            <w:vAlign w:val="center"/>
            <w:hideMark/>
          </w:tcPr>
          <w:p w14:paraId="7A8C9316"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0.9276</w:t>
            </w:r>
          </w:p>
        </w:tc>
        <w:tc>
          <w:tcPr>
            <w:tcW w:w="1847" w:type="dxa"/>
            <w:tcBorders>
              <w:top w:val="nil"/>
              <w:left w:val="nil"/>
              <w:bottom w:val="nil"/>
              <w:right w:val="nil"/>
            </w:tcBorders>
            <w:shd w:val="clear" w:color="auto" w:fill="auto"/>
            <w:noWrap/>
            <w:vAlign w:val="center"/>
            <w:hideMark/>
          </w:tcPr>
          <w:p w14:paraId="7DF3BC8F"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1.94 (0.96-3.89)</w:t>
            </w:r>
          </w:p>
        </w:tc>
        <w:tc>
          <w:tcPr>
            <w:tcW w:w="1007" w:type="dxa"/>
            <w:gridSpan w:val="2"/>
            <w:tcBorders>
              <w:top w:val="nil"/>
              <w:left w:val="nil"/>
              <w:bottom w:val="nil"/>
              <w:right w:val="nil"/>
            </w:tcBorders>
            <w:shd w:val="clear" w:color="auto" w:fill="auto"/>
            <w:noWrap/>
            <w:vAlign w:val="center"/>
            <w:hideMark/>
          </w:tcPr>
          <w:p w14:paraId="0A95A6AC"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0.0631</w:t>
            </w:r>
          </w:p>
        </w:tc>
      </w:tr>
      <w:tr w:rsidR="00EF5F48" w:rsidRPr="004D5859" w14:paraId="7E539BC0" w14:textId="77777777" w:rsidTr="00AD0DF7">
        <w:trPr>
          <w:trHeight w:val="281"/>
        </w:trPr>
        <w:tc>
          <w:tcPr>
            <w:tcW w:w="3711" w:type="dxa"/>
            <w:tcBorders>
              <w:top w:val="nil"/>
              <w:left w:val="nil"/>
              <w:bottom w:val="nil"/>
              <w:right w:val="nil"/>
            </w:tcBorders>
            <w:shd w:val="clear" w:color="auto" w:fill="auto"/>
            <w:noWrap/>
            <w:vAlign w:val="center"/>
            <w:hideMark/>
          </w:tcPr>
          <w:p w14:paraId="566AD4CB"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Atrophy (mild vs. none)</w:t>
            </w:r>
          </w:p>
        </w:tc>
        <w:tc>
          <w:tcPr>
            <w:tcW w:w="1846" w:type="dxa"/>
            <w:tcBorders>
              <w:top w:val="nil"/>
              <w:left w:val="nil"/>
              <w:bottom w:val="nil"/>
              <w:right w:val="nil"/>
            </w:tcBorders>
            <w:shd w:val="clear" w:color="auto" w:fill="auto"/>
            <w:noWrap/>
            <w:vAlign w:val="center"/>
            <w:hideMark/>
          </w:tcPr>
          <w:p w14:paraId="5B724B88"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0.95 (0.51-1.76)</w:t>
            </w:r>
          </w:p>
        </w:tc>
        <w:tc>
          <w:tcPr>
            <w:tcW w:w="855" w:type="dxa"/>
            <w:gridSpan w:val="2"/>
            <w:tcBorders>
              <w:top w:val="nil"/>
              <w:left w:val="nil"/>
              <w:bottom w:val="nil"/>
              <w:right w:val="nil"/>
            </w:tcBorders>
            <w:shd w:val="clear" w:color="auto" w:fill="auto"/>
            <w:noWrap/>
            <w:vAlign w:val="center"/>
            <w:hideMark/>
          </w:tcPr>
          <w:p w14:paraId="4AC88DCD"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0.8707</w:t>
            </w:r>
          </w:p>
        </w:tc>
        <w:tc>
          <w:tcPr>
            <w:tcW w:w="1847" w:type="dxa"/>
            <w:tcBorders>
              <w:top w:val="nil"/>
              <w:left w:val="nil"/>
              <w:bottom w:val="nil"/>
              <w:right w:val="nil"/>
            </w:tcBorders>
            <w:shd w:val="clear" w:color="auto" w:fill="auto"/>
            <w:noWrap/>
            <w:vAlign w:val="center"/>
            <w:hideMark/>
          </w:tcPr>
          <w:p w14:paraId="0AF4D2CF"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0.81 (0.64-1.01)</w:t>
            </w:r>
          </w:p>
        </w:tc>
        <w:tc>
          <w:tcPr>
            <w:tcW w:w="1007" w:type="dxa"/>
            <w:gridSpan w:val="2"/>
            <w:tcBorders>
              <w:top w:val="nil"/>
              <w:left w:val="nil"/>
              <w:bottom w:val="nil"/>
              <w:right w:val="nil"/>
            </w:tcBorders>
            <w:shd w:val="clear" w:color="auto" w:fill="auto"/>
            <w:noWrap/>
            <w:vAlign w:val="center"/>
            <w:hideMark/>
          </w:tcPr>
          <w:p w14:paraId="6D4800CD"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0.0599</w:t>
            </w:r>
          </w:p>
        </w:tc>
      </w:tr>
      <w:tr w:rsidR="00EF5F48" w:rsidRPr="004D5859" w14:paraId="0FADDFAB" w14:textId="77777777" w:rsidTr="00AD0DF7">
        <w:trPr>
          <w:trHeight w:val="285"/>
        </w:trPr>
        <w:tc>
          <w:tcPr>
            <w:tcW w:w="3711" w:type="dxa"/>
            <w:tcBorders>
              <w:top w:val="nil"/>
              <w:left w:val="nil"/>
              <w:bottom w:val="nil"/>
              <w:right w:val="nil"/>
            </w:tcBorders>
            <w:shd w:val="clear" w:color="auto" w:fill="auto"/>
            <w:noWrap/>
            <w:vAlign w:val="center"/>
            <w:hideMark/>
          </w:tcPr>
          <w:p w14:paraId="688B0883"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Atrophy (severe vs. none)</w:t>
            </w:r>
          </w:p>
        </w:tc>
        <w:tc>
          <w:tcPr>
            <w:tcW w:w="1846" w:type="dxa"/>
            <w:tcBorders>
              <w:top w:val="nil"/>
              <w:left w:val="nil"/>
              <w:bottom w:val="nil"/>
              <w:right w:val="nil"/>
            </w:tcBorders>
            <w:shd w:val="clear" w:color="auto" w:fill="auto"/>
            <w:noWrap/>
            <w:vAlign w:val="center"/>
            <w:hideMark/>
          </w:tcPr>
          <w:p w14:paraId="38D27BDB"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1.73 (0.78-3.86)</w:t>
            </w:r>
          </w:p>
        </w:tc>
        <w:tc>
          <w:tcPr>
            <w:tcW w:w="855" w:type="dxa"/>
            <w:gridSpan w:val="2"/>
            <w:tcBorders>
              <w:top w:val="nil"/>
              <w:left w:val="nil"/>
              <w:bottom w:val="nil"/>
              <w:right w:val="nil"/>
            </w:tcBorders>
            <w:shd w:val="clear" w:color="auto" w:fill="auto"/>
            <w:noWrap/>
            <w:vAlign w:val="center"/>
            <w:hideMark/>
          </w:tcPr>
          <w:p w14:paraId="7DE65A78"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0.1802</w:t>
            </w:r>
          </w:p>
        </w:tc>
        <w:tc>
          <w:tcPr>
            <w:tcW w:w="1847" w:type="dxa"/>
            <w:tcBorders>
              <w:top w:val="nil"/>
              <w:left w:val="nil"/>
              <w:bottom w:val="nil"/>
              <w:right w:val="nil"/>
            </w:tcBorders>
            <w:shd w:val="clear" w:color="auto" w:fill="auto"/>
            <w:noWrap/>
            <w:vAlign w:val="center"/>
            <w:hideMark/>
          </w:tcPr>
          <w:p w14:paraId="0929AC9A"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0.74 (0.54-1.03)</w:t>
            </w:r>
          </w:p>
        </w:tc>
        <w:tc>
          <w:tcPr>
            <w:tcW w:w="1007" w:type="dxa"/>
            <w:gridSpan w:val="2"/>
            <w:tcBorders>
              <w:top w:val="nil"/>
              <w:left w:val="nil"/>
              <w:bottom w:val="nil"/>
              <w:right w:val="nil"/>
            </w:tcBorders>
            <w:shd w:val="clear" w:color="auto" w:fill="auto"/>
            <w:noWrap/>
            <w:vAlign w:val="center"/>
            <w:hideMark/>
          </w:tcPr>
          <w:p w14:paraId="1ECF3EED"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0.0708</w:t>
            </w:r>
          </w:p>
        </w:tc>
      </w:tr>
      <w:tr w:rsidR="00EF5F48" w:rsidRPr="004D5859" w14:paraId="411281E1" w14:textId="77777777" w:rsidTr="00AD0DF7">
        <w:trPr>
          <w:trHeight w:val="289"/>
        </w:trPr>
        <w:tc>
          <w:tcPr>
            <w:tcW w:w="3711" w:type="dxa"/>
            <w:tcBorders>
              <w:top w:val="nil"/>
              <w:left w:val="nil"/>
              <w:right w:val="nil"/>
            </w:tcBorders>
            <w:shd w:val="clear" w:color="auto" w:fill="auto"/>
            <w:noWrap/>
            <w:vAlign w:val="center"/>
            <w:hideMark/>
          </w:tcPr>
          <w:p w14:paraId="1C6A673C" w14:textId="77777777" w:rsidR="00EF5F48" w:rsidRPr="004D5859" w:rsidRDefault="00EF5F48" w:rsidP="00AD0DF7">
            <w:pPr>
              <w:spacing w:before="60" w:after="60"/>
              <w:rPr>
                <w:rFonts w:ascii="Times New Roman" w:hAnsi="Times New Roman" w:cs="Times New Roman"/>
                <w:sz w:val="20"/>
                <w:szCs w:val="20"/>
              </w:rPr>
            </w:pPr>
            <w:proofErr w:type="spellStart"/>
            <w:r w:rsidRPr="004D5859">
              <w:rPr>
                <w:rFonts w:ascii="Times New Roman" w:hAnsi="Times New Roman" w:cs="Times New Roman"/>
                <w:sz w:val="20"/>
                <w:szCs w:val="20"/>
              </w:rPr>
              <w:t>Leukoaraiosis</w:t>
            </w:r>
            <w:proofErr w:type="spellEnd"/>
            <w:r w:rsidRPr="004D5859">
              <w:rPr>
                <w:rFonts w:ascii="Times New Roman" w:hAnsi="Times New Roman" w:cs="Times New Roman"/>
                <w:sz w:val="20"/>
                <w:szCs w:val="20"/>
              </w:rPr>
              <w:t xml:space="preserve"> (mild vs. none)</w:t>
            </w:r>
          </w:p>
        </w:tc>
        <w:tc>
          <w:tcPr>
            <w:tcW w:w="1846" w:type="dxa"/>
            <w:tcBorders>
              <w:top w:val="nil"/>
              <w:left w:val="nil"/>
              <w:right w:val="nil"/>
            </w:tcBorders>
            <w:shd w:val="clear" w:color="auto" w:fill="auto"/>
            <w:noWrap/>
            <w:vAlign w:val="center"/>
            <w:hideMark/>
          </w:tcPr>
          <w:p w14:paraId="3907208B"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0.76 (0.39-1.48)</w:t>
            </w:r>
          </w:p>
        </w:tc>
        <w:tc>
          <w:tcPr>
            <w:tcW w:w="855" w:type="dxa"/>
            <w:gridSpan w:val="2"/>
            <w:tcBorders>
              <w:top w:val="nil"/>
              <w:left w:val="nil"/>
              <w:right w:val="nil"/>
            </w:tcBorders>
            <w:shd w:val="clear" w:color="auto" w:fill="auto"/>
            <w:noWrap/>
            <w:vAlign w:val="center"/>
            <w:hideMark/>
          </w:tcPr>
          <w:p w14:paraId="617853BA"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0.4260</w:t>
            </w:r>
          </w:p>
        </w:tc>
        <w:tc>
          <w:tcPr>
            <w:tcW w:w="1847" w:type="dxa"/>
            <w:tcBorders>
              <w:top w:val="nil"/>
              <w:left w:val="nil"/>
              <w:right w:val="nil"/>
            </w:tcBorders>
            <w:shd w:val="clear" w:color="auto" w:fill="auto"/>
            <w:noWrap/>
            <w:vAlign w:val="center"/>
            <w:hideMark/>
          </w:tcPr>
          <w:p w14:paraId="6031019A"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0.80 (0.63-1.01)</w:t>
            </w:r>
          </w:p>
        </w:tc>
        <w:tc>
          <w:tcPr>
            <w:tcW w:w="1007" w:type="dxa"/>
            <w:gridSpan w:val="2"/>
            <w:tcBorders>
              <w:top w:val="nil"/>
              <w:left w:val="nil"/>
              <w:right w:val="nil"/>
            </w:tcBorders>
            <w:shd w:val="clear" w:color="auto" w:fill="auto"/>
            <w:noWrap/>
            <w:vAlign w:val="center"/>
            <w:hideMark/>
          </w:tcPr>
          <w:p w14:paraId="53175486"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0.0657</w:t>
            </w:r>
          </w:p>
        </w:tc>
      </w:tr>
      <w:tr w:rsidR="00EF5F48" w:rsidRPr="004D5859" w14:paraId="14FBC74E" w14:textId="77777777" w:rsidTr="00AD0DF7">
        <w:trPr>
          <w:trHeight w:val="279"/>
        </w:trPr>
        <w:tc>
          <w:tcPr>
            <w:tcW w:w="3711" w:type="dxa"/>
            <w:tcBorders>
              <w:top w:val="nil"/>
              <w:left w:val="nil"/>
              <w:bottom w:val="single" w:sz="4" w:space="0" w:color="auto"/>
              <w:right w:val="nil"/>
            </w:tcBorders>
            <w:shd w:val="clear" w:color="auto" w:fill="auto"/>
            <w:noWrap/>
            <w:vAlign w:val="center"/>
            <w:hideMark/>
          </w:tcPr>
          <w:p w14:paraId="7E0D6F79" w14:textId="77777777" w:rsidR="00EF5F48" w:rsidRPr="004D5859" w:rsidRDefault="00EF5F48" w:rsidP="00AD0DF7">
            <w:pPr>
              <w:spacing w:before="60" w:after="60"/>
              <w:rPr>
                <w:rFonts w:ascii="Times New Roman" w:hAnsi="Times New Roman" w:cs="Times New Roman"/>
                <w:sz w:val="20"/>
                <w:szCs w:val="20"/>
              </w:rPr>
            </w:pPr>
            <w:proofErr w:type="spellStart"/>
            <w:r w:rsidRPr="004D5859">
              <w:rPr>
                <w:rFonts w:ascii="Times New Roman" w:hAnsi="Times New Roman" w:cs="Times New Roman"/>
                <w:sz w:val="20"/>
                <w:szCs w:val="20"/>
              </w:rPr>
              <w:t>Leukoaraiosis</w:t>
            </w:r>
            <w:proofErr w:type="spellEnd"/>
            <w:r w:rsidRPr="004D5859">
              <w:rPr>
                <w:rFonts w:ascii="Times New Roman" w:hAnsi="Times New Roman" w:cs="Times New Roman"/>
                <w:sz w:val="20"/>
                <w:szCs w:val="20"/>
              </w:rPr>
              <w:t xml:space="preserve">  (severe vs. none)</w:t>
            </w:r>
          </w:p>
        </w:tc>
        <w:tc>
          <w:tcPr>
            <w:tcW w:w="1846" w:type="dxa"/>
            <w:tcBorders>
              <w:top w:val="nil"/>
              <w:left w:val="nil"/>
              <w:bottom w:val="single" w:sz="4" w:space="0" w:color="auto"/>
              <w:right w:val="nil"/>
            </w:tcBorders>
            <w:shd w:val="clear" w:color="auto" w:fill="auto"/>
            <w:noWrap/>
            <w:vAlign w:val="center"/>
            <w:hideMark/>
          </w:tcPr>
          <w:p w14:paraId="647A73E2"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0.67 (0.29-1.54)</w:t>
            </w:r>
          </w:p>
        </w:tc>
        <w:tc>
          <w:tcPr>
            <w:tcW w:w="855" w:type="dxa"/>
            <w:gridSpan w:val="2"/>
            <w:tcBorders>
              <w:top w:val="nil"/>
              <w:left w:val="nil"/>
              <w:bottom w:val="single" w:sz="4" w:space="0" w:color="auto"/>
              <w:right w:val="nil"/>
            </w:tcBorders>
            <w:shd w:val="clear" w:color="auto" w:fill="auto"/>
            <w:noWrap/>
            <w:vAlign w:val="center"/>
            <w:hideMark/>
          </w:tcPr>
          <w:p w14:paraId="48BC99EA"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0.3409</w:t>
            </w:r>
          </w:p>
        </w:tc>
        <w:tc>
          <w:tcPr>
            <w:tcW w:w="1847" w:type="dxa"/>
            <w:tcBorders>
              <w:top w:val="nil"/>
              <w:left w:val="nil"/>
              <w:bottom w:val="single" w:sz="4" w:space="0" w:color="auto"/>
              <w:right w:val="nil"/>
            </w:tcBorders>
            <w:shd w:val="clear" w:color="auto" w:fill="auto"/>
            <w:noWrap/>
            <w:vAlign w:val="center"/>
            <w:hideMark/>
          </w:tcPr>
          <w:p w14:paraId="066986AB" w14:textId="77777777" w:rsidR="00EF5F48" w:rsidRPr="004D5859" w:rsidRDefault="00EF5F48" w:rsidP="00AD0DF7">
            <w:pPr>
              <w:spacing w:before="60" w:after="60"/>
              <w:rPr>
                <w:rFonts w:ascii="Times New Roman" w:hAnsi="Times New Roman" w:cs="Times New Roman"/>
                <w:sz w:val="20"/>
                <w:szCs w:val="20"/>
              </w:rPr>
            </w:pPr>
            <w:r w:rsidRPr="004D5859">
              <w:rPr>
                <w:rFonts w:ascii="Times New Roman" w:hAnsi="Times New Roman" w:cs="Times New Roman"/>
                <w:sz w:val="20"/>
                <w:szCs w:val="20"/>
              </w:rPr>
              <w:t>0.64 (0.47-0.87)</w:t>
            </w:r>
          </w:p>
        </w:tc>
        <w:tc>
          <w:tcPr>
            <w:tcW w:w="1007" w:type="dxa"/>
            <w:gridSpan w:val="2"/>
            <w:tcBorders>
              <w:top w:val="nil"/>
              <w:left w:val="nil"/>
              <w:bottom w:val="single" w:sz="4" w:space="0" w:color="auto"/>
              <w:right w:val="nil"/>
            </w:tcBorders>
            <w:shd w:val="clear" w:color="auto" w:fill="auto"/>
            <w:noWrap/>
            <w:vAlign w:val="center"/>
            <w:hideMark/>
          </w:tcPr>
          <w:p w14:paraId="19600DBD" w14:textId="77777777" w:rsidR="00EF5F48" w:rsidRPr="004D5859" w:rsidRDefault="00EF5F48" w:rsidP="00AD0DF7">
            <w:pPr>
              <w:spacing w:before="60" w:after="60"/>
              <w:rPr>
                <w:rFonts w:ascii="Times New Roman" w:hAnsi="Times New Roman" w:cs="Times New Roman"/>
                <w:b/>
                <w:sz w:val="20"/>
                <w:szCs w:val="20"/>
              </w:rPr>
            </w:pPr>
            <w:r w:rsidRPr="004D5859">
              <w:rPr>
                <w:rFonts w:ascii="Times New Roman" w:hAnsi="Times New Roman" w:cs="Times New Roman"/>
                <w:b/>
                <w:sz w:val="20"/>
                <w:szCs w:val="20"/>
              </w:rPr>
              <w:t>0.0043</w:t>
            </w:r>
          </w:p>
        </w:tc>
      </w:tr>
    </w:tbl>
    <w:p w14:paraId="1A19C54B" w14:textId="77777777" w:rsidR="00EF5F48" w:rsidRPr="004D5859" w:rsidRDefault="00EF5F48" w:rsidP="00EF5F48">
      <w:pPr>
        <w:spacing w:before="60"/>
        <w:rPr>
          <w:rFonts w:ascii="Times New Roman" w:hAnsi="Times New Roman" w:cs="Times New Roman"/>
          <w:sz w:val="20"/>
          <w:szCs w:val="20"/>
        </w:rPr>
      </w:pPr>
      <w:r w:rsidRPr="004D5859">
        <w:rPr>
          <w:rFonts w:ascii="Times New Roman" w:hAnsi="Times New Roman" w:cs="Times New Roman"/>
          <w:sz w:val="20"/>
          <w:szCs w:val="20"/>
        </w:rPr>
        <w:t xml:space="preserve">Data are </w:t>
      </w:r>
      <w:r>
        <w:rPr>
          <w:rFonts w:ascii="Times New Roman" w:hAnsi="Times New Roman" w:cs="Times New Roman"/>
          <w:sz w:val="20"/>
          <w:szCs w:val="20"/>
        </w:rPr>
        <w:t>adjusted for age, NIHSS and time to randomisation</w:t>
      </w:r>
      <w:r w:rsidRPr="004D5859">
        <w:rPr>
          <w:rFonts w:ascii="Times New Roman" w:hAnsi="Times New Roman" w:cs="Times New Roman"/>
          <w:sz w:val="20"/>
          <w:szCs w:val="20"/>
        </w:rPr>
        <w:t>.</w:t>
      </w:r>
    </w:p>
    <w:p w14:paraId="69B28C6F" w14:textId="77777777" w:rsidR="00EF5F48" w:rsidRPr="004D5859" w:rsidRDefault="00EF5F48" w:rsidP="00EF5F48">
      <w:pPr>
        <w:spacing w:before="60"/>
        <w:rPr>
          <w:rFonts w:ascii="Times New Roman" w:hAnsi="Times New Roman" w:cs="Times New Roman"/>
          <w:sz w:val="20"/>
          <w:szCs w:val="20"/>
        </w:rPr>
      </w:pPr>
      <w:r>
        <w:rPr>
          <w:rFonts w:ascii="Times New Roman" w:hAnsi="Times New Roman" w:cs="Times New Roman"/>
          <w:sz w:val="20"/>
          <w:szCs w:val="20"/>
        </w:rPr>
        <w:t xml:space="preserve">CI denotes confidence </w:t>
      </w:r>
      <w:proofErr w:type="gramStart"/>
      <w:r>
        <w:rPr>
          <w:rFonts w:ascii="Times New Roman" w:hAnsi="Times New Roman" w:cs="Times New Roman"/>
          <w:sz w:val="20"/>
          <w:szCs w:val="20"/>
        </w:rPr>
        <w:t>interval,</w:t>
      </w:r>
      <w:proofErr w:type="gramEnd"/>
      <w:r>
        <w:rPr>
          <w:rFonts w:ascii="Times New Roman" w:hAnsi="Times New Roman" w:cs="Times New Roman"/>
          <w:sz w:val="20"/>
          <w:szCs w:val="20"/>
        </w:rPr>
        <w:t xml:space="preserve"> </w:t>
      </w:r>
      <w:r w:rsidRPr="004D5859">
        <w:rPr>
          <w:rFonts w:ascii="Times New Roman" w:hAnsi="Times New Roman" w:cs="Times New Roman"/>
          <w:sz w:val="20"/>
          <w:szCs w:val="20"/>
        </w:rPr>
        <w:t xml:space="preserve">NIHSS National Institutes of Health Stroke Scale, </w:t>
      </w:r>
      <w:proofErr w:type="spellStart"/>
      <w:r w:rsidRPr="004D5859">
        <w:rPr>
          <w:rFonts w:ascii="Times New Roman" w:hAnsi="Times New Roman" w:cs="Times New Roman"/>
          <w:sz w:val="20"/>
          <w:szCs w:val="20"/>
        </w:rPr>
        <w:t>mRS</w:t>
      </w:r>
      <w:proofErr w:type="spellEnd"/>
      <w:r w:rsidRPr="004D5859">
        <w:rPr>
          <w:rFonts w:ascii="Times New Roman" w:hAnsi="Times New Roman" w:cs="Times New Roman"/>
          <w:sz w:val="20"/>
          <w:szCs w:val="20"/>
        </w:rPr>
        <w:t xml:space="preserve"> modified Rankin Score, </w:t>
      </w:r>
      <w:proofErr w:type="spellStart"/>
      <w:r w:rsidRPr="004D5859">
        <w:rPr>
          <w:rFonts w:ascii="Times New Roman" w:hAnsi="Times New Roman" w:cs="Times New Roman"/>
          <w:sz w:val="20"/>
          <w:szCs w:val="20"/>
        </w:rPr>
        <w:t>sICH</w:t>
      </w:r>
      <w:proofErr w:type="spellEnd"/>
      <w:r w:rsidRPr="004D5859">
        <w:rPr>
          <w:rFonts w:ascii="Times New Roman" w:hAnsi="Times New Roman" w:cs="Times New Roman"/>
          <w:sz w:val="20"/>
          <w:szCs w:val="20"/>
        </w:rPr>
        <w:t xml:space="preserve"> symptomatic </w:t>
      </w:r>
      <w:proofErr w:type="spellStart"/>
      <w:r w:rsidRPr="004D5859">
        <w:rPr>
          <w:rFonts w:ascii="Times New Roman" w:hAnsi="Times New Roman" w:cs="Times New Roman"/>
          <w:sz w:val="20"/>
          <w:szCs w:val="20"/>
        </w:rPr>
        <w:t>intracerebral</w:t>
      </w:r>
      <w:proofErr w:type="spellEnd"/>
      <w:r w:rsidRPr="004D5859">
        <w:rPr>
          <w:rFonts w:ascii="Times New Roman" w:hAnsi="Times New Roman" w:cs="Times New Roman"/>
          <w:sz w:val="20"/>
          <w:szCs w:val="20"/>
        </w:rPr>
        <w:t xml:space="preserve"> </w:t>
      </w:r>
      <w:r>
        <w:rPr>
          <w:rFonts w:ascii="Times New Roman" w:hAnsi="Times New Roman" w:cs="Times New Roman"/>
          <w:sz w:val="20"/>
          <w:szCs w:val="20"/>
        </w:rPr>
        <w:t>haemorrhage</w:t>
      </w:r>
      <w:r w:rsidRPr="004D5859">
        <w:rPr>
          <w:rFonts w:ascii="Times New Roman" w:hAnsi="Times New Roman" w:cs="Times New Roman"/>
          <w:sz w:val="20"/>
          <w:szCs w:val="20"/>
        </w:rPr>
        <w:t xml:space="preserve"> according to IST3 definition </w:t>
      </w:r>
    </w:p>
    <w:p w14:paraId="20D9255A" w14:textId="77777777" w:rsidR="00EF5F48" w:rsidRPr="004D5859" w:rsidRDefault="00EF5F48" w:rsidP="00EF5F48">
      <w:pPr>
        <w:spacing w:line="480" w:lineRule="auto"/>
        <w:rPr>
          <w:rFonts w:ascii="Times New Roman" w:hAnsi="Times New Roman" w:cs="Times New Roman"/>
          <w:sz w:val="20"/>
          <w:szCs w:val="20"/>
        </w:rPr>
      </w:pPr>
    </w:p>
    <w:p w14:paraId="128B913E" w14:textId="77777777" w:rsidR="00EF5F48" w:rsidRDefault="00EF5F48" w:rsidP="00EF5F48">
      <w:pPr>
        <w:spacing w:after="120"/>
        <w:rPr>
          <w:rFonts w:ascii="Times New Roman" w:hAnsi="Times New Roman" w:cs="Times New Roman"/>
          <w:b/>
          <w:sz w:val="20"/>
          <w:szCs w:val="20"/>
        </w:rPr>
      </w:pPr>
      <w:r>
        <w:rPr>
          <w:rFonts w:ascii="Times New Roman" w:hAnsi="Times New Roman" w:cs="Times New Roman"/>
          <w:b/>
          <w:sz w:val="20"/>
          <w:szCs w:val="20"/>
        </w:rPr>
        <w:br w:type="page"/>
      </w:r>
    </w:p>
    <w:p w14:paraId="15906295" w14:textId="18370A1C" w:rsidR="00EF5F48" w:rsidRPr="004D5859" w:rsidRDefault="00EF5F48" w:rsidP="00EF5F48">
      <w:pPr>
        <w:spacing w:after="120"/>
        <w:rPr>
          <w:rFonts w:ascii="Times New Roman" w:hAnsi="Times New Roman" w:cs="Times New Roman"/>
          <w:sz w:val="20"/>
          <w:szCs w:val="20"/>
        </w:rPr>
      </w:pPr>
      <w:r w:rsidRPr="004D5859">
        <w:rPr>
          <w:rFonts w:ascii="Times New Roman" w:hAnsi="Times New Roman" w:cs="Times New Roman"/>
          <w:b/>
          <w:sz w:val="20"/>
          <w:szCs w:val="20"/>
        </w:rPr>
        <w:t xml:space="preserve">Table 5: Multivariable logistic regression models selected by stepwise logistic regression for </w:t>
      </w:r>
      <w:proofErr w:type="spellStart"/>
      <w:r w:rsidRPr="004D5859">
        <w:rPr>
          <w:rFonts w:ascii="Times New Roman" w:hAnsi="Times New Roman" w:cs="Times New Roman"/>
          <w:b/>
          <w:sz w:val="20"/>
          <w:szCs w:val="20"/>
        </w:rPr>
        <w:t>sICH</w:t>
      </w:r>
      <w:proofErr w:type="spellEnd"/>
      <w:r w:rsidRPr="004D5859">
        <w:rPr>
          <w:rFonts w:ascii="Times New Roman" w:hAnsi="Times New Roman" w:cs="Times New Roman"/>
          <w:b/>
          <w:sz w:val="20"/>
          <w:szCs w:val="20"/>
        </w:rPr>
        <w:t xml:space="preserve"> (IST3 definition) and functional outcome at 90 days</w:t>
      </w:r>
    </w:p>
    <w:tbl>
      <w:tblPr>
        <w:tblW w:w="0" w:type="auto"/>
        <w:tblLayout w:type="fixed"/>
        <w:tblLook w:val="04A0" w:firstRow="1" w:lastRow="0" w:firstColumn="1" w:lastColumn="0" w:noHBand="0" w:noVBand="1"/>
      </w:tblPr>
      <w:tblGrid>
        <w:gridCol w:w="2977"/>
        <w:gridCol w:w="1843"/>
        <w:gridCol w:w="1134"/>
        <w:gridCol w:w="1951"/>
        <w:gridCol w:w="1115"/>
      </w:tblGrid>
      <w:tr w:rsidR="00EF5F48" w:rsidRPr="004D5859" w14:paraId="47690AFC" w14:textId="77777777" w:rsidTr="00AD0DF7">
        <w:trPr>
          <w:trHeight w:val="300"/>
        </w:trPr>
        <w:tc>
          <w:tcPr>
            <w:tcW w:w="2977" w:type="dxa"/>
            <w:tcBorders>
              <w:top w:val="single" w:sz="4" w:space="0" w:color="auto"/>
              <w:left w:val="nil"/>
              <w:right w:val="nil"/>
            </w:tcBorders>
            <w:shd w:val="clear" w:color="auto" w:fill="auto"/>
            <w:noWrap/>
            <w:vAlign w:val="bottom"/>
            <w:hideMark/>
          </w:tcPr>
          <w:p w14:paraId="5F22A739" w14:textId="77777777" w:rsidR="00EF5F48" w:rsidRPr="004D5859" w:rsidRDefault="00EF5F48" w:rsidP="00AD0DF7">
            <w:pPr>
              <w:rPr>
                <w:rFonts w:ascii="Times New Roman" w:hAnsi="Times New Roman" w:cs="Times New Roman"/>
                <w:sz w:val="20"/>
                <w:szCs w:val="20"/>
              </w:rPr>
            </w:pPr>
          </w:p>
        </w:tc>
        <w:tc>
          <w:tcPr>
            <w:tcW w:w="1843" w:type="dxa"/>
            <w:tcBorders>
              <w:top w:val="single" w:sz="4" w:space="0" w:color="auto"/>
              <w:left w:val="nil"/>
              <w:right w:val="nil"/>
            </w:tcBorders>
            <w:shd w:val="clear" w:color="auto" w:fill="auto"/>
            <w:noWrap/>
            <w:vAlign w:val="bottom"/>
            <w:hideMark/>
          </w:tcPr>
          <w:p w14:paraId="4F761F48" w14:textId="77777777" w:rsidR="00EF5F48" w:rsidRPr="004D5859" w:rsidRDefault="00EF5F48" w:rsidP="00AD0DF7">
            <w:pPr>
              <w:rPr>
                <w:rFonts w:ascii="Times New Roman" w:hAnsi="Times New Roman" w:cs="Times New Roman"/>
                <w:b/>
                <w:sz w:val="20"/>
                <w:szCs w:val="20"/>
              </w:rPr>
            </w:pPr>
            <w:proofErr w:type="spellStart"/>
            <w:proofErr w:type="gramStart"/>
            <w:r w:rsidRPr="004D5859">
              <w:rPr>
                <w:rFonts w:ascii="Times New Roman" w:hAnsi="Times New Roman" w:cs="Times New Roman"/>
                <w:b/>
                <w:sz w:val="20"/>
                <w:szCs w:val="20"/>
              </w:rPr>
              <w:t>sICH</w:t>
            </w:r>
            <w:proofErr w:type="spellEnd"/>
            <w:proofErr w:type="gramEnd"/>
          </w:p>
        </w:tc>
        <w:tc>
          <w:tcPr>
            <w:tcW w:w="1134" w:type="dxa"/>
            <w:vMerge w:val="restart"/>
            <w:tcBorders>
              <w:top w:val="single" w:sz="4" w:space="0" w:color="auto"/>
              <w:left w:val="nil"/>
              <w:right w:val="nil"/>
            </w:tcBorders>
            <w:shd w:val="clear" w:color="auto" w:fill="auto"/>
            <w:noWrap/>
            <w:vAlign w:val="center"/>
            <w:hideMark/>
          </w:tcPr>
          <w:p w14:paraId="019AE460" w14:textId="77777777" w:rsidR="00EF5F48" w:rsidRPr="004D5859" w:rsidRDefault="00EF5F48" w:rsidP="00AD0DF7">
            <w:pPr>
              <w:jc w:val="cente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p>
        </w:tc>
        <w:tc>
          <w:tcPr>
            <w:tcW w:w="1951" w:type="dxa"/>
            <w:tcBorders>
              <w:top w:val="single" w:sz="4" w:space="0" w:color="auto"/>
              <w:left w:val="nil"/>
              <w:right w:val="nil"/>
            </w:tcBorders>
            <w:shd w:val="clear" w:color="auto" w:fill="auto"/>
            <w:noWrap/>
            <w:vAlign w:val="bottom"/>
            <w:hideMark/>
          </w:tcPr>
          <w:p w14:paraId="2E37FAD6" w14:textId="77777777" w:rsidR="00EF5F48" w:rsidRPr="004D5859" w:rsidRDefault="00EF5F48" w:rsidP="00AD0DF7">
            <w:pPr>
              <w:rPr>
                <w:rFonts w:ascii="Times New Roman" w:hAnsi="Times New Roman" w:cs="Times New Roman"/>
                <w:b/>
                <w:sz w:val="20"/>
                <w:szCs w:val="20"/>
              </w:rPr>
            </w:pPr>
            <w:proofErr w:type="spellStart"/>
            <w:proofErr w:type="gramStart"/>
            <w:r w:rsidRPr="004D5859">
              <w:rPr>
                <w:rFonts w:ascii="Times New Roman" w:hAnsi="Times New Roman" w:cs="Times New Roman"/>
                <w:b/>
                <w:sz w:val="20"/>
                <w:szCs w:val="20"/>
              </w:rPr>
              <w:t>mRS</w:t>
            </w:r>
            <w:proofErr w:type="spellEnd"/>
            <w:proofErr w:type="gramEnd"/>
            <w:r w:rsidRPr="004D5859">
              <w:rPr>
                <w:rFonts w:ascii="Times New Roman" w:hAnsi="Times New Roman" w:cs="Times New Roman"/>
                <w:b/>
                <w:sz w:val="20"/>
                <w:szCs w:val="20"/>
              </w:rPr>
              <w:t xml:space="preserve"> 0-2</w:t>
            </w:r>
          </w:p>
        </w:tc>
        <w:tc>
          <w:tcPr>
            <w:tcW w:w="1115" w:type="dxa"/>
            <w:vMerge w:val="restart"/>
            <w:tcBorders>
              <w:top w:val="single" w:sz="4" w:space="0" w:color="auto"/>
              <w:left w:val="nil"/>
              <w:right w:val="nil"/>
            </w:tcBorders>
            <w:shd w:val="clear" w:color="auto" w:fill="auto"/>
            <w:noWrap/>
            <w:vAlign w:val="center"/>
            <w:hideMark/>
          </w:tcPr>
          <w:p w14:paraId="349EB3EB" w14:textId="77777777" w:rsidR="00EF5F48" w:rsidRPr="004D5859" w:rsidRDefault="00EF5F48" w:rsidP="00AD0DF7">
            <w:pPr>
              <w:jc w:val="center"/>
              <w:rPr>
                <w:rFonts w:ascii="Times New Roman" w:hAnsi="Times New Roman" w:cs="Times New Roman"/>
                <w:b/>
                <w:sz w:val="20"/>
                <w:szCs w:val="20"/>
              </w:rPr>
            </w:pPr>
            <w:proofErr w:type="gramStart"/>
            <w:r w:rsidRPr="004D5859">
              <w:rPr>
                <w:rFonts w:ascii="Times New Roman" w:hAnsi="Times New Roman" w:cs="Times New Roman"/>
                <w:b/>
                <w:sz w:val="20"/>
                <w:szCs w:val="20"/>
              </w:rPr>
              <w:t>p</w:t>
            </w:r>
            <w:proofErr w:type="gramEnd"/>
          </w:p>
        </w:tc>
      </w:tr>
      <w:tr w:rsidR="00EF5F48" w:rsidRPr="004D5859" w14:paraId="45B15E93" w14:textId="77777777" w:rsidTr="00AD0DF7">
        <w:trPr>
          <w:trHeight w:val="300"/>
        </w:trPr>
        <w:tc>
          <w:tcPr>
            <w:tcW w:w="2977" w:type="dxa"/>
            <w:tcBorders>
              <w:top w:val="nil"/>
              <w:left w:val="nil"/>
              <w:bottom w:val="single" w:sz="4" w:space="0" w:color="auto"/>
              <w:right w:val="nil"/>
            </w:tcBorders>
            <w:shd w:val="clear" w:color="auto" w:fill="auto"/>
            <w:noWrap/>
            <w:vAlign w:val="bottom"/>
            <w:hideMark/>
          </w:tcPr>
          <w:p w14:paraId="23D7481E" w14:textId="77777777" w:rsidR="00EF5F48" w:rsidRPr="004D5859" w:rsidRDefault="00EF5F48" w:rsidP="00AD0DF7">
            <w:pPr>
              <w:rPr>
                <w:rFonts w:ascii="Times New Roman" w:hAnsi="Times New Roman" w:cs="Times New Roman"/>
                <w:sz w:val="20"/>
                <w:szCs w:val="20"/>
              </w:rPr>
            </w:pPr>
          </w:p>
        </w:tc>
        <w:tc>
          <w:tcPr>
            <w:tcW w:w="1843" w:type="dxa"/>
            <w:tcBorders>
              <w:top w:val="nil"/>
              <w:left w:val="nil"/>
              <w:bottom w:val="single" w:sz="4" w:space="0" w:color="auto"/>
              <w:right w:val="nil"/>
            </w:tcBorders>
            <w:shd w:val="clear" w:color="auto" w:fill="auto"/>
            <w:noWrap/>
            <w:vAlign w:val="bottom"/>
            <w:hideMark/>
          </w:tcPr>
          <w:p w14:paraId="14F66B89" w14:textId="77777777" w:rsidR="00EF5F48" w:rsidRPr="004D5859" w:rsidRDefault="00EF5F48" w:rsidP="00AD0DF7">
            <w:pPr>
              <w:rPr>
                <w:rFonts w:ascii="Times New Roman" w:hAnsi="Times New Roman" w:cs="Times New Roman"/>
                <w:b/>
                <w:sz w:val="20"/>
                <w:szCs w:val="20"/>
              </w:rPr>
            </w:pPr>
            <w:r>
              <w:rPr>
                <w:rFonts w:ascii="Times New Roman" w:hAnsi="Times New Roman" w:cs="Times New Roman"/>
                <w:b/>
                <w:sz w:val="20"/>
                <w:szCs w:val="20"/>
              </w:rPr>
              <w:t>OR</w:t>
            </w:r>
            <w:r w:rsidRPr="004D5859">
              <w:rPr>
                <w:rFonts w:ascii="Times New Roman" w:hAnsi="Times New Roman" w:cs="Times New Roman"/>
                <w:b/>
                <w:sz w:val="20"/>
                <w:szCs w:val="20"/>
              </w:rPr>
              <w:t xml:space="preserve"> (95%CI)</w:t>
            </w:r>
          </w:p>
        </w:tc>
        <w:tc>
          <w:tcPr>
            <w:tcW w:w="1134" w:type="dxa"/>
            <w:vMerge/>
            <w:tcBorders>
              <w:left w:val="nil"/>
              <w:bottom w:val="single" w:sz="4" w:space="0" w:color="auto"/>
              <w:right w:val="nil"/>
            </w:tcBorders>
            <w:shd w:val="clear" w:color="auto" w:fill="auto"/>
            <w:noWrap/>
            <w:vAlign w:val="bottom"/>
            <w:hideMark/>
          </w:tcPr>
          <w:p w14:paraId="4C8828EE" w14:textId="77777777" w:rsidR="00EF5F48" w:rsidRPr="004D5859" w:rsidRDefault="00EF5F48" w:rsidP="00AD0DF7">
            <w:pPr>
              <w:rPr>
                <w:rFonts w:ascii="Times New Roman" w:hAnsi="Times New Roman" w:cs="Times New Roman"/>
                <w:b/>
                <w:sz w:val="20"/>
                <w:szCs w:val="20"/>
              </w:rPr>
            </w:pPr>
          </w:p>
        </w:tc>
        <w:tc>
          <w:tcPr>
            <w:tcW w:w="1951" w:type="dxa"/>
            <w:tcBorders>
              <w:top w:val="nil"/>
              <w:left w:val="nil"/>
              <w:bottom w:val="single" w:sz="4" w:space="0" w:color="auto"/>
              <w:right w:val="nil"/>
            </w:tcBorders>
            <w:shd w:val="clear" w:color="auto" w:fill="auto"/>
            <w:noWrap/>
            <w:vAlign w:val="bottom"/>
            <w:hideMark/>
          </w:tcPr>
          <w:p w14:paraId="1E971B37" w14:textId="77777777" w:rsidR="00EF5F48" w:rsidRPr="004D5859" w:rsidRDefault="00EF5F48" w:rsidP="00AD0DF7">
            <w:pPr>
              <w:rPr>
                <w:rFonts w:ascii="Times New Roman" w:hAnsi="Times New Roman" w:cs="Times New Roman"/>
                <w:b/>
                <w:sz w:val="20"/>
                <w:szCs w:val="20"/>
              </w:rPr>
            </w:pPr>
            <w:r>
              <w:rPr>
                <w:rFonts w:ascii="Times New Roman" w:hAnsi="Times New Roman" w:cs="Times New Roman"/>
                <w:b/>
                <w:sz w:val="20"/>
                <w:szCs w:val="20"/>
              </w:rPr>
              <w:t>OR</w:t>
            </w:r>
            <w:r w:rsidRPr="004D5859">
              <w:rPr>
                <w:rFonts w:ascii="Times New Roman" w:hAnsi="Times New Roman" w:cs="Times New Roman"/>
                <w:b/>
                <w:sz w:val="20"/>
                <w:szCs w:val="20"/>
              </w:rPr>
              <w:t xml:space="preserve"> (95%CI)</w:t>
            </w:r>
          </w:p>
        </w:tc>
        <w:tc>
          <w:tcPr>
            <w:tcW w:w="1115" w:type="dxa"/>
            <w:vMerge/>
            <w:tcBorders>
              <w:left w:val="nil"/>
              <w:bottom w:val="single" w:sz="4" w:space="0" w:color="auto"/>
              <w:right w:val="nil"/>
            </w:tcBorders>
            <w:shd w:val="clear" w:color="auto" w:fill="auto"/>
            <w:noWrap/>
            <w:vAlign w:val="bottom"/>
            <w:hideMark/>
          </w:tcPr>
          <w:p w14:paraId="25FBBDE9" w14:textId="77777777" w:rsidR="00EF5F48" w:rsidRPr="004D5859" w:rsidRDefault="00EF5F48" w:rsidP="00AD0DF7">
            <w:pPr>
              <w:rPr>
                <w:rFonts w:ascii="Times New Roman" w:hAnsi="Times New Roman" w:cs="Times New Roman"/>
                <w:b/>
                <w:sz w:val="20"/>
                <w:szCs w:val="20"/>
              </w:rPr>
            </w:pPr>
          </w:p>
        </w:tc>
      </w:tr>
      <w:tr w:rsidR="00EF5F48" w:rsidRPr="004D5859" w14:paraId="15AC8483" w14:textId="77777777" w:rsidTr="00AD0DF7">
        <w:trPr>
          <w:trHeight w:val="320"/>
        </w:trPr>
        <w:tc>
          <w:tcPr>
            <w:tcW w:w="2977" w:type="dxa"/>
            <w:tcBorders>
              <w:top w:val="single" w:sz="4" w:space="0" w:color="auto"/>
              <w:left w:val="nil"/>
              <w:bottom w:val="nil"/>
              <w:right w:val="nil"/>
            </w:tcBorders>
            <w:shd w:val="clear" w:color="auto" w:fill="auto"/>
            <w:vAlign w:val="bottom"/>
            <w:hideMark/>
          </w:tcPr>
          <w:p w14:paraId="4085F97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Age (years)</w:t>
            </w:r>
          </w:p>
        </w:tc>
        <w:tc>
          <w:tcPr>
            <w:tcW w:w="1843" w:type="dxa"/>
            <w:tcBorders>
              <w:top w:val="single" w:sz="4" w:space="0" w:color="auto"/>
              <w:left w:val="nil"/>
              <w:bottom w:val="nil"/>
              <w:right w:val="nil"/>
            </w:tcBorders>
            <w:shd w:val="clear" w:color="auto" w:fill="auto"/>
            <w:noWrap/>
            <w:vAlign w:val="bottom"/>
            <w:hideMark/>
          </w:tcPr>
          <w:p w14:paraId="6EBFBEF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1.01(0.99-1.03)</w:t>
            </w:r>
          </w:p>
        </w:tc>
        <w:tc>
          <w:tcPr>
            <w:tcW w:w="1134" w:type="dxa"/>
            <w:tcBorders>
              <w:top w:val="single" w:sz="4" w:space="0" w:color="auto"/>
              <w:left w:val="nil"/>
              <w:bottom w:val="nil"/>
              <w:right w:val="nil"/>
            </w:tcBorders>
            <w:shd w:val="clear" w:color="auto" w:fill="auto"/>
            <w:noWrap/>
            <w:vAlign w:val="bottom"/>
            <w:hideMark/>
          </w:tcPr>
          <w:p w14:paraId="4D0EE6A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0.1947</w:t>
            </w:r>
          </w:p>
        </w:tc>
        <w:tc>
          <w:tcPr>
            <w:tcW w:w="1951" w:type="dxa"/>
            <w:tcBorders>
              <w:top w:val="single" w:sz="4" w:space="0" w:color="auto"/>
              <w:left w:val="nil"/>
              <w:bottom w:val="nil"/>
              <w:right w:val="nil"/>
            </w:tcBorders>
            <w:shd w:val="clear" w:color="auto" w:fill="auto"/>
            <w:noWrap/>
            <w:vAlign w:val="bottom"/>
            <w:hideMark/>
          </w:tcPr>
          <w:p w14:paraId="4FB42A9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0.98(0.97-0.99)</w:t>
            </w:r>
          </w:p>
        </w:tc>
        <w:tc>
          <w:tcPr>
            <w:tcW w:w="1115" w:type="dxa"/>
            <w:tcBorders>
              <w:top w:val="single" w:sz="4" w:space="0" w:color="auto"/>
              <w:left w:val="nil"/>
              <w:bottom w:val="nil"/>
              <w:right w:val="nil"/>
            </w:tcBorders>
            <w:shd w:val="clear" w:color="auto" w:fill="auto"/>
            <w:noWrap/>
            <w:vAlign w:val="bottom"/>
            <w:hideMark/>
          </w:tcPr>
          <w:p w14:paraId="4DD23E4A"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&lt;0.0001</w:t>
            </w:r>
          </w:p>
        </w:tc>
      </w:tr>
      <w:tr w:rsidR="00EF5F48" w:rsidRPr="004D5859" w14:paraId="7B280CBB" w14:textId="77777777" w:rsidTr="00AD0DF7">
        <w:trPr>
          <w:trHeight w:val="320"/>
        </w:trPr>
        <w:tc>
          <w:tcPr>
            <w:tcW w:w="2977" w:type="dxa"/>
            <w:tcBorders>
              <w:top w:val="nil"/>
              <w:left w:val="nil"/>
              <w:bottom w:val="nil"/>
              <w:right w:val="nil"/>
            </w:tcBorders>
            <w:shd w:val="clear" w:color="auto" w:fill="auto"/>
            <w:vAlign w:val="bottom"/>
            <w:hideMark/>
          </w:tcPr>
          <w:p w14:paraId="1664511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NIHSS score</w:t>
            </w:r>
          </w:p>
        </w:tc>
        <w:tc>
          <w:tcPr>
            <w:tcW w:w="1843" w:type="dxa"/>
            <w:tcBorders>
              <w:top w:val="nil"/>
              <w:left w:val="nil"/>
              <w:bottom w:val="nil"/>
              <w:right w:val="nil"/>
            </w:tcBorders>
            <w:shd w:val="clear" w:color="auto" w:fill="auto"/>
            <w:noWrap/>
            <w:vAlign w:val="bottom"/>
            <w:hideMark/>
          </w:tcPr>
          <w:p w14:paraId="2187750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1.03(0.99-1.07)</w:t>
            </w:r>
          </w:p>
        </w:tc>
        <w:tc>
          <w:tcPr>
            <w:tcW w:w="1134" w:type="dxa"/>
            <w:tcBorders>
              <w:top w:val="nil"/>
              <w:left w:val="nil"/>
              <w:bottom w:val="nil"/>
              <w:right w:val="nil"/>
            </w:tcBorders>
            <w:shd w:val="clear" w:color="auto" w:fill="auto"/>
            <w:noWrap/>
            <w:vAlign w:val="bottom"/>
            <w:hideMark/>
          </w:tcPr>
          <w:p w14:paraId="64A0BA8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0.1130</w:t>
            </w:r>
          </w:p>
        </w:tc>
        <w:tc>
          <w:tcPr>
            <w:tcW w:w="1951" w:type="dxa"/>
            <w:tcBorders>
              <w:top w:val="nil"/>
              <w:left w:val="nil"/>
              <w:bottom w:val="nil"/>
              <w:right w:val="nil"/>
            </w:tcBorders>
            <w:shd w:val="clear" w:color="auto" w:fill="auto"/>
            <w:noWrap/>
            <w:vAlign w:val="bottom"/>
            <w:hideMark/>
          </w:tcPr>
          <w:p w14:paraId="052076A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0.86(0.85-0.88)</w:t>
            </w:r>
          </w:p>
        </w:tc>
        <w:tc>
          <w:tcPr>
            <w:tcW w:w="1115" w:type="dxa"/>
            <w:tcBorders>
              <w:top w:val="nil"/>
              <w:left w:val="nil"/>
              <w:bottom w:val="nil"/>
              <w:right w:val="nil"/>
            </w:tcBorders>
            <w:shd w:val="clear" w:color="auto" w:fill="auto"/>
            <w:noWrap/>
            <w:vAlign w:val="bottom"/>
            <w:hideMark/>
          </w:tcPr>
          <w:p w14:paraId="4973D10F"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&lt;0.0001</w:t>
            </w:r>
          </w:p>
        </w:tc>
      </w:tr>
      <w:tr w:rsidR="00EF5F48" w:rsidRPr="004D5859" w14:paraId="4D4252C1" w14:textId="77777777" w:rsidTr="00AD0DF7">
        <w:trPr>
          <w:trHeight w:val="320"/>
        </w:trPr>
        <w:tc>
          <w:tcPr>
            <w:tcW w:w="2977" w:type="dxa"/>
            <w:tcBorders>
              <w:top w:val="nil"/>
              <w:left w:val="nil"/>
              <w:bottom w:val="nil"/>
              <w:right w:val="nil"/>
            </w:tcBorders>
            <w:shd w:val="clear" w:color="auto" w:fill="auto"/>
            <w:vAlign w:val="bottom"/>
            <w:hideMark/>
          </w:tcPr>
          <w:p w14:paraId="4A7D4B6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Time to randomisation (hours)</w:t>
            </w:r>
          </w:p>
        </w:tc>
        <w:tc>
          <w:tcPr>
            <w:tcW w:w="1843" w:type="dxa"/>
            <w:tcBorders>
              <w:top w:val="nil"/>
              <w:left w:val="nil"/>
              <w:bottom w:val="nil"/>
              <w:right w:val="nil"/>
            </w:tcBorders>
            <w:shd w:val="clear" w:color="auto" w:fill="auto"/>
            <w:noWrap/>
            <w:vAlign w:val="bottom"/>
            <w:hideMark/>
          </w:tcPr>
          <w:p w14:paraId="43C3B19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0.95(0.76-1.2)</w:t>
            </w:r>
          </w:p>
        </w:tc>
        <w:tc>
          <w:tcPr>
            <w:tcW w:w="1134" w:type="dxa"/>
            <w:tcBorders>
              <w:top w:val="nil"/>
              <w:left w:val="nil"/>
              <w:bottom w:val="nil"/>
              <w:right w:val="nil"/>
            </w:tcBorders>
            <w:shd w:val="clear" w:color="auto" w:fill="auto"/>
            <w:noWrap/>
            <w:vAlign w:val="bottom"/>
            <w:hideMark/>
          </w:tcPr>
          <w:p w14:paraId="45801C7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0.6755</w:t>
            </w:r>
          </w:p>
        </w:tc>
        <w:tc>
          <w:tcPr>
            <w:tcW w:w="1951" w:type="dxa"/>
            <w:tcBorders>
              <w:top w:val="nil"/>
              <w:left w:val="nil"/>
              <w:bottom w:val="nil"/>
              <w:right w:val="nil"/>
            </w:tcBorders>
            <w:shd w:val="clear" w:color="auto" w:fill="auto"/>
            <w:noWrap/>
            <w:vAlign w:val="bottom"/>
            <w:hideMark/>
          </w:tcPr>
          <w:p w14:paraId="5ED190D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0.99(0.92-1.06)</w:t>
            </w:r>
          </w:p>
        </w:tc>
        <w:tc>
          <w:tcPr>
            <w:tcW w:w="1115" w:type="dxa"/>
            <w:tcBorders>
              <w:top w:val="nil"/>
              <w:left w:val="nil"/>
              <w:bottom w:val="nil"/>
              <w:right w:val="nil"/>
            </w:tcBorders>
            <w:shd w:val="clear" w:color="auto" w:fill="auto"/>
            <w:noWrap/>
            <w:vAlign w:val="bottom"/>
            <w:hideMark/>
          </w:tcPr>
          <w:p w14:paraId="28AE997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0.7505</w:t>
            </w:r>
          </w:p>
        </w:tc>
      </w:tr>
      <w:tr w:rsidR="00EF5F48" w:rsidRPr="004D5859" w14:paraId="0661B5D1" w14:textId="77777777" w:rsidTr="00AD0DF7">
        <w:trPr>
          <w:trHeight w:val="548"/>
        </w:trPr>
        <w:tc>
          <w:tcPr>
            <w:tcW w:w="2977" w:type="dxa"/>
            <w:tcBorders>
              <w:top w:val="nil"/>
              <w:left w:val="nil"/>
              <w:bottom w:val="nil"/>
              <w:right w:val="nil"/>
            </w:tcBorders>
            <w:shd w:val="clear" w:color="auto" w:fill="auto"/>
            <w:noWrap/>
            <w:vAlign w:val="bottom"/>
            <w:hideMark/>
          </w:tcPr>
          <w:p w14:paraId="046D9ED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Treatment group </w:t>
            </w:r>
          </w:p>
          <w:p w14:paraId="7C745B93"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w:t>
            </w:r>
            <w:proofErr w:type="gramStart"/>
            <w:r w:rsidRPr="004D5859">
              <w:rPr>
                <w:rFonts w:ascii="Times New Roman" w:hAnsi="Times New Roman" w:cs="Times New Roman"/>
                <w:sz w:val="20"/>
                <w:szCs w:val="20"/>
              </w:rPr>
              <w:t>standard</w:t>
            </w:r>
            <w:proofErr w:type="gramEnd"/>
            <w:r w:rsidRPr="004D5859">
              <w:rPr>
                <w:rFonts w:ascii="Times New Roman" w:hAnsi="Times New Roman" w:cs="Times New Roman"/>
                <w:sz w:val="20"/>
                <w:szCs w:val="20"/>
              </w:rPr>
              <w:t xml:space="preserve"> vs. low-dose)</w:t>
            </w:r>
          </w:p>
        </w:tc>
        <w:tc>
          <w:tcPr>
            <w:tcW w:w="1843" w:type="dxa"/>
            <w:tcBorders>
              <w:top w:val="nil"/>
              <w:left w:val="nil"/>
              <w:bottom w:val="nil"/>
              <w:right w:val="nil"/>
            </w:tcBorders>
            <w:shd w:val="clear" w:color="auto" w:fill="auto"/>
            <w:noWrap/>
            <w:vAlign w:val="bottom"/>
            <w:hideMark/>
          </w:tcPr>
          <w:p w14:paraId="16EA07B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1.60(0.99-2.59)</w:t>
            </w:r>
          </w:p>
        </w:tc>
        <w:tc>
          <w:tcPr>
            <w:tcW w:w="1134" w:type="dxa"/>
            <w:tcBorders>
              <w:top w:val="nil"/>
              <w:left w:val="nil"/>
              <w:bottom w:val="nil"/>
              <w:right w:val="nil"/>
            </w:tcBorders>
            <w:shd w:val="clear" w:color="auto" w:fill="auto"/>
            <w:noWrap/>
            <w:vAlign w:val="bottom"/>
            <w:hideMark/>
          </w:tcPr>
          <w:p w14:paraId="2B3603B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0.0545</w:t>
            </w:r>
          </w:p>
        </w:tc>
        <w:tc>
          <w:tcPr>
            <w:tcW w:w="1951" w:type="dxa"/>
            <w:tcBorders>
              <w:top w:val="nil"/>
              <w:left w:val="nil"/>
              <w:bottom w:val="nil"/>
              <w:right w:val="nil"/>
            </w:tcBorders>
            <w:shd w:val="clear" w:color="auto" w:fill="auto"/>
            <w:noWrap/>
            <w:vAlign w:val="bottom"/>
            <w:hideMark/>
          </w:tcPr>
          <w:p w14:paraId="52396B55"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1.08(0.91-1.29)</w:t>
            </w:r>
          </w:p>
        </w:tc>
        <w:tc>
          <w:tcPr>
            <w:tcW w:w="1115" w:type="dxa"/>
            <w:tcBorders>
              <w:top w:val="nil"/>
              <w:left w:val="nil"/>
              <w:bottom w:val="nil"/>
              <w:right w:val="nil"/>
            </w:tcBorders>
            <w:shd w:val="clear" w:color="auto" w:fill="auto"/>
            <w:noWrap/>
            <w:vAlign w:val="bottom"/>
            <w:hideMark/>
          </w:tcPr>
          <w:p w14:paraId="7FD76C4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0.3887</w:t>
            </w:r>
          </w:p>
        </w:tc>
      </w:tr>
      <w:tr w:rsidR="00EF5F48" w:rsidRPr="004D5859" w14:paraId="43BDF16E" w14:textId="77777777" w:rsidTr="00AD0DF7">
        <w:trPr>
          <w:trHeight w:val="698"/>
        </w:trPr>
        <w:tc>
          <w:tcPr>
            <w:tcW w:w="2977" w:type="dxa"/>
            <w:tcBorders>
              <w:top w:val="nil"/>
              <w:left w:val="nil"/>
              <w:bottom w:val="nil"/>
              <w:right w:val="nil"/>
            </w:tcBorders>
            <w:shd w:val="clear" w:color="auto" w:fill="auto"/>
            <w:noWrap/>
            <w:vAlign w:val="bottom"/>
            <w:hideMark/>
          </w:tcPr>
          <w:p w14:paraId="6D88B41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 xml:space="preserve">Lesion size </w:t>
            </w:r>
          </w:p>
          <w:p w14:paraId="3072CEA6"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w:t>
            </w:r>
            <w:proofErr w:type="gramStart"/>
            <w:r w:rsidRPr="004D5859">
              <w:rPr>
                <w:rFonts w:ascii="Times New Roman" w:hAnsi="Times New Roman" w:cs="Times New Roman"/>
                <w:sz w:val="20"/>
                <w:szCs w:val="20"/>
              </w:rPr>
              <w:t>large</w:t>
            </w:r>
            <w:proofErr w:type="gramEnd"/>
            <w:r w:rsidRPr="004D5859">
              <w:rPr>
                <w:rFonts w:ascii="Times New Roman" w:hAnsi="Times New Roman" w:cs="Times New Roman"/>
                <w:sz w:val="20"/>
                <w:szCs w:val="20"/>
              </w:rPr>
              <w:t xml:space="preserve"> or very large </w:t>
            </w:r>
          </w:p>
          <w:p w14:paraId="3F6E7193" w14:textId="77777777" w:rsidR="00EF5F48" w:rsidRPr="004D5859" w:rsidRDefault="00EF5F48" w:rsidP="00AD0DF7">
            <w:pPr>
              <w:rPr>
                <w:rFonts w:ascii="Times New Roman" w:hAnsi="Times New Roman" w:cs="Times New Roman"/>
                <w:sz w:val="20"/>
                <w:szCs w:val="20"/>
              </w:rPr>
            </w:pPr>
            <w:proofErr w:type="gramStart"/>
            <w:r w:rsidRPr="004D5859">
              <w:rPr>
                <w:rFonts w:ascii="Times New Roman" w:hAnsi="Times New Roman" w:cs="Times New Roman"/>
                <w:sz w:val="20"/>
                <w:szCs w:val="20"/>
              </w:rPr>
              <w:t>vs</w:t>
            </w:r>
            <w:proofErr w:type="gramEnd"/>
            <w:r w:rsidRPr="004D5859">
              <w:rPr>
                <w:rFonts w:ascii="Times New Roman" w:hAnsi="Times New Roman" w:cs="Times New Roman"/>
                <w:sz w:val="20"/>
                <w:szCs w:val="20"/>
              </w:rPr>
              <w:t>. others)</w:t>
            </w:r>
          </w:p>
        </w:tc>
        <w:tc>
          <w:tcPr>
            <w:tcW w:w="1843" w:type="dxa"/>
            <w:tcBorders>
              <w:top w:val="nil"/>
              <w:left w:val="nil"/>
              <w:bottom w:val="nil"/>
              <w:right w:val="nil"/>
            </w:tcBorders>
            <w:shd w:val="clear" w:color="auto" w:fill="auto"/>
            <w:noWrap/>
            <w:vAlign w:val="bottom"/>
            <w:hideMark/>
          </w:tcPr>
          <w:p w14:paraId="0B07E1E2" w14:textId="77777777" w:rsidR="00EF5F48" w:rsidRPr="004D5859" w:rsidRDefault="00EF5F48" w:rsidP="00AD0DF7">
            <w:pPr>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8714789" w14:textId="77777777" w:rsidR="00EF5F48" w:rsidRPr="004D5859" w:rsidRDefault="00EF5F48" w:rsidP="00AD0DF7">
            <w:pPr>
              <w:rPr>
                <w:rFonts w:ascii="Times New Roman" w:hAnsi="Times New Roman" w:cs="Times New Roman"/>
                <w:sz w:val="20"/>
                <w:szCs w:val="20"/>
              </w:rPr>
            </w:pPr>
          </w:p>
        </w:tc>
        <w:tc>
          <w:tcPr>
            <w:tcW w:w="1951" w:type="dxa"/>
            <w:tcBorders>
              <w:top w:val="nil"/>
              <w:left w:val="nil"/>
              <w:bottom w:val="nil"/>
              <w:right w:val="nil"/>
            </w:tcBorders>
            <w:shd w:val="clear" w:color="auto" w:fill="auto"/>
            <w:noWrap/>
            <w:vAlign w:val="bottom"/>
            <w:hideMark/>
          </w:tcPr>
          <w:p w14:paraId="3CD22198"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0.57(0.35-0.92)</w:t>
            </w:r>
          </w:p>
        </w:tc>
        <w:tc>
          <w:tcPr>
            <w:tcW w:w="1115" w:type="dxa"/>
            <w:tcBorders>
              <w:top w:val="nil"/>
              <w:left w:val="nil"/>
              <w:bottom w:val="nil"/>
              <w:right w:val="nil"/>
            </w:tcBorders>
            <w:shd w:val="clear" w:color="auto" w:fill="auto"/>
            <w:noWrap/>
            <w:vAlign w:val="bottom"/>
            <w:hideMark/>
          </w:tcPr>
          <w:p w14:paraId="645FA15A"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0.0207</w:t>
            </w:r>
          </w:p>
        </w:tc>
      </w:tr>
      <w:tr w:rsidR="00EF5F48" w:rsidRPr="004D5859" w14:paraId="6CC07E40" w14:textId="77777777" w:rsidTr="00AD0DF7">
        <w:trPr>
          <w:trHeight w:val="300"/>
        </w:trPr>
        <w:tc>
          <w:tcPr>
            <w:tcW w:w="2977" w:type="dxa"/>
            <w:tcBorders>
              <w:top w:val="nil"/>
              <w:left w:val="nil"/>
              <w:bottom w:val="nil"/>
              <w:right w:val="nil"/>
            </w:tcBorders>
            <w:shd w:val="clear" w:color="auto" w:fill="auto"/>
            <w:noWrap/>
            <w:vAlign w:val="bottom"/>
            <w:hideMark/>
          </w:tcPr>
          <w:p w14:paraId="68E3ECD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Swelling</w:t>
            </w:r>
          </w:p>
        </w:tc>
        <w:tc>
          <w:tcPr>
            <w:tcW w:w="1843" w:type="dxa"/>
            <w:tcBorders>
              <w:top w:val="nil"/>
              <w:left w:val="nil"/>
              <w:bottom w:val="nil"/>
              <w:right w:val="nil"/>
            </w:tcBorders>
            <w:shd w:val="clear" w:color="auto" w:fill="auto"/>
            <w:noWrap/>
            <w:vAlign w:val="bottom"/>
            <w:hideMark/>
          </w:tcPr>
          <w:p w14:paraId="0B01D2D2" w14:textId="77777777" w:rsidR="00EF5F48" w:rsidRPr="004D5859" w:rsidRDefault="00EF5F48" w:rsidP="00AD0DF7">
            <w:pPr>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001662E" w14:textId="77777777" w:rsidR="00EF5F48" w:rsidRPr="004D5859" w:rsidRDefault="00EF5F48" w:rsidP="00AD0DF7">
            <w:pPr>
              <w:rPr>
                <w:rFonts w:ascii="Times New Roman" w:hAnsi="Times New Roman" w:cs="Times New Roman"/>
                <w:sz w:val="20"/>
                <w:szCs w:val="20"/>
              </w:rPr>
            </w:pPr>
          </w:p>
        </w:tc>
        <w:tc>
          <w:tcPr>
            <w:tcW w:w="1951" w:type="dxa"/>
            <w:tcBorders>
              <w:top w:val="nil"/>
              <w:left w:val="nil"/>
              <w:bottom w:val="nil"/>
              <w:right w:val="nil"/>
            </w:tcBorders>
            <w:shd w:val="clear" w:color="auto" w:fill="auto"/>
            <w:noWrap/>
            <w:vAlign w:val="bottom"/>
            <w:hideMark/>
          </w:tcPr>
          <w:p w14:paraId="30B9CCC7"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0.79(0.65-0.97)</w:t>
            </w:r>
          </w:p>
        </w:tc>
        <w:tc>
          <w:tcPr>
            <w:tcW w:w="1115" w:type="dxa"/>
            <w:tcBorders>
              <w:top w:val="nil"/>
              <w:left w:val="nil"/>
              <w:bottom w:val="nil"/>
              <w:right w:val="nil"/>
            </w:tcBorders>
            <w:shd w:val="clear" w:color="auto" w:fill="auto"/>
            <w:noWrap/>
            <w:vAlign w:val="bottom"/>
            <w:hideMark/>
          </w:tcPr>
          <w:p w14:paraId="62F1AE81"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0.0256</w:t>
            </w:r>
          </w:p>
        </w:tc>
      </w:tr>
      <w:tr w:rsidR="00EF5F48" w:rsidRPr="004D5859" w14:paraId="5737E9DD" w14:textId="77777777" w:rsidTr="00AD0DF7">
        <w:trPr>
          <w:trHeight w:val="300"/>
        </w:trPr>
        <w:tc>
          <w:tcPr>
            <w:tcW w:w="2977" w:type="dxa"/>
            <w:tcBorders>
              <w:top w:val="nil"/>
              <w:left w:val="nil"/>
              <w:bottom w:val="nil"/>
              <w:right w:val="nil"/>
            </w:tcBorders>
            <w:shd w:val="clear" w:color="auto" w:fill="auto"/>
            <w:noWrap/>
            <w:vAlign w:val="bottom"/>
            <w:hideMark/>
          </w:tcPr>
          <w:p w14:paraId="2FB852F7"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Hyperattenuated</w:t>
            </w:r>
            <w:proofErr w:type="spellEnd"/>
            <w:r w:rsidRPr="004D5859">
              <w:rPr>
                <w:rFonts w:ascii="Times New Roman" w:hAnsi="Times New Roman" w:cs="Times New Roman"/>
                <w:sz w:val="20"/>
                <w:szCs w:val="20"/>
              </w:rPr>
              <w:t xml:space="preserve"> arteries</w:t>
            </w:r>
          </w:p>
        </w:tc>
        <w:tc>
          <w:tcPr>
            <w:tcW w:w="1843" w:type="dxa"/>
            <w:tcBorders>
              <w:top w:val="nil"/>
              <w:left w:val="nil"/>
              <w:bottom w:val="nil"/>
              <w:right w:val="nil"/>
            </w:tcBorders>
            <w:shd w:val="clear" w:color="auto" w:fill="auto"/>
            <w:noWrap/>
            <w:vAlign w:val="bottom"/>
            <w:hideMark/>
          </w:tcPr>
          <w:p w14:paraId="4D538EF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1.86(1.09-3.17)</w:t>
            </w:r>
          </w:p>
        </w:tc>
        <w:tc>
          <w:tcPr>
            <w:tcW w:w="1134" w:type="dxa"/>
            <w:tcBorders>
              <w:top w:val="nil"/>
              <w:left w:val="nil"/>
              <w:bottom w:val="nil"/>
              <w:right w:val="nil"/>
            </w:tcBorders>
            <w:shd w:val="clear" w:color="auto" w:fill="auto"/>
            <w:noWrap/>
            <w:vAlign w:val="bottom"/>
            <w:hideMark/>
          </w:tcPr>
          <w:p w14:paraId="19A18822"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0.0227</w:t>
            </w:r>
          </w:p>
        </w:tc>
        <w:tc>
          <w:tcPr>
            <w:tcW w:w="1951" w:type="dxa"/>
            <w:tcBorders>
              <w:top w:val="nil"/>
              <w:left w:val="nil"/>
              <w:bottom w:val="nil"/>
              <w:right w:val="nil"/>
            </w:tcBorders>
            <w:shd w:val="clear" w:color="auto" w:fill="auto"/>
            <w:noWrap/>
            <w:vAlign w:val="bottom"/>
            <w:hideMark/>
          </w:tcPr>
          <w:p w14:paraId="64F03C5E"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0.68(0.54-0.87)</w:t>
            </w:r>
          </w:p>
        </w:tc>
        <w:tc>
          <w:tcPr>
            <w:tcW w:w="1115" w:type="dxa"/>
            <w:tcBorders>
              <w:top w:val="nil"/>
              <w:left w:val="nil"/>
              <w:bottom w:val="nil"/>
              <w:right w:val="nil"/>
            </w:tcBorders>
            <w:shd w:val="clear" w:color="auto" w:fill="auto"/>
            <w:noWrap/>
            <w:vAlign w:val="bottom"/>
            <w:hideMark/>
          </w:tcPr>
          <w:p w14:paraId="6F48CEF1"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0.0018</w:t>
            </w:r>
          </w:p>
        </w:tc>
      </w:tr>
      <w:tr w:rsidR="00EF5F48" w:rsidRPr="004D5859" w14:paraId="674ED49C" w14:textId="77777777" w:rsidTr="00AD0DF7">
        <w:trPr>
          <w:trHeight w:val="320"/>
        </w:trPr>
        <w:tc>
          <w:tcPr>
            <w:tcW w:w="2977" w:type="dxa"/>
            <w:tcBorders>
              <w:top w:val="nil"/>
              <w:left w:val="nil"/>
              <w:bottom w:val="nil"/>
              <w:right w:val="nil"/>
            </w:tcBorders>
            <w:shd w:val="clear" w:color="auto" w:fill="auto"/>
            <w:vAlign w:val="bottom"/>
            <w:hideMark/>
          </w:tcPr>
          <w:p w14:paraId="171395EF"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Old infarct</w:t>
            </w:r>
          </w:p>
        </w:tc>
        <w:tc>
          <w:tcPr>
            <w:tcW w:w="1843" w:type="dxa"/>
            <w:tcBorders>
              <w:top w:val="nil"/>
              <w:left w:val="nil"/>
              <w:bottom w:val="nil"/>
              <w:right w:val="nil"/>
            </w:tcBorders>
            <w:shd w:val="clear" w:color="auto" w:fill="auto"/>
            <w:noWrap/>
            <w:vAlign w:val="bottom"/>
            <w:hideMark/>
          </w:tcPr>
          <w:p w14:paraId="656BB2B6" w14:textId="77777777" w:rsidR="00EF5F48" w:rsidRPr="004D5859" w:rsidRDefault="00EF5F48" w:rsidP="00AD0DF7">
            <w:pPr>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FB3D57E" w14:textId="77777777" w:rsidR="00EF5F48" w:rsidRPr="004D5859" w:rsidRDefault="00EF5F48" w:rsidP="00AD0DF7">
            <w:pPr>
              <w:rPr>
                <w:rFonts w:ascii="Times New Roman" w:hAnsi="Times New Roman" w:cs="Times New Roman"/>
                <w:sz w:val="20"/>
                <w:szCs w:val="20"/>
              </w:rPr>
            </w:pPr>
          </w:p>
        </w:tc>
        <w:tc>
          <w:tcPr>
            <w:tcW w:w="1951" w:type="dxa"/>
            <w:tcBorders>
              <w:top w:val="nil"/>
              <w:left w:val="nil"/>
              <w:bottom w:val="nil"/>
              <w:right w:val="nil"/>
            </w:tcBorders>
            <w:shd w:val="clear" w:color="auto" w:fill="auto"/>
            <w:noWrap/>
            <w:vAlign w:val="bottom"/>
            <w:hideMark/>
          </w:tcPr>
          <w:p w14:paraId="611239C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0.76(0.63-0.91)</w:t>
            </w:r>
          </w:p>
        </w:tc>
        <w:tc>
          <w:tcPr>
            <w:tcW w:w="1115" w:type="dxa"/>
            <w:tcBorders>
              <w:top w:val="nil"/>
              <w:left w:val="nil"/>
              <w:bottom w:val="nil"/>
              <w:right w:val="nil"/>
            </w:tcBorders>
            <w:shd w:val="clear" w:color="auto" w:fill="auto"/>
            <w:noWrap/>
            <w:vAlign w:val="bottom"/>
            <w:hideMark/>
          </w:tcPr>
          <w:p w14:paraId="133EB267"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0.0038</w:t>
            </w:r>
          </w:p>
        </w:tc>
      </w:tr>
      <w:tr w:rsidR="00EF5F48" w:rsidRPr="004D5859" w14:paraId="77703A44" w14:textId="77777777" w:rsidTr="00AD0DF7">
        <w:trPr>
          <w:trHeight w:val="300"/>
        </w:trPr>
        <w:tc>
          <w:tcPr>
            <w:tcW w:w="2977" w:type="dxa"/>
            <w:tcBorders>
              <w:top w:val="nil"/>
              <w:left w:val="nil"/>
              <w:bottom w:val="nil"/>
              <w:right w:val="nil"/>
            </w:tcBorders>
            <w:shd w:val="clear" w:color="auto" w:fill="auto"/>
            <w:noWrap/>
            <w:vAlign w:val="bottom"/>
            <w:hideMark/>
          </w:tcPr>
          <w:p w14:paraId="563F518B"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Hypoattenuation</w:t>
            </w:r>
            <w:proofErr w:type="spellEnd"/>
            <w:r w:rsidRPr="004D5859">
              <w:rPr>
                <w:rFonts w:ascii="Times New Roman" w:hAnsi="Times New Roman" w:cs="Times New Roman"/>
                <w:sz w:val="20"/>
                <w:szCs w:val="20"/>
              </w:rPr>
              <w:t xml:space="preserve"> </w:t>
            </w:r>
          </w:p>
          <w:p w14:paraId="56281869"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w:t>
            </w:r>
            <w:proofErr w:type="gramStart"/>
            <w:r w:rsidRPr="004D5859">
              <w:rPr>
                <w:rFonts w:ascii="Times New Roman" w:hAnsi="Times New Roman" w:cs="Times New Roman"/>
                <w:sz w:val="20"/>
                <w:szCs w:val="20"/>
              </w:rPr>
              <w:t>mild</w:t>
            </w:r>
            <w:proofErr w:type="gramEnd"/>
            <w:r w:rsidRPr="004D5859">
              <w:rPr>
                <w:rFonts w:ascii="Times New Roman" w:hAnsi="Times New Roman" w:cs="Times New Roman"/>
                <w:sz w:val="20"/>
                <w:szCs w:val="20"/>
              </w:rPr>
              <w:t xml:space="preserve"> vs. none)</w:t>
            </w:r>
          </w:p>
        </w:tc>
        <w:tc>
          <w:tcPr>
            <w:tcW w:w="1843" w:type="dxa"/>
            <w:tcBorders>
              <w:top w:val="nil"/>
              <w:left w:val="nil"/>
              <w:bottom w:val="nil"/>
              <w:right w:val="nil"/>
            </w:tcBorders>
            <w:shd w:val="clear" w:color="auto" w:fill="auto"/>
            <w:noWrap/>
            <w:vAlign w:val="bottom"/>
            <w:hideMark/>
          </w:tcPr>
          <w:p w14:paraId="5B3D68F5" w14:textId="77777777" w:rsidR="00EF5F48" w:rsidRPr="004D5859" w:rsidRDefault="00EF5F48" w:rsidP="00AD0DF7">
            <w:pPr>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5DF05FA9" w14:textId="77777777" w:rsidR="00EF5F48" w:rsidRPr="004D5859" w:rsidRDefault="00EF5F48" w:rsidP="00AD0DF7">
            <w:pPr>
              <w:rPr>
                <w:rFonts w:ascii="Times New Roman" w:hAnsi="Times New Roman" w:cs="Times New Roman"/>
                <w:sz w:val="20"/>
                <w:szCs w:val="20"/>
              </w:rPr>
            </w:pPr>
          </w:p>
        </w:tc>
        <w:tc>
          <w:tcPr>
            <w:tcW w:w="1951" w:type="dxa"/>
            <w:tcBorders>
              <w:top w:val="nil"/>
              <w:left w:val="nil"/>
              <w:bottom w:val="nil"/>
              <w:right w:val="nil"/>
            </w:tcBorders>
            <w:shd w:val="clear" w:color="auto" w:fill="auto"/>
            <w:noWrap/>
            <w:vAlign w:val="bottom"/>
            <w:hideMark/>
          </w:tcPr>
          <w:p w14:paraId="6992BC5F" w14:textId="77777777" w:rsidR="00EF5F48" w:rsidRPr="004D5859" w:rsidRDefault="00EF5F48" w:rsidP="00AD0DF7">
            <w:pPr>
              <w:rPr>
                <w:rFonts w:ascii="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3D516A85" w14:textId="77777777" w:rsidR="00EF5F48" w:rsidRPr="004D5859" w:rsidRDefault="00EF5F48" w:rsidP="00AD0DF7">
            <w:pPr>
              <w:rPr>
                <w:rFonts w:ascii="Times New Roman" w:hAnsi="Times New Roman" w:cs="Times New Roman"/>
                <w:b/>
                <w:sz w:val="20"/>
                <w:szCs w:val="20"/>
              </w:rPr>
            </w:pPr>
          </w:p>
        </w:tc>
      </w:tr>
      <w:tr w:rsidR="00EF5F48" w:rsidRPr="004D5859" w14:paraId="30D9ECCE" w14:textId="77777777" w:rsidTr="00AD0DF7">
        <w:trPr>
          <w:trHeight w:val="300"/>
        </w:trPr>
        <w:tc>
          <w:tcPr>
            <w:tcW w:w="2977" w:type="dxa"/>
            <w:tcBorders>
              <w:top w:val="nil"/>
              <w:left w:val="nil"/>
              <w:bottom w:val="nil"/>
              <w:right w:val="nil"/>
            </w:tcBorders>
            <w:shd w:val="clear" w:color="auto" w:fill="auto"/>
            <w:noWrap/>
            <w:vAlign w:val="bottom"/>
            <w:hideMark/>
          </w:tcPr>
          <w:p w14:paraId="27784D9F"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Hypoattenuation</w:t>
            </w:r>
            <w:proofErr w:type="spellEnd"/>
            <w:r w:rsidRPr="004D5859">
              <w:rPr>
                <w:rFonts w:ascii="Times New Roman" w:hAnsi="Times New Roman" w:cs="Times New Roman"/>
                <w:sz w:val="20"/>
                <w:szCs w:val="20"/>
              </w:rPr>
              <w:t xml:space="preserve"> </w:t>
            </w:r>
          </w:p>
          <w:p w14:paraId="4D469D9C"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w:t>
            </w:r>
            <w:proofErr w:type="gramStart"/>
            <w:r w:rsidRPr="004D5859">
              <w:rPr>
                <w:rFonts w:ascii="Times New Roman" w:hAnsi="Times New Roman" w:cs="Times New Roman"/>
                <w:sz w:val="20"/>
                <w:szCs w:val="20"/>
              </w:rPr>
              <w:t>severe</w:t>
            </w:r>
            <w:proofErr w:type="gramEnd"/>
            <w:r w:rsidRPr="004D5859">
              <w:rPr>
                <w:rFonts w:ascii="Times New Roman" w:hAnsi="Times New Roman" w:cs="Times New Roman"/>
                <w:sz w:val="20"/>
                <w:szCs w:val="20"/>
              </w:rPr>
              <w:t xml:space="preserve"> vs. none)</w:t>
            </w:r>
          </w:p>
        </w:tc>
        <w:tc>
          <w:tcPr>
            <w:tcW w:w="1843" w:type="dxa"/>
            <w:tcBorders>
              <w:top w:val="nil"/>
              <w:left w:val="nil"/>
              <w:bottom w:val="nil"/>
              <w:right w:val="nil"/>
            </w:tcBorders>
            <w:shd w:val="clear" w:color="auto" w:fill="auto"/>
            <w:noWrap/>
            <w:vAlign w:val="bottom"/>
            <w:hideMark/>
          </w:tcPr>
          <w:p w14:paraId="29194323" w14:textId="77777777" w:rsidR="00EF5F48" w:rsidRPr="004D5859" w:rsidRDefault="00EF5F48" w:rsidP="00AD0DF7">
            <w:pPr>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9316AE8" w14:textId="77777777" w:rsidR="00EF5F48" w:rsidRPr="004D5859" w:rsidRDefault="00EF5F48" w:rsidP="00AD0DF7">
            <w:pPr>
              <w:rPr>
                <w:rFonts w:ascii="Times New Roman" w:hAnsi="Times New Roman" w:cs="Times New Roman"/>
                <w:sz w:val="20"/>
                <w:szCs w:val="20"/>
              </w:rPr>
            </w:pPr>
          </w:p>
        </w:tc>
        <w:tc>
          <w:tcPr>
            <w:tcW w:w="1951" w:type="dxa"/>
            <w:tcBorders>
              <w:top w:val="nil"/>
              <w:left w:val="nil"/>
              <w:bottom w:val="nil"/>
              <w:right w:val="nil"/>
            </w:tcBorders>
            <w:shd w:val="clear" w:color="auto" w:fill="auto"/>
            <w:noWrap/>
            <w:vAlign w:val="bottom"/>
            <w:hideMark/>
          </w:tcPr>
          <w:p w14:paraId="07DF3448" w14:textId="77777777" w:rsidR="00EF5F48" w:rsidRPr="004D5859" w:rsidRDefault="00EF5F48" w:rsidP="00AD0DF7">
            <w:pPr>
              <w:rPr>
                <w:rFonts w:ascii="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18E55426" w14:textId="77777777" w:rsidR="00EF5F48" w:rsidRPr="004D5859" w:rsidRDefault="00EF5F48" w:rsidP="00AD0DF7">
            <w:pPr>
              <w:rPr>
                <w:rFonts w:ascii="Times New Roman" w:hAnsi="Times New Roman" w:cs="Times New Roman"/>
                <w:b/>
                <w:sz w:val="20"/>
                <w:szCs w:val="20"/>
              </w:rPr>
            </w:pPr>
          </w:p>
        </w:tc>
      </w:tr>
      <w:tr w:rsidR="00EF5F48" w:rsidRPr="004D5859" w14:paraId="0EB12792" w14:textId="77777777" w:rsidTr="00AD0DF7">
        <w:trPr>
          <w:trHeight w:val="300"/>
        </w:trPr>
        <w:tc>
          <w:tcPr>
            <w:tcW w:w="2977" w:type="dxa"/>
            <w:tcBorders>
              <w:top w:val="nil"/>
              <w:left w:val="nil"/>
              <w:right w:val="nil"/>
            </w:tcBorders>
            <w:shd w:val="clear" w:color="auto" w:fill="auto"/>
            <w:noWrap/>
            <w:vAlign w:val="bottom"/>
            <w:hideMark/>
          </w:tcPr>
          <w:p w14:paraId="335E5AC0"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Leukoaraiosis</w:t>
            </w:r>
            <w:proofErr w:type="spellEnd"/>
          </w:p>
          <w:p w14:paraId="45CC4F4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w:t>
            </w:r>
            <w:proofErr w:type="gramStart"/>
            <w:r w:rsidRPr="004D5859">
              <w:rPr>
                <w:rFonts w:ascii="Times New Roman" w:hAnsi="Times New Roman" w:cs="Times New Roman"/>
                <w:sz w:val="20"/>
                <w:szCs w:val="20"/>
              </w:rPr>
              <w:t>mild</w:t>
            </w:r>
            <w:proofErr w:type="gramEnd"/>
            <w:r w:rsidRPr="004D5859">
              <w:rPr>
                <w:rFonts w:ascii="Times New Roman" w:hAnsi="Times New Roman" w:cs="Times New Roman"/>
                <w:sz w:val="20"/>
                <w:szCs w:val="20"/>
              </w:rPr>
              <w:t xml:space="preserve"> vs. none)</w:t>
            </w:r>
          </w:p>
        </w:tc>
        <w:tc>
          <w:tcPr>
            <w:tcW w:w="1843" w:type="dxa"/>
            <w:tcBorders>
              <w:top w:val="nil"/>
              <w:left w:val="nil"/>
              <w:right w:val="nil"/>
            </w:tcBorders>
            <w:shd w:val="clear" w:color="auto" w:fill="auto"/>
            <w:noWrap/>
            <w:vAlign w:val="bottom"/>
            <w:hideMark/>
          </w:tcPr>
          <w:p w14:paraId="4A09C389" w14:textId="77777777" w:rsidR="00EF5F48" w:rsidRPr="004D5859" w:rsidRDefault="00EF5F48" w:rsidP="00AD0DF7">
            <w:pPr>
              <w:rPr>
                <w:rFonts w:ascii="Times New Roman" w:hAnsi="Times New Roman" w:cs="Times New Roman"/>
                <w:sz w:val="20"/>
                <w:szCs w:val="20"/>
              </w:rPr>
            </w:pPr>
          </w:p>
        </w:tc>
        <w:tc>
          <w:tcPr>
            <w:tcW w:w="1134" w:type="dxa"/>
            <w:tcBorders>
              <w:top w:val="nil"/>
              <w:left w:val="nil"/>
              <w:right w:val="nil"/>
            </w:tcBorders>
            <w:shd w:val="clear" w:color="auto" w:fill="auto"/>
            <w:noWrap/>
            <w:vAlign w:val="bottom"/>
            <w:hideMark/>
          </w:tcPr>
          <w:p w14:paraId="739F44D2" w14:textId="77777777" w:rsidR="00EF5F48" w:rsidRPr="004D5859" w:rsidRDefault="00EF5F48" w:rsidP="00AD0DF7">
            <w:pPr>
              <w:rPr>
                <w:rFonts w:ascii="Times New Roman" w:hAnsi="Times New Roman" w:cs="Times New Roman"/>
                <w:sz w:val="20"/>
                <w:szCs w:val="20"/>
              </w:rPr>
            </w:pPr>
          </w:p>
        </w:tc>
        <w:tc>
          <w:tcPr>
            <w:tcW w:w="1951" w:type="dxa"/>
            <w:tcBorders>
              <w:top w:val="nil"/>
              <w:left w:val="nil"/>
              <w:right w:val="nil"/>
            </w:tcBorders>
            <w:shd w:val="clear" w:color="auto" w:fill="auto"/>
            <w:noWrap/>
            <w:vAlign w:val="bottom"/>
            <w:hideMark/>
          </w:tcPr>
          <w:p w14:paraId="40201544"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0.78(0.62-0.99)</w:t>
            </w:r>
          </w:p>
        </w:tc>
        <w:tc>
          <w:tcPr>
            <w:tcW w:w="1115" w:type="dxa"/>
            <w:tcBorders>
              <w:top w:val="nil"/>
              <w:left w:val="nil"/>
              <w:right w:val="nil"/>
            </w:tcBorders>
            <w:shd w:val="clear" w:color="auto" w:fill="auto"/>
            <w:noWrap/>
            <w:vAlign w:val="bottom"/>
            <w:hideMark/>
          </w:tcPr>
          <w:p w14:paraId="29DC979D"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0.0369</w:t>
            </w:r>
          </w:p>
        </w:tc>
      </w:tr>
      <w:tr w:rsidR="00EF5F48" w:rsidRPr="004D5859" w14:paraId="1A5C289F" w14:textId="77777777" w:rsidTr="00AD0DF7">
        <w:trPr>
          <w:trHeight w:val="469"/>
        </w:trPr>
        <w:tc>
          <w:tcPr>
            <w:tcW w:w="2977" w:type="dxa"/>
            <w:tcBorders>
              <w:top w:val="nil"/>
              <w:left w:val="nil"/>
              <w:bottom w:val="single" w:sz="4" w:space="0" w:color="auto"/>
              <w:right w:val="nil"/>
            </w:tcBorders>
            <w:shd w:val="clear" w:color="auto" w:fill="auto"/>
            <w:noWrap/>
            <w:vAlign w:val="bottom"/>
          </w:tcPr>
          <w:p w14:paraId="3D47D518" w14:textId="77777777" w:rsidR="00EF5F48" w:rsidRPr="004D5859" w:rsidRDefault="00EF5F48" w:rsidP="00AD0DF7">
            <w:pPr>
              <w:rPr>
                <w:rFonts w:ascii="Times New Roman" w:hAnsi="Times New Roman" w:cs="Times New Roman"/>
                <w:sz w:val="20"/>
                <w:szCs w:val="20"/>
              </w:rPr>
            </w:pPr>
            <w:proofErr w:type="spellStart"/>
            <w:r w:rsidRPr="004D5859">
              <w:rPr>
                <w:rFonts w:ascii="Times New Roman" w:hAnsi="Times New Roman" w:cs="Times New Roman"/>
                <w:sz w:val="20"/>
                <w:szCs w:val="20"/>
              </w:rPr>
              <w:t>Leukaraiosis</w:t>
            </w:r>
            <w:proofErr w:type="spellEnd"/>
            <w:r w:rsidRPr="004D5859">
              <w:rPr>
                <w:rFonts w:ascii="Times New Roman" w:hAnsi="Times New Roman" w:cs="Times New Roman"/>
                <w:sz w:val="20"/>
                <w:szCs w:val="20"/>
              </w:rPr>
              <w:t xml:space="preserve">  </w:t>
            </w:r>
          </w:p>
          <w:p w14:paraId="07C6D762"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w:t>
            </w:r>
            <w:proofErr w:type="gramStart"/>
            <w:r w:rsidRPr="004D5859">
              <w:rPr>
                <w:rFonts w:ascii="Times New Roman" w:hAnsi="Times New Roman" w:cs="Times New Roman"/>
                <w:sz w:val="20"/>
                <w:szCs w:val="20"/>
              </w:rPr>
              <w:t>severe</w:t>
            </w:r>
            <w:proofErr w:type="gramEnd"/>
            <w:r w:rsidRPr="004D5859">
              <w:rPr>
                <w:rFonts w:ascii="Times New Roman" w:hAnsi="Times New Roman" w:cs="Times New Roman"/>
                <w:sz w:val="20"/>
                <w:szCs w:val="20"/>
              </w:rPr>
              <w:t xml:space="preserve"> vs. none)</w:t>
            </w:r>
          </w:p>
        </w:tc>
        <w:tc>
          <w:tcPr>
            <w:tcW w:w="1843" w:type="dxa"/>
            <w:tcBorders>
              <w:top w:val="nil"/>
              <w:left w:val="nil"/>
              <w:bottom w:val="single" w:sz="4" w:space="0" w:color="auto"/>
              <w:right w:val="nil"/>
            </w:tcBorders>
            <w:shd w:val="clear" w:color="auto" w:fill="auto"/>
            <w:noWrap/>
            <w:vAlign w:val="bottom"/>
          </w:tcPr>
          <w:p w14:paraId="72418006" w14:textId="77777777" w:rsidR="00EF5F48" w:rsidRPr="004D5859" w:rsidRDefault="00EF5F48" w:rsidP="00AD0DF7">
            <w:pPr>
              <w:rPr>
                <w:rFonts w:ascii="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bottom"/>
          </w:tcPr>
          <w:p w14:paraId="55D95393" w14:textId="77777777" w:rsidR="00EF5F48" w:rsidRPr="004D5859" w:rsidRDefault="00EF5F48" w:rsidP="00AD0DF7">
            <w:pPr>
              <w:rPr>
                <w:rFonts w:ascii="Times New Roman" w:hAnsi="Times New Roman" w:cs="Times New Roman"/>
                <w:sz w:val="20"/>
                <w:szCs w:val="20"/>
              </w:rPr>
            </w:pPr>
          </w:p>
        </w:tc>
        <w:tc>
          <w:tcPr>
            <w:tcW w:w="1951" w:type="dxa"/>
            <w:tcBorders>
              <w:top w:val="nil"/>
              <w:left w:val="nil"/>
              <w:bottom w:val="single" w:sz="4" w:space="0" w:color="auto"/>
              <w:right w:val="nil"/>
            </w:tcBorders>
            <w:shd w:val="clear" w:color="auto" w:fill="auto"/>
            <w:noWrap/>
            <w:vAlign w:val="bottom"/>
          </w:tcPr>
          <w:p w14:paraId="0D680FBD" w14:textId="77777777" w:rsidR="00EF5F48" w:rsidRPr="004D5859" w:rsidRDefault="00EF5F48" w:rsidP="00AD0DF7">
            <w:pPr>
              <w:rPr>
                <w:rFonts w:ascii="Times New Roman" w:hAnsi="Times New Roman" w:cs="Times New Roman"/>
                <w:sz w:val="20"/>
                <w:szCs w:val="20"/>
              </w:rPr>
            </w:pPr>
            <w:r w:rsidRPr="004D5859">
              <w:rPr>
                <w:rFonts w:ascii="Times New Roman" w:hAnsi="Times New Roman" w:cs="Times New Roman"/>
                <w:sz w:val="20"/>
                <w:szCs w:val="20"/>
              </w:rPr>
              <w:t>0.61(0.46-0.82)</w:t>
            </w:r>
          </w:p>
        </w:tc>
        <w:tc>
          <w:tcPr>
            <w:tcW w:w="1115" w:type="dxa"/>
            <w:tcBorders>
              <w:top w:val="nil"/>
              <w:left w:val="nil"/>
              <w:bottom w:val="single" w:sz="4" w:space="0" w:color="auto"/>
              <w:right w:val="nil"/>
            </w:tcBorders>
            <w:shd w:val="clear" w:color="auto" w:fill="auto"/>
            <w:noWrap/>
            <w:vAlign w:val="bottom"/>
          </w:tcPr>
          <w:p w14:paraId="6C307743" w14:textId="77777777" w:rsidR="00EF5F48" w:rsidRPr="004D5859" w:rsidRDefault="00EF5F48" w:rsidP="00AD0DF7">
            <w:pPr>
              <w:rPr>
                <w:rFonts w:ascii="Times New Roman" w:hAnsi="Times New Roman" w:cs="Times New Roman"/>
                <w:b/>
                <w:sz w:val="20"/>
                <w:szCs w:val="20"/>
              </w:rPr>
            </w:pPr>
            <w:r w:rsidRPr="004D5859">
              <w:rPr>
                <w:rFonts w:ascii="Times New Roman" w:hAnsi="Times New Roman" w:cs="Times New Roman"/>
                <w:b/>
                <w:sz w:val="20"/>
                <w:szCs w:val="20"/>
              </w:rPr>
              <w:t>0.0011</w:t>
            </w:r>
          </w:p>
        </w:tc>
      </w:tr>
    </w:tbl>
    <w:p w14:paraId="5C8F2929" w14:textId="77777777" w:rsidR="00EF5F48" w:rsidRPr="004D5859" w:rsidRDefault="00EF5F48" w:rsidP="00EF5F48">
      <w:pPr>
        <w:spacing w:before="60"/>
        <w:rPr>
          <w:rFonts w:ascii="Times New Roman" w:hAnsi="Times New Roman" w:cs="Times New Roman"/>
          <w:sz w:val="20"/>
          <w:szCs w:val="20"/>
        </w:rPr>
      </w:pPr>
      <w:r w:rsidRPr="004D5859">
        <w:rPr>
          <w:rFonts w:ascii="Times New Roman" w:hAnsi="Times New Roman" w:cs="Times New Roman"/>
          <w:sz w:val="20"/>
          <w:szCs w:val="20"/>
        </w:rPr>
        <w:t xml:space="preserve">Data are </w:t>
      </w:r>
      <w:r>
        <w:rPr>
          <w:rFonts w:ascii="Times New Roman" w:hAnsi="Times New Roman" w:cs="Times New Roman"/>
          <w:sz w:val="20"/>
          <w:szCs w:val="20"/>
        </w:rPr>
        <w:t>adjusted for age, NIHSS and time to randomisation</w:t>
      </w:r>
      <w:r w:rsidRPr="004D5859">
        <w:rPr>
          <w:rFonts w:ascii="Times New Roman" w:hAnsi="Times New Roman" w:cs="Times New Roman"/>
          <w:sz w:val="20"/>
          <w:szCs w:val="20"/>
        </w:rPr>
        <w:t>.</w:t>
      </w:r>
    </w:p>
    <w:p w14:paraId="2745EDFE" w14:textId="7B2AFC15" w:rsidR="00EF5F48" w:rsidRPr="004D5859" w:rsidRDefault="00EF5F48" w:rsidP="00EF5F48">
      <w:pPr>
        <w:spacing w:before="120"/>
        <w:rPr>
          <w:rFonts w:ascii="Times New Roman" w:hAnsi="Times New Roman" w:cs="Times New Roman"/>
          <w:sz w:val="20"/>
          <w:szCs w:val="20"/>
        </w:rPr>
      </w:pPr>
      <w:r w:rsidRPr="00655DBF">
        <w:rPr>
          <w:rFonts w:ascii="Times New Roman" w:hAnsi="Times New Roman" w:cs="Times New Roman"/>
          <w:sz w:val="20"/>
          <w:szCs w:val="20"/>
          <w:lang w:val="fr-FR"/>
        </w:rPr>
        <w:t xml:space="preserve">CI </w:t>
      </w:r>
      <w:proofErr w:type="spellStart"/>
      <w:r w:rsidRPr="00655DBF">
        <w:rPr>
          <w:rFonts w:ascii="Times New Roman" w:hAnsi="Times New Roman" w:cs="Times New Roman"/>
          <w:sz w:val="20"/>
          <w:szCs w:val="20"/>
          <w:lang w:val="fr-FR"/>
        </w:rPr>
        <w:t>denotes</w:t>
      </w:r>
      <w:proofErr w:type="spellEnd"/>
      <w:r w:rsidRPr="00655DBF">
        <w:rPr>
          <w:rFonts w:ascii="Times New Roman" w:hAnsi="Times New Roman" w:cs="Times New Roman"/>
          <w:sz w:val="20"/>
          <w:szCs w:val="20"/>
          <w:lang w:val="fr-FR"/>
        </w:rPr>
        <w:t xml:space="preserve"> confidence </w:t>
      </w:r>
      <w:proofErr w:type="spellStart"/>
      <w:r w:rsidRPr="00655DBF">
        <w:rPr>
          <w:rFonts w:ascii="Times New Roman" w:hAnsi="Times New Roman" w:cs="Times New Roman"/>
          <w:sz w:val="20"/>
          <w:szCs w:val="20"/>
          <w:lang w:val="fr-FR"/>
        </w:rPr>
        <w:t>interval</w:t>
      </w:r>
      <w:proofErr w:type="spellEnd"/>
      <w:r w:rsidRPr="00655DBF">
        <w:rPr>
          <w:rFonts w:ascii="Times New Roman" w:hAnsi="Times New Roman" w:cs="Times New Roman"/>
          <w:sz w:val="20"/>
          <w:szCs w:val="20"/>
          <w:lang w:val="fr-FR"/>
        </w:rPr>
        <w:t xml:space="preserve">, NIHSS National </w:t>
      </w:r>
      <w:proofErr w:type="spellStart"/>
      <w:r w:rsidRPr="004D5859">
        <w:rPr>
          <w:rFonts w:ascii="Times New Roman" w:hAnsi="Times New Roman" w:cs="Times New Roman"/>
          <w:sz w:val="20"/>
          <w:szCs w:val="20"/>
        </w:rPr>
        <w:t>mRS</w:t>
      </w:r>
      <w:proofErr w:type="spellEnd"/>
      <w:r w:rsidRPr="004D5859">
        <w:rPr>
          <w:rFonts w:ascii="Times New Roman" w:hAnsi="Times New Roman" w:cs="Times New Roman"/>
          <w:sz w:val="20"/>
          <w:szCs w:val="20"/>
        </w:rPr>
        <w:t xml:space="preserve"> denotes modified Rankin Score, NIHSS National Institutes of Health Stroke Scale, </w:t>
      </w:r>
      <w:proofErr w:type="spellStart"/>
      <w:r w:rsidRPr="004D5859">
        <w:rPr>
          <w:rFonts w:ascii="Times New Roman" w:hAnsi="Times New Roman" w:cs="Times New Roman"/>
          <w:sz w:val="20"/>
          <w:szCs w:val="20"/>
        </w:rPr>
        <w:t>sICH</w:t>
      </w:r>
      <w:proofErr w:type="spellEnd"/>
      <w:r w:rsidRPr="004D5859">
        <w:rPr>
          <w:rFonts w:ascii="Times New Roman" w:hAnsi="Times New Roman" w:cs="Times New Roman"/>
          <w:sz w:val="20"/>
          <w:szCs w:val="20"/>
        </w:rPr>
        <w:t xml:space="preserve"> symptomatic </w:t>
      </w:r>
      <w:proofErr w:type="spellStart"/>
      <w:r w:rsidRPr="004D5859">
        <w:rPr>
          <w:rFonts w:ascii="Times New Roman" w:hAnsi="Times New Roman" w:cs="Times New Roman"/>
          <w:sz w:val="20"/>
          <w:szCs w:val="20"/>
        </w:rPr>
        <w:t>intracerebral</w:t>
      </w:r>
      <w:proofErr w:type="spellEnd"/>
      <w:r w:rsidRPr="004D5859">
        <w:rPr>
          <w:rFonts w:ascii="Times New Roman" w:hAnsi="Times New Roman" w:cs="Times New Roman"/>
          <w:sz w:val="20"/>
          <w:szCs w:val="20"/>
        </w:rPr>
        <w:t xml:space="preserve"> </w:t>
      </w:r>
      <w:r>
        <w:rPr>
          <w:rFonts w:ascii="Times New Roman" w:hAnsi="Times New Roman" w:cs="Times New Roman"/>
          <w:sz w:val="20"/>
          <w:szCs w:val="20"/>
        </w:rPr>
        <w:t>haemorrhage</w:t>
      </w:r>
      <w:r w:rsidRPr="004D5859">
        <w:rPr>
          <w:rFonts w:ascii="Times New Roman" w:hAnsi="Times New Roman" w:cs="Times New Roman"/>
          <w:sz w:val="20"/>
          <w:szCs w:val="20"/>
        </w:rPr>
        <w:t xml:space="preserve"> according to IST3 definition</w:t>
      </w:r>
    </w:p>
    <w:p w14:paraId="3E62234A" w14:textId="77777777" w:rsidR="00BF12A7" w:rsidRPr="004D5859" w:rsidRDefault="00BF12A7">
      <w:pPr>
        <w:rPr>
          <w:rFonts w:ascii="Times New Roman" w:hAnsi="Times New Roman" w:cs="Times New Roman"/>
          <w:b/>
        </w:rPr>
      </w:pPr>
    </w:p>
    <w:p w14:paraId="7E968E36" w14:textId="77777777" w:rsidR="00EF5F48" w:rsidRDefault="00EF5F48" w:rsidP="001174F9">
      <w:pPr>
        <w:spacing w:after="120" w:line="480" w:lineRule="auto"/>
        <w:jc w:val="both"/>
        <w:rPr>
          <w:rFonts w:ascii="Times New Roman" w:hAnsi="Times New Roman" w:cs="Times New Roman"/>
          <w:b/>
        </w:rPr>
        <w:sectPr w:rsidR="00EF5F48" w:rsidSect="00EF5F48">
          <w:pgSz w:w="16840" w:h="11900" w:orient="landscape"/>
          <w:pgMar w:top="1440" w:right="1440" w:bottom="1440" w:left="1440" w:header="709" w:footer="708" w:gutter="0"/>
          <w:cols w:space="708"/>
          <w:docGrid w:linePitch="360"/>
        </w:sectPr>
      </w:pPr>
    </w:p>
    <w:p w14:paraId="05EEF2CD" w14:textId="0F4FAC6D" w:rsidR="00087701" w:rsidRPr="004D5859" w:rsidRDefault="00B1648A" w:rsidP="001174F9">
      <w:pPr>
        <w:spacing w:after="120" w:line="480" w:lineRule="auto"/>
        <w:jc w:val="both"/>
        <w:rPr>
          <w:rFonts w:ascii="Times New Roman" w:hAnsi="Times New Roman" w:cs="Times New Roman"/>
          <w:b/>
        </w:rPr>
      </w:pPr>
      <w:r w:rsidRPr="004D5859">
        <w:rPr>
          <w:rFonts w:ascii="Times New Roman" w:hAnsi="Times New Roman" w:cs="Times New Roman"/>
          <w:b/>
        </w:rPr>
        <w:t>ACKNOWLEDGEMENTS</w:t>
      </w:r>
      <w:r w:rsidR="00EE3001" w:rsidRPr="004D5859">
        <w:rPr>
          <w:rFonts w:ascii="Times New Roman" w:hAnsi="Times New Roman" w:cs="Times New Roman"/>
          <w:b/>
        </w:rPr>
        <w:t xml:space="preserve"> AND FUNDING</w:t>
      </w:r>
    </w:p>
    <w:p w14:paraId="3AE56622" w14:textId="7D2AA172" w:rsidR="00087701" w:rsidRPr="004D5859" w:rsidRDefault="00087701" w:rsidP="007F005C">
      <w:pPr>
        <w:autoSpaceDE w:val="0"/>
        <w:autoSpaceDN w:val="0"/>
        <w:adjustRightInd w:val="0"/>
        <w:spacing w:after="120" w:line="480" w:lineRule="auto"/>
        <w:jc w:val="both"/>
        <w:rPr>
          <w:rFonts w:ascii="Times New Roman" w:eastAsia="Times New Roman" w:hAnsi="Times New Roman" w:cs="Times New Roman"/>
          <w:iCs/>
          <w:color w:val="000000"/>
        </w:rPr>
      </w:pPr>
      <w:r w:rsidRPr="004D5859">
        <w:rPr>
          <w:rFonts w:ascii="Times New Roman" w:hAnsi="Times New Roman" w:cs="Times New Roman"/>
          <w:lang w:eastAsia="en-AU"/>
        </w:rPr>
        <w:t xml:space="preserve">The study </w:t>
      </w:r>
      <w:r w:rsidR="00446D88" w:rsidRPr="004D5859">
        <w:rPr>
          <w:rFonts w:ascii="Times New Roman" w:hAnsi="Times New Roman" w:cs="Times New Roman"/>
          <w:lang w:eastAsia="en-AU"/>
        </w:rPr>
        <w:t>wa</w:t>
      </w:r>
      <w:r w:rsidRPr="004D5859">
        <w:rPr>
          <w:rFonts w:ascii="Times New Roman" w:hAnsi="Times New Roman" w:cs="Times New Roman"/>
          <w:lang w:eastAsia="en-AU"/>
        </w:rPr>
        <w:t xml:space="preserve">s supported by grants from </w:t>
      </w:r>
      <w:r w:rsidR="00446D88" w:rsidRPr="004D5859">
        <w:rPr>
          <w:rFonts w:ascii="Times New Roman" w:hAnsi="Times New Roman" w:cs="Times New Roman"/>
        </w:rPr>
        <w:t>t</w:t>
      </w:r>
      <w:r w:rsidR="00446D88" w:rsidRPr="004D5859">
        <w:rPr>
          <w:rFonts w:ascii="Times New Roman" w:hAnsi="Times New Roman" w:cs="Times New Roman"/>
          <w:bCs/>
        </w:rPr>
        <w:t xml:space="preserve">he Stroke Association of the United Kingdom </w:t>
      </w:r>
      <w:r w:rsidR="00446D88" w:rsidRPr="004D5859">
        <w:rPr>
          <w:rFonts w:ascii="Times New Roman" w:hAnsi="Times New Roman" w:cs="Times New Roman"/>
          <w:bCs/>
          <w:lang w:eastAsia="zh-CN"/>
        </w:rPr>
        <w:t xml:space="preserve">(TSA 2012/01 and 2015/01), </w:t>
      </w:r>
      <w:r w:rsidRPr="004D5859">
        <w:rPr>
          <w:rFonts w:ascii="Times New Roman" w:hAnsi="Times New Roman" w:cs="Times New Roman"/>
          <w:lang w:eastAsia="en-AU"/>
        </w:rPr>
        <w:t xml:space="preserve">the National Health and Medical Research Council (NHMRC) of Australia </w:t>
      </w:r>
      <w:r w:rsidRPr="004D5859">
        <w:rPr>
          <w:rFonts w:ascii="Times New Roman" w:hAnsi="Times New Roman" w:cs="Times New Roman"/>
        </w:rPr>
        <w:t>(Project Grant numbers 1020462 and 1101113)</w:t>
      </w:r>
      <w:r w:rsidRPr="004D5859">
        <w:rPr>
          <w:rFonts w:ascii="Times New Roman" w:hAnsi="Times New Roman" w:cs="Times New Roman"/>
          <w:lang w:eastAsia="en-AU"/>
        </w:rPr>
        <w:t xml:space="preserve">, </w:t>
      </w:r>
      <w:r w:rsidRPr="004D5859">
        <w:rPr>
          <w:rFonts w:ascii="Times New Roman" w:hAnsi="Times New Roman" w:cs="Times New Roman"/>
          <w:bCs/>
        </w:rPr>
        <w:t>th</w:t>
      </w:r>
      <w:r w:rsidRPr="004D5859">
        <w:rPr>
          <w:rFonts w:ascii="Times New Roman" w:hAnsi="Times New Roman" w:cs="Times New Roman"/>
          <w:bCs/>
          <w:lang w:eastAsia="zh-CN"/>
        </w:rPr>
        <w:t xml:space="preserve">e Ministry of Health and the </w:t>
      </w:r>
      <w:r w:rsidRPr="004D5859">
        <w:rPr>
          <w:rFonts w:ascii="Times New Roman" w:eastAsia="Times New Roman" w:hAnsi="Times New Roman" w:cs="Times New Roman"/>
          <w:bCs/>
        </w:rPr>
        <w:t xml:space="preserve">National Council for Scientific and Technological Development of Brazil (CNPQ: 467322/2014-7, 402388/2013-5), </w:t>
      </w:r>
      <w:r w:rsidRPr="004D5859">
        <w:rPr>
          <w:rFonts w:ascii="Times New Roman" w:eastAsia="Times New Roman" w:hAnsi="Times New Roman" w:cs="Times New Roman"/>
          <w:iCs/>
          <w:color w:val="000000"/>
        </w:rPr>
        <w:t>the Ministry for Health, Welfare and Family Affairs of the Republic of Korea (HI14C1985) (for the alteplase-dose arm), and a research grant from Takeda to support the conduct of the study in China. The research team acknowledges the support of the National Institute for Health Research Clinical Research Network (NIHR CRN) for conduct of the trial in England, UK. CSA is a Senior Principal Research Fellow for the NHMRC</w:t>
      </w:r>
      <w:r w:rsidR="00BF12A7" w:rsidRPr="004D5859">
        <w:rPr>
          <w:rFonts w:ascii="Times New Roman" w:eastAsia="Times New Roman" w:hAnsi="Times New Roman" w:cs="Times New Roman"/>
          <w:iCs/>
          <w:color w:val="000000"/>
        </w:rPr>
        <w:t>.</w:t>
      </w:r>
      <w:r w:rsidRPr="004D5859">
        <w:rPr>
          <w:rFonts w:ascii="Times New Roman" w:eastAsia="Times New Roman" w:hAnsi="Times New Roman" w:cs="Times New Roman"/>
          <w:iCs/>
          <w:color w:val="000000"/>
        </w:rPr>
        <w:t xml:space="preserve"> </w:t>
      </w:r>
      <w:r w:rsidR="00F2528D" w:rsidRPr="004D5859">
        <w:rPr>
          <w:rFonts w:ascii="Times New Roman" w:eastAsia="Times New Roman" w:hAnsi="Times New Roman" w:cs="Times New Roman"/>
          <w:iCs/>
          <w:color w:val="000000"/>
        </w:rPr>
        <w:t xml:space="preserve"> </w:t>
      </w:r>
      <w:r w:rsidRPr="004D5859">
        <w:rPr>
          <w:rFonts w:ascii="Times New Roman" w:eastAsia="Times New Roman" w:hAnsi="Times New Roman" w:cs="Times New Roman"/>
          <w:iCs/>
          <w:color w:val="000000"/>
        </w:rPr>
        <w:t xml:space="preserve">TGR is a NIHR Senior Investigator. </w:t>
      </w:r>
    </w:p>
    <w:p w14:paraId="0D8C0105" w14:textId="67808773" w:rsidR="00087701" w:rsidRPr="004D5859" w:rsidRDefault="00087701" w:rsidP="007F005C">
      <w:pPr>
        <w:autoSpaceDE w:val="0"/>
        <w:autoSpaceDN w:val="0"/>
        <w:adjustRightInd w:val="0"/>
        <w:spacing w:after="120" w:line="480" w:lineRule="auto"/>
        <w:jc w:val="both"/>
        <w:rPr>
          <w:rFonts w:ascii="Times New Roman" w:hAnsi="Times New Roman" w:cs="Times New Roman"/>
          <w:lang w:eastAsia="en-AU"/>
        </w:rPr>
      </w:pPr>
      <w:r w:rsidRPr="004D5859">
        <w:rPr>
          <w:rFonts w:ascii="Times New Roman" w:eastAsia="Times New Roman" w:hAnsi="Times New Roman" w:cs="Times New Roman"/>
          <w:iCs/>
          <w:color w:val="000000"/>
        </w:rPr>
        <w:t xml:space="preserve">We thank the investigators and research staff at the participating sites (appendix), and the members of the trial steering and data and safety monitoring committees (appendix). </w:t>
      </w:r>
      <w:r w:rsidR="00F2528D" w:rsidRPr="004D5859">
        <w:rPr>
          <w:rFonts w:ascii="Times New Roman" w:eastAsia="Times New Roman" w:hAnsi="Times New Roman" w:cs="Times New Roman"/>
          <w:iCs/>
          <w:color w:val="000000"/>
        </w:rPr>
        <w:t xml:space="preserve"> </w:t>
      </w:r>
      <w:r w:rsidRPr="004D5859">
        <w:rPr>
          <w:rFonts w:ascii="Times New Roman" w:eastAsia="Times New Roman" w:hAnsi="Times New Roman" w:cs="Times New Roman"/>
          <w:iCs/>
          <w:color w:val="000000"/>
        </w:rPr>
        <w:t>Above all, we thank the participants, and their families and friends.</w:t>
      </w:r>
    </w:p>
    <w:p w14:paraId="520C0148" w14:textId="77777777" w:rsidR="00EE3001" w:rsidRPr="004D5859" w:rsidRDefault="00EE3001" w:rsidP="00EE3001">
      <w:pPr>
        <w:spacing w:after="120" w:line="480" w:lineRule="auto"/>
        <w:rPr>
          <w:rFonts w:ascii="Times New Roman" w:hAnsi="Times New Roman" w:cs="Times New Roman"/>
          <w:b/>
        </w:rPr>
      </w:pPr>
      <w:r w:rsidRPr="004D5859">
        <w:rPr>
          <w:rFonts w:ascii="Times New Roman" w:hAnsi="Times New Roman" w:cs="Times New Roman"/>
          <w:b/>
        </w:rPr>
        <w:t>CONTRIBUTORS</w:t>
      </w:r>
    </w:p>
    <w:p w14:paraId="166AD89D" w14:textId="77777777" w:rsidR="005C5A5F" w:rsidRPr="005C5A5F" w:rsidRDefault="005C5A5F" w:rsidP="005C5A5F">
      <w:pPr>
        <w:spacing w:after="120" w:line="480" w:lineRule="auto"/>
        <w:rPr>
          <w:rFonts w:ascii="Times New Roman" w:hAnsi="Times New Roman" w:cs="Times New Roman"/>
          <w:lang w:val="en-US"/>
        </w:rPr>
      </w:pPr>
      <w:r w:rsidRPr="005C5A5F">
        <w:rPr>
          <w:rFonts w:ascii="Times New Roman" w:hAnsi="Times New Roman" w:cs="Times New Roman"/>
          <w:lang w:val="en-US"/>
        </w:rPr>
        <w:t xml:space="preserve">Candice </w:t>
      </w:r>
      <w:proofErr w:type="spellStart"/>
      <w:r w:rsidRPr="005C5A5F">
        <w:rPr>
          <w:rFonts w:ascii="Times New Roman" w:hAnsi="Times New Roman" w:cs="Times New Roman"/>
          <w:lang w:val="en-US"/>
        </w:rPr>
        <w:t>Delcourt</w:t>
      </w:r>
      <w:proofErr w:type="spellEnd"/>
      <w:r w:rsidRPr="005C5A5F">
        <w:rPr>
          <w:rFonts w:ascii="Times New Roman" w:hAnsi="Times New Roman" w:cs="Times New Roman"/>
          <w:lang w:val="en-US"/>
        </w:rPr>
        <w:t xml:space="preserve"> designed and conceptualized study, had a major role in the acquisition of data, analyzed the data, interpreted the data, drafted the manuscript for intellectual content, revised the manuscript for intellectual content and takes responsibility for the overall content.</w:t>
      </w:r>
    </w:p>
    <w:p w14:paraId="1C04B7AF" w14:textId="77777777" w:rsidR="005C5A5F" w:rsidRPr="005C5A5F" w:rsidRDefault="005C5A5F" w:rsidP="005C5A5F">
      <w:pPr>
        <w:spacing w:after="120" w:line="480" w:lineRule="auto"/>
        <w:rPr>
          <w:rFonts w:ascii="Times New Roman" w:hAnsi="Times New Roman" w:cs="Times New Roman"/>
          <w:lang w:val="en-US"/>
        </w:rPr>
      </w:pPr>
      <w:r w:rsidRPr="005C5A5F">
        <w:rPr>
          <w:rFonts w:ascii="Times New Roman" w:hAnsi="Times New Roman" w:cs="Times New Roman"/>
          <w:lang w:val="en-US"/>
        </w:rPr>
        <w:t>Xia Wang analyzed the data and revised the manuscript for intellectual content.</w:t>
      </w:r>
    </w:p>
    <w:p w14:paraId="7C077456" w14:textId="77777777" w:rsidR="005C5A5F" w:rsidRPr="005C5A5F" w:rsidRDefault="005C5A5F" w:rsidP="005C5A5F">
      <w:pPr>
        <w:spacing w:after="120" w:line="480" w:lineRule="auto"/>
        <w:rPr>
          <w:rFonts w:ascii="Times New Roman" w:hAnsi="Times New Roman" w:cs="Times New Roman"/>
          <w:lang w:val="en-US"/>
        </w:rPr>
      </w:pPr>
      <w:proofErr w:type="spellStart"/>
      <w:r w:rsidRPr="005C5A5F">
        <w:rPr>
          <w:rFonts w:ascii="Times New Roman" w:hAnsi="Times New Roman" w:cs="Times New Roman"/>
          <w:lang w:val="en-US"/>
        </w:rPr>
        <w:t>Zien</w:t>
      </w:r>
      <w:proofErr w:type="spellEnd"/>
      <w:r w:rsidRPr="005C5A5F">
        <w:rPr>
          <w:rFonts w:ascii="Times New Roman" w:hAnsi="Times New Roman" w:cs="Times New Roman"/>
          <w:lang w:val="en-US"/>
        </w:rPr>
        <w:t xml:space="preserve"> Zhou designed and conceptualized study, had a major role in the acquisition of data, interpreted the data, drafted the manuscript for intellectual content and revised the manuscript for intellectual content.</w:t>
      </w:r>
    </w:p>
    <w:p w14:paraId="4506F72F" w14:textId="77777777" w:rsidR="005C5A5F" w:rsidRPr="005C5A5F" w:rsidRDefault="005C5A5F" w:rsidP="005C5A5F">
      <w:pPr>
        <w:spacing w:after="120" w:line="480" w:lineRule="auto"/>
        <w:rPr>
          <w:rFonts w:ascii="Times New Roman" w:hAnsi="Times New Roman" w:cs="Times New Roman"/>
          <w:lang w:val="en-US"/>
        </w:rPr>
      </w:pPr>
      <w:r w:rsidRPr="005C5A5F">
        <w:rPr>
          <w:rFonts w:ascii="Times New Roman" w:hAnsi="Times New Roman" w:cs="Times New Roman"/>
          <w:lang w:val="en-US"/>
        </w:rPr>
        <w:t xml:space="preserve">Joanna M. </w:t>
      </w:r>
      <w:proofErr w:type="spellStart"/>
      <w:r w:rsidRPr="005C5A5F">
        <w:rPr>
          <w:rFonts w:ascii="Times New Roman" w:hAnsi="Times New Roman" w:cs="Times New Roman"/>
          <w:lang w:val="en-US"/>
        </w:rPr>
        <w:t>Wardlaw</w:t>
      </w:r>
      <w:proofErr w:type="spellEnd"/>
      <w:r w:rsidRPr="005C5A5F">
        <w:rPr>
          <w:rFonts w:ascii="Times New Roman" w:hAnsi="Times New Roman" w:cs="Times New Roman"/>
          <w:lang w:val="en-US"/>
        </w:rPr>
        <w:t xml:space="preserve"> designed and conceptualized study, interpreted the data and revised the manuscript for intellectual content.</w:t>
      </w:r>
    </w:p>
    <w:p w14:paraId="3745AE4D" w14:textId="77777777" w:rsidR="005C5A5F" w:rsidRPr="005C5A5F" w:rsidRDefault="005C5A5F" w:rsidP="005C5A5F">
      <w:pPr>
        <w:spacing w:after="120" w:line="480" w:lineRule="auto"/>
        <w:rPr>
          <w:rFonts w:ascii="Times New Roman" w:hAnsi="Times New Roman" w:cs="Times New Roman"/>
          <w:lang w:val="en-US"/>
        </w:rPr>
      </w:pPr>
      <w:r w:rsidRPr="005C5A5F">
        <w:rPr>
          <w:rFonts w:ascii="Times New Roman" w:hAnsi="Times New Roman" w:cs="Times New Roman"/>
          <w:lang w:val="en-US"/>
        </w:rPr>
        <w:t xml:space="preserve">Grant </w:t>
      </w:r>
      <w:proofErr w:type="spellStart"/>
      <w:r w:rsidRPr="005C5A5F">
        <w:rPr>
          <w:rFonts w:ascii="Times New Roman" w:hAnsi="Times New Roman" w:cs="Times New Roman"/>
          <w:lang w:val="en-US"/>
        </w:rPr>
        <w:t>Mair</w:t>
      </w:r>
      <w:proofErr w:type="spellEnd"/>
      <w:r w:rsidRPr="005C5A5F">
        <w:rPr>
          <w:rFonts w:ascii="Times New Roman" w:hAnsi="Times New Roman" w:cs="Times New Roman"/>
          <w:lang w:val="en-US"/>
        </w:rPr>
        <w:t xml:space="preserve"> designed and conceptualized study, interpreted the data and revised the manuscript for intellectual content.</w:t>
      </w:r>
    </w:p>
    <w:p w14:paraId="073C8CDA" w14:textId="77777777" w:rsidR="005C5A5F" w:rsidRPr="005C5A5F" w:rsidRDefault="005C5A5F" w:rsidP="005C5A5F">
      <w:pPr>
        <w:spacing w:after="120" w:line="480" w:lineRule="auto"/>
        <w:rPr>
          <w:rFonts w:ascii="Times New Roman" w:hAnsi="Times New Roman" w:cs="Times New Roman"/>
          <w:lang w:val="en-US"/>
        </w:rPr>
      </w:pPr>
      <w:r w:rsidRPr="005C5A5F">
        <w:rPr>
          <w:rFonts w:ascii="Times New Roman" w:hAnsi="Times New Roman" w:cs="Times New Roman"/>
          <w:lang w:val="en-US"/>
        </w:rPr>
        <w:t>Thompson G. Robinson designed and conceptualized study, interpreted the data and revised the manuscript for intellectual content.</w:t>
      </w:r>
    </w:p>
    <w:p w14:paraId="38F4489C" w14:textId="77777777" w:rsidR="005C5A5F" w:rsidRPr="005C5A5F" w:rsidRDefault="005C5A5F" w:rsidP="005C5A5F">
      <w:pPr>
        <w:spacing w:after="120" w:line="480" w:lineRule="auto"/>
        <w:rPr>
          <w:rFonts w:ascii="Times New Roman" w:hAnsi="Times New Roman" w:cs="Times New Roman"/>
          <w:lang w:val="en-US"/>
        </w:rPr>
      </w:pPr>
      <w:proofErr w:type="spellStart"/>
      <w:r w:rsidRPr="005C5A5F">
        <w:rPr>
          <w:rFonts w:ascii="Times New Roman" w:hAnsi="Times New Roman" w:cs="Times New Roman"/>
          <w:lang w:val="en-US"/>
        </w:rPr>
        <w:t>Xiaoying</w:t>
      </w:r>
      <w:proofErr w:type="spellEnd"/>
      <w:r w:rsidRPr="005C5A5F">
        <w:rPr>
          <w:rFonts w:ascii="Times New Roman" w:hAnsi="Times New Roman" w:cs="Times New Roman"/>
          <w:lang w:val="en-US"/>
        </w:rPr>
        <w:t xml:space="preserve"> Chen had a major role in the acquisition of data and revised the manuscript for intellectual content.</w:t>
      </w:r>
    </w:p>
    <w:p w14:paraId="0E92521B" w14:textId="77777777" w:rsidR="005C5A5F" w:rsidRPr="005C5A5F" w:rsidRDefault="005C5A5F" w:rsidP="005C5A5F">
      <w:pPr>
        <w:spacing w:after="120" w:line="480" w:lineRule="auto"/>
        <w:rPr>
          <w:rFonts w:ascii="Times New Roman" w:hAnsi="Times New Roman" w:cs="Times New Roman"/>
          <w:lang w:val="en-US"/>
        </w:rPr>
      </w:pPr>
      <w:proofErr w:type="spellStart"/>
      <w:r w:rsidRPr="005C5A5F">
        <w:rPr>
          <w:rFonts w:ascii="Times New Roman" w:hAnsi="Times New Roman" w:cs="Times New Roman"/>
          <w:lang w:val="en-US"/>
        </w:rPr>
        <w:t>Sohei</w:t>
      </w:r>
      <w:proofErr w:type="spellEnd"/>
      <w:r w:rsidRPr="005C5A5F">
        <w:rPr>
          <w:rFonts w:ascii="Times New Roman" w:hAnsi="Times New Roman" w:cs="Times New Roman"/>
          <w:lang w:val="en-US"/>
        </w:rPr>
        <w:t xml:space="preserve"> Yoshimura had a major role in the acquisition of data, revised the manuscript for intellectual content.</w:t>
      </w:r>
    </w:p>
    <w:p w14:paraId="1E648996" w14:textId="77777777" w:rsidR="005C5A5F" w:rsidRPr="005C5A5F" w:rsidRDefault="005C5A5F" w:rsidP="005C5A5F">
      <w:pPr>
        <w:spacing w:after="120" w:line="480" w:lineRule="auto"/>
        <w:rPr>
          <w:rFonts w:ascii="Times New Roman" w:hAnsi="Times New Roman" w:cs="Times New Roman"/>
          <w:lang w:val="en-US"/>
        </w:rPr>
      </w:pPr>
      <w:proofErr w:type="spellStart"/>
      <w:r w:rsidRPr="005C5A5F">
        <w:rPr>
          <w:rFonts w:ascii="Times New Roman" w:hAnsi="Times New Roman" w:cs="Times New Roman"/>
          <w:lang w:val="en-US"/>
        </w:rPr>
        <w:t>Takako</w:t>
      </w:r>
      <w:proofErr w:type="spellEnd"/>
      <w:r w:rsidRPr="005C5A5F">
        <w:rPr>
          <w:rFonts w:ascii="Times New Roman" w:hAnsi="Times New Roman" w:cs="Times New Roman"/>
          <w:lang w:val="en-US"/>
        </w:rPr>
        <w:t xml:space="preserve"> Torii-Yoshimura had a major role in the acquisition of data and revised the manuscript for intellectual content.</w:t>
      </w:r>
    </w:p>
    <w:p w14:paraId="11FF06AD" w14:textId="77777777" w:rsidR="005C5A5F" w:rsidRPr="005C5A5F" w:rsidRDefault="005C5A5F" w:rsidP="005C5A5F">
      <w:pPr>
        <w:spacing w:after="120" w:line="480" w:lineRule="auto"/>
        <w:rPr>
          <w:rFonts w:ascii="Times New Roman" w:hAnsi="Times New Roman" w:cs="Times New Roman"/>
          <w:lang w:val="en-US"/>
        </w:rPr>
      </w:pPr>
      <w:r w:rsidRPr="005C5A5F">
        <w:rPr>
          <w:rFonts w:ascii="Times New Roman" w:hAnsi="Times New Roman" w:cs="Times New Roman"/>
          <w:lang w:val="en-US"/>
        </w:rPr>
        <w:t xml:space="preserve">Cheryl </w:t>
      </w:r>
      <w:proofErr w:type="spellStart"/>
      <w:r w:rsidRPr="005C5A5F">
        <w:rPr>
          <w:rFonts w:ascii="Times New Roman" w:hAnsi="Times New Roman" w:cs="Times New Roman"/>
          <w:lang w:val="en-US"/>
        </w:rPr>
        <w:t>Carcel</w:t>
      </w:r>
      <w:proofErr w:type="spellEnd"/>
      <w:r w:rsidRPr="005C5A5F">
        <w:rPr>
          <w:rFonts w:ascii="Times New Roman" w:hAnsi="Times New Roman" w:cs="Times New Roman"/>
          <w:lang w:val="en-US"/>
        </w:rPr>
        <w:t xml:space="preserve"> had a major role in the acquisition of data and revised the manuscript for intellectual content.</w:t>
      </w:r>
    </w:p>
    <w:p w14:paraId="7FAFE3C0" w14:textId="77777777" w:rsidR="005C5A5F" w:rsidRPr="005C5A5F" w:rsidRDefault="005C5A5F" w:rsidP="005C5A5F">
      <w:pPr>
        <w:spacing w:after="120" w:line="480" w:lineRule="auto"/>
        <w:rPr>
          <w:rFonts w:ascii="Times New Roman" w:hAnsi="Times New Roman" w:cs="Times New Roman"/>
          <w:lang w:val="en-US"/>
        </w:rPr>
      </w:pPr>
      <w:proofErr w:type="spellStart"/>
      <w:r w:rsidRPr="005C5A5F">
        <w:rPr>
          <w:rFonts w:ascii="Times New Roman" w:hAnsi="Times New Roman" w:cs="Times New Roman"/>
          <w:lang w:val="en-US"/>
        </w:rPr>
        <w:t>Zeljka</w:t>
      </w:r>
      <w:proofErr w:type="spellEnd"/>
      <w:r w:rsidRPr="005C5A5F">
        <w:rPr>
          <w:rFonts w:ascii="Times New Roman" w:hAnsi="Times New Roman" w:cs="Times New Roman"/>
          <w:lang w:val="en-US"/>
        </w:rPr>
        <w:t xml:space="preserve"> </w:t>
      </w:r>
      <w:proofErr w:type="spellStart"/>
      <w:r w:rsidRPr="005C5A5F">
        <w:rPr>
          <w:rFonts w:ascii="Times New Roman" w:hAnsi="Times New Roman" w:cs="Times New Roman"/>
          <w:lang w:val="en-US"/>
        </w:rPr>
        <w:t>Calic</w:t>
      </w:r>
      <w:proofErr w:type="spellEnd"/>
      <w:r w:rsidRPr="005C5A5F">
        <w:rPr>
          <w:rFonts w:ascii="Times New Roman" w:hAnsi="Times New Roman" w:cs="Times New Roman"/>
          <w:lang w:val="en-US"/>
        </w:rPr>
        <w:t xml:space="preserve"> had a major role in the acquisition of data and revised the manuscript for intellectual content.</w:t>
      </w:r>
    </w:p>
    <w:p w14:paraId="19C132D7" w14:textId="77777777" w:rsidR="005C5A5F" w:rsidRPr="005C5A5F" w:rsidRDefault="005C5A5F" w:rsidP="005C5A5F">
      <w:pPr>
        <w:spacing w:after="120" w:line="480" w:lineRule="auto"/>
        <w:rPr>
          <w:rFonts w:ascii="Times New Roman" w:hAnsi="Times New Roman" w:cs="Times New Roman"/>
          <w:lang w:val="en-US"/>
        </w:rPr>
      </w:pPr>
      <w:r w:rsidRPr="005C5A5F">
        <w:rPr>
          <w:rFonts w:ascii="Times New Roman" w:hAnsi="Times New Roman" w:cs="Times New Roman"/>
          <w:lang w:val="en-US"/>
        </w:rPr>
        <w:t>Wee Yong Tan had a major role in the acquisition of data and revised the manuscript for intellectual content.</w:t>
      </w:r>
    </w:p>
    <w:p w14:paraId="23C81FC6" w14:textId="77777777" w:rsidR="005C5A5F" w:rsidRPr="005C5A5F" w:rsidRDefault="005C5A5F" w:rsidP="005C5A5F">
      <w:pPr>
        <w:spacing w:after="120" w:line="480" w:lineRule="auto"/>
        <w:rPr>
          <w:rFonts w:ascii="Times New Roman" w:hAnsi="Times New Roman" w:cs="Times New Roman"/>
          <w:lang w:val="en-US"/>
        </w:rPr>
      </w:pPr>
      <w:r w:rsidRPr="005C5A5F">
        <w:rPr>
          <w:rFonts w:ascii="Times New Roman" w:hAnsi="Times New Roman" w:cs="Times New Roman"/>
          <w:lang w:val="en-US"/>
        </w:rPr>
        <w:t xml:space="preserve">Alejandra </w:t>
      </w:r>
      <w:proofErr w:type="spellStart"/>
      <w:r w:rsidRPr="005C5A5F">
        <w:rPr>
          <w:rFonts w:ascii="Times New Roman" w:hAnsi="Times New Roman" w:cs="Times New Roman"/>
          <w:lang w:val="en-US"/>
        </w:rPr>
        <w:t>Malavera</w:t>
      </w:r>
      <w:proofErr w:type="spellEnd"/>
      <w:r w:rsidRPr="005C5A5F">
        <w:rPr>
          <w:rFonts w:ascii="Times New Roman" w:hAnsi="Times New Roman" w:cs="Times New Roman"/>
          <w:lang w:val="en-US"/>
        </w:rPr>
        <w:t xml:space="preserve"> had a major role in the acquisition of data and revised the manuscript for intellectual content.</w:t>
      </w:r>
    </w:p>
    <w:p w14:paraId="4F77B536" w14:textId="77777777" w:rsidR="005C5A5F" w:rsidRPr="005C5A5F" w:rsidRDefault="005C5A5F" w:rsidP="005C5A5F">
      <w:pPr>
        <w:spacing w:after="120" w:line="480" w:lineRule="auto"/>
        <w:rPr>
          <w:rFonts w:ascii="Times New Roman" w:hAnsi="Times New Roman" w:cs="Times New Roman"/>
          <w:lang w:val="en-US"/>
        </w:rPr>
      </w:pPr>
      <w:r w:rsidRPr="005C5A5F">
        <w:rPr>
          <w:rFonts w:ascii="Times New Roman" w:hAnsi="Times New Roman" w:cs="Times New Roman"/>
          <w:lang w:val="en-US"/>
        </w:rPr>
        <w:t>Craig S. Anderson designed and conceptualized study, interpreted the data and revised the manuscript for intellectual content.</w:t>
      </w:r>
    </w:p>
    <w:p w14:paraId="7F722249" w14:textId="1C3BA9C2" w:rsidR="00EE3001" w:rsidRPr="004D5859" w:rsidRDefault="005C5A5F" w:rsidP="001174F9">
      <w:pPr>
        <w:spacing w:after="120" w:line="480" w:lineRule="auto"/>
        <w:rPr>
          <w:rFonts w:ascii="Times New Roman" w:hAnsi="Times New Roman" w:cs="Times New Roman"/>
          <w:b/>
        </w:rPr>
      </w:pPr>
      <w:r w:rsidRPr="005C5A5F">
        <w:rPr>
          <w:rFonts w:ascii="Times New Roman" w:hAnsi="Times New Roman" w:cs="Times New Roman"/>
          <w:lang w:val="en-US"/>
        </w:rPr>
        <w:t>Richard Lindley designed and conceptualized study, interpreted the data, drafted the manuscript for intellectual content, revised the manuscript for intellectual content and takes responsibility for the overall content.</w:t>
      </w:r>
    </w:p>
    <w:p w14:paraId="3297F96E" w14:textId="77777777" w:rsidR="00976142" w:rsidRPr="004D5859" w:rsidRDefault="00976142" w:rsidP="001174F9">
      <w:pPr>
        <w:spacing w:after="120" w:line="480" w:lineRule="auto"/>
        <w:rPr>
          <w:rFonts w:ascii="Times New Roman" w:hAnsi="Times New Roman" w:cs="Times New Roman"/>
          <w:b/>
        </w:rPr>
      </w:pPr>
    </w:p>
    <w:p w14:paraId="0B48BA05" w14:textId="77777777" w:rsidR="00976142" w:rsidRPr="004D5859" w:rsidRDefault="00976142" w:rsidP="001174F9">
      <w:pPr>
        <w:spacing w:after="120" w:line="480" w:lineRule="auto"/>
        <w:rPr>
          <w:rFonts w:ascii="Times New Roman" w:hAnsi="Times New Roman" w:cs="Times New Roman"/>
          <w:b/>
        </w:rPr>
      </w:pPr>
    </w:p>
    <w:p w14:paraId="0015091E" w14:textId="77777777" w:rsidR="00976142" w:rsidRPr="004D5859" w:rsidRDefault="00976142" w:rsidP="001174F9">
      <w:pPr>
        <w:spacing w:after="120" w:line="480" w:lineRule="auto"/>
        <w:rPr>
          <w:rFonts w:ascii="Times New Roman" w:hAnsi="Times New Roman" w:cs="Times New Roman"/>
          <w:b/>
        </w:rPr>
      </w:pPr>
    </w:p>
    <w:p w14:paraId="420B7953" w14:textId="77777777" w:rsidR="00976142" w:rsidRPr="004D5859" w:rsidRDefault="00976142" w:rsidP="001174F9">
      <w:pPr>
        <w:spacing w:after="120" w:line="480" w:lineRule="auto"/>
        <w:rPr>
          <w:rFonts w:ascii="Times New Roman" w:hAnsi="Times New Roman" w:cs="Times New Roman"/>
          <w:b/>
        </w:rPr>
      </w:pPr>
    </w:p>
    <w:p w14:paraId="66CEFE56" w14:textId="1250B717" w:rsidR="00087701" w:rsidRPr="004D5859" w:rsidRDefault="00087701" w:rsidP="00087701">
      <w:pPr>
        <w:rPr>
          <w:rFonts w:ascii="Times New Roman" w:hAnsi="Times New Roman" w:cs="Times New Roman"/>
        </w:rPr>
      </w:pPr>
    </w:p>
    <w:p w14:paraId="71CBD8C4" w14:textId="6691E9EB" w:rsidR="007755C4" w:rsidRPr="004D5859" w:rsidRDefault="00B1648A" w:rsidP="007755C4">
      <w:pPr>
        <w:spacing w:line="480" w:lineRule="auto"/>
        <w:rPr>
          <w:rFonts w:ascii="Times New Roman" w:hAnsi="Times New Roman" w:cs="Times New Roman"/>
          <w:b/>
        </w:rPr>
      </w:pPr>
      <w:r w:rsidRPr="004D5859">
        <w:rPr>
          <w:rFonts w:ascii="Times New Roman" w:hAnsi="Times New Roman" w:cs="Times New Roman"/>
          <w:b/>
        </w:rPr>
        <w:t>REFERENCES</w:t>
      </w:r>
    </w:p>
    <w:p w14:paraId="7B87271A" w14:textId="28FA368D" w:rsidR="007014E7" w:rsidRPr="004D5859" w:rsidRDefault="007014E7" w:rsidP="00EF75FA">
      <w:pPr>
        <w:pStyle w:val="EndNoteBibliography"/>
        <w:spacing w:after="120" w:line="480" w:lineRule="auto"/>
        <w:ind w:left="567" w:hanging="567"/>
        <w:rPr>
          <w:noProof/>
        </w:rPr>
      </w:pPr>
      <w:r w:rsidRPr="004D5859">
        <w:fldChar w:fldCharType="begin"/>
      </w:r>
      <w:r w:rsidRPr="004D5859">
        <w:instrText xml:space="preserve"> ADDIN EN.REFLIST </w:instrText>
      </w:r>
      <w:r w:rsidRPr="004D5859">
        <w:fldChar w:fldCharType="separate"/>
      </w:r>
      <w:r w:rsidRPr="004D5859">
        <w:rPr>
          <w:noProof/>
        </w:rPr>
        <w:t>1.</w:t>
      </w:r>
      <w:r w:rsidRPr="004D5859">
        <w:rPr>
          <w:noProof/>
        </w:rPr>
        <w:tab/>
        <w:t>IST3 collaborative group. Association between brain</w:t>
      </w:r>
      <w:r w:rsidR="00EF75FA" w:rsidRPr="004D5859">
        <w:rPr>
          <w:noProof/>
        </w:rPr>
        <w:t xml:space="preserve"> imaging signs, early and late </w:t>
      </w:r>
      <w:r w:rsidRPr="004D5859">
        <w:rPr>
          <w:noProof/>
        </w:rPr>
        <w:t xml:space="preserve">outcomes, and response to intravenous alteplase after </w:t>
      </w:r>
      <w:r w:rsidR="00EF75FA" w:rsidRPr="004D5859">
        <w:rPr>
          <w:noProof/>
        </w:rPr>
        <w:t xml:space="preserve">acute ischaemic stroke in the  </w:t>
      </w:r>
      <w:r w:rsidRPr="004D5859">
        <w:rPr>
          <w:noProof/>
        </w:rPr>
        <w:t xml:space="preserve">third International Stroke Trial (IST-3): secondary analysis of a randomised </w:t>
      </w:r>
      <w:r w:rsidRPr="004D5859">
        <w:rPr>
          <w:noProof/>
        </w:rPr>
        <w:tab/>
        <w:t xml:space="preserve">controlled trial. </w:t>
      </w:r>
      <w:r w:rsidRPr="004D5859">
        <w:rPr>
          <w:i/>
          <w:noProof/>
        </w:rPr>
        <w:t xml:space="preserve">Lancet Neurol </w:t>
      </w:r>
      <w:r w:rsidRPr="004D5859">
        <w:rPr>
          <w:noProof/>
        </w:rPr>
        <w:t>2015;14(5):485-96.</w:t>
      </w:r>
    </w:p>
    <w:p w14:paraId="0AF41226" w14:textId="30D0D9EF" w:rsidR="007014E7" w:rsidRPr="004D5859" w:rsidRDefault="007014E7" w:rsidP="00F92A2A">
      <w:pPr>
        <w:pStyle w:val="EndNoteBibliography"/>
        <w:spacing w:after="120" w:line="480" w:lineRule="auto"/>
        <w:ind w:left="567" w:hanging="567"/>
        <w:rPr>
          <w:noProof/>
        </w:rPr>
      </w:pPr>
      <w:r w:rsidRPr="004D5859">
        <w:rPr>
          <w:noProof/>
        </w:rPr>
        <w:t>2.</w:t>
      </w:r>
      <w:r w:rsidRPr="004D5859">
        <w:rPr>
          <w:noProof/>
        </w:rPr>
        <w:tab/>
        <w:t>Macleod MR, Michie S, Roberts I, et al. Biomedic</w:t>
      </w:r>
      <w:r w:rsidR="00EF75FA" w:rsidRPr="004D5859">
        <w:rPr>
          <w:noProof/>
        </w:rPr>
        <w:t xml:space="preserve">al research: increasing value, </w:t>
      </w:r>
      <w:r w:rsidRPr="004D5859">
        <w:rPr>
          <w:noProof/>
        </w:rPr>
        <w:t xml:space="preserve">reducing waste. </w:t>
      </w:r>
      <w:r w:rsidRPr="004D5859">
        <w:rPr>
          <w:i/>
          <w:noProof/>
        </w:rPr>
        <w:t>Lancet</w:t>
      </w:r>
      <w:r w:rsidRPr="004D5859">
        <w:rPr>
          <w:noProof/>
        </w:rPr>
        <w:t xml:space="preserve"> 2014;383(9912):101-4.</w:t>
      </w:r>
    </w:p>
    <w:p w14:paraId="5068FF77" w14:textId="1B8448A3" w:rsidR="007014E7" w:rsidRPr="00655DBF" w:rsidRDefault="007014E7" w:rsidP="00F92A2A">
      <w:pPr>
        <w:pStyle w:val="EndNoteBibliography"/>
        <w:spacing w:after="120" w:line="480" w:lineRule="auto"/>
        <w:ind w:left="567" w:hanging="567"/>
        <w:rPr>
          <w:noProof/>
          <w:lang w:val="fr-FR"/>
        </w:rPr>
      </w:pPr>
      <w:r w:rsidRPr="004D5859">
        <w:rPr>
          <w:noProof/>
        </w:rPr>
        <w:t>3.</w:t>
      </w:r>
      <w:r w:rsidRPr="004D5859">
        <w:rPr>
          <w:noProof/>
        </w:rPr>
        <w:tab/>
        <w:t>Anderson CS, Robinson T, Lindley RI, et al.</w:t>
      </w:r>
      <w:r w:rsidR="00EF75FA" w:rsidRPr="004D5859">
        <w:rPr>
          <w:noProof/>
        </w:rPr>
        <w:t xml:space="preserve"> Low-dose versus standard-dose </w:t>
      </w:r>
      <w:r w:rsidRPr="004D5859">
        <w:rPr>
          <w:noProof/>
        </w:rPr>
        <w:t xml:space="preserve">intravenous alteplase in acute </w:t>
      </w:r>
      <w:r w:rsidR="004D5859">
        <w:rPr>
          <w:noProof/>
        </w:rPr>
        <w:t>ischaemic</w:t>
      </w:r>
      <w:r w:rsidRPr="004D5859">
        <w:rPr>
          <w:noProof/>
        </w:rPr>
        <w:t xml:space="preserve"> stroke. </w:t>
      </w:r>
      <w:r w:rsidRPr="00655DBF">
        <w:rPr>
          <w:i/>
          <w:noProof/>
          <w:lang w:val="fr-FR"/>
        </w:rPr>
        <w:t>N Engl J Med</w:t>
      </w:r>
      <w:r w:rsidRPr="00655DBF">
        <w:rPr>
          <w:noProof/>
          <w:lang w:val="fr-FR"/>
        </w:rPr>
        <w:t xml:space="preserve"> 2016;374(24):2313-</w:t>
      </w:r>
      <w:r w:rsidRPr="00655DBF">
        <w:rPr>
          <w:noProof/>
          <w:lang w:val="fr-FR"/>
        </w:rPr>
        <w:tab/>
        <w:t>23.</w:t>
      </w:r>
    </w:p>
    <w:p w14:paraId="671D52E4" w14:textId="2C31D0F0" w:rsidR="007014E7" w:rsidRPr="004D5859" w:rsidRDefault="007014E7" w:rsidP="00F92A2A">
      <w:pPr>
        <w:pStyle w:val="EndNoteBibliography"/>
        <w:spacing w:after="120" w:line="480" w:lineRule="auto"/>
        <w:ind w:left="567" w:hanging="567"/>
        <w:rPr>
          <w:noProof/>
        </w:rPr>
      </w:pPr>
      <w:r w:rsidRPr="00655DBF">
        <w:rPr>
          <w:noProof/>
          <w:lang w:val="fr-FR"/>
        </w:rPr>
        <w:t>4.</w:t>
      </w:r>
      <w:r w:rsidRPr="00655DBF">
        <w:rPr>
          <w:noProof/>
          <w:lang w:val="fr-FR"/>
        </w:rPr>
        <w:tab/>
        <w:t xml:space="preserve">Huang Y, Sharma VK, Robinson T, et al. </w:t>
      </w:r>
      <w:r w:rsidRPr="004D5859">
        <w:rPr>
          <w:noProof/>
        </w:rPr>
        <w:t>Rational</w:t>
      </w:r>
      <w:r w:rsidR="00EF75FA" w:rsidRPr="004D5859">
        <w:rPr>
          <w:noProof/>
        </w:rPr>
        <w:t xml:space="preserve">e, design, and progress of the </w:t>
      </w:r>
      <w:r w:rsidRPr="004D5859">
        <w:rPr>
          <w:noProof/>
        </w:rPr>
        <w:t>ENhanced Control of Hypertension AN</w:t>
      </w:r>
      <w:r w:rsidR="00EF75FA" w:rsidRPr="004D5859">
        <w:rPr>
          <w:noProof/>
        </w:rPr>
        <w:t xml:space="preserve">d Thrombolysis strokE stuDy </w:t>
      </w:r>
      <w:r w:rsidRPr="004D5859">
        <w:rPr>
          <w:noProof/>
        </w:rPr>
        <w:t xml:space="preserve">(ENCHANTED) trial: An international multicenter 2 </w:t>
      </w:r>
      <w:r w:rsidR="00EF75FA" w:rsidRPr="004D5859">
        <w:rPr>
          <w:noProof/>
        </w:rPr>
        <w:t xml:space="preserve">x 2 quasi-factorial randomized </w:t>
      </w:r>
      <w:r w:rsidRPr="004D5859">
        <w:rPr>
          <w:noProof/>
        </w:rPr>
        <w:t>controlled trial of low- vs. standard-dose rt-PA and</w:t>
      </w:r>
      <w:r w:rsidR="00EF75FA" w:rsidRPr="004D5859">
        <w:rPr>
          <w:noProof/>
        </w:rPr>
        <w:t xml:space="preserve"> early intensive vs. guideline-</w:t>
      </w:r>
      <w:r w:rsidRPr="004D5859">
        <w:rPr>
          <w:noProof/>
        </w:rPr>
        <w:t>recommended blood pressure lowering in patients with acute is</w:t>
      </w:r>
      <w:r w:rsidR="00EF75FA" w:rsidRPr="004D5859">
        <w:rPr>
          <w:noProof/>
        </w:rPr>
        <w:t xml:space="preserve">chaemic stroke eligible </w:t>
      </w:r>
      <w:r w:rsidRPr="004D5859">
        <w:rPr>
          <w:noProof/>
        </w:rPr>
        <w:t xml:space="preserve">for thrombolysis treatment. </w:t>
      </w:r>
      <w:r w:rsidRPr="004D5859">
        <w:rPr>
          <w:i/>
          <w:noProof/>
        </w:rPr>
        <w:t>Int J Stroke</w:t>
      </w:r>
      <w:r w:rsidRPr="004D5859">
        <w:rPr>
          <w:noProof/>
        </w:rPr>
        <w:t xml:space="preserve"> 2015;10(5):778-88.</w:t>
      </w:r>
    </w:p>
    <w:p w14:paraId="6B01ECC9" w14:textId="5F32F2F1" w:rsidR="007014E7" w:rsidRPr="004D5859" w:rsidRDefault="007014E7" w:rsidP="00F92A2A">
      <w:pPr>
        <w:pStyle w:val="EndNoteBibliography"/>
        <w:spacing w:after="120" w:line="480" w:lineRule="auto"/>
        <w:ind w:left="567" w:hanging="567"/>
        <w:rPr>
          <w:noProof/>
        </w:rPr>
      </w:pPr>
      <w:r w:rsidRPr="004D5859">
        <w:rPr>
          <w:noProof/>
        </w:rPr>
        <w:t>5.</w:t>
      </w:r>
      <w:r w:rsidRPr="004D5859">
        <w:rPr>
          <w:noProof/>
        </w:rPr>
        <w:tab/>
        <w:t>Anderson CS, Huang Y, Lindley RI, et al. Intensive</w:t>
      </w:r>
      <w:r w:rsidR="00EF75FA" w:rsidRPr="004D5859">
        <w:rPr>
          <w:noProof/>
        </w:rPr>
        <w:t xml:space="preserve"> blood pressure reduction with </w:t>
      </w:r>
      <w:r w:rsidRPr="004D5859">
        <w:rPr>
          <w:noProof/>
        </w:rPr>
        <w:t>intravenous thrombolysis therapy for acute is</w:t>
      </w:r>
      <w:r w:rsidR="00EF75FA" w:rsidRPr="004D5859">
        <w:rPr>
          <w:noProof/>
        </w:rPr>
        <w:t xml:space="preserve">chaemic stroke (ENCHANTED): an </w:t>
      </w:r>
      <w:r w:rsidRPr="004D5859">
        <w:rPr>
          <w:noProof/>
        </w:rPr>
        <w:t xml:space="preserve">international, randomised, open-label, blinded-endpoint, phase 3 trial. </w:t>
      </w:r>
      <w:r w:rsidRPr="004D5859">
        <w:rPr>
          <w:i/>
          <w:noProof/>
        </w:rPr>
        <w:t>Lancet</w:t>
      </w:r>
      <w:r w:rsidR="00EF75FA" w:rsidRPr="004D5859">
        <w:rPr>
          <w:noProof/>
        </w:rPr>
        <w:t xml:space="preserve"> 2019; </w:t>
      </w:r>
      <w:r w:rsidRPr="004D5859">
        <w:rPr>
          <w:noProof/>
        </w:rPr>
        <w:t>393(10174):877-88.</w:t>
      </w:r>
    </w:p>
    <w:p w14:paraId="43E5D3CE" w14:textId="2A9E267A" w:rsidR="007014E7" w:rsidRPr="00655DBF" w:rsidRDefault="007014E7" w:rsidP="00F92A2A">
      <w:pPr>
        <w:pStyle w:val="EndNoteBibliography"/>
        <w:spacing w:after="120" w:line="480" w:lineRule="auto"/>
        <w:ind w:left="567" w:hanging="567"/>
        <w:rPr>
          <w:noProof/>
          <w:lang w:val="fr-FR"/>
        </w:rPr>
      </w:pPr>
      <w:r w:rsidRPr="004D5859">
        <w:rPr>
          <w:noProof/>
        </w:rPr>
        <w:t>6.</w:t>
      </w:r>
      <w:r w:rsidRPr="004D5859">
        <w:rPr>
          <w:noProof/>
        </w:rPr>
        <w:tab/>
        <w:t>Hayes AF, Cai L. Further evaluating the conditional d</w:t>
      </w:r>
      <w:r w:rsidR="00EF75FA" w:rsidRPr="004D5859">
        <w:rPr>
          <w:noProof/>
        </w:rPr>
        <w:t xml:space="preserve">ecision rule for comparing two </w:t>
      </w:r>
      <w:r w:rsidRPr="004D5859">
        <w:rPr>
          <w:noProof/>
        </w:rPr>
        <w:t xml:space="preserve">independent means. </w:t>
      </w:r>
      <w:r w:rsidRPr="00655DBF">
        <w:rPr>
          <w:i/>
          <w:noProof/>
          <w:lang w:val="fr-FR"/>
        </w:rPr>
        <w:t>Br J Math Stat Psychol</w:t>
      </w:r>
      <w:r w:rsidRPr="00655DBF">
        <w:rPr>
          <w:noProof/>
          <w:lang w:val="fr-FR"/>
        </w:rPr>
        <w:t xml:space="preserve"> 2007;60(Pt 2):217-44.</w:t>
      </w:r>
    </w:p>
    <w:p w14:paraId="62FB582E" w14:textId="2238B9A7" w:rsidR="007014E7" w:rsidRPr="004D5859" w:rsidRDefault="007014E7" w:rsidP="00F92A2A">
      <w:pPr>
        <w:pStyle w:val="EndNoteBibliography"/>
        <w:spacing w:after="120" w:line="480" w:lineRule="auto"/>
        <w:ind w:left="567" w:hanging="567"/>
        <w:rPr>
          <w:noProof/>
        </w:rPr>
      </w:pPr>
      <w:r w:rsidRPr="00655DBF">
        <w:rPr>
          <w:noProof/>
          <w:lang w:val="fr-FR"/>
        </w:rPr>
        <w:t>7.</w:t>
      </w:r>
      <w:r w:rsidRPr="00655DBF">
        <w:rPr>
          <w:noProof/>
          <w:lang w:val="fr-FR"/>
        </w:rPr>
        <w:tab/>
        <w:t xml:space="preserve">Landis JR, Koch GG. </w:t>
      </w:r>
      <w:r w:rsidRPr="004D5859">
        <w:rPr>
          <w:noProof/>
        </w:rPr>
        <w:t>The measurement of observer a</w:t>
      </w:r>
      <w:r w:rsidR="00EF75FA" w:rsidRPr="004D5859">
        <w:rPr>
          <w:noProof/>
        </w:rPr>
        <w:t xml:space="preserve">greement for categorical data. </w:t>
      </w:r>
      <w:r w:rsidRPr="004D5859">
        <w:rPr>
          <w:i/>
          <w:noProof/>
        </w:rPr>
        <w:t xml:space="preserve">Biometrics </w:t>
      </w:r>
      <w:r w:rsidRPr="004D5859">
        <w:rPr>
          <w:noProof/>
        </w:rPr>
        <w:t>1977;33(1):159-74.</w:t>
      </w:r>
    </w:p>
    <w:p w14:paraId="5F72CE73" w14:textId="7A2B0758" w:rsidR="007014E7" w:rsidRPr="004D5859" w:rsidRDefault="007014E7" w:rsidP="00F92A2A">
      <w:pPr>
        <w:pStyle w:val="EndNoteBibliography"/>
        <w:spacing w:after="120" w:line="480" w:lineRule="auto"/>
        <w:ind w:left="567" w:hanging="567"/>
        <w:rPr>
          <w:noProof/>
        </w:rPr>
      </w:pPr>
      <w:r w:rsidRPr="004D5859">
        <w:rPr>
          <w:noProof/>
        </w:rPr>
        <w:t>8.</w:t>
      </w:r>
      <w:r w:rsidRPr="004D5859">
        <w:rPr>
          <w:noProof/>
        </w:rPr>
        <w:tab/>
        <w:t>Group ISTc, Sandercock P, Wardlaw JM, et al. The ben</w:t>
      </w:r>
      <w:r w:rsidR="00EF75FA" w:rsidRPr="004D5859">
        <w:rPr>
          <w:noProof/>
        </w:rPr>
        <w:t xml:space="preserve">efits and harms of intravenous </w:t>
      </w:r>
      <w:r w:rsidRPr="004D5859">
        <w:rPr>
          <w:noProof/>
        </w:rPr>
        <w:t>thrombolysis with recombinant tissue plasminogen activator with</w:t>
      </w:r>
      <w:r w:rsidR="00EF75FA" w:rsidRPr="004D5859">
        <w:rPr>
          <w:noProof/>
        </w:rPr>
        <w:t xml:space="preserve">in 6 h of acute </w:t>
      </w:r>
      <w:r w:rsidRPr="004D5859">
        <w:rPr>
          <w:noProof/>
        </w:rPr>
        <w:t>ischaemic stroke (the third International Strok</w:t>
      </w:r>
      <w:r w:rsidR="00EF75FA" w:rsidRPr="004D5859">
        <w:rPr>
          <w:noProof/>
        </w:rPr>
        <w:t xml:space="preserve">e Trial [IST-3]): a randomised </w:t>
      </w:r>
      <w:r w:rsidRPr="004D5859">
        <w:rPr>
          <w:noProof/>
        </w:rPr>
        <w:t xml:space="preserve">controlled trial. </w:t>
      </w:r>
      <w:r w:rsidRPr="004D5859">
        <w:rPr>
          <w:i/>
          <w:noProof/>
        </w:rPr>
        <w:t>Lancet</w:t>
      </w:r>
      <w:r w:rsidRPr="004D5859">
        <w:rPr>
          <w:noProof/>
        </w:rPr>
        <w:t xml:space="preserve"> 2012;379(9834):2352-63.</w:t>
      </w:r>
    </w:p>
    <w:p w14:paraId="526707A4" w14:textId="3E34E2C5" w:rsidR="007014E7" w:rsidRPr="004D5859" w:rsidRDefault="007014E7" w:rsidP="00F92A2A">
      <w:pPr>
        <w:pStyle w:val="EndNoteBibliography"/>
        <w:spacing w:after="120" w:line="480" w:lineRule="auto"/>
        <w:ind w:left="567" w:hanging="567"/>
        <w:rPr>
          <w:noProof/>
        </w:rPr>
      </w:pPr>
      <w:r w:rsidRPr="004D5859">
        <w:rPr>
          <w:noProof/>
        </w:rPr>
        <w:t>9.</w:t>
      </w:r>
      <w:r w:rsidRPr="004D5859">
        <w:rPr>
          <w:noProof/>
        </w:rPr>
        <w:tab/>
        <w:t>Wardlaw JM, Mielke O. Early signs of brain infarction a</w:t>
      </w:r>
      <w:r w:rsidR="00EF75FA" w:rsidRPr="004D5859">
        <w:rPr>
          <w:noProof/>
        </w:rPr>
        <w:t xml:space="preserve">t CT: observer reliability and </w:t>
      </w:r>
      <w:r w:rsidRPr="004D5859">
        <w:rPr>
          <w:noProof/>
        </w:rPr>
        <w:t xml:space="preserve">outcome after thrombolytic treatment--systematic review. </w:t>
      </w:r>
      <w:r w:rsidRPr="004D5859">
        <w:rPr>
          <w:i/>
          <w:noProof/>
        </w:rPr>
        <w:t>Radiology</w:t>
      </w:r>
      <w:r w:rsidRPr="004D5859">
        <w:rPr>
          <w:noProof/>
        </w:rPr>
        <w:t xml:space="preserve"> 2005;</w:t>
      </w:r>
      <w:r w:rsidR="00EF75FA" w:rsidRPr="004D5859">
        <w:rPr>
          <w:noProof/>
        </w:rPr>
        <w:t xml:space="preserve">235(2): </w:t>
      </w:r>
      <w:r w:rsidRPr="004D5859">
        <w:rPr>
          <w:noProof/>
        </w:rPr>
        <w:t>444-53.</w:t>
      </w:r>
    </w:p>
    <w:p w14:paraId="559CEDB4" w14:textId="776B3455" w:rsidR="007014E7" w:rsidRPr="004D5859" w:rsidRDefault="007014E7" w:rsidP="00F92A2A">
      <w:pPr>
        <w:pStyle w:val="EndNoteBibliography"/>
        <w:spacing w:after="120" w:line="480" w:lineRule="auto"/>
        <w:ind w:left="567" w:hanging="567"/>
        <w:rPr>
          <w:noProof/>
        </w:rPr>
      </w:pPr>
      <w:r w:rsidRPr="004D5859">
        <w:rPr>
          <w:noProof/>
        </w:rPr>
        <w:t>10.</w:t>
      </w:r>
      <w:r w:rsidRPr="004D5859">
        <w:rPr>
          <w:noProof/>
        </w:rPr>
        <w:tab/>
        <w:t xml:space="preserve">Wardlaw JM, Lewis SC, Dennis MS, et al. Is visible infarction on computed tomography associated with an adverse prognosis in acute </w:t>
      </w:r>
      <w:r w:rsidR="004D5859">
        <w:rPr>
          <w:noProof/>
        </w:rPr>
        <w:t>ischaemic</w:t>
      </w:r>
      <w:r w:rsidRPr="004D5859">
        <w:rPr>
          <w:noProof/>
        </w:rPr>
        <w:t xml:space="preserve"> stroke? </w:t>
      </w:r>
      <w:r w:rsidRPr="004D5859">
        <w:rPr>
          <w:i/>
          <w:noProof/>
        </w:rPr>
        <w:t>Stroke</w:t>
      </w:r>
      <w:r w:rsidRPr="004D5859">
        <w:rPr>
          <w:noProof/>
        </w:rPr>
        <w:t xml:space="preserve"> 1998;29(7):1315-9.</w:t>
      </w:r>
    </w:p>
    <w:p w14:paraId="0057E50A" w14:textId="0FEA19CB" w:rsidR="007014E7" w:rsidRPr="004D5859" w:rsidRDefault="007014E7" w:rsidP="00F92A2A">
      <w:pPr>
        <w:pStyle w:val="EndNoteBibliography"/>
        <w:spacing w:after="120" w:line="480" w:lineRule="auto"/>
        <w:ind w:left="567" w:hanging="567"/>
        <w:rPr>
          <w:noProof/>
        </w:rPr>
      </w:pPr>
      <w:r w:rsidRPr="004D5859">
        <w:rPr>
          <w:noProof/>
        </w:rPr>
        <w:t>11.</w:t>
      </w:r>
      <w:r w:rsidRPr="004D5859">
        <w:rPr>
          <w:noProof/>
        </w:rPr>
        <w:tab/>
        <w:t xml:space="preserve">Wardlaw JM, West TM, Sandercock PA, et al. Visible infarction on computed tomography is an independent </w:t>
      </w:r>
      <w:r w:rsidRPr="004D5859">
        <w:rPr>
          <w:noProof/>
        </w:rPr>
        <w:tab/>
        <w:t xml:space="preserve">predictor of poor functional outcome after stroke, and not of haemorrhagic transformation. </w:t>
      </w:r>
      <w:r w:rsidRPr="004D5859">
        <w:rPr>
          <w:i/>
          <w:noProof/>
        </w:rPr>
        <w:t>J Neurol Neurosurg Psychiatry</w:t>
      </w:r>
      <w:r w:rsidRPr="004D5859">
        <w:rPr>
          <w:noProof/>
        </w:rPr>
        <w:t xml:space="preserve"> 2003;74(4):452-8.</w:t>
      </w:r>
    </w:p>
    <w:p w14:paraId="46FA7185" w14:textId="5CF7E538" w:rsidR="007014E7" w:rsidRPr="004D5859" w:rsidRDefault="007014E7" w:rsidP="00F92A2A">
      <w:pPr>
        <w:pStyle w:val="EndNoteBibliography"/>
        <w:spacing w:after="120" w:line="480" w:lineRule="auto"/>
        <w:ind w:left="567" w:hanging="567"/>
        <w:rPr>
          <w:noProof/>
        </w:rPr>
      </w:pPr>
      <w:r w:rsidRPr="004D5859">
        <w:rPr>
          <w:noProof/>
        </w:rPr>
        <w:t>12.</w:t>
      </w:r>
      <w:r w:rsidRPr="004D5859">
        <w:rPr>
          <w:noProof/>
        </w:rPr>
        <w:tab/>
        <w:t xml:space="preserve">Wardlaw JM, von Kummer R, Farrall AJ, et al. A large web-based observer reliability study of early ischaemic signs on computed tomography. The Acute Cerebral CT Evaluation of Stroke Study (ACCESS). </w:t>
      </w:r>
      <w:r w:rsidRPr="004D5859">
        <w:rPr>
          <w:i/>
          <w:noProof/>
        </w:rPr>
        <w:t xml:space="preserve">PLoS </w:t>
      </w:r>
      <w:r w:rsidRPr="004D5859">
        <w:rPr>
          <w:i/>
          <w:noProof/>
        </w:rPr>
        <w:tab/>
        <w:t>ONE</w:t>
      </w:r>
      <w:r w:rsidRPr="004D5859">
        <w:rPr>
          <w:noProof/>
        </w:rPr>
        <w:t xml:space="preserve"> [Electronic Resource] 2010;5(12): e15757.</w:t>
      </w:r>
    </w:p>
    <w:p w14:paraId="10E1E0B3" w14:textId="438481C1" w:rsidR="007014E7" w:rsidRPr="004D5859" w:rsidRDefault="007014E7" w:rsidP="00F92A2A">
      <w:pPr>
        <w:pStyle w:val="EndNoteBibliography"/>
        <w:spacing w:after="120" w:line="480" w:lineRule="auto"/>
        <w:ind w:left="567" w:hanging="567"/>
        <w:rPr>
          <w:noProof/>
        </w:rPr>
      </w:pPr>
      <w:r w:rsidRPr="004D5859">
        <w:rPr>
          <w:noProof/>
        </w:rPr>
        <w:t>13.</w:t>
      </w:r>
      <w:r w:rsidRPr="004D5859">
        <w:rPr>
          <w:noProof/>
        </w:rPr>
        <w:tab/>
        <w:t>Wardlaw JM, Dorman PJ, Lewis SC, et al</w:t>
      </w:r>
      <w:r w:rsidR="00EF75FA" w:rsidRPr="004D5859">
        <w:rPr>
          <w:noProof/>
        </w:rPr>
        <w:t xml:space="preserve">. Can stroke physicians and </w:t>
      </w:r>
      <w:r w:rsidRPr="004D5859">
        <w:rPr>
          <w:noProof/>
        </w:rPr>
        <w:t xml:space="preserve">neuroradiologists identify signs of early cerebral infarction on CT? </w:t>
      </w:r>
      <w:r w:rsidRPr="004D5859">
        <w:rPr>
          <w:i/>
          <w:noProof/>
        </w:rPr>
        <w:t>J Neurol Neurosurg Psychiatry</w:t>
      </w:r>
      <w:r w:rsidRPr="004D5859">
        <w:rPr>
          <w:noProof/>
        </w:rPr>
        <w:t xml:space="preserve"> 1999;67(5):651-3.</w:t>
      </w:r>
    </w:p>
    <w:p w14:paraId="4475EBAC" w14:textId="11EF9CF8" w:rsidR="007014E7" w:rsidRPr="004D5859" w:rsidRDefault="007014E7" w:rsidP="00F92A2A">
      <w:pPr>
        <w:pStyle w:val="EndNoteBibliography"/>
        <w:spacing w:after="120" w:line="480" w:lineRule="auto"/>
        <w:ind w:left="567" w:hanging="567"/>
        <w:rPr>
          <w:noProof/>
        </w:rPr>
      </w:pPr>
      <w:r w:rsidRPr="004D5859">
        <w:rPr>
          <w:noProof/>
        </w:rPr>
        <w:t>14.</w:t>
      </w:r>
      <w:r w:rsidRPr="004D5859">
        <w:rPr>
          <w:noProof/>
        </w:rPr>
        <w:tab/>
      </w:r>
      <w:r w:rsidR="00EF75FA" w:rsidRPr="004D5859">
        <w:rPr>
          <w:noProof/>
        </w:rPr>
        <w:t xml:space="preserve"> </w:t>
      </w:r>
      <w:r w:rsidRPr="004D5859">
        <w:rPr>
          <w:noProof/>
        </w:rPr>
        <w:t>Barber PA, Demchuk AM, Zhang J, Buchan AM.</w:t>
      </w:r>
      <w:r w:rsidR="00EF75FA" w:rsidRPr="004D5859">
        <w:rPr>
          <w:noProof/>
        </w:rPr>
        <w:t xml:space="preserve"> Validity and reliability of a    </w:t>
      </w:r>
      <w:r w:rsidRPr="004D5859">
        <w:rPr>
          <w:noProof/>
        </w:rPr>
        <w:t>quantitative computed tomography score in predictin</w:t>
      </w:r>
      <w:r w:rsidR="00EF75FA" w:rsidRPr="004D5859">
        <w:rPr>
          <w:noProof/>
        </w:rPr>
        <w:t xml:space="preserve">g outcome of hyperacute stroke </w:t>
      </w:r>
      <w:r w:rsidRPr="004D5859">
        <w:rPr>
          <w:noProof/>
        </w:rPr>
        <w:t>before thrombolytic therapy. ASPECTS Study G</w:t>
      </w:r>
      <w:r w:rsidR="00EF75FA" w:rsidRPr="004D5859">
        <w:rPr>
          <w:noProof/>
        </w:rPr>
        <w:t xml:space="preserve">roup. Alberta Stroke Programme </w:t>
      </w:r>
      <w:r w:rsidRPr="004D5859">
        <w:rPr>
          <w:noProof/>
        </w:rPr>
        <w:t xml:space="preserve">Early CT Score. </w:t>
      </w:r>
      <w:r w:rsidRPr="004D5859">
        <w:rPr>
          <w:i/>
          <w:noProof/>
        </w:rPr>
        <w:t>Lancet</w:t>
      </w:r>
      <w:r w:rsidRPr="004D5859">
        <w:rPr>
          <w:noProof/>
        </w:rPr>
        <w:t xml:space="preserve"> 2000;355(9216):1670-4.</w:t>
      </w:r>
    </w:p>
    <w:p w14:paraId="7ADF0B9C" w14:textId="0C546113" w:rsidR="007014E7" w:rsidRPr="004D5859" w:rsidRDefault="007014E7" w:rsidP="00F92A2A">
      <w:pPr>
        <w:pStyle w:val="EndNoteBibliography"/>
        <w:spacing w:after="120" w:line="480" w:lineRule="auto"/>
        <w:ind w:left="567" w:hanging="567"/>
        <w:rPr>
          <w:noProof/>
        </w:rPr>
      </w:pPr>
      <w:r w:rsidRPr="004D5859">
        <w:rPr>
          <w:noProof/>
        </w:rPr>
        <w:t>15.</w:t>
      </w:r>
      <w:r w:rsidRPr="004D5859">
        <w:rPr>
          <w:noProof/>
        </w:rPr>
        <w:tab/>
        <w:t>Wardlaw JM, Sellar R. A simple practical classification of</w:t>
      </w:r>
      <w:r w:rsidR="00EF75FA" w:rsidRPr="004D5859">
        <w:rPr>
          <w:noProof/>
        </w:rPr>
        <w:t xml:space="preserve"> cerebral infarcts on CT and </w:t>
      </w:r>
      <w:r w:rsidRPr="004D5859">
        <w:rPr>
          <w:noProof/>
        </w:rPr>
        <w:t xml:space="preserve">its interobserver reliability. </w:t>
      </w:r>
      <w:r w:rsidRPr="004D5859">
        <w:rPr>
          <w:i/>
          <w:noProof/>
        </w:rPr>
        <w:t>AJNR Am J Neuroradiol</w:t>
      </w:r>
      <w:r w:rsidRPr="004D5859">
        <w:rPr>
          <w:noProof/>
        </w:rPr>
        <w:t xml:space="preserve"> 1994;15(10):1933-9.</w:t>
      </w:r>
    </w:p>
    <w:p w14:paraId="59CD4F9D" w14:textId="51B66439" w:rsidR="007014E7" w:rsidRPr="004D5859" w:rsidRDefault="007014E7" w:rsidP="00F92A2A">
      <w:pPr>
        <w:pStyle w:val="EndNoteBibliography"/>
        <w:spacing w:after="120" w:line="480" w:lineRule="auto"/>
        <w:ind w:left="567" w:hanging="567"/>
        <w:rPr>
          <w:noProof/>
        </w:rPr>
      </w:pPr>
      <w:r w:rsidRPr="004D5859">
        <w:rPr>
          <w:noProof/>
        </w:rPr>
        <w:t>16.</w:t>
      </w:r>
      <w:r w:rsidRPr="004D5859">
        <w:rPr>
          <w:noProof/>
        </w:rPr>
        <w:tab/>
        <w:t xml:space="preserve">Kharitonova T, Ahmed N, Thoren M, et al. Hyperdense </w:t>
      </w:r>
      <w:r w:rsidR="00EF75FA" w:rsidRPr="004D5859">
        <w:rPr>
          <w:noProof/>
        </w:rPr>
        <w:t xml:space="preserve">middle cerebral artery sign on </w:t>
      </w:r>
      <w:r w:rsidRPr="004D5859">
        <w:rPr>
          <w:noProof/>
        </w:rPr>
        <w:t>admission CT scan--prognostic significance for ischaemic stroke p</w:t>
      </w:r>
      <w:r w:rsidR="00EF75FA" w:rsidRPr="004D5859">
        <w:rPr>
          <w:noProof/>
        </w:rPr>
        <w:t xml:space="preserve">atients treated with </w:t>
      </w:r>
      <w:r w:rsidRPr="004D5859">
        <w:rPr>
          <w:noProof/>
        </w:rPr>
        <w:t>intravenous thrombolysis in the safe implementa</w:t>
      </w:r>
      <w:r w:rsidR="00EF75FA" w:rsidRPr="004D5859">
        <w:rPr>
          <w:noProof/>
        </w:rPr>
        <w:t xml:space="preserve">tion of thrombolysis in Stroke </w:t>
      </w:r>
      <w:r w:rsidRPr="004D5859">
        <w:rPr>
          <w:noProof/>
        </w:rPr>
        <w:t xml:space="preserve">International Stroke Thrombolysis Register. </w:t>
      </w:r>
      <w:r w:rsidRPr="004D5859">
        <w:rPr>
          <w:i/>
          <w:noProof/>
        </w:rPr>
        <w:t>Cerebrovasc Dis</w:t>
      </w:r>
      <w:r w:rsidRPr="004D5859">
        <w:rPr>
          <w:noProof/>
        </w:rPr>
        <w:t xml:space="preserve"> 2009;27(1):51-9.</w:t>
      </w:r>
    </w:p>
    <w:p w14:paraId="34742243" w14:textId="7FA3E2F8" w:rsidR="007014E7" w:rsidRPr="004D5859" w:rsidRDefault="007014E7" w:rsidP="00F92A2A">
      <w:pPr>
        <w:pStyle w:val="EndNoteBibliography"/>
        <w:spacing w:after="120" w:line="480" w:lineRule="auto"/>
        <w:ind w:left="567" w:hanging="567"/>
        <w:rPr>
          <w:i/>
          <w:noProof/>
        </w:rPr>
      </w:pPr>
      <w:r w:rsidRPr="004D5859">
        <w:rPr>
          <w:noProof/>
        </w:rPr>
        <w:t>17.</w:t>
      </w:r>
      <w:r w:rsidRPr="004D5859">
        <w:rPr>
          <w:noProof/>
        </w:rPr>
        <w:tab/>
        <w:t xml:space="preserve">van Swieten JC, Hijdra A, Koudstaal PJ, et al. Grading white matter lesions on CT and MRI: a simple scale. </w:t>
      </w:r>
      <w:r w:rsidRPr="004D5859">
        <w:rPr>
          <w:i/>
          <w:noProof/>
        </w:rPr>
        <w:t>J Neurol Neurosurg Psychiatry</w:t>
      </w:r>
      <w:r w:rsidRPr="004D5859">
        <w:rPr>
          <w:noProof/>
        </w:rPr>
        <w:t xml:space="preserve"> 1990;53(12):1080-3.</w:t>
      </w:r>
    </w:p>
    <w:p w14:paraId="66533137" w14:textId="1CE9A8B1" w:rsidR="007014E7" w:rsidRPr="004D5859" w:rsidRDefault="007014E7" w:rsidP="00F92A2A">
      <w:pPr>
        <w:pStyle w:val="EndNoteBibliography"/>
        <w:spacing w:after="120" w:line="480" w:lineRule="auto"/>
        <w:ind w:left="567" w:hanging="567"/>
        <w:rPr>
          <w:noProof/>
        </w:rPr>
      </w:pPr>
      <w:r w:rsidRPr="004D5859">
        <w:rPr>
          <w:noProof/>
        </w:rPr>
        <w:t>18.</w:t>
      </w:r>
      <w:r w:rsidRPr="004D5859">
        <w:rPr>
          <w:noProof/>
        </w:rPr>
        <w:tab/>
        <w:t xml:space="preserve">Fazekas F, Chawluk JB, Alavi A, et al. MR signal abnormalities at 1.5 T in Alzheimer's dementia and normal aging. </w:t>
      </w:r>
      <w:r w:rsidRPr="004D5859">
        <w:rPr>
          <w:i/>
          <w:noProof/>
        </w:rPr>
        <w:t>AJR Am J Roentgenol</w:t>
      </w:r>
      <w:r w:rsidRPr="004D5859">
        <w:rPr>
          <w:noProof/>
        </w:rPr>
        <w:t xml:space="preserve"> 1987;149(2):351-6.</w:t>
      </w:r>
    </w:p>
    <w:p w14:paraId="2093F2C2" w14:textId="59B605EF" w:rsidR="007014E7" w:rsidRDefault="007014E7" w:rsidP="00F92A2A">
      <w:pPr>
        <w:pStyle w:val="EndNoteBibliography"/>
        <w:spacing w:after="120" w:line="480" w:lineRule="auto"/>
        <w:ind w:left="567" w:hanging="567"/>
        <w:rPr>
          <w:noProof/>
        </w:rPr>
      </w:pPr>
      <w:r w:rsidRPr="004D5859">
        <w:rPr>
          <w:noProof/>
        </w:rPr>
        <w:t>19.</w:t>
      </w:r>
      <w:r w:rsidRPr="004D5859">
        <w:rPr>
          <w:noProof/>
        </w:rPr>
        <w:tab/>
        <w:t xml:space="preserve">Farrell C, Chappell F, Armitage PA, et al. Development and initial testing of normal reference MR images for the brain at ages 65-70 and 75-80 years. </w:t>
      </w:r>
      <w:r w:rsidRPr="004D5859">
        <w:rPr>
          <w:i/>
          <w:noProof/>
        </w:rPr>
        <w:t>Eur Radiol</w:t>
      </w:r>
      <w:r w:rsidRPr="004D5859">
        <w:rPr>
          <w:noProof/>
        </w:rPr>
        <w:t xml:space="preserve"> 2009; 19(1):177-83.</w:t>
      </w:r>
    </w:p>
    <w:p w14:paraId="7E13A8F7" w14:textId="1A5D2320" w:rsidR="008C01B3" w:rsidRPr="004D5859" w:rsidRDefault="008C01B3" w:rsidP="00F92A2A">
      <w:pPr>
        <w:pStyle w:val="EndNoteBibliography"/>
        <w:spacing w:after="120" w:line="480" w:lineRule="auto"/>
        <w:ind w:left="567" w:hanging="567"/>
        <w:rPr>
          <w:noProof/>
        </w:rPr>
      </w:pPr>
      <w:r>
        <w:rPr>
          <w:noProof/>
        </w:rPr>
        <w:t xml:space="preserve">20. </w:t>
      </w:r>
      <w:r>
        <w:rPr>
          <w:color w:val="000000" w:themeColor="text1"/>
          <w:u w:color="FB0007"/>
          <w:lang w:val="en-US"/>
        </w:rPr>
        <w:t xml:space="preserve">    </w:t>
      </w:r>
      <w:r w:rsidRPr="00F42B1B">
        <w:rPr>
          <w:color w:val="000000" w:themeColor="text1"/>
          <w:u w:color="FB0007"/>
          <w:lang w:val="en-AU"/>
        </w:rPr>
        <w:t>Mair, G., von Kummer, R., Adami, A. </w:t>
      </w:r>
      <w:r w:rsidRPr="00F42B1B">
        <w:rPr>
          <w:iCs/>
          <w:color w:val="000000" w:themeColor="text1"/>
          <w:u w:color="FB0007"/>
          <w:lang w:val="en-AU"/>
        </w:rPr>
        <w:t>et al.</w:t>
      </w:r>
      <w:r w:rsidRPr="00F42B1B">
        <w:rPr>
          <w:color w:val="000000" w:themeColor="text1"/>
          <w:u w:color="FB0007"/>
          <w:lang w:val="en-AU"/>
        </w:rPr>
        <w:t> Observer reliability of CT angiography in the assessment of acute ischaemic stroke: data from the Third International Stroke Trial. </w:t>
      </w:r>
      <w:r w:rsidRPr="003C06D8">
        <w:rPr>
          <w:i/>
          <w:iCs/>
          <w:color w:val="000000" w:themeColor="text1"/>
          <w:u w:color="FB0007"/>
          <w:lang w:val="en-AU"/>
        </w:rPr>
        <w:t>Neuroradiology</w:t>
      </w:r>
      <w:r w:rsidR="00812E41">
        <w:rPr>
          <w:i/>
          <w:iCs/>
          <w:color w:val="000000" w:themeColor="text1"/>
          <w:u w:color="FB0007"/>
          <w:lang w:val="en-AU"/>
        </w:rPr>
        <w:t xml:space="preserve"> </w:t>
      </w:r>
      <w:r w:rsidR="00812E41" w:rsidRPr="003C06D8">
        <w:rPr>
          <w:iCs/>
          <w:color w:val="000000" w:themeColor="text1"/>
          <w:u w:color="FB0007"/>
          <w:lang w:val="en-AU"/>
        </w:rPr>
        <w:t>2015;</w:t>
      </w:r>
      <w:r w:rsidRPr="003C06D8">
        <w:rPr>
          <w:i/>
          <w:color w:val="000000" w:themeColor="text1"/>
          <w:u w:color="FB0007"/>
          <w:lang w:val="en-AU"/>
        </w:rPr>
        <w:t> </w:t>
      </w:r>
      <w:r w:rsidRPr="00F42B1B">
        <w:rPr>
          <w:bCs/>
          <w:color w:val="000000" w:themeColor="text1"/>
          <w:u w:color="FB0007"/>
          <w:lang w:val="en-AU"/>
        </w:rPr>
        <w:t>57</w:t>
      </w:r>
      <w:r w:rsidR="00812E41">
        <w:rPr>
          <w:bCs/>
          <w:color w:val="000000" w:themeColor="text1"/>
          <w:u w:color="FB0007"/>
          <w:lang w:val="en-AU"/>
        </w:rPr>
        <w:t>(1):</w:t>
      </w:r>
      <w:r w:rsidRPr="00F42B1B">
        <w:rPr>
          <w:bCs/>
          <w:color w:val="000000" w:themeColor="text1"/>
          <w:u w:color="FB0007"/>
          <w:lang w:val="en-AU"/>
        </w:rPr>
        <w:t> </w:t>
      </w:r>
      <w:r w:rsidRPr="00F42B1B">
        <w:rPr>
          <w:color w:val="000000" w:themeColor="text1"/>
          <w:u w:color="FB0007"/>
          <w:lang w:val="en-AU"/>
        </w:rPr>
        <w:t>1–9</w:t>
      </w:r>
      <w:r>
        <w:rPr>
          <w:color w:val="000000" w:themeColor="text1"/>
          <w:u w:color="FB0007"/>
          <w:lang w:val="en-AU"/>
        </w:rPr>
        <w:t>.</w:t>
      </w:r>
    </w:p>
    <w:p w14:paraId="5922878A" w14:textId="393DC369" w:rsidR="001F6176" w:rsidRPr="004D5859" w:rsidRDefault="007014E7" w:rsidP="00F92A2A">
      <w:pPr>
        <w:rPr>
          <w:rFonts w:ascii="Times New Roman" w:hAnsi="Times New Roman" w:cs="Times New Roman"/>
        </w:rPr>
        <w:sectPr w:rsidR="001F6176" w:rsidRPr="004D5859" w:rsidSect="00EF5F48">
          <w:pgSz w:w="11900" w:h="16840"/>
          <w:pgMar w:top="1440" w:right="1440" w:bottom="1440" w:left="1440" w:header="709" w:footer="708" w:gutter="0"/>
          <w:cols w:space="708"/>
          <w:docGrid w:linePitch="360"/>
        </w:sectPr>
      </w:pPr>
      <w:r w:rsidRPr="004D5859">
        <w:rPr>
          <w:rFonts w:ascii="Times New Roman" w:hAnsi="Times New Roman" w:cs="Times New Roman"/>
        </w:rPr>
        <w:fldChar w:fldCharType="end"/>
      </w:r>
      <w:r w:rsidR="00C7326B" w:rsidRPr="004D5859">
        <w:fldChar w:fldCharType="begin"/>
      </w:r>
      <w:r w:rsidR="00C7326B" w:rsidRPr="004D5859">
        <w:instrText xml:space="preserve"> ADDIN EN.REFLIST </w:instrText>
      </w:r>
      <w:r w:rsidR="00C7326B" w:rsidRPr="004D5859">
        <w:fldChar w:fldCharType="end"/>
      </w:r>
    </w:p>
    <w:p w14:paraId="1CB698AB" w14:textId="38AB7003" w:rsidR="001F6176" w:rsidRPr="004D5859" w:rsidRDefault="00B1648A" w:rsidP="001F6176">
      <w:pPr>
        <w:spacing w:line="480" w:lineRule="auto"/>
        <w:rPr>
          <w:rFonts w:ascii="Times New Roman" w:hAnsi="Times New Roman" w:cs="Times New Roman"/>
          <w:b/>
        </w:rPr>
      </w:pPr>
      <w:r w:rsidRPr="004D5859">
        <w:rPr>
          <w:rFonts w:ascii="Times New Roman" w:hAnsi="Times New Roman" w:cs="Times New Roman"/>
          <w:b/>
        </w:rPr>
        <w:t>FIGURE LEGEND</w:t>
      </w:r>
    </w:p>
    <w:p w14:paraId="240BA24D" w14:textId="77777777" w:rsidR="001F6176" w:rsidRPr="004D5859" w:rsidRDefault="001F6176" w:rsidP="001F6176">
      <w:pPr>
        <w:spacing w:line="480" w:lineRule="auto"/>
        <w:rPr>
          <w:rFonts w:ascii="Times New Roman" w:hAnsi="Times New Roman" w:cs="Times New Roman"/>
          <w:b/>
        </w:rPr>
      </w:pPr>
      <w:r w:rsidRPr="004D5859">
        <w:rPr>
          <w:rFonts w:ascii="Times New Roman" w:hAnsi="Times New Roman" w:cs="Times New Roman"/>
          <w:b/>
        </w:rPr>
        <w:t>Figure 1: Trial flowchart</w:t>
      </w:r>
    </w:p>
    <w:p w14:paraId="6D5E3711" w14:textId="77777777" w:rsidR="001F6176" w:rsidRPr="004D5859" w:rsidRDefault="001F6176" w:rsidP="001F6176">
      <w:pPr>
        <w:spacing w:line="480" w:lineRule="auto"/>
        <w:rPr>
          <w:rFonts w:ascii="Times New Roman" w:hAnsi="Times New Roman" w:cs="Times New Roman"/>
        </w:rPr>
      </w:pPr>
      <w:r w:rsidRPr="004D5859">
        <w:rPr>
          <w:rFonts w:ascii="Times New Roman" w:hAnsi="Times New Roman" w:cs="Times New Roman"/>
        </w:rPr>
        <w:t xml:space="preserve">Footnote: </w:t>
      </w:r>
      <w:r w:rsidRPr="004D5859">
        <w:rPr>
          <w:rFonts w:ascii="Times New Roman" w:hAnsi="Times New Roman" w:cs="Times New Roman"/>
          <w:vertAlign w:val="superscript"/>
        </w:rPr>
        <w:t>a</w:t>
      </w:r>
      <w:r w:rsidRPr="004D5859">
        <w:rPr>
          <w:rFonts w:ascii="Times New Roman" w:hAnsi="Times New Roman" w:cs="Times New Roman"/>
        </w:rPr>
        <w:t xml:space="preserve"> There was only enhanced image of CTA or reconstructed MRA available at baseline.</w:t>
      </w:r>
    </w:p>
    <w:p w14:paraId="527371DF" w14:textId="77777777" w:rsidR="001F6176" w:rsidRPr="004D5859" w:rsidRDefault="001F6176" w:rsidP="001F6176">
      <w:pPr>
        <w:spacing w:line="480" w:lineRule="auto"/>
        <w:rPr>
          <w:rFonts w:ascii="Times New Roman" w:hAnsi="Times New Roman" w:cs="Times New Roman"/>
        </w:rPr>
      </w:pPr>
      <w:proofErr w:type="spellStart"/>
      <w:r w:rsidRPr="004D5859">
        <w:rPr>
          <w:rFonts w:ascii="Times New Roman" w:hAnsi="Times New Roman" w:cs="Times New Roman"/>
          <w:vertAlign w:val="superscript"/>
        </w:rPr>
        <w:t>b</w:t>
      </w:r>
      <w:r w:rsidRPr="004D5859">
        <w:rPr>
          <w:rFonts w:ascii="Times New Roman" w:hAnsi="Times New Roman" w:cs="Times New Roman"/>
        </w:rPr>
        <w:t>In</w:t>
      </w:r>
      <w:proofErr w:type="spellEnd"/>
      <w:r w:rsidRPr="004D5859">
        <w:rPr>
          <w:rFonts w:ascii="Times New Roman" w:hAnsi="Times New Roman" w:cs="Times New Roman"/>
        </w:rPr>
        <w:t xml:space="preserve"> participants with multiple baseline CT scans, we choose only one scan for analysis based on following priority: (1) non-contrast CT is prior to the plain CT images in CTA or CTP; (2) CT scan with thick slices is prior to CT scan with thin slices; (3) scanning time closest to the randomisation. Other baseline CT scans are excluded for analysis.</w:t>
      </w:r>
    </w:p>
    <w:p w14:paraId="01B74EEC" w14:textId="43E69852" w:rsidR="00800803" w:rsidRPr="004D5859" w:rsidRDefault="001F6176" w:rsidP="003C06D8">
      <w:pPr>
        <w:spacing w:line="480" w:lineRule="auto"/>
        <w:rPr>
          <w:rFonts w:cs="Times New Roman"/>
        </w:rPr>
      </w:pPr>
      <w:proofErr w:type="spellStart"/>
      <w:proofErr w:type="gramStart"/>
      <w:r w:rsidRPr="004D5859">
        <w:rPr>
          <w:rFonts w:ascii="Times New Roman" w:hAnsi="Times New Roman" w:cs="Times New Roman"/>
          <w:vertAlign w:val="superscript"/>
        </w:rPr>
        <w:t>c</w:t>
      </w:r>
      <w:r w:rsidRPr="004D5859">
        <w:rPr>
          <w:rFonts w:ascii="Times New Roman" w:hAnsi="Times New Roman" w:cs="Times New Roman"/>
        </w:rPr>
        <w:t>The</w:t>
      </w:r>
      <w:proofErr w:type="spellEnd"/>
      <w:proofErr w:type="gramEnd"/>
      <w:r w:rsidRPr="004D5859">
        <w:rPr>
          <w:rFonts w:ascii="Times New Roman" w:hAnsi="Times New Roman" w:cs="Times New Roman"/>
        </w:rPr>
        <w:t xml:space="preserve"> scan was received repeatedly or different CT images/MRI sequences of one scan were received separately </w:t>
      </w:r>
      <w:r w:rsidR="002E3ED7" w:rsidRPr="004D5859">
        <w:rPr>
          <w:rFonts w:ascii="Times New Roman" w:hAnsi="Times New Roman" w:cs="Times New Roman"/>
        </w:rPr>
        <w:t>and store</w:t>
      </w:r>
      <w:r w:rsidR="0018743A" w:rsidRPr="004D5859">
        <w:rPr>
          <w:rFonts w:ascii="Times New Roman" w:hAnsi="Times New Roman" w:cs="Times New Roman"/>
        </w:rPr>
        <w:t>d as individual scans.</w:t>
      </w:r>
    </w:p>
    <w:sectPr w:rsidR="00800803" w:rsidRPr="004D5859" w:rsidSect="003C06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1A4F9" w14:textId="77777777" w:rsidR="00505806" w:rsidRDefault="00505806" w:rsidP="0093112E">
      <w:r>
        <w:separator/>
      </w:r>
    </w:p>
  </w:endnote>
  <w:endnote w:type="continuationSeparator" w:id="0">
    <w:p w14:paraId="05F2E224" w14:textId="77777777" w:rsidR="00505806" w:rsidRDefault="00505806" w:rsidP="0093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游明朝">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DengXian">
    <w:altName w:val="Arial Unicode MS"/>
    <w:charset w:val="86"/>
    <w:family w:val="auto"/>
    <w:pitch w:val="variable"/>
    <w:sig w:usb0="A00002BF" w:usb1="38CF7CFA" w:usb2="00000016" w:usb3="00000000" w:csb0="0004000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949F" w14:textId="77777777" w:rsidR="00505806" w:rsidRDefault="005058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3EF67" w14:textId="77777777" w:rsidR="00505806" w:rsidRDefault="00505806">
    <w:pPr>
      <w:pStyle w:val="Footer"/>
    </w:pPr>
  </w:p>
  <w:p w14:paraId="7C54082C" w14:textId="77777777" w:rsidR="00505806" w:rsidRDefault="00505806"/>
  <w:p w14:paraId="3ECA844F" w14:textId="77777777" w:rsidR="00505806" w:rsidRDefault="0050580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EB53" w14:textId="77777777" w:rsidR="00505806" w:rsidRDefault="005058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49365" w14:textId="77777777" w:rsidR="00505806" w:rsidRDefault="00505806" w:rsidP="0093112E">
      <w:r>
        <w:separator/>
      </w:r>
    </w:p>
  </w:footnote>
  <w:footnote w:type="continuationSeparator" w:id="0">
    <w:p w14:paraId="1D5BCCEE" w14:textId="77777777" w:rsidR="00505806" w:rsidRDefault="00505806" w:rsidP="009311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AB57A" w14:textId="77777777" w:rsidR="00505806" w:rsidRDefault="005058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ACCA" w14:textId="77777777" w:rsidR="00505806" w:rsidRPr="00687AE6" w:rsidRDefault="00505806" w:rsidP="007F2D50">
    <w:pPr>
      <w:pStyle w:val="Header"/>
      <w:pBdr>
        <w:bottom w:val="single" w:sz="6" w:space="2"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2249" w14:textId="77777777" w:rsidR="00505806" w:rsidRDefault="005058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F4C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7970435"/>
    <w:multiLevelType w:val="hybridMultilevel"/>
    <w:tmpl w:val="ABD45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Anderson">
    <w15:presenceInfo w15:providerId="AD" w15:userId="S::canderson@georgeinstitute.org.cn::0e5540dd-e434-4d0c-af18-6640e819876d"/>
  </w15:person>
  <w15:person w15:author="Grant Mair">
    <w15:presenceInfo w15:providerId="Windows Live" w15:userId="99a38d29c9753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NZ" w:vendorID="64" w:dllVersion="4096" w:nlCheck="1" w:checkStyle="0"/>
  <w:activeWritingStyle w:appName="MSWord" w:lang="en-GB" w:vendorID="64" w:dllVersion="6" w:nlCheck="1" w:checkStyle="1"/>
  <w:activeWritingStyle w:appName="MSWord" w:lang="en-GB" w:vendorID="64" w:dllVersion="0"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dpwwr0e9xvxfueerpuvd9rk99sddsewzett&quot;&gt;My EndNote Library_thrombosis&lt;record-ids&gt;&lt;item&gt;2&lt;/item&gt;&lt;item&gt;37&lt;/item&gt;&lt;item&gt;53&lt;/item&gt;&lt;/record-ids&gt;&lt;/item&gt;&lt;/Libraries&gt;"/>
  </w:docVars>
  <w:rsids>
    <w:rsidRoot w:val="00994D4B"/>
    <w:rsid w:val="0000062A"/>
    <w:rsid w:val="00000FC3"/>
    <w:rsid w:val="00006297"/>
    <w:rsid w:val="00011175"/>
    <w:rsid w:val="00014F0F"/>
    <w:rsid w:val="0001522B"/>
    <w:rsid w:val="000163BA"/>
    <w:rsid w:val="00020131"/>
    <w:rsid w:val="00020F30"/>
    <w:rsid w:val="00022DA0"/>
    <w:rsid w:val="00025510"/>
    <w:rsid w:val="000256C6"/>
    <w:rsid w:val="0003414C"/>
    <w:rsid w:val="000358EE"/>
    <w:rsid w:val="000430F5"/>
    <w:rsid w:val="0004542E"/>
    <w:rsid w:val="00050EB7"/>
    <w:rsid w:val="000624FC"/>
    <w:rsid w:val="00067171"/>
    <w:rsid w:val="0007557D"/>
    <w:rsid w:val="00077FFE"/>
    <w:rsid w:val="0008302B"/>
    <w:rsid w:val="00087701"/>
    <w:rsid w:val="0009269A"/>
    <w:rsid w:val="000A1A80"/>
    <w:rsid w:val="000A1EAA"/>
    <w:rsid w:val="000A3308"/>
    <w:rsid w:val="000B0C01"/>
    <w:rsid w:val="000B2DA7"/>
    <w:rsid w:val="000B34AA"/>
    <w:rsid w:val="000B4586"/>
    <w:rsid w:val="000B569F"/>
    <w:rsid w:val="000C13A8"/>
    <w:rsid w:val="000C60E3"/>
    <w:rsid w:val="000C677A"/>
    <w:rsid w:val="000C6E09"/>
    <w:rsid w:val="000E0D82"/>
    <w:rsid w:val="000E29C3"/>
    <w:rsid w:val="000E74E6"/>
    <w:rsid w:val="000F0B10"/>
    <w:rsid w:val="000F6CA4"/>
    <w:rsid w:val="00104F26"/>
    <w:rsid w:val="00106A12"/>
    <w:rsid w:val="001112A4"/>
    <w:rsid w:val="00112F9F"/>
    <w:rsid w:val="00114A2D"/>
    <w:rsid w:val="0011516E"/>
    <w:rsid w:val="001159BB"/>
    <w:rsid w:val="001174F9"/>
    <w:rsid w:val="00120DBA"/>
    <w:rsid w:val="00121F1A"/>
    <w:rsid w:val="00123F42"/>
    <w:rsid w:val="001247AF"/>
    <w:rsid w:val="00134474"/>
    <w:rsid w:val="001409C7"/>
    <w:rsid w:val="001549CD"/>
    <w:rsid w:val="001556B0"/>
    <w:rsid w:val="00157649"/>
    <w:rsid w:val="00165275"/>
    <w:rsid w:val="00170215"/>
    <w:rsid w:val="0017285C"/>
    <w:rsid w:val="00173270"/>
    <w:rsid w:val="00176DCD"/>
    <w:rsid w:val="00181D91"/>
    <w:rsid w:val="001850E1"/>
    <w:rsid w:val="00187061"/>
    <w:rsid w:val="0018743A"/>
    <w:rsid w:val="00187C7E"/>
    <w:rsid w:val="0019487A"/>
    <w:rsid w:val="001951AD"/>
    <w:rsid w:val="00196371"/>
    <w:rsid w:val="00196F31"/>
    <w:rsid w:val="001A3A9E"/>
    <w:rsid w:val="001A51E3"/>
    <w:rsid w:val="001B4FF6"/>
    <w:rsid w:val="001C1BD1"/>
    <w:rsid w:val="001D5837"/>
    <w:rsid w:val="001E1402"/>
    <w:rsid w:val="001E3B60"/>
    <w:rsid w:val="001E7AE1"/>
    <w:rsid w:val="001F2E06"/>
    <w:rsid w:val="001F6176"/>
    <w:rsid w:val="002007C6"/>
    <w:rsid w:val="00211655"/>
    <w:rsid w:val="00223240"/>
    <w:rsid w:val="00225C8E"/>
    <w:rsid w:val="00230D36"/>
    <w:rsid w:val="0023119B"/>
    <w:rsid w:val="00234BC9"/>
    <w:rsid w:val="00241D9F"/>
    <w:rsid w:val="002452CD"/>
    <w:rsid w:val="00245936"/>
    <w:rsid w:val="00245D9E"/>
    <w:rsid w:val="00247003"/>
    <w:rsid w:val="002519E4"/>
    <w:rsid w:val="00252E93"/>
    <w:rsid w:val="00256B7D"/>
    <w:rsid w:val="0025731B"/>
    <w:rsid w:val="00264A35"/>
    <w:rsid w:val="00265660"/>
    <w:rsid w:val="00270264"/>
    <w:rsid w:val="002712E7"/>
    <w:rsid w:val="00272C28"/>
    <w:rsid w:val="0027387A"/>
    <w:rsid w:val="002777BF"/>
    <w:rsid w:val="00280D9E"/>
    <w:rsid w:val="00282C8B"/>
    <w:rsid w:val="00285E8B"/>
    <w:rsid w:val="00286729"/>
    <w:rsid w:val="002A0567"/>
    <w:rsid w:val="002A3091"/>
    <w:rsid w:val="002A4FEE"/>
    <w:rsid w:val="002A79DE"/>
    <w:rsid w:val="002B0183"/>
    <w:rsid w:val="002B186F"/>
    <w:rsid w:val="002B267C"/>
    <w:rsid w:val="002C5C2D"/>
    <w:rsid w:val="002C665E"/>
    <w:rsid w:val="002C6E5A"/>
    <w:rsid w:val="002C7B85"/>
    <w:rsid w:val="002E3B4A"/>
    <w:rsid w:val="002E3ED7"/>
    <w:rsid w:val="002F72D7"/>
    <w:rsid w:val="002F7325"/>
    <w:rsid w:val="00302D7D"/>
    <w:rsid w:val="00303E1E"/>
    <w:rsid w:val="003073C3"/>
    <w:rsid w:val="00307791"/>
    <w:rsid w:val="00312900"/>
    <w:rsid w:val="00313805"/>
    <w:rsid w:val="00317FB9"/>
    <w:rsid w:val="00330995"/>
    <w:rsid w:val="00333990"/>
    <w:rsid w:val="00333A7C"/>
    <w:rsid w:val="00334ADC"/>
    <w:rsid w:val="00336B4D"/>
    <w:rsid w:val="00345E63"/>
    <w:rsid w:val="003464D1"/>
    <w:rsid w:val="0034748D"/>
    <w:rsid w:val="00366131"/>
    <w:rsid w:val="0037318F"/>
    <w:rsid w:val="00383CAA"/>
    <w:rsid w:val="00384D21"/>
    <w:rsid w:val="00386289"/>
    <w:rsid w:val="0039275A"/>
    <w:rsid w:val="0039772D"/>
    <w:rsid w:val="003A0F2A"/>
    <w:rsid w:val="003B0B22"/>
    <w:rsid w:val="003B0DE8"/>
    <w:rsid w:val="003B275D"/>
    <w:rsid w:val="003B66F4"/>
    <w:rsid w:val="003C06D8"/>
    <w:rsid w:val="003C7098"/>
    <w:rsid w:val="003D196E"/>
    <w:rsid w:val="003D1BEB"/>
    <w:rsid w:val="003D48C0"/>
    <w:rsid w:val="003F05A3"/>
    <w:rsid w:val="003F0606"/>
    <w:rsid w:val="003F4328"/>
    <w:rsid w:val="003F6FEF"/>
    <w:rsid w:val="00405142"/>
    <w:rsid w:val="0040745A"/>
    <w:rsid w:val="00411A89"/>
    <w:rsid w:val="00413346"/>
    <w:rsid w:val="004151A0"/>
    <w:rsid w:val="00415A0B"/>
    <w:rsid w:val="004175A9"/>
    <w:rsid w:val="0042050A"/>
    <w:rsid w:val="004305BE"/>
    <w:rsid w:val="00431062"/>
    <w:rsid w:val="00435EF5"/>
    <w:rsid w:val="00437B8A"/>
    <w:rsid w:val="004408D2"/>
    <w:rsid w:val="00441CB7"/>
    <w:rsid w:val="00441F51"/>
    <w:rsid w:val="00446AEE"/>
    <w:rsid w:val="00446D88"/>
    <w:rsid w:val="004531B0"/>
    <w:rsid w:val="00453335"/>
    <w:rsid w:val="00463222"/>
    <w:rsid w:val="004643A1"/>
    <w:rsid w:val="0046459B"/>
    <w:rsid w:val="00467BB0"/>
    <w:rsid w:val="00472967"/>
    <w:rsid w:val="004731A5"/>
    <w:rsid w:val="0048119D"/>
    <w:rsid w:val="0048427C"/>
    <w:rsid w:val="00484C48"/>
    <w:rsid w:val="00487916"/>
    <w:rsid w:val="00491EEC"/>
    <w:rsid w:val="00493637"/>
    <w:rsid w:val="004A0DCB"/>
    <w:rsid w:val="004B5F58"/>
    <w:rsid w:val="004C0529"/>
    <w:rsid w:val="004C66D1"/>
    <w:rsid w:val="004D2767"/>
    <w:rsid w:val="004D3F7F"/>
    <w:rsid w:val="004D5859"/>
    <w:rsid w:val="004E5AEF"/>
    <w:rsid w:val="004E5CFF"/>
    <w:rsid w:val="004E5F3A"/>
    <w:rsid w:val="004F171D"/>
    <w:rsid w:val="004F35CA"/>
    <w:rsid w:val="004F66A5"/>
    <w:rsid w:val="00505806"/>
    <w:rsid w:val="00505BF8"/>
    <w:rsid w:val="005130C6"/>
    <w:rsid w:val="0051464C"/>
    <w:rsid w:val="00514A95"/>
    <w:rsid w:val="005165F2"/>
    <w:rsid w:val="00517BCF"/>
    <w:rsid w:val="00521734"/>
    <w:rsid w:val="00524625"/>
    <w:rsid w:val="005276AF"/>
    <w:rsid w:val="005336AB"/>
    <w:rsid w:val="005410B7"/>
    <w:rsid w:val="00541B74"/>
    <w:rsid w:val="0055320A"/>
    <w:rsid w:val="00560786"/>
    <w:rsid w:val="005633D9"/>
    <w:rsid w:val="005713C1"/>
    <w:rsid w:val="0057310C"/>
    <w:rsid w:val="005752F0"/>
    <w:rsid w:val="00576BC3"/>
    <w:rsid w:val="00580B5C"/>
    <w:rsid w:val="00581FD8"/>
    <w:rsid w:val="00582214"/>
    <w:rsid w:val="00583C89"/>
    <w:rsid w:val="00584422"/>
    <w:rsid w:val="005914DF"/>
    <w:rsid w:val="005967E3"/>
    <w:rsid w:val="005A52A1"/>
    <w:rsid w:val="005B1E44"/>
    <w:rsid w:val="005B3D46"/>
    <w:rsid w:val="005C4091"/>
    <w:rsid w:val="005C4247"/>
    <w:rsid w:val="005C5A5F"/>
    <w:rsid w:val="005C6638"/>
    <w:rsid w:val="005D6604"/>
    <w:rsid w:val="005E0A5E"/>
    <w:rsid w:val="005E1800"/>
    <w:rsid w:val="005F080E"/>
    <w:rsid w:val="005F3E96"/>
    <w:rsid w:val="005F5523"/>
    <w:rsid w:val="005F657B"/>
    <w:rsid w:val="006006E7"/>
    <w:rsid w:val="00601FEC"/>
    <w:rsid w:val="006035F4"/>
    <w:rsid w:val="00603803"/>
    <w:rsid w:val="0060570B"/>
    <w:rsid w:val="00605DB3"/>
    <w:rsid w:val="006065D3"/>
    <w:rsid w:val="006106AB"/>
    <w:rsid w:val="00610B0E"/>
    <w:rsid w:val="00611FFA"/>
    <w:rsid w:val="006135B8"/>
    <w:rsid w:val="00613783"/>
    <w:rsid w:val="00614DD4"/>
    <w:rsid w:val="00615361"/>
    <w:rsid w:val="00616805"/>
    <w:rsid w:val="0062096F"/>
    <w:rsid w:val="0062308C"/>
    <w:rsid w:val="006255C8"/>
    <w:rsid w:val="0063002F"/>
    <w:rsid w:val="006379EB"/>
    <w:rsid w:val="0064295E"/>
    <w:rsid w:val="00645B0D"/>
    <w:rsid w:val="006504F8"/>
    <w:rsid w:val="00654B77"/>
    <w:rsid w:val="00655DBF"/>
    <w:rsid w:val="0065695A"/>
    <w:rsid w:val="0066327C"/>
    <w:rsid w:val="006640E5"/>
    <w:rsid w:val="006735C1"/>
    <w:rsid w:val="00686E88"/>
    <w:rsid w:val="006874EC"/>
    <w:rsid w:val="00687AE6"/>
    <w:rsid w:val="006906CD"/>
    <w:rsid w:val="0069334F"/>
    <w:rsid w:val="00693360"/>
    <w:rsid w:val="0069494B"/>
    <w:rsid w:val="00697AD7"/>
    <w:rsid w:val="006A2419"/>
    <w:rsid w:val="006B346B"/>
    <w:rsid w:val="006B39E0"/>
    <w:rsid w:val="006B410A"/>
    <w:rsid w:val="006B449A"/>
    <w:rsid w:val="006C2952"/>
    <w:rsid w:val="006C2C01"/>
    <w:rsid w:val="006C526C"/>
    <w:rsid w:val="006D1487"/>
    <w:rsid w:val="006D45EE"/>
    <w:rsid w:val="006D6014"/>
    <w:rsid w:val="006E0472"/>
    <w:rsid w:val="006E64CD"/>
    <w:rsid w:val="006F0942"/>
    <w:rsid w:val="006F37E2"/>
    <w:rsid w:val="006F602D"/>
    <w:rsid w:val="00700C9A"/>
    <w:rsid w:val="007014E7"/>
    <w:rsid w:val="00701D3A"/>
    <w:rsid w:val="0070535A"/>
    <w:rsid w:val="007123F3"/>
    <w:rsid w:val="00715753"/>
    <w:rsid w:val="0071699A"/>
    <w:rsid w:val="00721A27"/>
    <w:rsid w:val="007237EF"/>
    <w:rsid w:val="00724154"/>
    <w:rsid w:val="007431F8"/>
    <w:rsid w:val="00744523"/>
    <w:rsid w:val="00752747"/>
    <w:rsid w:val="00760354"/>
    <w:rsid w:val="00762196"/>
    <w:rsid w:val="007639F8"/>
    <w:rsid w:val="00770F97"/>
    <w:rsid w:val="00771E47"/>
    <w:rsid w:val="0077206A"/>
    <w:rsid w:val="00772AEF"/>
    <w:rsid w:val="00773E1C"/>
    <w:rsid w:val="007751C9"/>
    <w:rsid w:val="007755C4"/>
    <w:rsid w:val="00782623"/>
    <w:rsid w:val="00783EC2"/>
    <w:rsid w:val="0078491B"/>
    <w:rsid w:val="00784F36"/>
    <w:rsid w:val="00785EF7"/>
    <w:rsid w:val="0078760E"/>
    <w:rsid w:val="007922F7"/>
    <w:rsid w:val="00793B4E"/>
    <w:rsid w:val="00795405"/>
    <w:rsid w:val="007A19DB"/>
    <w:rsid w:val="007A1E2C"/>
    <w:rsid w:val="007A6E11"/>
    <w:rsid w:val="007B5357"/>
    <w:rsid w:val="007B7751"/>
    <w:rsid w:val="007C34DB"/>
    <w:rsid w:val="007C5FA6"/>
    <w:rsid w:val="007D149F"/>
    <w:rsid w:val="007E5CD1"/>
    <w:rsid w:val="007E7D64"/>
    <w:rsid w:val="007F005C"/>
    <w:rsid w:val="007F2D4D"/>
    <w:rsid w:val="007F2D50"/>
    <w:rsid w:val="00800803"/>
    <w:rsid w:val="00802387"/>
    <w:rsid w:val="008024D7"/>
    <w:rsid w:val="00802C00"/>
    <w:rsid w:val="008072B7"/>
    <w:rsid w:val="008074E1"/>
    <w:rsid w:val="00810BB0"/>
    <w:rsid w:val="00811A15"/>
    <w:rsid w:val="00812E41"/>
    <w:rsid w:val="00813E7D"/>
    <w:rsid w:val="00815294"/>
    <w:rsid w:val="008156A1"/>
    <w:rsid w:val="00816192"/>
    <w:rsid w:val="0081663D"/>
    <w:rsid w:val="00823169"/>
    <w:rsid w:val="0082525E"/>
    <w:rsid w:val="008305D1"/>
    <w:rsid w:val="00840F60"/>
    <w:rsid w:val="00843136"/>
    <w:rsid w:val="00846A8A"/>
    <w:rsid w:val="00846D38"/>
    <w:rsid w:val="00847293"/>
    <w:rsid w:val="00847E8C"/>
    <w:rsid w:val="00850EB8"/>
    <w:rsid w:val="00857893"/>
    <w:rsid w:val="008618E9"/>
    <w:rsid w:val="008619C5"/>
    <w:rsid w:val="008644A9"/>
    <w:rsid w:val="00874464"/>
    <w:rsid w:val="00882788"/>
    <w:rsid w:val="0088460B"/>
    <w:rsid w:val="00887B2E"/>
    <w:rsid w:val="0089498F"/>
    <w:rsid w:val="008A1AB2"/>
    <w:rsid w:val="008A21AD"/>
    <w:rsid w:val="008A7B24"/>
    <w:rsid w:val="008B086B"/>
    <w:rsid w:val="008C01B3"/>
    <w:rsid w:val="008C6B7C"/>
    <w:rsid w:val="008C7A56"/>
    <w:rsid w:val="008D1186"/>
    <w:rsid w:val="008E2D81"/>
    <w:rsid w:val="008E5260"/>
    <w:rsid w:val="008F1D04"/>
    <w:rsid w:val="008F58EC"/>
    <w:rsid w:val="00901941"/>
    <w:rsid w:val="009035BF"/>
    <w:rsid w:val="0091182A"/>
    <w:rsid w:val="009139BC"/>
    <w:rsid w:val="00915399"/>
    <w:rsid w:val="009206E5"/>
    <w:rsid w:val="0092146A"/>
    <w:rsid w:val="009216BD"/>
    <w:rsid w:val="00923EC6"/>
    <w:rsid w:val="0093112E"/>
    <w:rsid w:val="00936006"/>
    <w:rsid w:val="00943B55"/>
    <w:rsid w:val="00952B5B"/>
    <w:rsid w:val="009548FE"/>
    <w:rsid w:val="00954A73"/>
    <w:rsid w:val="009554AE"/>
    <w:rsid w:val="0096273F"/>
    <w:rsid w:val="00970A9B"/>
    <w:rsid w:val="009760AB"/>
    <w:rsid w:val="00976142"/>
    <w:rsid w:val="00976388"/>
    <w:rsid w:val="00981DC4"/>
    <w:rsid w:val="0099459D"/>
    <w:rsid w:val="00994D4B"/>
    <w:rsid w:val="00994DFE"/>
    <w:rsid w:val="009A0D2E"/>
    <w:rsid w:val="009A2CBC"/>
    <w:rsid w:val="009A5734"/>
    <w:rsid w:val="009B26A7"/>
    <w:rsid w:val="009B2D76"/>
    <w:rsid w:val="009B40F3"/>
    <w:rsid w:val="009C177A"/>
    <w:rsid w:val="009C1E43"/>
    <w:rsid w:val="009C6C80"/>
    <w:rsid w:val="009D4730"/>
    <w:rsid w:val="009D550E"/>
    <w:rsid w:val="009D6D00"/>
    <w:rsid w:val="009D721C"/>
    <w:rsid w:val="009E1970"/>
    <w:rsid w:val="009E1FF5"/>
    <w:rsid w:val="009E26DF"/>
    <w:rsid w:val="009E461A"/>
    <w:rsid w:val="009F07FC"/>
    <w:rsid w:val="009F3BE7"/>
    <w:rsid w:val="009F546F"/>
    <w:rsid w:val="009F6E8F"/>
    <w:rsid w:val="00A000C2"/>
    <w:rsid w:val="00A1147E"/>
    <w:rsid w:val="00A117E1"/>
    <w:rsid w:val="00A17C1E"/>
    <w:rsid w:val="00A213ED"/>
    <w:rsid w:val="00A21633"/>
    <w:rsid w:val="00A25893"/>
    <w:rsid w:val="00A273FE"/>
    <w:rsid w:val="00A32309"/>
    <w:rsid w:val="00A34FF7"/>
    <w:rsid w:val="00A44353"/>
    <w:rsid w:val="00A51A15"/>
    <w:rsid w:val="00A53CF0"/>
    <w:rsid w:val="00A549FE"/>
    <w:rsid w:val="00A61646"/>
    <w:rsid w:val="00A620C3"/>
    <w:rsid w:val="00A67053"/>
    <w:rsid w:val="00A70883"/>
    <w:rsid w:val="00A74E77"/>
    <w:rsid w:val="00A7645C"/>
    <w:rsid w:val="00A76A00"/>
    <w:rsid w:val="00A81124"/>
    <w:rsid w:val="00A835D9"/>
    <w:rsid w:val="00A8628B"/>
    <w:rsid w:val="00A91BE7"/>
    <w:rsid w:val="00A93C1C"/>
    <w:rsid w:val="00AB006E"/>
    <w:rsid w:val="00AB30D7"/>
    <w:rsid w:val="00AB37C5"/>
    <w:rsid w:val="00AB6190"/>
    <w:rsid w:val="00AB6515"/>
    <w:rsid w:val="00AC1376"/>
    <w:rsid w:val="00AC4D28"/>
    <w:rsid w:val="00AC6203"/>
    <w:rsid w:val="00AD0CCE"/>
    <w:rsid w:val="00AD0DF7"/>
    <w:rsid w:val="00AD5485"/>
    <w:rsid w:val="00AE2594"/>
    <w:rsid w:val="00AE42F6"/>
    <w:rsid w:val="00AE488F"/>
    <w:rsid w:val="00AE754D"/>
    <w:rsid w:val="00AF151B"/>
    <w:rsid w:val="00B001C1"/>
    <w:rsid w:val="00B0085B"/>
    <w:rsid w:val="00B03D88"/>
    <w:rsid w:val="00B05B45"/>
    <w:rsid w:val="00B07297"/>
    <w:rsid w:val="00B07DC6"/>
    <w:rsid w:val="00B10DCE"/>
    <w:rsid w:val="00B1648A"/>
    <w:rsid w:val="00B2062D"/>
    <w:rsid w:val="00B20E4A"/>
    <w:rsid w:val="00B2216E"/>
    <w:rsid w:val="00B23A65"/>
    <w:rsid w:val="00B35FF9"/>
    <w:rsid w:val="00B366B9"/>
    <w:rsid w:val="00B41F88"/>
    <w:rsid w:val="00B42B8D"/>
    <w:rsid w:val="00B436DC"/>
    <w:rsid w:val="00B44565"/>
    <w:rsid w:val="00B51071"/>
    <w:rsid w:val="00B5347C"/>
    <w:rsid w:val="00B53EDF"/>
    <w:rsid w:val="00B55C48"/>
    <w:rsid w:val="00B57C25"/>
    <w:rsid w:val="00B663B6"/>
    <w:rsid w:val="00B71FE0"/>
    <w:rsid w:val="00B72BBD"/>
    <w:rsid w:val="00B74618"/>
    <w:rsid w:val="00B769BF"/>
    <w:rsid w:val="00B80553"/>
    <w:rsid w:val="00B8657F"/>
    <w:rsid w:val="00B92244"/>
    <w:rsid w:val="00B94EC6"/>
    <w:rsid w:val="00B976B0"/>
    <w:rsid w:val="00BA06DD"/>
    <w:rsid w:val="00BA08B4"/>
    <w:rsid w:val="00BA22D0"/>
    <w:rsid w:val="00BA5181"/>
    <w:rsid w:val="00BA612B"/>
    <w:rsid w:val="00BA6AA3"/>
    <w:rsid w:val="00BA7427"/>
    <w:rsid w:val="00BB0101"/>
    <w:rsid w:val="00BC71FF"/>
    <w:rsid w:val="00BC72D6"/>
    <w:rsid w:val="00BD440D"/>
    <w:rsid w:val="00BD7170"/>
    <w:rsid w:val="00BE14AC"/>
    <w:rsid w:val="00BE48EC"/>
    <w:rsid w:val="00BE4FE4"/>
    <w:rsid w:val="00BE5C45"/>
    <w:rsid w:val="00BF12A7"/>
    <w:rsid w:val="00BF32AA"/>
    <w:rsid w:val="00BF35A1"/>
    <w:rsid w:val="00BF3E3E"/>
    <w:rsid w:val="00BF5663"/>
    <w:rsid w:val="00BF7AFF"/>
    <w:rsid w:val="00C0093F"/>
    <w:rsid w:val="00C0293F"/>
    <w:rsid w:val="00C05020"/>
    <w:rsid w:val="00C162E2"/>
    <w:rsid w:val="00C237DC"/>
    <w:rsid w:val="00C2455F"/>
    <w:rsid w:val="00C24BA6"/>
    <w:rsid w:val="00C3207F"/>
    <w:rsid w:val="00C329D7"/>
    <w:rsid w:val="00C4624C"/>
    <w:rsid w:val="00C47B5D"/>
    <w:rsid w:val="00C5526F"/>
    <w:rsid w:val="00C5745A"/>
    <w:rsid w:val="00C7012A"/>
    <w:rsid w:val="00C7171D"/>
    <w:rsid w:val="00C7326B"/>
    <w:rsid w:val="00C76B04"/>
    <w:rsid w:val="00C7710B"/>
    <w:rsid w:val="00C804E5"/>
    <w:rsid w:val="00C8211C"/>
    <w:rsid w:val="00C84917"/>
    <w:rsid w:val="00C91246"/>
    <w:rsid w:val="00C9768B"/>
    <w:rsid w:val="00CA0635"/>
    <w:rsid w:val="00CA4459"/>
    <w:rsid w:val="00CA48D7"/>
    <w:rsid w:val="00CA73E8"/>
    <w:rsid w:val="00CB2705"/>
    <w:rsid w:val="00CB7F0F"/>
    <w:rsid w:val="00CD06B2"/>
    <w:rsid w:val="00CD1A84"/>
    <w:rsid w:val="00CD23BC"/>
    <w:rsid w:val="00CE522E"/>
    <w:rsid w:val="00CE6634"/>
    <w:rsid w:val="00CF2431"/>
    <w:rsid w:val="00CF384E"/>
    <w:rsid w:val="00CF66BC"/>
    <w:rsid w:val="00D001A1"/>
    <w:rsid w:val="00D0137D"/>
    <w:rsid w:val="00D06E02"/>
    <w:rsid w:val="00D100FB"/>
    <w:rsid w:val="00D119A3"/>
    <w:rsid w:val="00D119D4"/>
    <w:rsid w:val="00D1209C"/>
    <w:rsid w:val="00D17805"/>
    <w:rsid w:val="00D202F0"/>
    <w:rsid w:val="00D22927"/>
    <w:rsid w:val="00D32048"/>
    <w:rsid w:val="00D3248E"/>
    <w:rsid w:val="00D33425"/>
    <w:rsid w:val="00D342E9"/>
    <w:rsid w:val="00D45048"/>
    <w:rsid w:val="00D45E77"/>
    <w:rsid w:val="00D52B63"/>
    <w:rsid w:val="00D5500F"/>
    <w:rsid w:val="00D602A3"/>
    <w:rsid w:val="00D6187D"/>
    <w:rsid w:val="00D62F71"/>
    <w:rsid w:val="00D662D7"/>
    <w:rsid w:val="00D66E0B"/>
    <w:rsid w:val="00D6788F"/>
    <w:rsid w:val="00D7579E"/>
    <w:rsid w:val="00D75B1A"/>
    <w:rsid w:val="00D75E87"/>
    <w:rsid w:val="00D76C98"/>
    <w:rsid w:val="00D7764E"/>
    <w:rsid w:val="00D82715"/>
    <w:rsid w:val="00D85C8C"/>
    <w:rsid w:val="00D87799"/>
    <w:rsid w:val="00D90F60"/>
    <w:rsid w:val="00D9103B"/>
    <w:rsid w:val="00D91159"/>
    <w:rsid w:val="00DA338A"/>
    <w:rsid w:val="00DA4004"/>
    <w:rsid w:val="00DA5B77"/>
    <w:rsid w:val="00DB2604"/>
    <w:rsid w:val="00DB6FC9"/>
    <w:rsid w:val="00DC31D5"/>
    <w:rsid w:val="00DD09B8"/>
    <w:rsid w:val="00DD3BB9"/>
    <w:rsid w:val="00DD5D90"/>
    <w:rsid w:val="00DD6B77"/>
    <w:rsid w:val="00DE2D92"/>
    <w:rsid w:val="00DE6EA7"/>
    <w:rsid w:val="00DF60AC"/>
    <w:rsid w:val="00DF6507"/>
    <w:rsid w:val="00DF6A45"/>
    <w:rsid w:val="00DF72CC"/>
    <w:rsid w:val="00E01E6F"/>
    <w:rsid w:val="00E05AAC"/>
    <w:rsid w:val="00E10310"/>
    <w:rsid w:val="00E15F45"/>
    <w:rsid w:val="00E22136"/>
    <w:rsid w:val="00E27B28"/>
    <w:rsid w:val="00E41165"/>
    <w:rsid w:val="00E42BBA"/>
    <w:rsid w:val="00E43DAD"/>
    <w:rsid w:val="00E45AE1"/>
    <w:rsid w:val="00E470CD"/>
    <w:rsid w:val="00E50A83"/>
    <w:rsid w:val="00E51014"/>
    <w:rsid w:val="00E52A0D"/>
    <w:rsid w:val="00E56C81"/>
    <w:rsid w:val="00E61A17"/>
    <w:rsid w:val="00E61E17"/>
    <w:rsid w:val="00E638D9"/>
    <w:rsid w:val="00E6611A"/>
    <w:rsid w:val="00E6666C"/>
    <w:rsid w:val="00E71ECB"/>
    <w:rsid w:val="00E75BB8"/>
    <w:rsid w:val="00E8516E"/>
    <w:rsid w:val="00E86048"/>
    <w:rsid w:val="00E93E84"/>
    <w:rsid w:val="00E9520C"/>
    <w:rsid w:val="00EA1DE7"/>
    <w:rsid w:val="00EA594F"/>
    <w:rsid w:val="00EA6908"/>
    <w:rsid w:val="00EA713E"/>
    <w:rsid w:val="00EB1271"/>
    <w:rsid w:val="00EB1EBE"/>
    <w:rsid w:val="00EB628E"/>
    <w:rsid w:val="00EC0D76"/>
    <w:rsid w:val="00EC113C"/>
    <w:rsid w:val="00EC20B1"/>
    <w:rsid w:val="00EC2FEA"/>
    <w:rsid w:val="00EC3A99"/>
    <w:rsid w:val="00EE3001"/>
    <w:rsid w:val="00EF3762"/>
    <w:rsid w:val="00EF5F48"/>
    <w:rsid w:val="00EF75FA"/>
    <w:rsid w:val="00F02B59"/>
    <w:rsid w:val="00F0307A"/>
    <w:rsid w:val="00F07D3D"/>
    <w:rsid w:val="00F235B3"/>
    <w:rsid w:val="00F2528D"/>
    <w:rsid w:val="00F3152F"/>
    <w:rsid w:val="00F42B1B"/>
    <w:rsid w:val="00F45894"/>
    <w:rsid w:val="00F463E5"/>
    <w:rsid w:val="00F54233"/>
    <w:rsid w:val="00F6462F"/>
    <w:rsid w:val="00F655F6"/>
    <w:rsid w:val="00F66F4F"/>
    <w:rsid w:val="00F71D86"/>
    <w:rsid w:val="00F72C75"/>
    <w:rsid w:val="00F92A2A"/>
    <w:rsid w:val="00F95053"/>
    <w:rsid w:val="00F95580"/>
    <w:rsid w:val="00FA5D4B"/>
    <w:rsid w:val="00FB5945"/>
    <w:rsid w:val="00FB5C03"/>
    <w:rsid w:val="00FB6724"/>
    <w:rsid w:val="00FC1D8F"/>
    <w:rsid w:val="00FC2B85"/>
    <w:rsid w:val="00FD06A5"/>
    <w:rsid w:val="00FD1CAD"/>
    <w:rsid w:val="00FD2279"/>
    <w:rsid w:val="00FD6CFD"/>
    <w:rsid w:val="00FD776C"/>
    <w:rsid w:val="00FE1470"/>
    <w:rsid w:val="00FE14CE"/>
    <w:rsid w:val="00FE152D"/>
    <w:rsid w:val="00FE268F"/>
    <w:rsid w:val="00FE39C3"/>
    <w:rsid w:val="00FE5AA9"/>
    <w:rsid w:val="00FE6728"/>
    <w:rsid w:val="00FE7492"/>
    <w:rsid w:val="00FF7327"/>
    <w:rsid w:val="00FF7436"/>
    <w:rsid w:val="00FF763F"/>
    <w:rsid w:val="00FF79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42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4B"/>
    <w:rPr>
      <w:rFonts w:eastAsiaTheme="minorEastAsia"/>
      <w:lang w:val="en-GB"/>
    </w:rPr>
  </w:style>
  <w:style w:type="paragraph" w:styleId="Heading1">
    <w:name w:val="heading 1"/>
    <w:basedOn w:val="Normal"/>
    <w:next w:val="Normal"/>
    <w:link w:val="Heading1Char"/>
    <w:uiPriority w:val="9"/>
    <w:qFormat/>
    <w:rsid w:val="00D76C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994D4B"/>
    <w:pPr>
      <w:jc w:val="center"/>
    </w:pPr>
    <w:rPr>
      <w:rFonts w:ascii="Times New Roman" w:hAnsi="Times New Roman" w:cs="Times New Roman"/>
    </w:rPr>
  </w:style>
  <w:style w:type="paragraph" w:customStyle="1" w:styleId="EndNoteBibliography">
    <w:name w:val="EndNote Bibliography"/>
    <w:basedOn w:val="Normal"/>
    <w:rsid w:val="00994D4B"/>
    <w:rPr>
      <w:rFonts w:ascii="Times New Roman" w:hAnsi="Times New Roman" w:cs="Times New Roman"/>
    </w:rPr>
  </w:style>
  <w:style w:type="character" w:styleId="CommentReference">
    <w:name w:val="annotation reference"/>
    <w:basedOn w:val="DefaultParagraphFont"/>
    <w:uiPriority w:val="99"/>
    <w:semiHidden/>
    <w:unhideWhenUsed/>
    <w:rsid w:val="00994D4B"/>
    <w:rPr>
      <w:sz w:val="18"/>
      <w:szCs w:val="18"/>
    </w:rPr>
  </w:style>
  <w:style w:type="paragraph" w:styleId="CommentText">
    <w:name w:val="annotation text"/>
    <w:basedOn w:val="Normal"/>
    <w:link w:val="CommentTextChar"/>
    <w:uiPriority w:val="99"/>
    <w:unhideWhenUsed/>
    <w:rsid w:val="00994D4B"/>
  </w:style>
  <w:style w:type="character" w:customStyle="1" w:styleId="CommentTextChar">
    <w:name w:val="Comment Text Char"/>
    <w:basedOn w:val="DefaultParagraphFont"/>
    <w:link w:val="CommentText"/>
    <w:uiPriority w:val="99"/>
    <w:rsid w:val="00994D4B"/>
    <w:rPr>
      <w:rFonts w:eastAsiaTheme="minorEastAsia"/>
      <w:lang w:val="en-US"/>
    </w:rPr>
  </w:style>
  <w:style w:type="paragraph" w:styleId="CommentSubject">
    <w:name w:val="annotation subject"/>
    <w:basedOn w:val="CommentText"/>
    <w:next w:val="CommentText"/>
    <w:link w:val="CommentSubjectChar"/>
    <w:uiPriority w:val="99"/>
    <w:semiHidden/>
    <w:unhideWhenUsed/>
    <w:rsid w:val="00994D4B"/>
    <w:rPr>
      <w:b/>
      <w:bCs/>
      <w:sz w:val="20"/>
      <w:szCs w:val="20"/>
    </w:rPr>
  </w:style>
  <w:style w:type="character" w:customStyle="1" w:styleId="CommentSubjectChar">
    <w:name w:val="Comment Subject Char"/>
    <w:basedOn w:val="CommentTextChar"/>
    <w:link w:val="CommentSubject"/>
    <w:uiPriority w:val="99"/>
    <w:semiHidden/>
    <w:rsid w:val="00994D4B"/>
    <w:rPr>
      <w:rFonts w:eastAsiaTheme="minorEastAsia"/>
      <w:b/>
      <w:bCs/>
      <w:sz w:val="20"/>
      <w:szCs w:val="20"/>
      <w:lang w:val="en-US"/>
    </w:rPr>
  </w:style>
  <w:style w:type="paragraph" w:styleId="BalloonText">
    <w:name w:val="Balloon Text"/>
    <w:basedOn w:val="Normal"/>
    <w:link w:val="BalloonTextChar"/>
    <w:uiPriority w:val="99"/>
    <w:semiHidden/>
    <w:unhideWhenUsed/>
    <w:rsid w:val="00994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D4B"/>
    <w:rPr>
      <w:rFonts w:ascii="Lucida Grande" w:eastAsiaTheme="minorEastAsia" w:hAnsi="Lucida Grande"/>
      <w:sz w:val="18"/>
      <w:szCs w:val="18"/>
      <w:lang w:val="en-US"/>
    </w:rPr>
  </w:style>
  <w:style w:type="character" w:customStyle="1" w:styleId="Heading1Char">
    <w:name w:val="Heading 1 Char"/>
    <w:basedOn w:val="DefaultParagraphFont"/>
    <w:link w:val="Heading1"/>
    <w:uiPriority w:val="9"/>
    <w:rsid w:val="00D76C98"/>
    <w:rPr>
      <w:rFonts w:asciiTheme="majorHAnsi" w:eastAsiaTheme="majorEastAsia" w:hAnsiTheme="majorHAnsi" w:cstheme="majorBidi"/>
      <w:b/>
      <w:bCs/>
      <w:color w:val="2F5496" w:themeColor="accent1" w:themeShade="BF"/>
      <w:sz w:val="28"/>
      <w:szCs w:val="28"/>
      <w:lang w:val="en-US" w:bidi="en-US"/>
    </w:rPr>
  </w:style>
  <w:style w:type="character" w:styleId="Hyperlink">
    <w:name w:val="Hyperlink"/>
    <w:basedOn w:val="DefaultParagraphFont"/>
    <w:uiPriority w:val="99"/>
    <w:unhideWhenUsed/>
    <w:rsid w:val="00514A95"/>
    <w:rPr>
      <w:color w:val="0563C1" w:themeColor="hyperlink"/>
      <w:u w:val="single"/>
    </w:rPr>
  </w:style>
  <w:style w:type="paragraph" w:styleId="Header">
    <w:name w:val="header"/>
    <w:basedOn w:val="Normal"/>
    <w:link w:val="HeaderChar"/>
    <w:uiPriority w:val="99"/>
    <w:unhideWhenUsed/>
    <w:rsid w:val="009311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112E"/>
    <w:rPr>
      <w:rFonts w:eastAsiaTheme="minorEastAsia"/>
      <w:sz w:val="18"/>
      <w:szCs w:val="18"/>
      <w:lang w:val="en-US"/>
    </w:rPr>
  </w:style>
  <w:style w:type="paragraph" w:styleId="Footer">
    <w:name w:val="footer"/>
    <w:basedOn w:val="Normal"/>
    <w:link w:val="FooterChar"/>
    <w:uiPriority w:val="99"/>
    <w:unhideWhenUsed/>
    <w:rsid w:val="009311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112E"/>
    <w:rPr>
      <w:rFonts w:eastAsiaTheme="minorEastAsia"/>
      <w:sz w:val="18"/>
      <w:szCs w:val="18"/>
      <w:lang w:val="en-US"/>
    </w:rPr>
  </w:style>
  <w:style w:type="paragraph" w:styleId="Revision">
    <w:name w:val="Revision"/>
    <w:hidden/>
    <w:uiPriority w:val="99"/>
    <w:semiHidden/>
    <w:rsid w:val="00F45894"/>
    <w:rPr>
      <w:rFonts w:eastAsiaTheme="minorEastAsia"/>
      <w:lang w:val="en-US"/>
    </w:rPr>
  </w:style>
  <w:style w:type="character" w:customStyle="1" w:styleId="UnresolvedMention1">
    <w:name w:val="Unresolved Mention1"/>
    <w:basedOn w:val="DefaultParagraphFont"/>
    <w:uiPriority w:val="99"/>
    <w:semiHidden/>
    <w:unhideWhenUsed/>
    <w:rsid w:val="004305BE"/>
    <w:rPr>
      <w:color w:val="605E5C"/>
      <w:shd w:val="clear" w:color="auto" w:fill="E1DFDD"/>
    </w:rPr>
  </w:style>
  <w:style w:type="paragraph" w:styleId="NormalWeb">
    <w:name w:val="Normal (Web)"/>
    <w:basedOn w:val="Normal"/>
    <w:uiPriority w:val="99"/>
    <w:semiHidden/>
    <w:unhideWhenUsed/>
    <w:rsid w:val="0009269A"/>
    <w:pPr>
      <w:spacing w:before="100" w:beforeAutospacing="1" w:after="100" w:afterAutospacing="1"/>
    </w:pPr>
    <w:rPr>
      <w:rFonts w:ascii="Times New Roman" w:eastAsia="SimSun" w:hAnsi="Times New Roman" w:cs="Times New Roman"/>
      <w:sz w:val="20"/>
      <w:szCs w:val="20"/>
    </w:rPr>
  </w:style>
  <w:style w:type="paragraph" w:styleId="ListParagraph">
    <w:name w:val="List Paragraph"/>
    <w:basedOn w:val="Normal"/>
    <w:uiPriority w:val="34"/>
    <w:qFormat/>
    <w:rsid w:val="005276AF"/>
    <w:pPr>
      <w:ind w:left="720"/>
      <w:contextualSpacing/>
    </w:pPr>
  </w:style>
  <w:style w:type="character" w:styleId="FollowedHyperlink">
    <w:name w:val="FollowedHyperlink"/>
    <w:basedOn w:val="DefaultParagraphFont"/>
    <w:uiPriority w:val="99"/>
    <w:semiHidden/>
    <w:unhideWhenUsed/>
    <w:rsid w:val="00CB2705"/>
    <w:rPr>
      <w:color w:val="954F72" w:themeColor="followedHyperlink"/>
      <w:u w:val="single"/>
    </w:rPr>
  </w:style>
  <w:style w:type="table" w:styleId="TableGrid">
    <w:name w:val="Table Grid"/>
    <w:basedOn w:val="TableNormal"/>
    <w:uiPriority w:val="39"/>
    <w:rsid w:val="00783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76142"/>
    <w:rPr>
      <w:rFonts w:eastAsia="DengXian"/>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E1470"/>
  </w:style>
  <w:style w:type="paragraph" w:styleId="TOCHeading">
    <w:name w:val="TOC Heading"/>
    <w:basedOn w:val="Heading1"/>
    <w:next w:val="Normal"/>
    <w:uiPriority w:val="39"/>
    <w:unhideWhenUsed/>
    <w:qFormat/>
    <w:rsid w:val="008644A9"/>
    <w:pPr>
      <w:outlineLvl w:val="9"/>
    </w:pPr>
    <w:rPr>
      <w:lang w:bidi="ar-SA"/>
    </w:rPr>
  </w:style>
  <w:style w:type="paragraph" w:styleId="TOC1">
    <w:name w:val="toc 1"/>
    <w:basedOn w:val="Normal"/>
    <w:next w:val="Normal"/>
    <w:autoRedefine/>
    <w:uiPriority w:val="39"/>
    <w:unhideWhenUsed/>
    <w:rsid w:val="008644A9"/>
    <w:pPr>
      <w:spacing w:before="120"/>
    </w:pPr>
    <w:rPr>
      <w:b/>
    </w:rPr>
  </w:style>
  <w:style w:type="paragraph" w:styleId="TOC2">
    <w:name w:val="toc 2"/>
    <w:basedOn w:val="Normal"/>
    <w:next w:val="Normal"/>
    <w:autoRedefine/>
    <w:uiPriority w:val="39"/>
    <w:unhideWhenUsed/>
    <w:rsid w:val="008644A9"/>
    <w:pPr>
      <w:ind w:left="240"/>
    </w:pPr>
    <w:rPr>
      <w:b/>
      <w:sz w:val="22"/>
      <w:szCs w:val="22"/>
    </w:rPr>
  </w:style>
  <w:style w:type="paragraph" w:styleId="TOC3">
    <w:name w:val="toc 3"/>
    <w:basedOn w:val="Normal"/>
    <w:next w:val="Normal"/>
    <w:autoRedefine/>
    <w:uiPriority w:val="39"/>
    <w:unhideWhenUsed/>
    <w:rsid w:val="008644A9"/>
    <w:pPr>
      <w:ind w:left="480"/>
    </w:pPr>
    <w:rPr>
      <w:sz w:val="22"/>
      <w:szCs w:val="22"/>
    </w:rPr>
  </w:style>
  <w:style w:type="paragraph" w:styleId="TOC4">
    <w:name w:val="toc 4"/>
    <w:basedOn w:val="Normal"/>
    <w:next w:val="Normal"/>
    <w:autoRedefine/>
    <w:uiPriority w:val="39"/>
    <w:semiHidden/>
    <w:unhideWhenUsed/>
    <w:rsid w:val="008644A9"/>
    <w:pPr>
      <w:ind w:left="720"/>
    </w:pPr>
    <w:rPr>
      <w:sz w:val="20"/>
      <w:szCs w:val="20"/>
    </w:rPr>
  </w:style>
  <w:style w:type="paragraph" w:styleId="TOC5">
    <w:name w:val="toc 5"/>
    <w:basedOn w:val="Normal"/>
    <w:next w:val="Normal"/>
    <w:autoRedefine/>
    <w:uiPriority w:val="39"/>
    <w:semiHidden/>
    <w:unhideWhenUsed/>
    <w:rsid w:val="008644A9"/>
    <w:pPr>
      <w:ind w:left="960"/>
    </w:pPr>
    <w:rPr>
      <w:sz w:val="20"/>
      <w:szCs w:val="20"/>
    </w:rPr>
  </w:style>
  <w:style w:type="paragraph" w:styleId="TOC6">
    <w:name w:val="toc 6"/>
    <w:basedOn w:val="Normal"/>
    <w:next w:val="Normal"/>
    <w:autoRedefine/>
    <w:uiPriority w:val="39"/>
    <w:semiHidden/>
    <w:unhideWhenUsed/>
    <w:rsid w:val="008644A9"/>
    <w:pPr>
      <w:ind w:left="1200"/>
    </w:pPr>
    <w:rPr>
      <w:sz w:val="20"/>
      <w:szCs w:val="20"/>
    </w:rPr>
  </w:style>
  <w:style w:type="paragraph" w:styleId="TOC7">
    <w:name w:val="toc 7"/>
    <w:basedOn w:val="Normal"/>
    <w:next w:val="Normal"/>
    <w:autoRedefine/>
    <w:uiPriority w:val="39"/>
    <w:semiHidden/>
    <w:unhideWhenUsed/>
    <w:rsid w:val="008644A9"/>
    <w:pPr>
      <w:ind w:left="1440"/>
    </w:pPr>
    <w:rPr>
      <w:sz w:val="20"/>
      <w:szCs w:val="20"/>
    </w:rPr>
  </w:style>
  <w:style w:type="paragraph" w:styleId="TOC8">
    <w:name w:val="toc 8"/>
    <w:basedOn w:val="Normal"/>
    <w:next w:val="Normal"/>
    <w:autoRedefine/>
    <w:uiPriority w:val="39"/>
    <w:semiHidden/>
    <w:unhideWhenUsed/>
    <w:rsid w:val="008644A9"/>
    <w:pPr>
      <w:ind w:left="1680"/>
    </w:pPr>
    <w:rPr>
      <w:sz w:val="20"/>
      <w:szCs w:val="20"/>
    </w:rPr>
  </w:style>
  <w:style w:type="paragraph" w:styleId="TOC9">
    <w:name w:val="toc 9"/>
    <w:basedOn w:val="Normal"/>
    <w:next w:val="Normal"/>
    <w:autoRedefine/>
    <w:uiPriority w:val="39"/>
    <w:semiHidden/>
    <w:unhideWhenUsed/>
    <w:rsid w:val="008644A9"/>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4B"/>
    <w:rPr>
      <w:rFonts w:eastAsiaTheme="minorEastAsia"/>
      <w:lang w:val="en-GB"/>
    </w:rPr>
  </w:style>
  <w:style w:type="paragraph" w:styleId="Heading1">
    <w:name w:val="heading 1"/>
    <w:basedOn w:val="Normal"/>
    <w:next w:val="Normal"/>
    <w:link w:val="Heading1Char"/>
    <w:uiPriority w:val="9"/>
    <w:qFormat/>
    <w:rsid w:val="00D76C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994D4B"/>
    <w:pPr>
      <w:jc w:val="center"/>
    </w:pPr>
    <w:rPr>
      <w:rFonts w:ascii="Times New Roman" w:hAnsi="Times New Roman" w:cs="Times New Roman"/>
    </w:rPr>
  </w:style>
  <w:style w:type="paragraph" w:customStyle="1" w:styleId="EndNoteBibliography">
    <w:name w:val="EndNote Bibliography"/>
    <w:basedOn w:val="Normal"/>
    <w:rsid w:val="00994D4B"/>
    <w:rPr>
      <w:rFonts w:ascii="Times New Roman" w:hAnsi="Times New Roman" w:cs="Times New Roman"/>
    </w:rPr>
  </w:style>
  <w:style w:type="character" w:styleId="CommentReference">
    <w:name w:val="annotation reference"/>
    <w:basedOn w:val="DefaultParagraphFont"/>
    <w:uiPriority w:val="99"/>
    <w:semiHidden/>
    <w:unhideWhenUsed/>
    <w:rsid w:val="00994D4B"/>
    <w:rPr>
      <w:sz w:val="18"/>
      <w:szCs w:val="18"/>
    </w:rPr>
  </w:style>
  <w:style w:type="paragraph" w:styleId="CommentText">
    <w:name w:val="annotation text"/>
    <w:basedOn w:val="Normal"/>
    <w:link w:val="CommentTextChar"/>
    <w:uiPriority w:val="99"/>
    <w:unhideWhenUsed/>
    <w:rsid w:val="00994D4B"/>
  </w:style>
  <w:style w:type="character" w:customStyle="1" w:styleId="CommentTextChar">
    <w:name w:val="Comment Text Char"/>
    <w:basedOn w:val="DefaultParagraphFont"/>
    <w:link w:val="CommentText"/>
    <w:uiPriority w:val="99"/>
    <w:rsid w:val="00994D4B"/>
    <w:rPr>
      <w:rFonts w:eastAsiaTheme="minorEastAsia"/>
      <w:lang w:val="en-US"/>
    </w:rPr>
  </w:style>
  <w:style w:type="paragraph" w:styleId="CommentSubject">
    <w:name w:val="annotation subject"/>
    <w:basedOn w:val="CommentText"/>
    <w:next w:val="CommentText"/>
    <w:link w:val="CommentSubjectChar"/>
    <w:uiPriority w:val="99"/>
    <w:semiHidden/>
    <w:unhideWhenUsed/>
    <w:rsid w:val="00994D4B"/>
    <w:rPr>
      <w:b/>
      <w:bCs/>
      <w:sz w:val="20"/>
      <w:szCs w:val="20"/>
    </w:rPr>
  </w:style>
  <w:style w:type="character" w:customStyle="1" w:styleId="CommentSubjectChar">
    <w:name w:val="Comment Subject Char"/>
    <w:basedOn w:val="CommentTextChar"/>
    <w:link w:val="CommentSubject"/>
    <w:uiPriority w:val="99"/>
    <w:semiHidden/>
    <w:rsid w:val="00994D4B"/>
    <w:rPr>
      <w:rFonts w:eastAsiaTheme="minorEastAsia"/>
      <w:b/>
      <w:bCs/>
      <w:sz w:val="20"/>
      <w:szCs w:val="20"/>
      <w:lang w:val="en-US"/>
    </w:rPr>
  </w:style>
  <w:style w:type="paragraph" w:styleId="BalloonText">
    <w:name w:val="Balloon Text"/>
    <w:basedOn w:val="Normal"/>
    <w:link w:val="BalloonTextChar"/>
    <w:uiPriority w:val="99"/>
    <w:semiHidden/>
    <w:unhideWhenUsed/>
    <w:rsid w:val="00994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D4B"/>
    <w:rPr>
      <w:rFonts w:ascii="Lucida Grande" w:eastAsiaTheme="minorEastAsia" w:hAnsi="Lucida Grande"/>
      <w:sz w:val="18"/>
      <w:szCs w:val="18"/>
      <w:lang w:val="en-US"/>
    </w:rPr>
  </w:style>
  <w:style w:type="character" w:customStyle="1" w:styleId="Heading1Char">
    <w:name w:val="Heading 1 Char"/>
    <w:basedOn w:val="DefaultParagraphFont"/>
    <w:link w:val="Heading1"/>
    <w:uiPriority w:val="9"/>
    <w:rsid w:val="00D76C98"/>
    <w:rPr>
      <w:rFonts w:asciiTheme="majorHAnsi" w:eastAsiaTheme="majorEastAsia" w:hAnsiTheme="majorHAnsi" w:cstheme="majorBidi"/>
      <w:b/>
      <w:bCs/>
      <w:color w:val="2F5496" w:themeColor="accent1" w:themeShade="BF"/>
      <w:sz w:val="28"/>
      <w:szCs w:val="28"/>
      <w:lang w:val="en-US" w:bidi="en-US"/>
    </w:rPr>
  </w:style>
  <w:style w:type="character" w:styleId="Hyperlink">
    <w:name w:val="Hyperlink"/>
    <w:basedOn w:val="DefaultParagraphFont"/>
    <w:uiPriority w:val="99"/>
    <w:unhideWhenUsed/>
    <w:rsid w:val="00514A95"/>
    <w:rPr>
      <w:color w:val="0563C1" w:themeColor="hyperlink"/>
      <w:u w:val="single"/>
    </w:rPr>
  </w:style>
  <w:style w:type="paragraph" w:styleId="Header">
    <w:name w:val="header"/>
    <w:basedOn w:val="Normal"/>
    <w:link w:val="HeaderChar"/>
    <w:uiPriority w:val="99"/>
    <w:unhideWhenUsed/>
    <w:rsid w:val="009311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112E"/>
    <w:rPr>
      <w:rFonts w:eastAsiaTheme="minorEastAsia"/>
      <w:sz w:val="18"/>
      <w:szCs w:val="18"/>
      <w:lang w:val="en-US"/>
    </w:rPr>
  </w:style>
  <w:style w:type="paragraph" w:styleId="Footer">
    <w:name w:val="footer"/>
    <w:basedOn w:val="Normal"/>
    <w:link w:val="FooterChar"/>
    <w:uiPriority w:val="99"/>
    <w:unhideWhenUsed/>
    <w:rsid w:val="009311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112E"/>
    <w:rPr>
      <w:rFonts w:eastAsiaTheme="minorEastAsia"/>
      <w:sz w:val="18"/>
      <w:szCs w:val="18"/>
      <w:lang w:val="en-US"/>
    </w:rPr>
  </w:style>
  <w:style w:type="paragraph" w:styleId="Revision">
    <w:name w:val="Revision"/>
    <w:hidden/>
    <w:uiPriority w:val="99"/>
    <w:semiHidden/>
    <w:rsid w:val="00F45894"/>
    <w:rPr>
      <w:rFonts w:eastAsiaTheme="minorEastAsia"/>
      <w:lang w:val="en-US"/>
    </w:rPr>
  </w:style>
  <w:style w:type="character" w:customStyle="1" w:styleId="UnresolvedMention1">
    <w:name w:val="Unresolved Mention1"/>
    <w:basedOn w:val="DefaultParagraphFont"/>
    <w:uiPriority w:val="99"/>
    <w:semiHidden/>
    <w:unhideWhenUsed/>
    <w:rsid w:val="004305BE"/>
    <w:rPr>
      <w:color w:val="605E5C"/>
      <w:shd w:val="clear" w:color="auto" w:fill="E1DFDD"/>
    </w:rPr>
  </w:style>
  <w:style w:type="paragraph" w:styleId="NormalWeb">
    <w:name w:val="Normal (Web)"/>
    <w:basedOn w:val="Normal"/>
    <w:uiPriority w:val="99"/>
    <w:semiHidden/>
    <w:unhideWhenUsed/>
    <w:rsid w:val="0009269A"/>
    <w:pPr>
      <w:spacing w:before="100" w:beforeAutospacing="1" w:after="100" w:afterAutospacing="1"/>
    </w:pPr>
    <w:rPr>
      <w:rFonts w:ascii="Times New Roman" w:eastAsia="SimSun" w:hAnsi="Times New Roman" w:cs="Times New Roman"/>
      <w:sz w:val="20"/>
      <w:szCs w:val="20"/>
    </w:rPr>
  </w:style>
  <w:style w:type="paragraph" w:styleId="ListParagraph">
    <w:name w:val="List Paragraph"/>
    <w:basedOn w:val="Normal"/>
    <w:uiPriority w:val="34"/>
    <w:qFormat/>
    <w:rsid w:val="005276AF"/>
    <w:pPr>
      <w:ind w:left="720"/>
      <w:contextualSpacing/>
    </w:pPr>
  </w:style>
  <w:style w:type="character" w:styleId="FollowedHyperlink">
    <w:name w:val="FollowedHyperlink"/>
    <w:basedOn w:val="DefaultParagraphFont"/>
    <w:uiPriority w:val="99"/>
    <w:semiHidden/>
    <w:unhideWhenUsed/>
    <w:rsid w:val="00CB2705"/>
    <w:rPr>
      <w:color w:val="954F72" w:themeColor="followedHyperlink"/>
      <w:u w:val="single"/>
    </w:rPr>
  </w:style>
  <w:style w:type="table" w:styleId="TableGrid">
    <w:name w:val="Table Grid"/>
    <w:basedOn w:val="TableNormal"/>
    <w:uiPriority w:val="39"/>
    <w:rsid w:val="00783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76142"/>
    <w:rPr>
      <w:rFonts w:eastAsia="DengXian"/>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E1470"/>
  </w:style>
  <w:style w:type="paragraph" w:styleId="TOCHeading">
    <w:name w:val="TOC Heading"/>
    <w:basedOn w:val="Heading1"/>
    <w:next w:val="Normal"/>
    <w:uiPriority w:val="39"/>
    <w:unhideWhenUsed/>
    <w:qFormat/>
    <w:rsid w:val="008644A9"/>
    <w:pPr>
      <w:outlineLvl w:val="9"/>
    </w:pPr>
    <w:rPr>
      <w:lang w:bidi="ar-SA"/>
    </w:rPr>
  </w:style>
  <w:style w:type="paragraph" w:styleId="TOC1">
    <w:name w:val="toc 1"/>
    <w:basedOn w:val="Normal"/>
    <w:next w:val="Normal"/>
    <w:autoRedefine/>
    <w:uiPriority w:val="39"/>
    <w:unhideWhenUsed/>
    <w:rsid w:val="008644A9"/>
    <w:pPr>
      <w:spacing w:before="120"/>
    </w:pPr>
    <w:rPr>
      <w:b/>
    </w:rPr>
  </w:style>
  <w:style w:type="paragraph" w:styleId="TOC2">
    <w:name w:val="toc 2"/>
    <w:basedOn w:val="Normal"/>
    <w:next w:val="Normal"/>
    <w:autoRedefine/>
    <w:uiPriority w:val="39"/>
    <w:unhideWhenUsed/>
    <w:rsid w:val="008644A9"/>
    <w:pPr>
      <w:ind w:left="240"/>
    </w:pPr>
    <w:rPr>
      <w:b/>
      <w:sz w:val="22"/>
      <w:szCs w:val="22"/>
    </w:rPr>
  </w:style>
  <w:style w:type="paragraph" w:styleId="TOC3">
    <w:name w:val="toc 3"/>
    <w:basedOn w:val="Normal"/>
    <w:next w:val="Normal"/>
    <w:autoRedefine/>
    <w:uiPriority w:val="39"/>
    <w:unhideWhenUsed/>
    <w:rsid w:val="008644A9"/>
    <w:pPr>
      <w:ind w:left="480"/>
    </w:pPr>
    <w:rPr>
      <w:sz w:val="22"/>
      <w:szCs w:val="22"/>
    </w:rPr>
  </w:style>
  <w:style w:type="paragraph" w:styleId="TOC4">
    <w:name w:val="toc 4"/>
    <w:basedOn w:val="Normal"/>
    <w:next w:val="Normal"/>
    <w:autoRedefine/>
    <w:uiPriority w:val="39"/>
    <w:semiHidden/>
    <w:unhideWhenUsed/>
    <w:rsid w:val="008644A9"/>
    <w:pPr>
      <w:ind w:left="720"/>
    </w:pPr>
    <w:rPr>
      <w:sz w:val="20"/>
      <w:szCs w:val="20"/>
    </w:rPr>
  </w:style>
  <w:style w:type="paragraph" w:styleId="TOC5">
    <w:name w:val="toc 5"/>
    <w:basedOn w:val="Normal"/>
    <w:next w:val="Normal"/>
    <w:autoRedefine/>
    <w:uiPriority w:val="39"/>
    <w:semiHidden/>
    <w:unhideWhenUsed/>
    <w:rsid w:val="008644A9"/>
    <w:pPr>
      <w:ind w:left="960"/>
    </w:pPr>
    <w:rPr>
      <w:sz w:val="20"/>
      <w:szCs w:val="20"/>
    </w:rPr>
  </w:style>
  <w:style w:type="paragraph" w:styleId="TOC6">
    <w:name w:val="toc 6"/>
    <w:basedOn w:val="Normal"/>
    <w:next w:val="Normal"/>
    <w:autoRedefine/>
    <w:uiPriority w:val="39"/>
    <w:semiHidden/>
    <w:unhideWhenUsed/>
    <w:rsid w:val="008644A9"/>
    <w:pPr>
      <w:ind w:left="1200"/>
    </w:pPr>
    <w:rPr>
      <w:sz w:val="20"/>
      <w:szCs w:val="20"/>
    </w:rPr>
  </w:style>
  <w:style w:type="paragraph" w:styleId="TOC7">
    <w:name w:val="toc 7"/>
    <w:basedOn w:val="Normal"/>
    <w:next w:val="Normal"/>
    <w:autoRedefine/>
    <w:uiPriority w:val="39"/>
    <w:semiHidden/>
    <w:unhideWhenUsed/>
    <w:rsid w:val="008644A9"/>
    <w:pPr>
      <w:ind w:left="1440"/>
    </w:pPr>
    <w:rPr>
      <w:sz w:val="20"/>
      <w:szCs w:val="20"/>
    </w:rPr>
  </w:style>
  <w:style w:type="paragraph" w:styleId="TOC8">
    <w:name w:val="toc 8"/>
    <w:basedOn w:val="Normal"/>
    <w:next w:val="Normal"/>
    <w:autoRedefine/>
    <w:uiPriority w:val="39"/>
    <w:semiHidden/>
    <w:unhideWhenUsed/>
    <w:rsid w:val="008644A9"/>
    <w:pPr>
      <w:ind w:left="1680"/>
    </w:pPr>
    <w:rPr>
      <w:sz w:val="20"/>
      <w:szCs w:val="20"/>
    </w:rPr>
  </w:style>
  <w:style w:type="paragraph" w:styleId="TOC9">
    <w:name w:val="toc 9"/>
    <w:basedOn w:val="Normal"/>
    <w:next w:val="Normal"/>
    <w:autoRedefine/>
    <w:uiPriority w:val="39"/>
    <w:semiHidden/>
    <w:unhideWhenUsed/>
    <w:rsid w:val="008644A9"/>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670">
      <w:bodyDiv w:val="1"/>
      <w:marLeft w:val="0"/>
      <w:marRight w:val="0"/>
      <w:marTop w:val="0"/>
      <w:marBottom w:val="0"/>
      <w:divBdr>
        <w:top w:val="none" w:sz="0" w:space="0" w:color="auto"/>
        <w:left w:val="none" w:sz="0" w:space="0" w:color="auto"/>
        <w:bottom w:val="none" w:sz="0" w:space="0" w:color="auto"/>
        <w:right w:val="none" w:sz="0" w:space="0" w:color="auto"/>
      </w:divBdr>
      <w:divsChild>
        <w:div w:id="951784246">
          <w:marLeft w:val="0"/>
          <w:marRight w:val="0"/>
          <w:marTop w:val="0"/>
          <w:marBottom w:val="0"/>
          <w:divBdr>
            <w:top w:val="none" w:sz="0" w:space="0" w:color="auto"/>
            <w:left w:val="none" w:sz="0" w:space="0" w:color="auto"/>
            <w:bottom w:val="none" w:sz="0" w:space="0" w:color="auto"/>
            <w:right w:val="none" w:sz="0" w:space="0" w:color="auto"/>
          </w:divBdr>
        </w:div>
        <w:div w:id="1725370247">
          <w:marLeft w:val="0"/>
          <w:marRight w:val="0"/>
          <w:marTop w:val="150"/>
          <w:marBottom w:val="270"/>
          <w:divBdr>
            <w:top w:val="none" w:sz="0" w:space="0" w:color="auto"/>
            <w:left w:val="none" w:sz="0" w:space="0" w:color="auto"/>
            <w:bottom w:val="none" w:sz="0" w:space="0" w:color="auto"/>
            <w:right w:val="none" w:sz="0" w:space="0" w:color="auto"/>
          </w:divBdr>
          <w:divsChild>
            <w:div w:id="57378344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74521037">
      <w:bodyDiv w:val="1"/>
      <w:marLeft w:val="0"/>
      <w:marRight w:val="0"/>
      <w:marTop w:val="0"/>
      <w:marBottom w:val="0"/>
      <w:divBdr>
        <w:top w:val="none" w:sz="0" w:space="0" w:color="auto"/>
        <w:left w:val="none" w:sz="0" w:space="0" w:color="auto"/>
        <w:bottom w:val="none" w:sz="0" w:space="0" w:color="auto"/>
        <w:right w:val="none" w:sz="0" w:space="0" w:color="auto"/>
      </w:divBdr>
    </w:div>
    <w:div w:id="191310514">
      <w:bodyDiv w:val="1"/>
      <w:marLeft w:val="0"/>
      <w:marRight w:val="0"/>
      <w:marTop w:val="0"/>
      <w:marBottom w:val="0"/>
      <w:divBdr>
        <w:top w:val="none" w:sz="0" w:space="0" w:color="auto"/>
        <w:left w:val="none" w:sz="0" w:space="0" w:color="auto"/>
        <w:bottom w:val="none" w:sz="0" w:space="0" w:color="auto"/>
        <w:right w:val="none" w:sz="0" w:space="0" w:color="auto"/>
      </w:divBdr>
    </w:div>
    <w:div w:id="191694134">
      <w:bodyDiv w:val="1"/>
      <w:marLeft w:val="0"/>
      <w:marRight w:val="0"/>
      <w:marTop w:val="0"/>
      <w:marBottom w:val="0"/>
      <w:divBdr>
        <w:top w:val="none" w:sz="0" w:space="0" w:color="auto"/>
        <w:left w:val="none" w:sz="0" w:space="0" w:color="auto"/>
        <w:bottom w:val="none" w:sz="0" w:space="0" w:color="auto"/>
        <w:right w:val="none" w:sz="0" w:space="0" w:color="auto"/>
      </w:divBdr>
    </w:div>
    <w:div w:id="221870814">
      <w:bodyDiv w:val="1"/>
      <w:marLeft w:val="0"/>
      <w:marRight w:val="0"/>
      <w:marTop w:val="0"/>
      <w:marBottom w:val="0"/>
      <w:divBdr>
        <w:top w:val="none" w:sz="0" w:space="0" w:color="auto"/>
        <w:left w:val="none" w:sz="0" w:space="0" w:color="auto"/>
        <w:bottom w:val="none" w:sz="0" w:space="0" w:color="auto"/>
        <w:right w:val="none" w:sz="0" w:space="0" w:color="auto"/>
      </w:divBdr>
    </w:div>
    <w:div w:id="275908483">
      <w:bodyDiv w:val="1"/>
      <w:marLeft w:val="0"/>
      <w:marRight w:val="0"/>
      <w:marTop w:val="0"/>
      <w:marBottom w:val="0"/>
      <w:divBdr>
        <w:top w:val="none" w:sz="0" w:space="0" w:color="auto"/>
        <w:left w:val="none" w:sz="0" w:space="0" w:color="auto"/>
        <w:bottom w:val="none" w:sz="0" w:space="0" w:color="auto"/>
        <w:right w:val="none" w:sz="0" w:space="0" w:color="auto"/>
      </w:divBdr>
    </w:div>
    <w:div w:id="309409752">
      <w:bodyDiv w:val="1"/>
      <w:marLeft w:val="0"/>
      <w:marRight w:val="0"/>
      <w:marTop w:val="0"/>
      <w:marBottom w:val="0"/>
      <w:divBdr>
        <w:top w:val="none" w:sz="0" w:space="0" w:color="auto"/>
        <w:left w:val="none" w:sz="0" w:space="0" w:color="auto"/>
        <w:bottom w:val="none" w:sz="0" w:space="0" w:color="auto"/>
        <w:right w:val="none" w:sz="0" w:space="0" w:color="auto"/>
      </w:divBdr>
    </w:div>
    <w:div w:id="322659452">
      <w:bodyDiv w:val="1"/>
      <w:marLeft w:val="0"/>
      <w:marRight w:val="0"/>
      <w:marTop w:val="0"/>
      <w:marBottom w:val="0"/>
      <w:divBdr>
        <w:top w:val="none" w:sz="0" w:space="0" w:color="auto"/>
        <w:left w:val="none" w:sz="0" w:space="0" w:color="auto"/>
        <w:bottom w:val="none" w:sz="0" w:space="0" w:color="auto"/>
        <w:right w:val="none" w:sz="0" w:space="0" w:color="auto"/>
      </w:divBdr>
    </w:div>
    <w:div w:id="328363401">
      <w:bodyDiv w:val="1"/>
      <w:marLeft w:val="0"/>
      <w:marRight w:val="0"/>
      <w:marTop w:val="0"/>
      <w:marBottom w:val="0"/>
      <w:divBdr>
        <w:top w:val="none" w:sz="0" w:space="0" w:color="auto"/>
        <w:left w:val="none" w:sz="0" w:space="0" w:color="auto"/>
        <w:bottom w:val="none" w:sz="0" w:space="0" w:color="auto"/>
        <w:right w:val="none" w:sz="0" w:space="0" w:color="auto"/>
      </w:divBdr>
    </w:div>
    <w:div w:id="365759006">
      <w:bodyDiv w:val="1"/>
      <w:marLeft w:val="0"/>
      <w:marRight w:val="0"/>
      <w:marTop w:val="0"/>
      <w:marBottom w:val="0"/>
      <w:divBdr>
        <w:top w:val="none" w:sz="0" w:space="0" w:color="auto"/>
        <w:left w:val="none" w:sz="0" w:space="0" w:color="auto"/>
        <w:bottom w:val="none" w:sz="0" w:space="0" w:color="auto"/>
        <w:right w:val="none" w:sz="0" w:space="0" w:color="auto"/>
      </w:divBdr>
    </w:div>
    <w:div w:id="407070316">
      <w:bodyDiv w:val="1"/>
      <w:marLeft w:val="0"/>
      <w:marRight w:val="0"/>
      <w:marTop w:val="0"/>
      <w:marBottom w:val="0"/>
      <w:divBdr>
        <w:top w:val="none" w:sz="0" w:space="0" w:color="auto"/>
        <w:left w:val="none" w:sz="0" w:space="0" w:color="auto"/>
        <w:bottom w:val="none" w:sz="0" w:space="0" w:color="auto"/>
        <w:right w:val="none" w:sz="0" w:space="0" w:color="auto"/>
      </w:divBdr>
    </w:div>
    <w:div w:id="465466051">
      <w:bodyDiv w:val="1"/>
      <w:marLeft w:val="0"/>
      <w:marRight w:val="0"/>
      <w:marTop w:val="0"/>
      <w:marBottom w:val="0"/>
      <w:divBdr>
        <w:top w:val="none" w:sz="0" w:space="0" w:color="auto"/>
        <w:left w:val="none" w:sz="0" w:space="0" w:color="auto"/>
        <w:bottom w:val="none" w:sz="0" w:space="0" w:color="auto"/>
        <w:right w:val="none" w:sz="0" w:space="0" w:color="auto"/>
      </w:divBdr>
    </w:div>
    <w:div w:id="496073440">
      <w:bodyDiv w:val="1"/>
      <w:marLeft w:val="0"/>
      <w:marRight w:val="0"/>
      <w:marTop w:val="0"/>
      <w:marBottom w:val="0"/>
      <w:divBdr>
        <w:top w:val="none" w:sz="0" w:space="0" w:color="auto"/>
        <w:left w:val="none" w:sz="0" w:space="0" w:color="auto"/>
        <w:bottom w:val="none" w:sz="0" w:space="0" w:color="auto"/>
        <w:right w:val="none" w:sz="0" w:space="0" w:color="auto"/>
      </w:divBdr>
    </w:div>
    <w:div w:id="501119054">
      <w:bodyDiv w:val="1"/>
      <w:marLeft w:val="0"/>
      <w:marRight w:val="0"/>
      <w:marTop w:val="0"/>
      <w:marBottom w:val="0"/>
      <w:divBdr>
        <w:top w:val="none" w:sz="0" w:space="0" w:color="auto"/>
        <w:left w:val="none" w:sz="0" w:space="0" w:color="auto"/>
        <w:bottom w:val="none" w:sz="0" w:space="0" w:color="auto"/>
        <w:right w:val="none" w:sz="0" w:space="0" w:color="auto"/>
      </w:divBdr>
    </w:div>
    <w:div w:id="572472627">
      <w:bodyDiv w:val="1"/>
      <w:marLeft w:val="0"/>
      <w:marRight w:val="0"/>
      <w:marTop w:val="0"/>
      <w:marBottom w:val="0"/>
      <w:divBdr>
        <w:top w:val="none" w:sz="0" w:space="0" w:color="auto"/>
        <w:left w:val="none" w:sz="0" w:space="0" w:color="auto"/>
        <w:bottom w:val="none" w:sz="0" w:space="0" w:color="auto"/>
        <w:right w:val="none" w:sz="0" w:space="0" w:color="auto"/>
      </w:divBdr>
    </w:div>
    <w:div w:id="586424370">
      <w:bodyDiv w:val="1"/>
      <w:marLeft w:val="0"/>
      <w:marRight w:val="0"/>
      <w:marTop w:val="0"/>
      <w:marBottom w:val="0"/>
      <w:divBdr>
        <w:top w:val="none" w:sz="0" w:space="0" w:color="auto"/>
        <w:left w:val="none" w:sz="0" w:space="0" w:color="auto"/>
        <w:bottom w:val="none" w:sz="0" w:space="0" w:color="auto"/>
        <w:right w:val="none" w:sz="0" w:space="0" w:color="auto"/>
      </w:divBdr>
      <w:divsChild>
        <w:div w:id="179004057">
          <w:marLeft w:val="0"/>
          <w:marRight w:val="0"/>
          <w:marTop w:val="0"/>
          <w:marBottom w:val="0"/>
          <w:divBdr>
            <w:top w:val="none" w:sz="0" w:space="0" w:color="auto"/>
            <w:left w:val="none" w:sz="0" w:space="0" w:color="auto"/>
            <w:bottom w:val="none" w:sz="0" w:space="0" w:color="auto"/>
            <w:right w:val="none" w:sz="0" w:space="0" w:color="auto"/>
          </w:divBdr>
          <w:divsChild>
            <w:div w:id="416682199">
              <w:marLeft w:val="0"/>
              <w:marRight w:val="0"/>
              <w:marTop w:val="0"/>
              <w:marBottom w:val="0"/>
              <w:divBdr>
                <w:top w:val="none" w:sz="0" w:space="0" w:color="auto"/>
                <w:left w:val="none" w:sz="0" w:space="0" w:color="auto"/>
                <w:bottom w:val="none" w:sz="0" w:space="0" w:color="auto"/>
                <w:right w:val="none" w:sz="0" w:space="0" w:color="auto"/>
              </w:divBdr>
              <w:divsChild>
                <w:div w:id="444425337">
                  <w:marLeft w:val="0"/>
                  <w:marRight w:val="0"/>
                  <w:marTop w:val="0"/>
                  <w:marBottom w:val="0"/>
                  <w:divBdr>
                    <w:top w:val="none" w:sz="0" w:space="0" w:color="auto"/>
                    <w:left w:val="none" w:sz="0" w:space="0" w:color="auto"/>
                    <w:bottom w:val="none" w:sz="0" w:space="0" w:color="auto"/>
                    <w:right w:val="none" w:sz="0" w:space="0" w:color="auto"/>
                  </w:divBdr>
                  <w:divsChild>
                    <w:div w:id="20627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63">
      <w:bodyDiv w:val="1"/>
      <w:marLeft w:val="0"/>
      <w:marRight w:val="0"/>
      <w:marTop w:val="0"/>
      <w:marBottom w:val="0"/>
      <w:divBdr>
        <w:top w:val="none" w:sz="0" w:space="0" w:color="auto"/>
        <w:left w:val="none" w:sz="0" w:space="0" w:color="auto"/>
        <w:bottom w:val="none" w:sz="0" w:space="0" w:color="auto"/>
        <w:right w:val="none" w:sz="0" w:space="0" w:color="auto"/>
      </w:divBdr>
    </w:div>
    <w:div w:id="665324847">
      <w:bodyDiv w:val="1"/>
      <w:marLeft w:val="0"/>
      <w:marRight w:val="0"/>
      <w:marTop w:val="0"/>
      <w:marBottom w:val="0"/>
      <w:divBdr>
        <w:top w:val="none" w:sz="0" w:space="0" w:color="auto"/>
        <w:left w:val="none" w:sz="0" w:space="0" w:color="auto"/>
        <w:bottom w:val="none" w:sz="0" w:space="0" w:color="auto"/>
        <w:right w:val="none" w:sz="0" w:space="0" w:color="auto"/>
      </w:divBdr>
    </w:div>
    <w:div w:id="677080025">
      <w:bodyDiv w:val="1"/>
      <w:marLeft w:val="0"/>
      <w:marRight w:val="0"/>
      <w:marTop w:val="0"/>
      <w:marBottom w:val="0"/>
      <w:divBdr>
        <w:top w:val="none" w:sz="0" w:space="0" w:color="auto"/>
        <w:left w:val="none" w:sz="0" w:space="0" w:color="auto"/>
        <w:bottom w:val="none" w:sz="0" w:space="0" w:color="auto"/>
        <w:right w:val="none" w:sz="0" w:space="0" w:color="auto"/>
      </w:divBdr>
      <w:divsChild>
        <w:div w:id="1355155811">
          <w:marLeft w:val="0"/>
          <w:marRight w:val="0"/>
          <w:marTop w:val="0"/>
          <w:marBottom w:val="0"/>
          <w:divBdr>
            <w:top w:val="none" w:sz="0" w:space="0" w:color="auto"/>
            <w:left w:val="none" w:sz="0" w:space="0" w:color="auto"/>
            <w:bottom w:val="none" w:sz="0" w:space="0" w:color="auto"/>
            <w:right w:val="none" w:sz="0" w:space="0" w:color="auto"/>
          </w:divBdr>
          <w:divsChild>
            <w:div w:id="556353296">
              <w:marLeft w:val="0"/>
              <w:marRight w:val="0"/>
              <w:marTop w:val="0"/>
              <w:marBottom w:val="0"/>
              <w:divBdr>
                <w:top w:val="none" w:sz="0" w:space="0" w:color="auto"/>
                <w:left w:val="none" w:sz="0" w:space="0" w:color="auto"/>
                <w:bottom w:val="none" w:sz="0" w:space="0" w:color="auto"/>
                <w:right w:val="none" w:sz="0" w:space="0" w:color="auto"/>
              </w:divBdr>
              <w:divsChild>
                <w:div w:id="1610623697">
                  <w:marLeft w:val="0"/>
                  <w:marRight w:val="0"/>
                  <w:marTop w:val="0"/>
                  <w:marBottom w:val="0"/>
                  <w:divBdr>
                    <w:top w:val="none" w:sz="0" w:space="0" w:color="auto"/>
                    <w:left w:val="none" w:sz="0" w:space="0" w:color="auto"/>
                    <w:bottom w:val="none" w:sz="0" w:space="0" w:color="auto"/>
                    <w:right w:val="none" w:sz="0" w:space="0" w:color="auto"/>
                  </w:divBdr>
                  <w:divsChild>
                    <w:div w:id="11712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9859">
      <w:bodyDiv w:val="1"/>
      <w:marLeft w:val="0"/>
      <w:marRight w:val="0"/>
      <w:marTop w:val="0"/>
      <w:marBottom w:val="0"/>
      <w:divBdr>
        <w:top w:val="none" w:sz="0" w:space="0" w:color="auto"/>
        <w:left w:val="none" w:sz="0" w:space="0" w:color="auto"/>
        <w:bottom w:val="none" w:sz="0" w:space="0" w:color="auto"/>
        <w:right w:val="none" w:sz="0" w:space="0" w:color="auto"/>
      </w:divBdr>
    </w:div>
    <w:div w:id="797528941">
      <w:bodyDiv w:val="1"/>
      <w:marLeft w:val="0"/>
      <w:marRight w:val="0"/>
      <w:marTop w:val="0"/>
      <w:marBottom w:val="0"/>
      <w:divBdr>
        <w:top w:val="none" w:sz="0" w:space="0" w:color="auto"/>
        <w:left w:val="none" w:sz="0" w:space="0" w:color="auto"/>
        <w:bottom w:val="none" w:sz="0" w:space="0" w:color="auto"/>
        <w:right w:val="none" w:sz="0" w:space="0" w:color="auto"/>
      </w:divBdr>
      <w:divsChild>
        <w:div w:id="744109905">
          <w:marLeft w:val="0"/>
          <w:marRight w:val="0"/>
          <w:marTop w:val="0"/>
          <w:marBottom w:val="0"/>
          <w:divBdr>
            <w:top w:val="none" w:sz="0" w:space="0" w:color="auto"/>
            <w:left w:val="none" w:sz="0" w:space="0" w:color="auto"/>
            <w:bottom w:val="none" w:sz="0" w:space="0" w:color="auto"/>
            <w:right w:val="none" w:sz="0" w:space="0" w:color="auto"/>
          </w:divBdr>
          <w:divsChild>
            <w:div w:id="179786352">
              <w:marLeft w:val="0"/>
              <w:marRight w:val="0"/>
              <w:marTop w:val="0"/>
              <w:marBottom w:val="0"/>
              <w:divBdr>
                <w:top w:val="none" w:sz="0" w:space="0" w:color="auto"/>
                <w:left w:val="none" w:sz="0" w:space="0" w:color="auto"/>
                <w:bottom w:val="none" w:sz="0" w:space="0" w:color="auto"/>
                <w:right w:val="none" w:sz="0" w:space="0" w:color="auto"/>
              </w:divBdr>
              <w:divsChild>
                <w:div w:id="1624845439">
                  <w:marLeft w:val="0"/>
                  <w:marRight w:val="0"/>
                  <w:marTop w:val="0"/>
                  <w:marBottom w:val="0"/>
                  <w:divBdr>
                    <w:top w:val="none" w:sz="0" w:space="0" w:color="auto"/>
                    <w:left w:val="none" w:sz="0" w:space="0" w:color="auto"/>
                    <w:bottom w:val="none" w:sz="0" w:space="0" w:color="auto"/>
                    <w:right w:val="none" w:sz="0" w:space="0" w:color="auto"/>
                  </w:divBdr>
                  <w:divsChild>
                    <w:div w:id="20074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733">
      <w:bodyDiv w:val="1"/>
      <w:marLeft w:val="0"/>
      <w:marRight w:val="0"/>
      <w:marTop w:val="0"/>
      <w:marBottom w:val="0"/>
      <w:divBdr>
        <w:top w:val="none" w:sz="0" w:space="0" w:color="auto"/>
        <w:left w:val="none" w:sz="0" w:space="0" w:color="auto"/>
        <w:bottom w:val="none" w:sz="0" w:space="0" w:color="auto"/>
        <w:right w:val="none" w:sz="0" w:space="0" w:color="auto"/>
      </w:divBdr>
    </w:div>
    <w:div w:id="933440930">
      <w:bodyDiv w:val="1"/>
      <w:marLeft w:val="0"/>
      <w:marRight w:val="0"/>
      <w:marTop w:val="0"/>
      <w:marBottom w:val="0"/>
      <w:divBdr>
        <w:top w:val="none" w:sz="0" w:space="0" w:color="auto"/>
        <w:left w:val="none" w:sz="0" w:space="0" w:color="auto"/>
        <w:bottom w:val="none" w:sz="0" w:space="0" w:color="auto"/>
        <w:right w:val="none" w:sz="0" w:space="0" w:color="auto"/>
      </w:divBdr>
      <w:divsChild>
        <w:div w:id="1414427196">
          <w:marLeft w:val="0"/>
          <w:marRight w:val="0"/>
          <w:marTop w:val="0"/>
          <w:marBottom w:val="0"/>
          <w:divBdr>
            <w:top w:val="none" w:sz="0" w:space="0" w:color="auto"/>
            <w:left w:val="none" w:sz="0" w:space="0" w:color="auto"/>
            <w:bottom w:val="none" w:sz="0" w:space="0" w:color="auto"/>
            <w:right w:val="none" w:sz="0" w:space="0" w:color="auto"/>
          </w:divBdr>
        </w:div>
        <w:div w:id="328027827">
          <w:marLeft w:val="0"/>
          <w:marRight w:val="0"/>
          <w:marTop w:val="0"/>
          <w:marBottom w:val="0"/>
          <w:divBdr>
            <w:top w:val="none" w:sz="0" w:space="0" w:color="auto"/>
            <w:left w:val="none" w:sz="0" w:space="0" w:color="auto"/>
            <w:bottom w:val="none" w:sz="0" w:space="0" w:color="auto"/>
            <w:right w:val="none" w:sz="0" w:space="0" w:color="auto"/>
          </w:divBdr>
        </w:div>
        <w:div w:id="1337415004">
          <w:marLeft w:val="0"/>
          <w:marRight w:val="0"/>
          <w:marTop w:val="0"/>
          <w:marBottom w:val="0"/>
          <w:divBdr>
            <w:top w:val="none" w:sz="0" w:space="0" w:color="auto"/>
            <w:left w:val="none" w:sz="0" w:space="0" w:color="auto"/>
            <w:bottom w:val="none" w:sz="0" w:space="0" w:color="auto"/>
            <w:right w:val="none" w:sz="0" w:space="0" w:color="auto"/>
          </w:divBdr>
        </w:div>
        <w:div w:id="1030882101">
          <w:marLeft w:val="0"/>
          <w:marRight w:val="0"/>
          <w:marTop w:val="0"/>
          <w:marBottom w:val="0"/>
          <w:divBdr>
            <w:top w:val="none" w:sz="0" w:space="0" w:color="auto"/>
            <w:left w:val="none" w:sz="0" w:space="0" w:color="auto"/>
            <w:bottom w:val="none" w:sz="0" w:space="0" w:color="auto"/>
            <w:right w:val="none" w:sz="0" w:space="0" w:color="auto"/>
          </w:divBdr>
        </w:div>
        <w:div w:id="290015579">
          <w:marLeft w:val="0"/>
          <w:marRight w:val="0"/>
          <w:marTop w:val="0"/>
          <w:marBottom w:val="0"/>
          <w:divBdr>
            <w:top w:val="none" w:sz="0" w:space="0" w:color="auto"/>
            <w:left w:val="none" w:sz="0" w:space="0" w:color="auto"/>
            <w:bottom w:val="none" w:sz="0" w:space="0" w:color="auto"/>
            <w:right w:val="none" w:sz="0" w:space="0" w:color="auto"/>
          </w:divBdr>
        </w:div>
        <w:div w:id="1447040580">
          <w:marLeft w:val="0"/>
          <w:marRight w:val="0"/>
          <w:marTop w:val="0"/>
          <w:marBottom w:val="0"/>
          <w:divBdr>
            <w:top w:val="none" w:sz="0" w:space="0" w:color="auto"/>
            <w:left w:val="none" w:sz="0" w:space="0" w:color="auto"/>
            <w:bottom w:val="none" w:sz="0" w:space="0" w:color="auto"/>
            <w:right w:val="none" w:sz="0" w:space="0" w:color="auto"/>
          </w:divBdr>
        </w:div>
      </w:divsChild>
    </w:div>
    <w:div w:id="934242920">
      <w:bodyDiv w:val="1"/>
      <w:marLeft w:val="0"/>
      <w:marRight w:val="0"/>
      <w:marTop w:val="0"/>
      <w:marBottom w:val="0"/>
      <w:divBdr>
        <w:top w:val="none" w:sz="0" w:space="0" w:color="auto"/>
        <w:left w:val="none" w:sz="0" w:space="0" w:color="auto"/>
        <w:bottom w:val="none" w:sz="0" w:space="0" w:color="auto"/>
        <w:right w:val="none" w:sz="0" w:space="0" w:color="auto"/>
      </w:divBdr>
    </w:div>
    <w:div w:id="1053190728">
      <w:bodyDiv w:val="1"/>
      <w:marLeft w:val="0"/>
      <w:marRight w:val="0"/>
      <w:marTop w:val="0"/>
      <w:marBottom w:val="0"/>
      <w:divBdr>
        <w:top w:val="none" w:sz="0" w:space="0" w:color="auto"/>
        <w:left w:val="none" w:sz="0" w:space="0" w:color="auto"/>
        <w:bottom w:val="none" w:sz="0" w:space="0" w:color="auto"/>
        <w:right w:val="none" w:sz="0" w:space="0" w:color="auto"/>
      </w:divBdr>
      <w:divsChild>
        <w:div w:id="1141925500">
          <w:marLeft w:val="0"/>
          <w:marRight w:val="0"/>
          <w:marTop w:val="0"/>
          <w:marBottom w:val="0"/>
          <w:divBdr>
            <w:top w:val="none" w:sz="0" w:space="0" w:color="auto"/>
            <w:left w:val="none" w:sz="0" w:space="0" w:color="auto"/>
            <w:bottom w:val="none" w:sz="0" w:space="0" w:color="auto"/>
            <w:right w:val="none" w:sz="0" w:space="0" w:color="auto"/>
          </w:divBdr>
          <w:divsChild>
            <w:div w:id="927929904">
              <w:marLeft w:val="0"/>
              <w:marRight w:val="0"/>
              <w:marTop w:val="0"/>
              <w:marBottom w:val="0"/>
              <w:divBdr>
                <w:top w:val="none" w:sz="0" w:space="0" w:color="auto"/>
                <w:left w:val="none" w:sz="0" w:space="0" w:color="auto"/>
                <w:bottom w:val="none" w:sz="0" w:space="0" w:color="auto"/>
                <w:right w:val="none" w:sz="0" w:space="0" w:color="auto"/>
              </w:divBdr>
              <w:divsChild>
                <w:div w:id="1426536840">
                  <w:marLeft w:val="0"/>
                  <w:marRight w:val="0"/>
                  <w:marTop w:val="0"/>
                  <w:marBottom w:val="0"/>
                  <w:divBdr>
                    <w:top w:val="none" w:sz="0" w:space="0" w:color="auto"/>
                    <w:left w:val="none" w:sz="0" w:space="0" w:color="auto"/>
                    <w:bottom w:val="none" w:sz="0" w:space="0" w:color="auto"/>
                    <w:right w:val="none" w:sz="0" w:space="0" w:color="auto"/>
                  </w:divBdr>
                  <w:divsChild>
                    <w:div w:id="613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82711">
      <w:bodyDiv w:val="1"/>
      <w:marLeft w:val="0"/>
      <w:marRight w:val="0"/>
      <w:marTop w:val="0"/>
      <w:marBottom w:val="0"/>
      <w:divBdr>
        <w:top w:val="none" w:sz="0" w:space="0" w:color="auto"/>
        <w:left w:val="none" w:sz="0" w:space="0" w:color="auto"/>
        <w:bottom w:val="none" w:sz="0" w:space="0" w:color="auto"/>
        <w:right w:val="none" w:sz="0" w:space="0" w:color="auto"/>
      </w:divBdr>
      <w:divsChild>
        <w:div w:id="733234007">
          <w:marLeft w:val="0"/>
          <w:marRight w:val="0"/>
          <w:marTop w:val="0"/>
          <w:marBottom w:val="0"/>
          <w:divBdr>
            <w:top w:val="none" w:sz="0" w:space="0" w:color="auto"/>
            <w:left w:val="none" w:sz="0" w:space="0" w:color="auto"/>
            <w:bottom w:val="none" w:sz="0" w:space="0" w:color="auto"/>
            <w:right w:val="none" w:sz="0" w:space="0" w:color="auto"/>
          </w:divBdr>
        </w:div>
        <w:div w:id="1807433576">
          <w:marLeft w:val="0"/>
          <w:marRight w:val="0"/>
          <w:marTop w:val="0"/>
          <w:marBottom w:val="0"/>
          <w:divBdr>
            <w:top w:val="none" w:sz="0" w:space="0" w:color="auto"/>
            <w:left w:val="none" w:sz="0" w:space="0" w:color="auto"/>
            <w:bottom w:val="none" w:sz="0" w:space="0" w:color="auto"/>
            <w:right w:val="none" w:sz="0" w:space="0" w:color="auto"/>
          </w:divBdr>
        </w:div>
        <w:div w:id="263460688">
          <w:marLeft w:val="0"/>
          <w:marRight w:val="0"/>
          <w:marTop w:val="0"/>
          <w:marBottom w:val="0"/>
          <w:divBdr>
            <w:top w:val="none" w:sz="0" w:space="0" w:color="auto"/>
            <w:left w:val="none" w:sz="0" w:space="0" w:color="auto"/>
            <w:bottom w:val="none" w:sz="0" w:space="0" w:color="auto"/>
            <w:right w:val="none" w:sz="0" w:space="0" w:color="auto"/>
          </w:divBdr>
        </w:div>
        <w:div w:id="1465267911">
          <w:marLeft w:val="0"/>
          <w:marRight w:val="0"/>
          <w:marTop w:val="0"/>
          <w:marBottom w:val="0"/>
          <w:divBdr>
            <w:top w:val="none" w:sz="0" w:space="0" w:color="auto"/>
            <w:left w:val="none" w:sz="0" w:space="0" w:color="auto"/>
            <w:bottom w:val="none" w:sz="0" w:space="0" w:color="auto"/>
            <w:right w:val="none" w:sz="0" w:space="0" w:color="auto"/>
          </w:divBdr>
        </w:div>
        <w:div w:id="2073237951">
          <w:marLeft w:val="0"/>
          <w:marRight w:val="0"/>
          <w:marTop w:val="0"/>
          <w:marBottom w:val="0"/>
          <w:divBdr>
            <w:top w:val="none" w:sz="0" w:space="0" w:color="auto"/>
            <w:left w:val="none" w:sz="0" w:space="0" w:color="auto"/>
            <w:bottom w:val="none" w:sz="0" w:space="0" w:color="auto"/>
            <w:right w:val="none" w:sz="0" w:space="0" w:color="auto"/>
          </w:divBdr>
        </w:div>
        <w:div w:id="1141849764">
          <w:marLeft w:val="0"/>
          <w:marRight w:val="0"/>
          <w:marTop w:val="0"/>
          <w:marBottom w:val="0"/>
          <w:divBdr>
            <w:top w:val="none" w:sz="0" w:space="0" w:color="auto"/>
            <w:left w:val="none" w:sz="0" w:space="0" w:color="auto"/>
            <w:bottom w:val="none" w:sz="0" w:space="0" w:color="auto"/>
            <w:right w:val="none" w:sz="0" w:space="0" w:color="auto"/>
          </w:divBdr>
        </w:div>
      </w:divsChild>
    </w:div>
    <w:div w:id="1101728406">
      <w:bodyDiv w:val="1"/>
      <w:marLeft w:val="0"/>
      <w:marRight w:val="0"/>
      <w:marTop w:val="0"/>
      <w:marBottom w:val="0"/>
      <w:divBdr>
        <w:top w:val="none" w:sz="0" w:space="0" w:color="auto"/>
        <w:left w:val="none" w:sz="0" w:space="0" w:color="auto"/>
        <w:bottom w:val="none" w:sz="0" w:space="0" w:color="auto"/>
        <w:right w:val="none" w:sz="0" w:space="0" w:color="auto"/>
      </w:divBdr>
      <w:divsChild>
        <w:div w:id="497841565">
          <w:marLeft w:val="0"/>
          <w:marRight w:val="0"/>
          <w:marTop w:val="0"/>
          <w:marBottom w:val="0"/>
          <w:divBdr>
            <w:top w:val="none" w:sz="0" w:space="0" w:color="auto"/>
            <w:left w:val="none" w:sz="0" w:space="0" w:color="auto"/>
            <w:bottom w:val="none" w:sz="0" w:space="0" w:color="auto"/>
            <w:right w:val="none" w:sz="0" w:space="0" w:color="auto"/>
          </w:divBdr>
          <w:divsChild>
            <w:div w:id="859927567">
              <w:marLeft w:val="0"/>
              <w:marRight w:val="0"/>
              <w:marTop w:val="0"/>
              <w:marBottom w:val="0"/>
              <w:divBdr>
                <w:top w:val="none" w:sz="0" w:space="0" w:color="auto"/>
                <w:left w:val="none" w:sz="0" w:space="0" w:color="auto"/>
                <w:bottom w:val="none" w:sz="0" w:space="0" w:color="auto"/>
                <w:right w:val="none" w:sz="0" w:space="0" w:color="auto"/>
              </w:divBdr>
              <w:divsChild>
                <w:div w:id="168252557">
                  <w:marLeft w:val="0"/>
                  <w:marRight w:val="0"/>
                  <w:marTop w:val="0"/>
                  <w:marBottom w:val="0"/>
                  <w:divBdr>
                    <w:top w:val="none" w:sz="0" w:space="0" w:color="auto"/>
                    <w:left w:val="none" w:sz="0" w:space="0" w:color="auto"/>
                    <w:bottom w:val="none" w:sz="0" w:space="0" w:color="auto"/>
                    <w:right w:val="none" w:sz="0" w:space="0" w:color="auto"/>
                  </w:divBdr>
                  <w:divsChild>
                    <w:div w:id="6223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3632">
      <w:bodyDiv w:val="1"/>
      <w:marLeft w:val="0"/>
      <w:marRight w:val="0"/>
      <w:marTop w:val="0"/>
      <w:marBottom w:val="0"/>
      <w:divBdr>
        <w:top w:val="none" w:sz="0" w:space="0" w:color="auto"/>
        <w:left w:val="none" w:sz="0" w:space="0" w:color="auto"/>
        <w:bottom w:val="none" w:sz="0" w:space="0" w:color="auto"/>
        <w:right w:val="none" w:sz="0" w:space="0" w:color="auto"/>
      </w:divBdr>
    </w:div>
    <w:div w:id="1280868158">
      <w:bodyDiv w:val="1"/>
      <w:marLeft w:val="0"/>
      <w:marRight w:val="0"/>
      <w:marTop w:val="0"/>
      <w:marBottom w:val="0"/>
      <w:divBdr>
        <w:top w:val="none" w:sz="0" w:space="0" w:color="auto"/>
        <w:left w:val="none" w:sz="0" w:space="0" w:color="auto"/>
        <w:bottom w:val="none" w:sz="0" w:space="0" w:color="auto"/>
        <w:right w:val="none" w:sz="0" w:space="0" w:color="auto"/>
      </w:divBdr>
      <w:divsChild>
        <w:div w:id="1052727184">
          <w:marLeft w:val="0"/>
          <w:marRight w:val="0"/>
          <w:marTop w:val="0"/>
          <w:marBottom w:val="0"/>
          <w:divBdr>
            <w:top w:val="none" w:sz="0" w:space="0" w:color="auto"/>
            <w:left w:val="none" w:sz="0" w:space="0" w:color="auto"/>
            <w:bottom w:val="none" w:sz="0" w:space="0" w:color="auto"/>
            <w:right w:val="none" w:sz="0" w:space="0" w:color="auto"/>
          </w:divBdr>
          <w:divsChild>
            <w:div w:id="1539972570">
              <w:marLeft w:val="0"/>
              <w:marRight w:val="0"/>
              <w:marTop w:val="0"/>
              <w:marBottom w:val="0"/>
              <w:divBdr>
                <w:top w:val="none" w:sz="0" w:space="0" w:color="auto"/>
                <w:left w:val="none" w:sz="0" w:space="0" w:color="auto"/>
                <w:bottom w:val="none" w:sz="0" w:space="0" w:color="auto"/>
                <w:right w:val="none" w:sz="0" w:space="0" w:color="auto"/>
              </w:divBdr>
              <w:divsChild>
                <w:div w:id="939023652">
                  <w:marLeft w:val="0"/>
                  <w:marRight w:val="0"/>
                  <w:marTop w:val="0"/>
                  <w:marBottom w:val="0"/>
                  <w:divBdr>
                    <w:top w:val="none" w:sz="0" w:space="0" w:color="auto"/>
                    <w:left w:val="none" w:sz="0" w:space="0" w:color="auto"/>
                    <w:bottom w:val="none" w:sz="0" w:space="0" w:color="auto"/>
                    <w:right w:val="none" w:sz="0" w:space="0" w:color="auto"/>
                  </w:divBdr>
                  <w:divsChild>
                    <w:div w:id="2083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9844">
      <w:bodyDiv w:val="1"/>
      <w:marLeft w:val="0"/>
      <w:marRight w:val="0"/>
      <w:marTop w:val="0"/>
      <w:marBottom w:val="0"/>
      <w:divBdr>
        <w:top w:val="none" w:sz="0" w:space="0" w:color="auto"/>
        <w:left w:val="none" w:sz="0" w:space="0" w:color="auto"/>
        <w:bottom w:val="none" w:sz="0" w:space="0" w:color="auto"/>
        <w:right w:val="none" w:sz="0" w:space="0" w:color="auto"/>
      </w:divBdr>
    </w:div>
    <w:div w:id="1374961742">
      <w:bodyDiv w:val="1"/>
      <w:marLeft w:val="0"/>
      <w:marRight w:val="0"/>
      <w:marTop w:val="0"/>
      <w:marBottom w:val="0"/>
      <w:divBdr>
        <w:top w:val="none" w:sz="0" w:space="0" w:color="auto"/>
        <w:left w:val="none" w:sz="0" w:space="0" w:color="auto"/>
        <w:bottom w:val="none" w:sz="0" w:space="0" w:color="auto"/>
        <w:right w:val="none" w:sz="0" w:space="0" w:color="auto"/>
      </w:divBdr>
    </w:div>
    <w:div w:id="1450705052">
      <w:bodyDiv w:val="1"/>
      <w:marLeft w:val="0"/>
      <w:marRight w:val="0"/>
      <w:marTop w:val="0"/>
      <w:marBottom w:val="0"/>
      <w:divBdr>
        <w:top w:val="none" w:sz="0" w:space="0" w:color="auto"/>
        <w:left w:val="none" w:sz="0" w:space="0" w:color="auto"/>
        <w:bottom w:val="none" w:sz="0" w:space="0" w:color="auto"/>
        <w:right w:val="none" w:sz="0" w:space="0" w:color="auto"/>
      </w:divBdr>
    </w:div>
    <w:div w:id="1844472209">
      <w:bodyDiv w:val="1"/>
      <w:marLeft w:val="0"/>
      <w:marRight w:val="0"/>
      <w:marTop w:val="0"/>
      <w:marBottom w:val="0"/>
      <w:divBdr>
        <w:top w:val="none" w:sz="0" w:space="0" w:color="auto"/>
        <w:left w:val="none" w:sz="0" w:space="0" w:color="auto"/>
        <w:bottom w:val="none" w:sz="0" w:space="0" w:color="auto"/>
        <w:right w:val="none" w:sz="0" w:space="0" w:color="auto"/>
      </w:divBdr>
    </w:div>
    <w:div w:id="1933929142">
      <w:bodyDiv w:val="1"/>
      <w:marLeft w:val="0"/>
      <w:marRight w:val="0"/>
      <w:marTop w:val="0"/>
      <w:marBottom w:val="0"/>
      <w:divBdr>
        <w:top w:val="none" w:sz="0" w:space="0" w:color="auto"/>
        <w:left w:val="none" w:sz="0" w:space="0" w:color="auto"/>
        <w:bottom w:val="none" w:sz="0" w:space="0" w:color="auto"/>
        <w:right w:val="none" w:sz="0" w:space="0" w:color="auto"/>
      </w:divBdr>
      <w:divsChild>
        <w:div w:id="2128159452">
          <w:marLeft w:val="0"/>
          <w:marRight w:val="0"/>
          <w:marTop w:val="0"/>
          <w:marBottom w:val="0"/>
          <w:divBdr>
            <w:top w:val="none" w:sz="0" w:space="0" w:color="auto"/>
            <w:left w:val="none" w:sz="0" w:space="0" w:color="auto"/>
            <w:bottom w:val="none" w:sz="0" w:space="0" w:color="auto"/>
            <w:right w:val="none" w:sz="0" w:space="0" w:color="auto"/>
          </w:divBdr>
          <w:divsChild>
            <w:div w:id="780489827">
              <w:marLeft w:val="0"/>
              <w:marRight w:val="0"/>
              <w:marTop w:val="0"/>
              <w:marBottom w:val="0"/>
              <w:divBdr>
                <w:top w:val="none" w:sz="0" w:space="0" w:color="auto"/>
                <w:left w:val="none" w:sz="0" w:space="0" w:color="auto"/>
                <w:bottom w:val="none" w:sz="0" w:space="0" w:color="auto"/>
                <w:right w:val="none" w:sz="0" w:space="0" w:color="auto"/>
              </w:divBdr>
              <w:divsChild>
                <w:div w:id="1617329515">
                  <w:marLeft w:val="0"/>
                  <w:marRight w:val="0"/>
                  <w:marTop w:val="0"/>
                  <w:marBottom w:val="0"/>
                  <w:divBdr>
                    <w:top w:val="none" w:sz="0" w:space="0" w:color="auto"/>
                    <w:left w:val="none" w:sz="0" w:space="0" w:color="auto"/>
                    <w:bottom w:val="none" w:sz="0" w:space="0" w:color="auto"/>
                    <w:right w:val="none" w:sz="0" w:space="0" w:color="auto"/>
                  </w:divBdr>
                  <w:divsChild>
                    <w:div w:id="12161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53591">
      <w:bodyDiv w:val="1"/>
      <w:marLeft w:val="0"/>
      <w:marRight w:val="0"/>
      <w:marTop w:val="0"/>
      <w:marBottom w:val="0"/>
      <w:divBdr>
        <w:top w:val="none" w:sz="0" w:space="0" w:color="auto"/>
        <w:left w:val="none" w:sz="0" w:space="0" w:color="auto"/>
        <w:bottom w:val="none" w:sz="0" w:space="0" w:color="auto"/>
        <w:right w:val="none" w:sz="0" w:space="0" w:color="auto"/>
      </w:divBdr>
      <w:divsChild>
        <w:div w:id="782774575">
          <w:marLeft w:val="0"/>
          <w:marRight w:val="0"/>
          <w:marTop w:val="0"/>
          <w:marBottom w:val="0"/>
          <w:divBdr>
            <w:top w:val="none" w:sz="0" w:space="0" w:color="auto"/>
            <w:left w:val="none" w:sz="0" w:space="0" w:color="auto"/>
            <w:bottom w:val="none" w:sz="0" w:space="0" w:color="auto"/>
            <w:right w:val="none" w:sz="0" w:space="0" w:color="auto"/>
          </w:divBdr>
        </w:div>
        <w:div w:id="920137159">
          <w:marLeft w:val="0"/>
          <w:marRight w:val="0"/>
          <w:marTop w:val="150"/>
          <w:marBottom w:val="270"/>
          <w:divBdr>
            <w:top w:val="none" w:sz="0" w:space="0" w:color="auto"/>
            <w:left w:val="none" w:sz="0" w:space="0" w:color="auto"/>
            <w:bottom w:val="none" w:sz="0" w:space="0" w:color="auto"/>
            <w:right w:val="none" w:sz="0" w:space="0" w:color="auto"/>
          </w:divBdr>
          <w:divsChild>
            <w:div w:id="1024137903">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2096047390">
      <w:bodyDiv w:val="1"/>
      <w:marLeft w:val="0"/>
      <w:marRight w:val="0"/>
      <w:marTop w:val="0"/>
      <w:marBottom w:val="0"/>
      <w:divBdr>
        <w:top w:val="none" w:sz="0" w:space="0" w:color="auto"/>
        <w:left w:val="none" w:sz="0" w:space="0" w:color="auto"/>
        <w:bottom w:val="none" w:sz="0" w:space="0" w:color="auto"/>
        <w:right w:val="none" w:sz="0" w:space="0" w:color="auto"/>
      </w:divBdr>
    </w:div>
    <w:div w:id="2127306304">
      <w:bodyDiv w:val="1"/>
      <w:marLeft w:val="0"/>
      <w:marRight w:val="0"/>
      <w:marTop w:val="0"/>
      <w:marBottom w:val="0"/>
      <w:divBdr>
        <w:top w:val="none" w:sz="0" w:space="0" w:color="auto"/>
        <w:left w:val="none" w:sz="0" w:space="0" w:color="auto"/>
        <w:bottom w:val="none" w:sz="0" w:space="0" w:color="auto"/>
        <w:right w:val="none" w:sz="0" w:space="0" w:color="auto"/>
      </w:divBdr>
      <w:divsChild>
        <w:div w:id="1767580170">
          <w:marLeft w:val="0"/>
          <w:marRight w:val="0"/>
          <w:marTop w:val="0"/>
          <w:marBottom w:val="0"/>
          <w:divBdr>
            <w:top w:val="none" w:sz="0" w:space="0" w:color="auto"/>
            <w:left w:val="none" w:sz="0" w:space="0" w:color="auto"/>
            <w:bottom w:val="none" w:sz="0" w:space="0" w:color="auto"/>
            <w:right w:val="none" w:sz="0" w:space="0" w:color="auto"/>
          </w:divBdr>
          <w:divsChild>
            <w:div w:id="1631590334">
              <w:marLeft w:val="0"/>
              <w:marRight w:val="0"/>
              <w:marTop w:val="0"/>
              <w:marBottom w:val="0"/>
              <w:divBdr>
                <w:top w:val="none" w:sz="0" w:space="0" w:color="auto"/>
                <w:left w:val="none" w:sz="0" w:space="0" w:color="auto"/>
                <w:bottom w:val="none" w:sz="0" w:space="0" w:color="auto"/>
                <w:right w:val="none" w:sz="0" w:space="0" w:color="auto"/>
              </w:divBdr>
              <w:divsChild>
                <w:div w:id="1236672033">
                  <w:marLeft w:val="0"/>
                  <w:marRight w:val="0"/>
                  <w:marTop w:val="0"/>
                  <w:marBottom w:val="0"/>
                  <w:divBdr>
                    <w:top w:val="none" w:sz="0" w:space="0" w:color="auto"/>
                    <w:left w:val="none" w:sz="0" w:space="0" w:color="auto"/>
                    <w:bottom w:val="none" w:sz="0" w:space="0" w:color="auto"/>
                    <w:right w:val="none" w:sz="0" w:space="0" w:color="auto"/>
                  </w:divBdr>
                  <w:divsChild>
                    <w:div w:id="517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ac.uk/edinburgh-imaging/access" TargetMode="External"/><Relationship Id="rId24" Type="http://schemas.microsoft.com/office/2011/relationships/people" Target="people.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79BC-11DA-FB45-ABBC-D814416C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6108</Words>
  <Characters>34817</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Lindley</dc:creator>
  <cp:keywords/>
  <dc:description/>
  <cp:lastModifiedBy>Candice Delcourt</cp:lastModifiedBy>
  <cp:revision>3</cp:revision>
  <dcterms:created xsi:type="dcterms:W3CDTF">2020-07-07T04:52:00Z</dcterms:created>
  <dcterms:modified xsi:type="dcterms:W3CDTF">2020-07-07T04:52:00Z</dcterms:modified>
</cp:coreProperties>
</file>