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1580" w14:textId="2A58B619" w:rsidR="0027564B" w:rsidRDefault="0027564B" w:rsidP="000B44F3">
      <w:pPr>
        <w:pStyle w:val="Heading1"/>
      </w:pPr>
      <w:bookmarkStart w:id="0" w:name="_GoBack"/>
      <w:bookmarkEnd w:id="0"/>
      <w:r w:rsidRPr="007343C1">
        <w:t>The Hospital Frailty Risk Score - outcomes in specialised services</w:t>
      </w:r>
    </w:p>
    <w:p w14:paraId="284E9475" w14:textId="77777777" w:rsidR="00077B70" w:rsidRPr="00077B70" w:rsidRDefault="00077B70" w:rsidP="00077B70"/>
    <w:p w14:paraId="7E66DE47" w14:textId="77777777" w:rsidR="00445DBC" w:rsidRPr="007343C1" w:rsidRDefault="0027564B" w:rsidP="000B44F3">
      <w:pPr>
        <w:pStyle w:val="Heading1"/>
      </w:pPr>
      <w:r w:rsidRPr="007343C1">
        <w:t>Background</w:t>
      </w:r>
    </w:p>
    <w:p w14:paraId="4B6A5682" w14:textId="77777777" w:rsidR="0048290F" w:rsidRPr="007343C1" w:rsidRDefault="0027564B" w:rsidP="000B44F3">
      <w:r w:rsidRPr="007343C1">
        <w:t xml:space="preserve">Frailty describes impaired resolution following a stressor event </w:t>
      </w:r>
      <w:r w:rsidRPr="007343C1">
        <w:fldChar w:fldCharType="begin"/>
      </w:r>
      <w:r w:rsidR="00B57D78">
        <w:instrText xml:space="preserve"> ADDIN EN.CITE &lt;EndNote&gt;&lt;Cite&gt;&lt;Author&gt;Clegg&lt;/Author&gt;&lt;Year&gt;2013&lt;/Year&gt;&lt;RecNum&gt;3966&lt;/RecNum&gt;&lt;DisplayText&gt;[1]&lt;/DisplayText&gt;&lt;record&gt;&lt;rec-number&gt;3966&lt;/rec-number&gt;&lt;foreign-keys&gt;&lt;key app="EN" db-id="zs5ada52fwzzflexpwcv0awr0ptttxa9frxe" timestamp="1507739132"&gt;3966&lt;/key&gt;&lt;/foreign-keys&gt;&lt;ref-type name="Journal Article"&gt;17&lt;/ref-type&gt;&lt;contributors&gt;&lt;authors&gt;&lt;author&gt;Clegg, Andrew&lt;/author&gt;&lt;author&gt;Young, John&lt;/author&gt;&lt;author&gt;Iliffe, Steve&lt;/author&gt;&lt;author&gt;Rikkert, Marcel Olde&lt;/author&gt;&lt;author&gt;Rockwood, Kenneth&lt;/author&gt;&lt;/authors&gt;&lt;/contributors&gt;&lt;titles&gt;&lt;title&gt;Frailty in elderly people&lt;/title&gt;&lt;secondary-title&gt;Lancet (London, England)&lt;/secondary-title&gt;&lt;/titles&gt;&lt;periodical&gt;&lt;full-title&gt;Lancet (London, England)&lt;/full-title&gt;&lt;/periodical&gt;&lt;pages&gt;752-762&lt;/pages&gt;&lt;volume&gt;381&lt;/volume&gt;&lt;keywords&gt;&lt;keyword&gt;Aged&lt;/keyword&gt;&lt;keyword&gt;Aged, 80 and over&lt;/keyword&gt;&lt;keyword&gt;Aging&lt;/keyword&gt;&lt;keyword&gt;Brain&lt;/keyword&gt;&lt;keyword&gt;Endocrine System&lt;/keyword&gt;&lt;keyword&gt;Female&lt;/keyword&gt;&lt;keyword&gt;Frail Elderly&lt;/keyword&gt;&lt;keyword&gt;Geriatric Assessment&lt;/keyword&gt;&lt;keyword&gt;Health Services for the Aged&lt;/keyword&gt;&lt;keyword&gt;Humans&lt;/keyword&gt;&lt;keyword&gt;Immune System&lt;/keyword&gt;&lt;keyword&gt;Male&lt;/keyword&gt;&lt;keyword&gt;Models, Biological&lt;/keyword&gt;&lt;/keywords&gt;&lt;dates&gt;&lt;year&gt;2013&lt;/year&gt;&lt;pub-dates&gt;&lt;date&gt;Mar 02, 2013&lt;/date&gt;&lt;/pub-dates&gt;&lt;/dates&gt;&lt;isbn&gt;1474-547X&lt;/isbn&gt;&lt;urls&gt;&lt;related-urls&gt;&lt;url&gt;https://www.ncbi.nlm.nih.gov/pmc/articles/PMC4098658/pdf/emss-59306.pdf&lt;/url&gt;&lt;/related-urls&gt;&lt;/urls&gt;&lt;electronic-resource-num&gt;10.1016/S0140-6736(12)62167-9&lt;/electronic-resource-num&gt;&lt;remote-database-name&gt;PubMed&lt;/remote-database-name&gt;&lt;language&gt;eng&lt;/language&gt;&lt;/record&gt;&lt;/Cite&gt;&lt;/EndNote&gt;</w:instrText>
      </w:r>
      <w:r w:rsidRPr="007343C1">
        <w:fldChar w:fldCharType="separate"/>
      </w:r>
      <w:r w:rsidR="00B57D78">
        <w:rPr>
          <w:noProof/>
        </w:rPr>
        <w:t>[1]</w:t>
      </w:r>
      <w:r w:rsidRPr="007343C1">
        <w:fldChar w:fldCharType="end"/>
      </w:r>
      <w:r w:rsidR="00333275" w:rsidRPr="007343C1">
        <w:t xml:space="preserve">. </w:t>
      </w:r>
      <w:r w:rsidR="00445DBC" w:rsidRPr="007343C1">
        <w:t xml:space="preserve">There is a </w:t>
      </w:r>
      <w:r w:rsidR="007343C1" w:rsidRPr="007343C1">
        <w:t xml:space="preserve">growing recognition of the </w:t>
      </w:r>
      <w:r w:rsidR="008573B3">
        <w:t>utility</w:t>
      </w:r>
      <w:r w:rsidR="007343C1" w:rsidRPr="007343C1">
        <w:t xml:space="preserve"> of frailty to stratify older people based on their likely outcomes </w:t>
      </w:r>
      <w:r w:rsidR="009613E3" w:rsidRPr="007343C1">
        <w:t xml:space="preserve">in </w:t>
      </w:r>
      <w:r w:rsidR="00054C61" w:rsidRPr="007343C1">
        <w:t xml:space="preserve">a range of settings </w:t>
      </w:r>
      <w:r w:rsidRPr="007343C1">
        <w:fldChar w:fldCharType="begin">
          <w:fldData xml:space="preserve">PEVuZE5vdGU+PENpdGU+PEF1dGhvcj5LZWVibGU8L0F1dGhvcj48WWVhcj4yMDE5PC9ZZWFyPjxS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dGU+PEF1dGhvcj5Ib3VnaHRvbjwvQXV0aG9yPjxZZWFyPjkwMDA8L1llYXI+PFJlY051bT42ODg8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=
</w:fldData>
        </w:fldChar>
      </w:r>
      <w:r w:rsidR="00B57D78">
        <w:instrText xml:space="preserve"> ADDIN EN.CITE </w:instrText>
      </w:r>
      <w:r w:rsidR="00B57D78">
        <w:fldChar w:fldCharType="begin">
          <w:fldData xml:space="preserve">PEVuZE5vdGU+PENpdGU+PEF1dGhvcj5LZWVibGU8L0F1dGhvcj48WWVhcj4yMDE5PC9ZZWFyPjxS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dGU+PEF1dGhvcj5Ib3VnaHRvbjwvQXV0aG9yPjxZZWFyPjkwMDA8L1llYXI+PFJlY051bT42ODg8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=
</w:fldData>
        </w:fldChar>
      </w:r>
      <w:r w:rsidR="00B57D78">
        <w:instrText xml:space="preserve"> ADDIN EN.CITE.DATA </w:instrText>
      </w:r>
      <w:r w:rsidR="00B57D78">
        <w:fldChar w:fldCharType="end"/>
      </w:r>
      <w:r w:rsidRPr="007343C1">
        <w:fldChar w:fldCharType="separate"/>
      </w:r>
      <w:r w:rsidR="00B57D78">
        <w:rPr>
          <w:noProof/>
        </w:rPr>
        <w:t>[2-11]</w:t>
      </w:r>
      <w:r w:rsidRPr="007343C1">
        <w:fldChar w:fldCharType="end"/>
      </w:r>
      <w:r w:rsidR="00445DBC" w:rsidRPr="007343C1">
        <w:t>.</w:t>
      </w:r>
    </w:p>
    <w:p w14:paraId="498597DC" w14:textId="77777777" w:rsidR="00C0513E" w:rsidRPr="007343C1" w:rsidRDefault="007343C1" w:rsidP="008573B3">
      <w:r w:rsidRPr="007343C1">
        <w:t xml:space="preserve">A current focus of English National Health Service (NHS) policy is to improve </w:t>
      </w:r>
      <w:r w:rsidR="008573B3">
        <w:t xml:space="preserve">outcomes for older people living with frailty </w:t>
      </w:r>
      <w:r w:rsidRPr="007343C1">
        <w:fldChar w:fldCharType="begin"/>
      </w:r>
      <w:r w:rsidRPr="007343C1">
        <w:instrText xml:space="preserve"> ADDIN EN.CITE &lt;EndNote&gt;&lt;Cite&gt;&lt;Author&gt;NHS England&lt;/Author&gt;&lt;Year&gt;2019&lt;/Year&gt;&lt;RecNum&gt;4836&lt;/RecNum&gt;&lt;DisplayText&gt;[12]&lt;/DisplayText&gt;&lt;record&gt;&lt;rec-number&gt;4836&lt;/rec-number&gt;&lt;foreign-keys&gt;&lt;key app="EN" db-id="zs5ada52fwzzflexpwcv0awr0ptttxa9frxe" timestamp="1546863334"&gt;4836&lt;/key&gt;&lt;/foreign-keys&gt;&lt;ref-type name="Web Page"&gt;12&lt;/ref-type&gt;&lt;contributors&gt;&lt;authors&gt;&lt;author&gt;NHS England,&lt;/author&gt;&lt;/authors&gt;&lt;/contributors&gt;&lt;titles&gt;&lt;title&gt;The NHS Long Term Plan&lt;/title&gt;&lt;/titles&gt;&lt;number&gt;January 2019&lt;/number&gt;&lt;dates&gt;&lt;year&gt;2019&lt;/year&gt;&lt;/dates&gt;&lt;urls&gt;&lt;related-urls&gt;&lt;url&gt;www.longtermplan.nhs.uk&lt;/url&gt;&lt;/related-urls&gt;&lt;/urls&gt;&lt;/record&gt;&lt;/Cite&gt;&lt;/EndNote&gt;</w:instrText>
      </w:r>
      <w:r w:rsidRPr="007343C1">
        <w:fldChar w:fldCharType="separate"/>
      </w:r>
      <w:r w:rsidRPr="007343C1">
        <w:rPr>
          <w:noProof/>
        </w:rPr>
        <w:t>[12]</w:t>
      </w:r>
      <w:r w:rsidRPr="007343C1">
        <w:fldChar w:fldCharType="end"/>
      </w:r>
      <w:r w:rsidRPr="007343C1">
        <w:t>.</w:t>
      </w:r>
      <w:r>
        <w:t xml:space="preserve"> </w:t>
      </w:r>
      <w:r w:rsidR="008573B3">
        <w:t xml:space="preserve">NHS </w:t>
      </w:r>
      <w:r w:rsidR="00E2519D" w:rsidRPr="007343C1">
        <w:t>Specialised Services are commissioned directly by NHS England and cover treatments for conditions</w:t>
      </w:r>
      <w:r w:rsidR="00A704B9" w:rsidRPr="007343C1">
        <w:t xml:space="preserve"> requiring specialist </w:t>
      </w:r>
      <w:r w:rsidR="00054C61" w:rsidRPr="007343C1">
        <w:t>clinical input</w:t>
      </w:r>
      <w:r w:rsidR="00C1484A">
        <w:t>.</w:t>
      </w:r>
      <w:r w:rsidR="0048290F" w:rsidRPr="007343C1">
        <w:t xml:space="preserve"> </w:t>
      </w:r>
      <w:r w:rsidR="00C1484A">
        <w:t>E</w:t>
      </w:r>
      <w:r w:rsidR="0048290F" w:rsidRPr="007343C1">
        <w:t>xamples include Transcatheter Aortic Valve Implantation (TAVI), critical care or complex spinal surgery</w:t>
      </w:r>
      <w:r w:rsidR="00E2519D" w:rsidRPr="007343C1">
        <w:t>.</w:t>
      </w:r>
      <w:r w:rsidR="00A704B9" w:rsidRPr="007343C1">
        <w:t xml:space="preserve"> </w:t>
      </w:r>
      <w:r w:rsidR="0048290F" w:rsidRPr="007343C1">
        <w:t xml:space="preserve">Whilst there is growing interest in assessing frailty in older people </w:t>
      </w:r>
      <w:r w:rsidR="00051C1B">
        <w:t xml:space="preserve">needing </w:t>
      </w:r>
      <w:r w:rsidR="008573B3">
        <w:t>NHS specialised services</w:t>
      </w:r>
      <w:r w:rsidR="0048290F" w:rsidRPr="007343C1">
        <w:t xml:space="preserve">, there is no standardised approach, making </w:t>
      </w:r>
      <w:r w:rsidR="00C1484A">
        <w:t xml:space="preserve">case-mix </w:t>
      </w:r>
      <w:r w:rsidR="0048290F" w:rsidRPr="007343C1">
        <w:t>comparisons difficult.</w:t>
      </w:r>
      <w:r>
        <w:t xml:space="preserve"> The </w:t>
      </w:r>
      <w:r w:rsidR="009613E3" w:rsidRPr="007343C1">
        <w:t>e</w:t>
      </w:r>
      <w:r w:rsidR="00A510C9" w:rsidRPr="007343C1">
        <w:t>lectronic Frailty Index</w:t>
      </w:r>
      <w:r>
        <w:t xml:space="preserve"> </w:t>
      </w:r>
      <w:r>
        <w:fldChar w:fldCharType="begin">
          <w:fldData xml:space="preserve">PEVuZE5vdGU+PENpdGU+PEF1dGhvcj5DbGVnZzwvQXV0aG9yPjxZZWFyPjIwMTY8L1llYXI+PFJl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=
</w:fldData>
        </w:fldChar>
      </w:r>
      <w:r w:rsidR="00B57D78">
        <w:instrText xml:space="preserve"> ADDIN EN.CITE </w:instrText>
      </w:r>
      <w:r w:rsidR="00B57D78">
        <w:fldChar w:fldCharType="begin">
          <w:fldData xml:space="preserve">PEVuZE5vdGU+PENpdGU+PEF1dGhvcj5DbGVnZzwvQXV0aG9yPjxZZWFyPjIwMTY8L1llYXI+PFJl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=
</w:fldData>
        </w:fldChar>
      </w:r>
      <w:r w:rsidR="00B57D78">
        <w:instrText xml:space="preserve"> ADDIN EN.CITE.DATA </w:instrText>
      </w:r>
      <w:r w:rsidR="00B57D78">
        <w:fldChar w:fldCharType="end"/>
      </w:r>
      <w:r>
        <w:fldChar w:fldCharType="separate"/>
      </w:r>
      <w:r w:rsidR="00B57D78">
        <w:rPr>
          <w:noProof/>
        </w:rPr>
        <w:t>[3]</w:t>
      </w:r>
      <w:r>
        <w:fldChar w:fldCharType="end"/>
      </w:r>
      <w:r>
        <w:t xml:space="preserve"> is used in primary care</w:t>
      </w:r>
      <w:r w:rsidR="00242DA9">
        <w:t>,</w:t>
      </w:r>
      <w:r>
        <w:t xml:space="preserve"> but </w:t>
      </w:r>
      <w:r w:rsidR="009613E3" w:rsidRPr="007343C1">
        <w:t xml:space="preserve">has </w:t>
      </w:r>
      <w:r w:rsidR="00D83463" w:rsidRPr="007343C1">
        <w:t xml:space="preserve">not </w:t>
      </w:r>
      <w:r>
        <w:t>been validated</w:t>
      </w:r>
      <w:r w:rsidR="009613E3" w:rsidRPr="007343C1">
        <w:t xml:space="preserve"> </w:t>
      </w:r>
      <w:r w:rsidR="00051C1B">
        <w:t xml:space="preserve">for its predictive utility </w:t>
      </w:r>
      <w:r w:rsidR="009613E3" w:rsidRPr="007343C1">
        <w:t xml:space="preserve">in </w:t>
      </w:r>
      <w:r w:rsidR="00EC242E">
        <w:t xml:space="preserve">secondary care or </w:t>
      </w:r>
      <w:r w:rsidR="00D83463" w:rsidRPr="007343C1">
        <w:t>specialised servi</w:t>
      </w:r>
      <w:r w:rsidR="00540412" w:rsidRPr="007343C1">
        <w:t>c</w:t>
      </w:r>
      <w:r w:rsidR="00D83463" w:rsidRPr="007343C1">
        <w:t>es</w:t>
      </w:r>
      <w:r w:rsidR="00445DBC" w:rsidRPr="007343C1">
        <w:t>.</w:t>
      </w:r>
    </w:p>
    <w:p w14:paraId="251FBC93" w14:textId="69AE3223" w:rsidR="00051C1B" w:rsidRPr="007343C1" w:rsidRDefault="00051C1B" w:rsidP="00051C1B">
      <w:r w:rsidRPr="007343C1">
        <w:t xml:space="preserve">The Hospital Frailty Risk Score (HFRS) </w:t>
      </w:r>
      <w:r w:rsidR="005734B2">
        <w:t xml:space="preserve">was validated in people aged 75 or more who had been admitted to an acute hospital. The HFRS </w:t>
      </w:r>
      <w:r w:rsidRPr="007343C1">
        <w:t>uses International Classification of Disease</w:t>
      </w:r>
      <w:r>
        <w:t xml:space="preserve"> 10</w:t>
      </w:r>
      <w:r w:rsidRPr="007343C1">
        <w:t xml:space="preserve"> (ICD</w:t>
      </w:r>
      <w:r>
        <w:t>-10</w:t>
      </w:r>
      <w:r w:rsidRPr="007343C1">
        <w:t xml:space="preserve">) codes </w:t>
      </w:r>
      <w:r>
        <w:t>pertaining elective or non-elective hospital admissions to generate a frailty risk score. This data is routinely submitted by hospitals</w:t>
      </w:r>
      <w:r w:rsidRPr="007343C1">
        <w:t xml:space="preserve"> </w:t>
      </w:r>
      <w:r w:rsidR="00172DA8">
        <w:t>to populate the Secondary Uses Service (</w:t>
      </w:r>
      <w:r>
        <w:t>SUS)</w:t>
      </w:r>
      <w:r w:rsidR="00172DA8">
        <w:t xml:space="preserve"> database</w:t>
      </w:r>
      <w:r>
        <w:t xml:space="preserve">. The </w:t>
      </w:r>
      <w:r w:rsidR="00172DA8">
        <w:t xml:space="preserve">HFRS </w:t>
      </w:r>
      <w:r>
        <w:t xml:space="preserve">uses diagnostic information in an algorithm </w:t>
      </w:r>
      <w:r w:rsidR="00172DA8">
        <w:t xml:space="preserve">that identifies the risk of frailty </w:t>
      </w:r>
      <w:r w:rsidR="00B57D78">
        <w:t>and outcomes</w:t>
      </w:r>
      <w:r>
        <w:t xml:space="preserve"> such as death or unplanned hospital readmissions </w:t>
      </w:r>
      <w:r w:rsidR="00B57D78">
        <w:fldChar w:fldCharType="begin"/>
      </w:r>
      <w:r w:rsidR="00B57D78">
        <w:instrText xml:space="preserve"> ADDIN EN.CITE &lt;EndNote&gt;&lt;Cite&gt;&lt;Author&gt;Gilbert&lt;/Author&gt;&lt;Year&gt;2018&lt;/Year&gt;&lt;RecNum&gt;4367&lt;/RecNum&gt;&lt;DisplayText&gt;[13]&lt;/DisplayText&gt;&lt;record&gt;&lt;rec-number&gt;4367&lt;/rec-number&gt;&lt;foreign-keys&gt;&lt;key app="EN" db-id="zs5ada52fwzzflexpwcv0awr0ptttxa9frxe" timestamp="1527143913"&gt;4367&lt;/key&gt;&lt;/foreign-keys&gt;&lt;ref-type name="Journal Article"&gt;17&lt;/ref-type&gt;&lt;contributors&gt;&lt;authors&gt;&lt;author&gt;Gilbert, Thomas&lt;/author&gt;&lt;author&gt;Neuburger, Jenny&lt;/author&gt;&lt;author&gt;Kraindler, Joshua&lt;/author&gt;&lt;author&gt;Keeble, Eilis&lt;/author&gt;&lt;author&gt;Smith, Paul&lt;/author&gt;&lt;author&gt;Ariti, Cono&lt;/author&gt;&lt;author&gt;Arora, Sandeepa&lt;/author&gt;&lt;author&gt;Street, Andrew&lt;/author&gt;&lt;author&gt;Parker, Stuart&lt;/author&gt;&lt;author&gt;Roberts, Helen C.&lt;/author&gt;&lt;author&gt;Bardsley, Martin&lt;/author&gt;&lt;author&gt;Conroy, Simon&lt;/author&gt;&lt;/authors&gt;&lt;/contributors&gt;&lt;titles&gt;&lt;title&gt;Development and validation of a Hospital Frailty Risk Score focusing on older people in acute care settings using electronic hospital records: an observational study&lt;/title&gt;&lt;secondary-title&gt;The Lancet&lt;/secondary-title&gt;&lt;/titles&gt;&lt;periodical&gt;&lt;full-title&gt;The Lancet&lt;/full-title&gt;&lt;/periodical&gt;&lt;pages&gt;1775-1782&lt;/pages&gt;&lt;volume&gt;391&lt;/volume&gt;&lt;number&gt;10132&lt;/number&gt;&lt;dates&gt;&lt;year&gt;2018&lt;/year&gt;&lt;/dates&gt;&lt;publisher&gt;Elsevier&lt;/publisher&gt;&lt;isbn&gt;0140-6736&lt;/isbn&gt;&lt;urls&gt;&lt;related-urls&gt;&lt;url&gt;http://dx.doi.org/10.1016/S0140-6736(18)30668-8&lt;/url&gt;&lt;/related-urls&gt;&lt;/urls&gt;&lt;electronic-resource-num&gt;10.1016/S0140-6736(18)30668-8&lt;/electronic-resource-num&gt;&lt;access-date&gt;2018/05/23&lt;/access-date&gt;&lt;/record&gt;&lt;/Cite&gt;&lt;/EndNote&gt;</w:instrText>
      </w:r>
      <w:r w:rsidR="00B57D78">
        <w:fldChar w:fldCharType="separate"/>
      </w:r>
      <w:r w:rsidR="00B57D78">
        <w:rPr>
          <w:noProof/>
        </w:rPr>
        <w:t>[13]</w:t>
      </w:r>
      <w:r w:rsidR="00B57D78">
        <w:fldChar w:fldCharType="end"/>
      </w:r>
      <w:r w:rsidRPr="007343C1">
        <w:t xml:space="preserve">. </w:t>
      </w:r>
      <w:r w:rsidR="006C7271" w:rsidRPr="006C7271">
        <w:rPr>
          <w:lang w:val="en-GB"/>
        </w:rPr>
        <w:t xml:space="preserve">. In the national validation cohort (n=1,013,590), compared with the 42% patients with the lowest risk scores, the 20% patients with the highest HFRSs had increased odds of 30-day mortality (odds ratio 1.71; 95% CI 1.68–1.75), long hospital stay (6.03; 5.92–6.10), and 30-day readmission (1.48; 1.46–1.50). The c-statistics between individuals for these three outcomes were 0.60, 0.68, and 0.56, respectively. </w:t>
      </w:r>
      <w:r w:rsidRPr="007343C1">
        <w:t xml:space="preserve">The HFRS offers an opportunity to assess frailty </w:t>
      </w:r>
      <w:r>
        <w:t>as a case-mix characteristic</w:t>
      </w:r>
      <w:r w:rsidRPr="007343C1">
        <w:t xml:space="preserve">; its relative ease of application makes it an ideal tool for </w:t>
      </w:r>
      <w:r w:rsidR="00B57D78">
        <w:t>use in</w:t>
      </w:r>
      <w:r w:rsidR="00B57D78" w:rsidRPr="007343C1">
        <w:t xml:space="preserve"> </w:t>
      </w:r>
      <w:r>
        <w:t>national</w:t>
      </w:r>
      <w:r w:rsidRPr="007343C1">
        <w:t xml:space="preserve"> dataset</w:t>
      </w:r>
      <w:r w:rsidR="00B57D78">
        <w:t>s</w:t>
      </w:r>
      <w:r w:rsidRPr="007343C1">
        <w:t xml:space="preserve"> to provide </w:t>
      </w:r>
      <w:r>
        <w:t xml:space="preserve">a </w:t>
      </w:r>
      <w:r w:rsidRPr="007343C1">
        <w:t>population perspective.</w:t>
      </w:r>
    </w:p>
    <w:p w14:paraId="4D920B39" w14:textId="77777777" w:rsidR="00445DBC" w:rsidRPr="007343C1" w:rsidRDefault="005E50EA" w:rsidP="000B44F3">
      <w:r w:rsidRPr="007343C1">
        <w:rPr>
          <w:noProof/>
          <w:lang w:val="en-GB"/>
        </w:rPr>
        <mc:AlternateContent>
          <mc:Choice Requires="wpi">
            <w:drawing>
              <wp:anchor distT="0" distB="0" distL="114300" distR="114300" simplePos="0" relativeHeight="251666432" behindDoc="0" locked="0" layoutInCell="1" allowOverlap="1" wp14:anchorId="036887C1" wp14:editId="5C2CAD49">
                <wp:simplePos x="0" y="0"/>
                <wp:positionH relativeFrom="column">
                  <wp:posOffset>5172710</wp:posOffset>
                </wp:positionH>
                <wp:positionV relativeFrom="paragraph">
                  <wp:posOffset>76835</wp:posOffset>
                </wp:positionV>
                <wp:extent cx="69650" cy="17235"/>
                <wp:effectExtent l="38100" t="38100" r="32385" b="33655"/>
                <wp:wrapNone/>
                <wp:docPr id="18" name="Ink 18"/>
                <wp:cNvGraphicFramePr/>
                <a:graphic xmlns:a="http://schemas.openxmlformats.org/drawingml/2006/main">
                  <a:graphicData uri="http://schemas.microsoft.com/office/word/2010/wordprocessingInk">
                    <w14:contentPart bwMode="auto" r:id="rId8">
                      <w14:nvContentPartPr>
                        <w14:cNvContentPartPr/>
                      </w14:nvContentPartPr>
                      <w14:xfrm>
                        <a:off x="0" y="0"/>
                        <a:ext cx="69650" cy="17235"/>
                      </w14:xfrm>
                    </w14:contentPart>
                  </a:graphicData>
                </a:graphic>
              </wp:anchor>
            </w:drawing>
          </mc:Choice>
          <mc:Fallback>
            <w:pict>
              <v:shapetype w14:anchorId="0B1673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406.95pt;margin-top:5.7pt;width:6.25pt;height:2.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">
                <v:imagedata r:id="rId9" o:title=""/>
              </v:shape>
            </w:pict>
          </mc:Fallback>
        </mc:AlternateContent>
      </w:r>
      <w:r w:rsidR="00445DBC" w:rsidRPr="007343C1">
        <w:t xml:space="preserve">The aim of this paper was to </w:t>
      </w:r>
      <w:r w:rsidR="00D40BBC" w:rsidRPr="007343C1">
        <w:t xml:space="preserve">assess the feasibility of </w:t>
      </w:r>
      <w:r w:rsidR="009F77A2" w:rsidRPr="007343C1">
        <w:t xml:space="preserve">using the HFRS </w:t>
      </w:r>
      <w:r w:rsidR="00D40BBC" w:rsidRPr="007343C1">
        <w:t xml:space="preserve">to </w:t>
      </w:r>
      <w:r w:rsidR="00445DBC" w:rsidRPr="007343C1">
        <w:t>describe outcomes</w:t>
      </w:r>
      <w:r w:rsidR="00212A21">
        <w:t xml:space="preserve"> for</w:t>
      </w:r>
      <w:r w:rsidR="00445DBC" w:rsidRPr="007343C1">
        <w:t xml:space="preserve"> older people </w:t>
      </w:r>
      <w:r w:rsidR="009F77A2" w:rsidRPr="007343C1">
        <w:t>with</w:t>
      </w:r>
      <w:r w:rsidR="00054C61" w:rsidRPr="007343C1">
        <w:t>in</w:t>
      </w:r>
      <w:r w:rsidR="009F77A2" w:rsidRPr="007343C1">
        <w:t xml:space="preserve"> specialised services</w:t>
      </w:r>
      <w:r w:rsidR="00212A21">
        <w:t xml:space="preserve"> across </w:t>
      </w:r>
      <w:r w:rsidR="004A63F7">
        <w:t>England</w:t>
      </w:r>
      <w:r w:rsidR="00212A21">
        <w:t>.</w:t>
      </w:r>
    </w:p>
    <w:p w14:paraId="76C56FE8" w14:textId="77777777" w:rsidR="007903D6" w:rsidRPr="007343C1" w:rsidRDefault="007343C1" w:rsidP="000B44F3">
      <w:pPr>
        <w:pStyle w:val="Heading1"/>
      </w:pPr>
      <w:r>
        <w:t>Methods</w:t>
      </w:r>
    </w:p>
    <w:p w14:paraId="0F630E32" w14:textId="77777777" w:rsidR="007343C1" w:rsidRDefault="007343C1" w:rsidP="000B44F3">
      <w:r>
        <w:t xml:space="preserve">This was a retrospective cohort study using the </w:t>
      </w:r>
      <w:r w:rsidRPr="007343C1">
        <w:t xml:space="preserve">Secondary Uses Service (SUS) </w:t>
      </w:r>
      <w:r>
        <w:t>electronic database. SUS is</w:t>
      </w:r>
      <w:r w:rsidRPr="007343C1">
        <w:t xml:space="preserve"> the single, comprehensive repository for healthcare data in England which enables a range of reporting and analyses to support the NHS in the delivery of healthcare services</w:t>
      </w:r>
      <w:r>
        <w:t xml:space="preserve"> (</w:t>
      </w:r>
      <w:hyperlink r:id="rId10" w:history="1">
        <w:r w:rsidRPr="00F9334D">
          <w:rPr>
            <w:rStyle w:val="Hyperlink"/>
          </w:rPr>
          <w:t>https://digital.nhs.uk/services/secondary-uses-service-sus</w:t>
        </w:r>
      </w:hyperlink>
      <w:r w:rsidR="00242DA9">
        <w:t>).</w:t>
      </w:r>
      <w:r w:rsidRPr="007343C1">
        <w:t xml:space="preserve"> </w:t>
      </w:r>
      <w:r w:rsidR="00084065">
        <w:t>It</w:t>
      </w:r>
      <w:r w:rsidRPr="007343C1">
        <w:t xml:space="preserve"> contains up to 20 ICD-10 diagnosis fields about a patient during their admissi</w:t>
      </w:r>
      <w:r w:rsidR="00084065">
        <w:t>on to hospital</w:t>
      </w:r>
      <w:r w:rsidRPr="007343C1">
        <w:t>.</w:t>
      </w:r>
    </w:p>
    <w:p w14:paraId="662451D4" w14:textId="224C9A19" w:rsidR="00084065" w:rsidRDefault="00084065" w:rsidP="000B44F3">
      <w:r w:rsidRPr="007343C1">
        <w:t>The HFRS was applied to national SUS database</w:t>
      </w:r>
      <w:r>
        <w:t xml:space="preserve"> for people aged 75 or older, admitted between </w:t>
      </w:r>
      <w:r w:rsidRPr="007343C1">
        <w:t>April 2017 to March 2018</w:t>
      </w:r>
      <w:r>
        <w:t>. The SUS database allows searching of any previous admission (in this case</w:t>
      </w:r>
      <w:r w:rsidR="00DF645B">
        <w:t>,</w:t>
      </w:r>
      <w:r>
        <w:t xml:space="preserve"> over the preceding two years) to identify any of the ICD-10 codes used to generate the HFRS. In the original HFRS validation, t</w:t>
      </w:r>
      <w:r w:rsidR="007903D6" w:rsidRPr="007343C1">
        <w:t xml:space="preserve">hree categories of low (&lt;5), intermediate (5-15), and high risk (&gt;15) were </w:t>
      </w:r>
      <w:r w:rsidR="000149DF" w:rsidRPr="007343C1">
        <w:t>used based on discrimination between different outcomes</w:t>
      </w:r>
      <w:r>
        <w:t xml:space="preserve"> </w:t>
      </w:r>
      <w:r>
        <w:fldChar w:fldCharType="begin"/>
      </w:r>
      <w:r>
        <w:instrText xml:space="preserve"> ADDIN EN.CITE &lt;EndNote&gt;&lt;Cite&gt;&lt;Author&gt;Gilbert&lt;/Author&gt;&lt;Year&gt;2018&lt;/Year&gt;&lt;RecNum&gt;4367&lt;/RecNum&gt;&lt;DisplayText&gt;[13]&lt;/DisplayText&gt;&lt;record&gt;&lt;rec-number&gt;4367&lt;/rec-number&gt;&lt;foreign-keys&gt;&lt;key app="EN" db-id="zs5ada52fwzzflexpwcv0awr0ptttxa9frxe" timestamp="1527143913"&gt;4367&lt;/key&gt;&lt;/foreign-keys&gt;&lt;ref-type name="Journal Article"&gt;17&lt;/ref-type&gt;&lt;contributors&gt;&lt;authors&gt;&lt;author&gt;Gilbert, Thomas&lt;/author&gt;&lt;author&gt;Neuburger, Jenny&lt;/author&gt;&lt;author&gt;Kraindler, Joshua&lt;/author&gt;&lt;author&gt;Keeble, Eilis&lt;/author&gt;&lt;author&gt;Smith, Paul&lt;/author&gt;&lt;author&gt;Ariti, Cono&lt;/author&gt;&lt;author&gt;Arora, Sandeepa&lt;/author&gt;&lt;author&gt;Street, Andrew&lt;/author&gt;&lt;author&gt;Parker, Stuart&lt;/author&gt;&lt;author&gt;Roberts, Helen C.&lt;/author&gt;&lt;author&gt;Bardsley, Martin&lt;/author&gt;&lt;author&gt;Conroy, Simon&lt;/author&gt;&lt;/authors&gt;&lt;/contributors&gt;&lt;titles&gt;&lt;title&gt;Development and validation of a Hospital Frailty Risk Score focusing on older people in acute care settings using electronic hospital records: an observational study&lt;/title&gt;&lt;secondary-title&gt;The Lancet&lt;/secondary-title&gt;&lt;/titles&gt;&lt;periodical&gt;&lt;full-title&gt;The Lancet&lt;/full-title&gt;&lt;/periodical&gt;&lt;pages&gt;1775-1782&lt;/pages&gt;&lt;volume&gt;391&lt;/volume&gt;&lt;number&gt;10132&lt;/number&gt;&lt;dates&gt;&lt;year&gt;2018&lt;/year&gt;&lt;/dates&gt;&lt;publisher&gt;Elsevier&lt;/publisher&gt;&lt;isbn&gt;0140-6736&lt;/isbn&gt;&lt;urls&gt;&lt;related-urls&gt;&lt;url&gt;http://dx.doi.org/10.1016/S0140-6736(18)30668-8&lt;/url&gt;&lt;/related-urls&gt;&lt;/urls&gt;&lt;electronic-resource-num&gt;10.1016/S0140-6736(18)30668-8&lt;/electronic-resource-num&gt;&lt;access-date&gt;2018/05/23&lt;/access-date&gt;&lt;/record&gt;&lt;/Cite&gt;&lt;/EndNote&gt;</w:instrText>
      </w:r>
      <w:r>
        <w:fldChar w:fldCharType="separate"/>
      </w:r>
      <w:r>
        <w:rPr>
          <w:noProof/>
        </w:rPr>
        <w:t>[13]</w:t>
      </w:r>
      <w:r>
        <w:fldChar w:fldCharType="end"/>
      </w:r>
      <w:r w:rsidR="000149DF" w:rsidRPr="007343C1">
        <w:t xml:space="preserve">. </w:t>
      </w:r>
      <w:r>
        <w:t xml:space="preserve">These were </w:t>
      </w:r>
      <w:r w:rsidR="005835B8">
        <w:t>renamed mild, moderate and severe frailty</w:t>
      </w:r>
      <w:r w:rsidR="00DF645B">
        <w:t xml:space="preserve"> to mirror the generally used approach to frailty risk stratification</w:t>
      </w:r>
      <w:r w:rsidR="005835B8">
        <w:t>. T</w:t>
      </w:r>
      <w:r>
        <w:t xml:space="preserve">o capture those individuals with no relevant ICD-10 codes </w:t>
      </w:r>
      <w:r w:rsidR="005835B8">
        <w:t xml:space="preserve">the categories were slightly expanded to include those </w:t>
      </w:r>
      <w:r>
        <w:t>who were assumed not to have frailty</w:t>
      </w:r>
      <w:r w:rsidR="001806EB">
        <w:t xml:space="preserve"> – so </w:t>
      </w:r>
      <w:r w:rsidR="001806EB" w:rsidRPr="001806EB">
        <w:t>an individual with previous hospital admission data</w:t>
      </w:r>
      <w:r w:rsidR="001806EB">
        <w:t xml:space="preserve"> containing</w:t>
      </w:r>
      <w:r w:rsidR="001806EB" w:rsidRPr="001806EB">
        <w:t xml:space="preserve"> no HFRS related codes</w:t>
      </w:r>
      <w:r w:rsidR="001806EB">
        <w:t xml:space="preserve"> was </w:t>
      </w:r>
      <w:r w:rsidR="001806EB" w:rsidRPr="001806EB">
        <w:t xml:space="preserve">rated as </w:t>
      </w:r>
      <w:r w:rsidR="001806EB">
        <w:t>‘</w:t>
      </w:r>
      <w:r w:rsidR="001806EB" w:rsidRPr="001806EB">
        <w:t>not frail</w:t>
      </w:r>
      <w:r w:rsidR="001806EB">
        <w:t>-</w:t>
      </w:r>
      <w:r>
        <w:t>.</w:t>
      </w:r>
      <w:r w:rsidR="007903D6" w:rsidRPr="007343C1">
        <w:t xml:space="preserve"> </w:t>
      </w:r>
      <w:r>
        <w:t xml:space="preserve">For individuals who had no hospital admission in the preceding two years, </w:t>
      </w:r>
      <w:r w:rsidR="00212A21">
        <w:t>the</w:t>
      </w:r>
      <w:r>
        <w:t xml:space="preserve"> HFRS could </w:t>
      </w:r>
      <w:r w:rsidR="00212A21">
        <w:t xml:space="preserve">not </w:t>
      </w:r>
      <w:r>
        <w:t>be calculated.</w:t>
      </w:r>
    </w:p>
    <w:p w14:paraId="1A641EAA" w14:textId="77777777" w:rsidR="00A0649D" w:rsidRDefault="00084065" w:rsidP="000B44F3">
      <w:r>
        <w:lastRenderedPageBreak/>
        <w:t xml:space="preserve">The HFRS was tested on six </w:t>
      </w:r>
      <w:r w:rsidR="00B57D78">
        <w:t>specialties</w:t>
      </w:r>
      <w:r>
        <w:t xml:space="preserve"> </w:t>
      </w:r>
      <w:r w:rsidR="00242DA9">
        <w:t>which</w:t>
      </w:r>
      <w:r>
        <w:t xml:space="preserve"> were participating in the Specialised Clinical Frailty Network (an improvement programme commissioned by NHS England in 2018; </w:t>
      </w:r>
      <w:hyperlink r:id="rId11" w:history="1">
        <w:r w:rsidRPr="00F9334D">
          <w:rPr>
            <w:rStyle w:val="Hyperlink"/>
          </w:rPr>
          <w:t>https://www.scfn.org.uk/</w:t>
        </w:r>
      </w:hyperlink>
      <w:r w:rsidR="00242DA9">
        <w:t>).</w:t>
      </w:r>
      <w:r>
        <w:t xml:space="preserve"> </w:t>
      </w:r>
      <w:r w:rsidR="00242DA9">
        <w:t>These</w:t>
      </w:r>
      <w:r>
        <w:t xml:space="preserve"> </w:t>
      </w:r>
      <w:r w:rsidR="00051C1B">
        <w:t xml:space="preserve">were </w:t>
      </w:r>
      <w:r w:rsidR="00001C79" w:rsidRPr="007343C1">
        <w:t>TAVI</w:t>
      </w:r>
      <w:r w:rsidR="00C0513E" w:rsidRPr="007343C1">
        <w:t xml:space="preserve"> (elective and emergency)</w:t>
      </w:r>
      <w:r w:rsidR="00001C79" w:rsidRPr="007343C1">
        <w:t xml:space="preserve">, </w:t>
      </w:r>
      <w:r w:rsidR="00A0649D">
        <w:t>c</w:t>
      </w:r>
      <w:r w:rsidR="00001C79" w:rsidRPr="007343C1">
        <w:t>ritical car</w:t>
      </w:r>
      <w:r w:rsidR="00C0513E" w:rsidRPr="007343C1">
        <w:t>e (all admissions)</w:t>
      </w:r>
      <w:r w:rsidR="00001C79" w:rsidRPr="007343C1">
        <w:t xml:space="preserve">, </w:t>
      </w:r>
      <w:r w:rsidR="00A0649D">
        <w:t>r</w:t>
      </w:r>
      <w:r w:rsidR="00001C79" w:rsidRPr="007343C1">
        <w:t>enal</w:t>
      </w:r>
      <w:r w:rsidR="00C0513E" w:rsidRPr="007343C1">
        <w:t xml:space="preserve"> (</w:t>
      </w:r>
      <w:r w:rsidR="00B57D78">
        <w:t xml:space="preserve">all </w:t>
      </w:r>
      <w:r w:rsidR="00C0513E" w:rsidRPr="007343C1">
        <w:t>dialysis patients)</w:t>
      </w:r>
      <w:r w:rsidR="00001C79" w:rsidRPr="007343C1">
        <w:t xml:space="preserve">, </w:t>
      </w:r>
      <w:r w:rsidR="00A0649D" w:rsidRPr="007343C1">
        <w:t>chemotherapy (all forms), spinal surgery (deformity and fracture) and neurosurgery (emergency)</w:t>
      </w:r>
      <w:r w:rsidR="00A0649D">
        <w:t xml:space="preserve">. </w:t>
      </w:r>
      <w:r w:rsidR="002B7F53" w:rsidRPr="007343C1">
        <w:t>E</w:t>
      </w:r>
      <w:r w:rsidR="00BB0B30" w:rsidRPr="007343C1">
        <w:t>ach specialty</w:t>
      </w:r>
      <w:r w:rsidR="002B7F53" w:rsidRPr="007343C1">
        <w:t>’s population</w:t>
      </w:r>
      <w:r w:rsidR="00BB0B30" w:rsidRPr="007343C1">
        <w:t xml:space="preserve"> </w:t>
      </w:r>
      <w:r w:rsidR="00242DA9">
        <w:t>was</w:t>
      </w:r>
      <w:r w:rsidR="00BB0B30" w:rsidRPr="007343C1">
        <w:t xml:space="preserve"> </w:t>
      </w:r>
      <w:r w:rsidR="00A0649D">
        <w:t>identified</w:t>
      </w:r>
      <w:r w:rsidR="00BB0B30" w:rsidRPr="007343C1">
        <w:t xml:space="preserve"> from the </w:t>
      </w:r>
      <w:r w:rsidR="00A0649D">
        <w:t xml:space="preserve">SUS database using </w:t>
      </w:r>
      <w:r w:rsidR="00BB0B30" w:rsidRPr="007343C1">
        <w:t xml:space="preserve">procedure codes </w:t>
      </w:r>
      <w:r w:rsidR="00242DA9">
        <w:t xml:space="preserve">defined by </w:t>
      </w:r>
      <w:r w:rsidR="00BB0B30" w:rsidRPr="007343C1">
        <w:t xml:space="preserve">NHS England </w:t>
      </w:r>
      <w:r w:rsidR="0071476A" w:rsidRPr="007343C1">
        <w:t xml:space="preserve">and </w:t>
      </w:r>
      <w:r w:rsidR="00BB0B30" w:rsidRPr="007343C1">
        <w:t xml:space="preserve">through consultation with </w:t>
      </w:r>
      <w:r w:rsidR="00A0649D">
        <w:t>the NHS England</w:t>
      </w:r>
      <w:r w:rsidR="0071476A" w:rsidRPr="007343C1">
        <w:t xml:space="preserve"> Clinical </w:t>
      </w:r>
      <w:r w:rsidR="00A0649D" w:rsidRPr="007343C1">
        <w:t>Reference Group</w:t>
      </w:r>
      <w:r w:rsidR="00051C1B">
        <w:t>s</w:t>
      </w:r>
      <w:r w:rsidR="00B57D78">
        <w:t xml:space="preserve"> (CRG)</w:t>
      </w:r>
      <w:r w:rsidR="00051C1B">
        <w:t>. These are groups of clinicians, commissioners, public health experts, patients and carers who advise NHS England on the commissioning of a specialised service</w:t>
      </w:r>
      <w:r w:rsidR="00BB0B30" w:rsidRPr="007343C1">
        <w:t xml:space="preserve"> (</w:t>
      </w:r>
      <w:r w:rsidR="0071476A" w:rsidRPr="007343C1">
        <w:t>Appendix 1</w:t>
      </w:r>
      <w:r w:rsidR="003B124D" w:rsidRPr="007343C1">
        <w:t xml:space="preserve">). </w:t>
      </w:r>
      <w:r w:rsidR="0012333A" w:rsidRPr="007343C1">
        <w:t xml:space="preserve">HFRS was applied to each population and proportions of </w:t>
      </w:r>
      <w:r w:rsidR="00051C1B">
        <w:t xml:space="preserve">patients with </w:t>
      </w:r>
      <w:r w:rsidR="0012333A" w:rsidRPr="007343C1">
        <w:t xml:space="preserve">frailty across the specialty were </w:t>
      </w:r>
      <w:r w:rsidR="0088009B">
        <w:t>identified</w:t>
      </w:r>
      <w:r w:rsidR="0012333A" w:rsidRPr="007343C1">
        <w:t>.</w:t>
      </w:r>
      <w:r w:rsidR="002B7F53" w:rsidRPr="007343C1">
        <w:t xml:space="preserve"> Where an inpatient episode involving a treatment was involved</w:t>
      </w:r>
      <w:r w:rsidR="00A0649D" w:rsidRPr="007343C1">
        <w:t>,</w:t>
      </w:r>
      <w:r w:rsidR="00054C61" w:rsidRPr="007343C1">
        <w:t xml:space="preserve"> the</w:t>
      </w:r>
      <w:r w:rsidR="00E2519D" w:rsidRPr="007343C1">
        <w:t xml:space="preserve"> index event was the date of admission for the relevant treatment</w:t>
      </w:r>
      <w:r w:rsidR="00212A21">
        <w:t>; e</w:t>
      </w:r>
      <w:r w:rsidR="00EA59E4" w:rsidRPr="007343C1">
        <w:t xml:space="preserve">ach patient </w:t>
      </w:r>
      <w:r w:rsidR="00A0649D">
        <w:t>was</w:t>
      </w:r>
      <w:r w:rsidR="00EA59E4" w:rsidRPr="007343C1">
        <w:t xml:space="preserve"> included </w:t>
      </w:r>
      <w:r w:rsidR="00A0649D">
        <w:t xml:space="preserve">only </w:t>
      </w:r>
      <w:r w:rsidR="00EA59E4" w:rsidRPr="007343C1">
        <w:t>once in the data.</w:t>
      </w:r>
    </w:p>
    <w:p w14:paraId="0DF921C6" w14:textId="3913B5B2" w:rsidR="00212A21" w:rsidRDefault="001806EB" w:rsidP="00212A21">
      <w:r>
        <w:rPr>
          <w:lang w:val="en-GB"/>
        </w:rPr>
        <w:t>W</w:t>
      </w:r>
      <w:r w:rsidRPr="001806EB">
        <w:rPr>
          <w:lang w:val="en-GB"/>
        </w:rPr>
        <w:t xml:space="preserve">e compared the patient volumes identified in the </w:t>
      </w:r>
      <w:r>
        <w:rPr>
          <w:lang w:val="en-GB"/>
        </w:rPr>
        <w:t>SUS</w:t>
      </w:r>
      <w:r w:rsidRPr="001806EB">
        <w:rPr>
          <w:lang w:val="en-GB"/>
        </w:rPr>
        <w:t xml:space="preserve"> data through speciality codes against existing speciality specific registries, in order to ‘sense-check’ that we had identified the correct cohorts for each specialty. </w:t>
      </w:r>
      <w:r w:rsidR="00212A21" w:rsidRPr="007343C1">
        <w:t>T</w:t>
      </w:r>
      <w:r w:rsidR="00212A21">
        <w:t>he t</w:t>
      </w:r>
      <w:r w:rsidR="00212A21" w:rsidRPr="007343C1">
        <w:t>otal numbers of patients for each specialty data set were cross-referenced with specialty data repositories</w:t>
      </w:r>
      <w:r w:rsidR="00212A21">
        <w:t xml:space="preserve"> where these existed including</w:t>
      </w:r>
      <w:r w:rsidR="00212A21" w:rsidRPr="007343C1">
        <w:t xml:space="preserve"> the r</w:t>
      </w:r>
      <w:r w:rsidR="00212A21">
        <w:t>enal registry (</w:t>
      </w:r>
      <w:hyperlink r:id="rId12" w:history="1">
        <w:r w:rsidR="00212A21" w:rsidRPr="00F9334D">
          <w:rPr>
            <w:rStyle w:val="Hyperlink"/>
          </w:rPr>
          <w:t>https://www.renalreg.org/wp-content/uploads/2018/06/20th-Annual-Report_web_book.pdf</w:t>
        </w:r>
      </w:hyperlink>
      <w:r w:rsidR="00212A21">
        <w:t xml:space="preserve">), </w:t>
      </w:r>
      <w:r w:rsidR="00212A21" w:rsidRPr="00290410">
        <w:t>National Cardiac Audit Programme</w:t>
      </w:r>
      <w:r w:rsidR="00212A21" w:rsidRPr="00290410" w:rsidDel="00290410">
        <w:t xml:space="preserve"> </w:t>
      </w:r>
      <w:r w:rsidR="00212A21">
        <w:t>(</w:t>
      </w:r>
      <w:hyperlink r:id="rId13" w:history="1">
        <w:r w:rsidR="00212A21" w:rsidRPr="00B14C6D">
          <w:rPr>
            <w:rStyle w:val="Hyperlink"/>
          </w:rPr>
          <w:t>https://www.nicor.org.uk/national-cardiac-audit-programme/</w:t>
        </w:r>
      </w:hyperlink>
      <w:r w:rsidR="00212A21">
        <w:t xml:space="preserve">) and </w:t>
      </w:r>
      <w:r w:rsidR="00212A21" w:rsidRPr="005906A9">
        <w:t>Systemic Anti-Cancer Therapy Dataset</w:t>
      </w:r>
      <w:r w:rsidR="00212A21">
        <w:t xml:space="preserve"> (</w:t>
      </w:r>
      <w:hyperlink r:id="rId14" w:history="1">
        <w:r w:rsidR="00212A21" w:rsidRPr="00B14C6D">
          <w:rPr>
            <w:rStyle w:val="Hyperlink"/>
          </w:rPr>
          <w:t>http://www.ncin.org.uk/collecting_and_using_data/data_collection/chemotherapy</w:t>
        </w:r>
      </w:hyperlink>
      <w:r w:rsidR="00212A21">
        <w:t>)</w:t>
      </w:r>
      <w:r w:rsidR="00212A21" w:rsidRPr="007343C1">
        <w:t>.</w:t>
      </w:r>
      <w:r w:rsidR="00212A21">
        <w:t xml:space="preserve"> Each repository was contacted to cross reference the numbers and the CRG leads reviewed the HFRS data to check the extent to which it correlated with clinical practice in their specialty.</w:t>
      </w:r>
    </w:p>
    <w:p w14:paraId="442E3B5D" w14:textId="4B4A64FC" w:rsidR="00F87C44" w:rsidRPr="007343C1" w:rsidRDefault="00F87C44" w:rsidP="00F87C44">
      <w:r>
        <w:t>For renal and chemotherapy each patient was included only once in the dataset. For TAVI, neurosurgery, critical care, spinal fracture or spinal deformity, some patients could appear more than once in the dataset, relating to clinical complications following the index admission</w:t>
      </w:r>
      <w:r w:rsidR="00585C4E">
        <w:t xml:space="preserve"> </w:t>
      </w:r>
      <w:r w:rsidR="00585C4E" w:rsidRPr="00585C4E">
        <w:t>or further treatment under the same specialty</w:t>
      </w:r>
      <w:r>
        <w:t xml:space="preserve"> during the study period. In this case, frailty scores</w:t>
      </w:r>
      <w:r w:rsidR="00873C87">
        <w:t xml:space="preserve"> and outcomes</w:t>
      </w:r>
      <w:r>
        <w:t xml:space="preserve"> were calculated </w:t>
      </w:r>
      <w:r w:rsidR="00873C87">
        <w:t>per admission</w:t>
      </w:r>
      <w:r>
        <w:t>, but only the patient’s first admission was used for survival estimates.</w:t>
      </w:r>
    </w:p>
    <w:p w14:paraId="29915D62" w14:textId="568C3F1C" w:rsidR="00212A21" w:rsidRDefault="00A0649D" w:rsidP="000B44F3">
      <w:r>
        <w:t xml:space="preserve">The main outcomes recorded in SUS relate to service metrics in the year following the index event (admissions, length of stay, readmission), mortality and some </w:t>
      </w:r>
      <w:r w:rsidR="00212A21">
        <w:t xml:space="preserve">treatment </w:t>
      </w:r>
      <w:r>
        <w:t>specific complications (which had been prioritised by the CRG leads)</w:t>
      </w:r>
      <w:r w:rsidR="0012333A" w:rsidRPr="007343C1">
        <w:t xml:space="preserve">. </w:t>
      </w:r>
      <w:r w:rsidR="00300321" w:rsidRPr="00300321">
        <w:t xml:space="preserve">The method for differentiating an admission from a readmission has been taken from the NHS Digital definition </w:t>
      </w:r>
      <w:r w:rsidR="00300321">
        <w:rPr>
          <w:rFonts w:ascii="Verdana" w:hAnsi="Verdana"/>
          <w:sz w:val="16"/>
          <w:szCs w:val="16"/>
        </w:rPr>
        <w:t xml:space="preserve">[4]. </w:t>
      </w:r>
      <w:r w:rsidR="00300321" w:rsidRPr="00300321">
        <w:t xml:space="preserve">For 30 day readmissions these were defined as emergency admissions to any hospital in England occurring within 30 days of the last, previous discharge from hospital after admission excluding obstetrics related admissions. </w:t>
      </w:r>
      <w:r w:rsidR="00300321">
        <w:t xml:space="preserve">As length of stay could not be related to a discrete index event for haemodialysis and chemotherapy, total inpatient days over a year alone were extracted instead of 7-21 day length of stay. </w:t>
      </w:r>
      <w:r w:rsidR="00300321" w:rsidRPr="00300321">
        <w:t>Complications are defined in Appendix 1</w:t>
      </w:r>
      <w:r w:rsidR="00300321">
        <w:t xml:space="preserve">. </w:t>
      </w:r>
      <w:r w:rsidR="00B001AB" w:rsidRPr="007343C1">
        <w:t>Mortality was defined as death during an admission either during or following the index admission up until the date the data was extracted in March 2019</w:t>
      </w:r>
      <w:r w:rsidR="00212A21">
        <w:t>; out of hospital deaths were not captured</w:t>
      </w:r>
      <w:r w:rsidR="00B001AB" w:rsidRPr="007343C1">
        <w:t>.</w:t>
      </w:r>
      <w:r w:rsidR="004006C3">
        <w:t xml:space="preserve"> </w:t>
      </w:r>
    </w:p>
    <w:p w14:paraId="48B831C6" w14:textId="1556978D" w:rsidR="006B4973" w:rsidRDefault="006048BF" w:rsidP="00445746">
      <w:r>
        <w:t>Analyses were limited to descriptive statistics</w:t>
      </w:r>
      <w:r w:rsidR="00B57D78">
        <w:t>,</w:t>
      </w:r>
      <w:r>
        <w:t xml:space="preserve"> capturing the outcomes of interest by frailty </w:t>
      </w:r>
      <w:r w:rsidR="0088009B">
        <w:t>risk</w:t>
      </w:r>
      <w:r w:rsidR="00445746">
        <w:t xml:space="preserve"> and survival analyses for time to death</w:t>
      </w:r>
      <w:r w:rsidR="00F87C44">
        <w:t>.</w:t>
      </w:r>
      <w:r w:rsidR="00445746">
        <w:t xml:space="preserve"> For survival, all admission records following index event were examined to establish date of death. Patients with no date of death recorded were assumed to be alive at the end of the study period or censored in the Kaplan-Meier model. The interval between index event and the date of death wa</w:t>
      </w:r>
      <w:r w:rsidR="00300321">
        <w:t xml:space="preserve">s calculated in months, displayed in </w:t>
      </w:r>
      <w:r w:rsidR="00445746">
        <w:t xml:space="preserve">Kaplan-Meier </w:t>
      </w:r>
      <w:r w:rsidR="00300321">
        <w:t>plots</w:t>
      </w:r>
      <w:r w:rsidR="00445746">
        <w:t>.</w:t>
      </w:r>
    </w:p>
    <w:p w14:paraId="5D5A431B" w14:textId="77777777" w:rsidR="006048BF" w:rsidRPr="007343C1" w:rsidRDefault="006048BF" w:rsidP="000B44F3">
      <w:bookmarkStart w:id="1" w:name="_Hlk29222607"/>
      <w:r>
        <w:t xml:space="preserve">No ethical review was undertaken as the work was </w:t>
      </w:r>
      <w:r w:rsidR="007E71D3">
        <w:t>performed</w:t>
      </w:r>
      <w:r>
        <w:t xml:space="preserve"> as a service evaluation</w:t>
      </w:r>
      <w:r w:rsidR="004006C3">
        <w:t xml:space="preserve"> to aid with commissioning and healthcare planning under the</w:t>
      </w:r>
      <w:r>
        <w:t xml:space="preserve"> permission of NHS England</w:t>
      </w:r>
      <w:bookmarkEnd w:id="1"/>
      <w:r w:rsidR="004006C3">
        <w:t xml:space="preserve"> (</w:t>
      </w:r>
      <w:hyperlink r:id="rId15" w:history="1">
        <w:r w:rsidR="004006C3">
          <w:rPr>
            <w:rStyle w:val="Hyperlink"/>
            <w:rFonts w:eastAsiaTheme="majorEastAsia"/>
          </w:rPr>
          <w:t>https://digital.nhs.uk/services/secondary-uses-service-sus</w:t>
        </w:r>
      </w:hyperlink>
      <w:r w:rsidR="004006C3">
        <w:t>)</w:t>
      </w:r>
      <w:r>
        <w:t>.</w:t>
      </w:r>
    </w:p>
    <w:p w14:paraId="6ACD5C44" w14:textId="77777777" w:rsidR="00763121" w:rsidRPr="007343C1" w:rsidRDefault="000516C7" w:rsidP="000B44F3">
      <w:pPr>
        <w:pStyle w:val="Heading1"/>
      </w:pPr>
      <w:r w:rsidRPr="007343C1">
        <w:t>RESULTS</w:t>
      </w:r>
    </w:p>
    <w:p w14:paraId="63598766" w14:textId="0372E1DF" w:rsidR="00291EA9" w:rsidRDefault="00816F8F" w:rsidP="000B44F3">
      <w:r>
        <w:lastRenderedPageBreak/>
        <w:fldChar w:fldCharType="begin"/>
      </w:r>
      <w:r>
        <w:instrText xml:space="preserve"> REF _Ref29290938 \h </w:instrText>
      </w:r>
      <w:r>
        <w:fldChar w:fldCharType="separate"/>
      </w:r>
      <w:r>
        <w:t xml:space="preserve">Table </w:t>
      </w:r>
      <w:r>
        <w:rPr>
          <w:noProof/>
        </w:rPr>
        <w:t>1</w:t>
      </w:r>
      <w:r>
        <w:fldChar w:fldCharType="end"/>
      </w:r>
      <w:r>
        <w:t xml:space="preserve"> shows the numbers of older people captured in specialty specific registries (where available) in comparison to those identified using the codes detailed in Appendix 1.</w:t>
      </w:r>
      <w:r w:rsidR="00A75E58">
        <w:t xml:space="preserve"> </w:t>
      </w:r>
      <w:r w:rsidR="00D71E14">
        <w:t>Slightly fewer individuals were identified in the</w:t>
      </w:r>
      <w:r w:rsidR="002441E2">
        <w:t xml:space="preserve"> </w:t>
      </w:r>
      <w:r w:rsidR="00D71E14">
        <w:t xml:space="preserve">TAVI and renal registries as compared to SUS data, and </w:t>
      </w:r>
      <w:r w:rsidR="00AA7E95">
        <w:t>slightly</w:t>
      </w:r>
      <w:r w:rsidR="00D71E14">
        <w:t xml:space="preserve"> more in the </w:t>
      </w:r>
      <w:r w:rsidR="00AA7E95">
        <w:t>cancer</w:t>
      </w:r>
      <w:r w:rsidR="00D71E14">
        <w:t xml:space="preserve"> </w:t>
      </w:r>
      <w:r w:rsidR="00AA7E95">
        <w:t>registry</w:t>
      </w:r>
      <w:r w:rsidR="00D71E14">
        <w:t xml:space="preserve">; </w:t>
      </w:r>
      <w:r w:rsidR="000D1885">
        <w:t>overall,</w:t>
      </w:r>
      <w:r w:rsidR="00D71E14">
        <w:t xml:space="preserve"> the variance was no greater than </w:t>
      </w:r>
      <w:r w:rsidR="00AA7E95">
        <w:t>6%.</w:t>
      </w:r>
    </w:p>
    <w:p w14:paraId="7E3CD50E" w14:textId="77777777" w:rsidR="00877741" w:rsidRDefault="00877741" w:rsidP="000B44F3">
      <w:pPr>
        <w:sectPr w:rsidR="00877741" w:rsidSect="00877741">
          <w:footerReference w:type="default" r:id="rId16"/>
          <w:pgSz w:w="11906" w:h="16838"/>
          <w:pgMar w:top="1440" w:right="1440" w:bottom="1440" w:left="1440" w:header="708" w:footer="708" w:gutter="0"/>
          <w:cols w:space="708"/>
          <w:docGrid w:linePitch="360"/>
        </w:sectPr>
      </w:pPr>
    </w:p>
    <w:p w14:paraId="7CAC4711" w14:textId="77777777" w:rsidR="000402F0" w:rsidRDefault="000402F0" w:rsidP="000402F0">
      <w:pPr>
        <w:pStyle w:val="Caption"/>
      </w:pPr>
      <w:bookmarkStart w:id="2" w:name="_Ref29290938"/>
      <w:r>
        <w:lastRenderedPageBreak/>
        <w:t xml:space="preserve">Table </w:t>
      </w:r>
      <w:r>
        <w:fldChar w:fldCharType="begin"/>
      </w:r>
      <w:r>
        <w:instrText xml:space="preserve"> SEQ Table \* ARABIC </w:instrText>
      </w:r>
      <w:r>
        <w:fldChar w:fldCharType="separate"/>
      </w:r>
      <w:r>
        <w:rPr>
          <w:noProof/>
        </w:rPr>
        <w:t>1</w:t>
      </w:r>
      <w:r>
        <w:fldChar w:fldCharType="end"/>
      </w:r>
      <w:bookmarkEnd w:id="2"/>
      <w:r>
        <w:t xml:space="preserve"> SUS identified vs. registry recorded patients with specialised conditions</w:t>
      </w:r>
    </w:p>
    <w:tbl>
      <w:tblPr>
        <w:tblW w:w="12181" w:type="dxa"/>
        <w:tblCellMar>
          <w:left w:w="0" w:type="dxa"/>
          <w:right w:w="0" w:type="dxa"/>
        </w:tblCellMar>
        <w:tblLook w:val="04A0" w:firstRow="1" w:lastRow="0" w:firstColumn="1" w:lastColumn="0" w:noHBand="0" w:noVBand="1"/>
      </w:tblPr>
      <w:tblGrid>
        <w:gridCol w:w="2400"/>
        <w:gridCol w:w="2410"/>
        <w:gridCol w:w="2835"/>
        <w:gridCol w:w="2977"/>
        <w:gridCol w:w="1559"/>
      </w:tblGrid>
      <w:tr w:rsidR="00A75E58" w:rsidRPr="000402F0" w14:paraId="2DB0C673" w14:textId="77777777" w:rsidTr="00F5446B">
        <w:trPr>
          <w:trHeight w:val="300"/>
        </w:trPr>
        <w:tc>
          <w:tcPr>
            <w:tcW w:w="2400" w:type="dxa"/>
            <w:tcBorders>
              <w:top w:val="single" w:sz="8" w:space="0" w:color="auto"/>
              <w:left w:val="single" w:sz="8" w:space="0" w:color="auto"/>
              <w:bottom w:val="single" w:sz="8" w:space="0" w:color="auto"/>
              <w:right w:val="single" w:sz="8" w:space="0" w:color="auto"/>
            </w:tcBorders>
            <w:vAlign w:val="center"/>
          </w:tcPr>
          <w:p w14:paraId="782F5068" w14:textId="77777777" w:rsidR="00A75E58" w:rsidRPr="000402F0" w:rsidRDefault="00A75E58" w:rsidP="00A75E58">
            <w:pPr>
              <w:ind w:firstLine="122"/>
              <w:rPr>
                <w:lang w:val="en-GB"/>
              </w:rPr>
            </w:pPr>
            <w:r w:rsidRPr="000402F0">
              <w:rPr>
                <w:lang w:val="en-GB"/>
              </w:rPr>
              <w:t>Specialty</w:t>
            </w:r>
          </w:p>
        </w:tc>
        <w:tc>
          <w:tcPr>
            <w:tcW w:w="2410" w:type="dxa"/>
            <w:tcBorders>
              <w:top w:val="single" w:sz="8" w:space="0" w:color="auto"/>
              <w:left w:val="single" w:sz="8" w:space="0" w:color="auto"/>
              <w:bottom w:val="single" w:sz="8" w:space="0" w:color="auto"/>
              <w:right w:val="single" w:sz="8" w:space="0" w:color="auto"/>
            </w:tcBorders>
            <w:vAlign w:val="center"/>
          </w:tcPr>
          <w:p w14:paraId="4A2CA216" w14:textId="77777777" w:rsidR="00A75E58" w:rsidRPr="000402F0" w:rsidRDefault="00A75E58" w:rsidP="00A75E58">
            <w:pPr>
              <w:jc w:val="center"/>
              <w:rPr>
                <w:lang w:val="en-GB"/>
              </w:rPr>
            </w:pPr>
            <w:r w:rsidRPr="000402F0">
              <w:rPr>
                <w:lang w:val="en-GB"/>
              </w:rPr>
              <w:t>Specialty registry</w:t>
            </w:r>
          </w:p>
        </w:tc>
        <w:tc>
          <w:tcPr>
            <w:tcW w:w="2835" w:type="dxa"/>
            <w:tcBorders>
              <w:top w:val="single" w:sz="8" w:space="0" w:color="auto"/>
              <w:left w:val="single" w:sz="8" w:space="0" w:color="auto"/>
              <w:bottom w:val="single" w:sz="8" w:space="0" w:color="auto"/>
              <w:right w:val="single" w:sz="8" w:space="0" w:color="auto"/>
            </w:tcBorders>
            <w:vAlign w:val="center"/>
          </w:tcPr>
          <w:p w14:paraId="2D530D05" w14:textId="77777777" w:rsidR="00A75E58" w:rsidRPr="000402F0" w:rsidRDefault="00A75E58" w:rsidP="00AA7E95">
            <w:pPr>
              <w:ind w:right="137" w:firstLine="132"/>
              <w:jc w:val="center"/>
              <w:rPr>
                <w:lang w:val="en-GB"/>
              </w:rPr>
            </w:pPr>
            <w:r w:rsidRPr="000402F0">
              <w:rPr>
                <w:lang w:val="en-GB"/>
              </w:rPr>
              <w:t>People aged 75+ identified in specialty registry</w:t>
            </w:r>
          </w:p>
        </w:tc>
        <w:tc>
          <w:tcPr>
            <w:tcW w:w="29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27494A" w14:textId="77777777" w:rsidR="00A75E58" w:rsidRPr="000402F0" w:rsidRDefault="00A75E58" w:rsidP="00A75E58">
            <w:pPr>
              <w:jc w:val="center"/>
              <w:rPr>
                <w:lang w:val="en-GB"/>
              </w:rPr>
            </w:pPr>
            <w:r w:rsidRPr="000402F0">
              <w:rPr>
                <w:lang w:val="en-GB"/>
              </w:rPr>
              <w:t>People aged 75+ identified in SUS</w:t>
            </w:r>
          </w:p>
        </w:tc>
        <w:tc>
          <w:tcPr>
            <w:tcW w:w="1559" w:type="dxa"/>
            <w:tcBorders>
              <w:top w:val="single" w:sz="8" w:space="0" w:color="auto"/>
              <w:left w:val="single" w:sz="8" w:space="0" w:color="auto"/>
              <w:bottom w:val="single" w:sz="8" w:space="0" w:color="auto"/>
              <w:right w:val="single" w:sz="8" w:space="0" w:color="auto"/>
            </w:tcBorders>
            <w:vAlign w:val="center"/>
          </w:tcPr>
          <w:p w14:paraId="0C3378DF" w14:textId="77777777" w:rsidR="00A75E58" w:rsidRPr="000402F0" w:rsidRDefault="00D71E14" w:rsidP="00A75E58">
            <w:pPr>
              <w:jc w:val="center"/>
              <w:rPr>
                <w:lang w:val="en-GB"/>
              </w:rPr>
            </w:pPr>
            <w:r>
              <w:rPr>
                <w:lang w:val="en-GB"/>
              </w:rPr>
              <w:t>Variance</w:t>
            </w:r>
          </w:p>
        </w:tc>
      </w:tr>
      <w:tr w:rsidR="00A75E58" w:rsidRPr="00A75E58" w14:paraId="1027EBC3" w14:textId="77777777" w:rsidTr="00F5446B">
        <w:trPr>
          <w:trHeight w:val="300"/>
        </w:trPr>
        <w:tc>
          <w:tcPr>
            <w:tcW w:w="2400" w:type="dxa"/>
            <w:tcBorders>
              <w:top w:val="nil"/>
              <w:left w:val="single" w:sz="8" w:space="0" w:color="auto"/>
              <w:bottom w:val="single" w:sz="8" w:space="0" w:color="auto"/>
              <w:right w:val="single" w:sz="8" w:space="0" w:color="auto"/>
            </w:tcBorders>
            <w:vAlign w:val="center"/>
          </w:tcPr>
          <w:p w14:paraId="71B9EF88" w14:textId="77777777" w:rsidR="00A75E58" w:rsidRPr="00A75E58" w:rsidRDefault="00A75E58" w:rsidP="00A75E58">
            <w:pPr>
              <w:ind w:firstLine="122"/>
              <w:rPr>
                <w:lang w:val="en-GB"/>
              </w:rPr>
            </w:pPr>
            <w:r w:rsidRPr="00A75E58">
              <w:rPr>
                <w:lang w:val="en-GB"/>
              </w:rPr>
              <w:t>TAVI</w:t>
            </w:r>
          </w:p>
        </w:tc>
        <w:tc>
          <w:tcPr>
            <w:tcW w:w="2410" w:type="dxa"/>
            <w:tcBorders>
              <w:top w:val="nil"/>
              <w:left w:val="single" w:sz="8" w:space="0" w:color="auto"/>
              <w:bottom w:val="single" w:sz="8" w:space="0" w:color="auto"/>
              <w:right w:val="single" w:sz="8" w:space="0" w:color="auto"/>
            </w:tcBorders>
            <w:vAlign w:val="center"/>
          </w:tcPr>
          <w:p w14:paraId="052738BC" w14:textId="77777777" w:rsidR="00A75E58" w:rsidRPr="002441E2" w:rsidRDefault="00C459B4" w:rsidP="00A75E58">
            <w:pPr>
              <w:jc w:val="center"/>
              <w:rPr>
                <w:lang w:val="en-GB"/>
              </w:rPr>
            </w:pPr>
            <w:hyperlink r:id="rId17" w:history="1">
              <w:r w:rsidR="00A75E58" w:rsidRPr="002441E2">
                <w:rPr>
                  <w:rStyle w:val="Hyperlink"/>
                  <w:color w:val="auto"/>
                  <w:lang w:val="en-GB"/>
                </w:rPr>
                <w:t>NICOR 2017</w:t>
              </w:r>
            </w:hyperlink>
            <w:r w:rsidR="000B4614" w:rsidRPr="002441E2">
              <w:rPr>
                <w:rStyle w:val="Hyperlink"/>
                <w:color w:val="auto"/>
                <w:lang w:val="en-GB"/>
              </w:rPr>
              <w:t>-</w:t>
            </w:r>
            <w:r w:rsidR="00AA7E95" w:rsidRPr="002441E2">
              <w:rPr>
                <w:rStyle w:val="Hyperlink"/>
                <w:color w:val="auto"/>
              </w:rPr>
              <w:t>18</w:t>
            </w:r>
          </w:p>
        </w:tc>
        <w:tc>
          <w:tcPr>
            <w:tcW w:w="2835" w:type="dxa"/>
            <w:tcBorders>
              <w:top w:val="nil"/>
              <w:left w:val="single" w:sz="8" w:space="0" w:color="auto"/>
              <w:bottom w:val="single" w:sz="8" w:space="0" w:color="auto"/>
              <w:right w:val="single" w:sz="8" w:space="0" w:color="auto"/>
            </w:tcBorders>
            <w:vAlign w:val="center"/>
          </w:tcPr>
          <w:p w14:paraId="4CB82F61" w14:textId="77777777" w:rsidR="00A75E58" w:rsidRPr="00A75E58" w:rsidRDefault="002336BA" w:rsidP="00A75E58">
            <w:pPr>
              <w:jc w:val="center"/>
              <w:rPr>
                <w:lang w:val="en-GB"/>
              </w:rPr>
            </w:pPr>
            <w:r w:rsidRPr="00A75E58">
              <w:rPr>
                <w:lang w:val="en-GB"/>
              </w:rPr>
              <w:t>3</w:t>
            </w:r>
            <w:r>
              <w:rPr>
                <w:lang w:val="en-GB"/>
              </w:rPr>
              <w:t>189</w:t>
            </w:r>
          </w:p>
        </w:tc>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0FE8716" w14:textId="77777777" w:rsidR="00A75E58" w:rsidRPr="00A75E58" w:rsidRDefault="00A75E58" w:rsidP="00A75E58">
            <w:pPr>
              <w:jc w:val="center"/>
              <w:rPr>
                <w:lang w:val="en-GB"/>
              </w:rPr>
            </w:pPr>
            <w:r w:rsidRPr="00A75E58">
              <w:rPr>
                <w:lang w:val="en-GB"/>
              </w:rPr>
              <w:t>3261</w:t>
            </w:r>
          </w:p>
        </w:tc>
        <w:tc>
          <w:tcPr>
            <w:tcW w:w="1559" w:type="dxa"/>
            <w:tcBorders>
              <w:top w:val="nil"/>
              <w:left w:val="single" w:sz="8" w:space="0" w:color="auto"/>
              <w:bottom w:val="single" w:sz="8" w:space="0" w:color="auto"/>
              <w:right w:val="single" w:sz="8" w:space="0" w:color="auto"/>
            </w:tcBorders>
            <w:vAlign w:val="center"/>
          </w:tcPr>
          <w:p w14:paraId="4F913194" w14:textId="77777777" w:rsidR="00A75E58" w:rsidRPr="00A75E58" w:rsidRDefault="000B4614" w:rsidP="00A75E58">
            <w:pPr>
              <w:jc w:val="center"/>
              <w:rPr>
                <w:lang w:val="en-GB"/>
              </w:rPr>
            </w:pPr>
            <w:r>
              <w:rPr>
                <w:lang w:val="en-GB"/>
              </w:rPr>
              <w:t>2</w:t>
            </w:r>
            <w:r w:rsidR="00A75E58">
              <w:rPr>
                <w:lang w:val="en-GB"/>
              </w:rPr>
              <w:t>%</w:t>
            </w:r>
          </w:p>
        </w:tc>
      </w:tr>
      <w:tr w:rsidR="00A75E58" w:rsidRPr="00A75E58" w14:paraId="2507AB1D" w14:textId="77777777" w:rsidTr="00F5446B">
        <w:trPr>
          <w:trHeight w:val="300"/>
        </w:trPr>
        <w:tc>
          <w:tcPr>
            <w:tcW w:w="2400" w:type="dxa"/>
            <w:tcBorders>
              <w:top w:val="nil"/>
              <w:left w:val="single" w:sz="8" w:space="0" w:color="auto"/>
              <w:bottom w:val="single" w:sz="8" w:space="0" w:color="auto"/>
              <w:right w:val="single" w:sz="8" w:space="0" w:color="auto"/>
            </w:tcBorders>
            <w:vAlign w:val="center"/>
          </w:tcPr>
          <w:p w14:paraId="668C4804" w14:textId="77777777" w:rsidR="00A75E58" w:rsidRPr="00A75E58" w:rsidRDefault="00A75E58" w:rsidP="00A75E58">
            <w:pPr>
              <w:ind w:firstLine="122"/>
              <w:rPr>
                <w:lang w:val="en-GB"/>
              </w:rPr>
            </w:pPr>
            <w:r w:rsidRPr="00A75E58">
              <w:rPr>
                <w:lang w:val="en-GB"/>
              </w:rPr>
              <w:t>Renal dialysis</w:t>
            </w:r>
          </w:p>
        </w:tc>
        <w:tc>
          <w:tcPr>
            <w:tcW w:w="2410" w:type="dxa"/>
            <w:tcBorders>
              <w:top w:val="nil"/>
              <w:left w:val="single" w:sz="8" w:space="0" w:color="auto"/>
              <w:bottom w:val="single" w:sz="8" w:space="0" w:color="auto"/>
              <w:right w:val="single" w:sz="8" w:space="0" w:color="auto"/>
            </w:tcBorders>
            <w:vAlign w:val="center"/>
          </w:tcPr>
          <w:p w14:paraId="2EB3B9CA" w14:textId="77777777" w:rsidR="00A75E58" w:rsidRPr="002441E2" w:rsidRDefault="00A75E58" w:rsidP="00A75E58">
            <w:pPr>
              <w:jc w:val="center"/>
              <w:rPr>
                <w:lang w:val="en-GB"/>
              </w:rPr>
            </w:pPr>
            <w:r w:rsidRPr="002441E2">
              <w:rPr>
                <w:rStyle w:val="Hyperlink"/>
                <w:color w:val="auto"/>
                <w:lang w:val="en-GB"/>
              </w:rPr>
              <w:t>Renal registry 201</w:t>
            </w:r>
            <w:hyperlink r:id="rId18" w:history="1">
              <w:r w:rsidR="00974AD1" w:rsidRPr="002441E2">
                <w:rPr>
                  <w:rStyle w:val="Hyperlink"/>
                  <w:color w:val="auto"/>
                  <w:lang w:val="en-GB"/>
                </w:rPr>
                <w:t>7</w:t>
              </w:r>
            </w:hyperlink>
            <w:r w:rsidR="000B4614" w:rsidRPr="002441E2">
              <w:rPr>
                <w:rStyle w:val="Hyperlink"/>
                <w:color w:val="auto"/>
                <w:lang w:val="en-GB"/>
              </w:rPr>
              <w:t>-</w:t>
            </w:r>
            <w:r w:rsidR="00AA7E95" w:rsidRPr="002441E2">
              <w:rPr>
                <w:rStyle w:val="Hyperlink"/>
                <w:color w:val="auto"/>
              </w:rPr>
              <w:t>18</w:t>
            </w:r>
          </w:p>
        </w:tc>
        <w:tc>
          <w:tcPr>
            <w:tcW w:w="2835" w:type="dxa"/>
            <w:tcBorders>
              <w:top w:val="nil"/>
              <w:left w:val="single" w:sz="8" w:space="0" w:color="auto"/>
              <w:bottom w:val="single" w:sz="8" w:space="0" w:color="auto"/>
              <w:right w:val="single" w:sz="8" w:space="0" w:color="auto"/>
            </w:tcBorders>
            <w:vAlign w:val="center"/>
          </w:tcPr>
          <w:p w14:paraId="3FEB4948" w14:textId="77777777" w:rsidR="00A75E58" w:rsidRPr="00A75E58" w:rsidRDefault="00974AD1" w:rsidP="00A75E58">
            <w:pPr>
              <w:jc w:val="center"/>
              <w:rPr>
                <w:lang w:val="en-GB"/>
              </w:rPr>
            </w:pPr>
            <w:r>
              <w:rPr>
                <w:lang w:val="en-GB"/>
              </w:rPr>
              <w:t>6269</w:t>
            </w:r>
          </w:p>
        </w:tc>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673343" w14:textId="77777777" w:rsidR="00A75E58" w:rsidRPr="00A75E58" w:rsidRDefault="00A75E58" w:rsidP="00A75E58">
            <w:pPr>
              <w:jc w:val="center"/>
              <w:rPr>
                <w:lang w:val="en-GB"/>
              </w:rPr>
            </w:pPr>
            <w:r w:rsidRPr="00A75E58">
              <w:rPr>
                <w:lang w:val="en-GB"/>
              </w:rPr>
              <w:t>6474</w:t>
            </w:r>
          </w:p>
        </w:tc>
        <w:tc>
          <w:tcPr>
            <w:tcW w:w="1559" w:type="dxa"/>
            <w:tcBorders>
              <w:top w:val="nil"/>
              <w:left w:val="single" w:sz="8" w:space="0" w:color="auto"/>
              <w:bottom w:val="single" w:sz="8" w:space="0" w:color="auto"/>
              <w:right w:val="single" w:sz="8" w:space="0" w:color="auto"/>
            </w:tcBorders>
            <w:vAlign w:val="center"/>
          </w:tcPr>
          <w:p w14:paraId="52265E97" w14:textId="77777777" w:rsidR="00A75E58" w:rsidRPr="00A75E58" w:rsidRDefault="000B4614" w:rsidP="00A75E58">
            <w:pPr>
              <w:jc w:val="center"/>
              <w:rPr>
                <w:lang w:val="en-GB"/>
              </w:rPr>
            </w:pPr>
            <w:r>
              <w:rPr>
                <w:lang w:val="en-GB"/>
              </w:rPr>
              <w:t>3</w:t>
            </w:r>
            <w:r w:rsidR="00A75E58">
              <w:rPr>
                <w:lang w:val="en-GB"/>
              </w:rPr>
              <w:t>%</w:t>
            </w:r>
          </w:p>
        </w:tc>
      </w:tr>
      <w:tr w:rsidR="00A75E58" w:rsidRPr="00A75E58" w14:paraId="24E0AF1A" w14:textId="77777777" w:rsidTr="00F5446B">
        <w:trPr>
          <w:trHeight w:val="300"/>
        </w:trPr>
        <w:tc>
          <w:tcPr>
            <w:tcW w:w="2400" w:type="dxa"/>
            <w:tcBorders>
              <w:top w:val="nil"/>
              <w:left w:val="single" w:sz="8" w:space="0" w:color="auto"/>
              <w:bottom w:val="single" w:sz="8" w:space="0" w:color="auto"/>
              <w:right w:val="single" w:sz="8" w:space="0" w:color="auto"/>
            </w:tcBorders>
            <w:vAlign w:val="center"/>
          </w:tcPr>
          <w:p w14:paraId="323C2C5C" w14:textId="77777777" w:rsidR="00A75E58" w:rsidRPr="00A75E58" w:rsidRDefault="00A75E58" w:rsidP="00A75E58">
            <w:pPr>
              <w:ind w:firstLine="122"/>
              <w:rPr>
                <w:lang w:val="en-GB"/>
              </w:rPr>
            </w:pPr>
            <w:r w:rsidRPr="00A75E58">
              <w:rPr>
                <w:lang w:val="en-GB"/>
              </w:rPr>
              <w:t>Cancer chemotherapy</w:t>
            </w:r>
          </w:p>
        </w:tc>
        <w:tc>
          <w:tcPr>
            <w:tcW w:w="2410" w:type="dxa"/>
            <w:tcBorders>
              <w:top w:val="nil"/>
              <w:left w:val="single" w:sz="8" w:space="0" w:color="auto"/>
              <w:bottom w:val="single" w:sz="8" w:space="0" w:color="auto"/>
              <w:right w:val="single" w:sz="8" w:space="0" w:color="auto"/>
            </w:tcBorders>
            <w:vAlign w:val="center"/>
          </w:tcPr>
          <w:p w14:paraId="497EA16F" w14:textId="77777777" w:rsidR="00A75E58" w:rsidRPr="002441E2" w:rsidRDefault="00C459B4" w:rsidP="00A75E58">
            <w:pPr>
              <w:jc w:val="center"/>
              <w:rPr>
                <w:lang w:val="en-GB"/>
              </w:rPr>
            </w:pPr>
            <w:hyperlink r:id="rId19" w:history="1">
              <w:r w:rsidR="00A75E58" w:rsidRPr="002441E2">
                <w:rPr>
                  <w:rStyle w:val="Hyperlink"/>
                  <w:color w:val="auto"/>
                  <w:lang w:val="en-GB"/>
                </w:rPr>
                <w:t>NCRAS/SACT data 2017</w:t>
              </w:r>
            </w:hyperlink>
            <w:r w:rsidR="00AA7E95" w:rsidRPr="002441E2">
              <w:rPr>
                <w:rStyle w:val="Hyperlink"/>
                <w:color w:val="auto"/>
              </w:rPr>
              <w:t>-18</w:t>
            </w:r>
          </w:p>
        </w:tc>
        <w:tc>
          <w:tcPr>
            <w:tcW w:w="2835" w:type="dxa"/>
            <w:tcBorders>
              <w:top w:val="nil"/>
              <w:left w:val="single" w:sz="8" w:space="0" w:color="auto"/>
              <w:bottom w:val="single" w:sz="8" w:space="0" w:color="auto"/>
              <w:right w:val="single" w:sz="8" w:space="0" w:color="auto"/>
            </w:tcBorders>
            <w:vAlign w:val="center"/>
          </w:tcPr>
          <w:p w14:paraId="1A03FB44" w14:textId="77777777" w:rsidR="00A75E58" w:rsidRPr="00A75E58" w:rsidRDefault="00890E56" w:rsidP="00A75E58">
            <w:pPr>
              <w:jc w:val="center"/>
              <w:rPr>
                <w:lang w:val="en-GB"/>
              </w:rPr>
            </w:pPr>
            <w:r>
              <w:t>23,084</w:t>
            </w:r>
          </w:p>
        </w:tc>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CB0E4F" w14:textId="77777777" w:rsidR="00A75E58" w:rsidRPr="00A75E58" w:rsidRDefault="00A75E58" w:rsidP="00A75E58">
            <w:pPr>
              <w:jc w:val="center"/>
              <w:rPr>
                <w:lang w:val="en-GB"/>
              </w:rPr>
            </w:pPr>
            <w:r w:rsidRPr="00A75E58">
              <w:rPr>
                <w:lang w:val="en-GB"/>
              </w:rPr>
              <w:t>21751</w:t>
            </w:r>
          </w:p>
        </w:tc>
        <w:tc>
          <w:tcPr>
            <w:tcW w:w="1559" w:type="dxa"/>
            <w:tcBorders>
              <w:top w:val="nil"/>
              <w:left w:val="single" w:sz="8" w:space="0" w:color="auto"/>
              <w:bottom w:val="single" w:sz="8" w:space="0" w:color="auto"/>
              <w:right w:val="single" w:sz="8" w:space="0" w:color="auto"/>
            </w:tcBorders>
            <w:vAlign w:val="center"/>
          </w:tcPr>
          <w:p w14:paraId="79F0C5C9" w14:textId="77777777" w:rsidR="00A75E58" w:rsidRPr="00A75E58" w:rsidRDefault="000B4614" w:rsidP="00A75E58">
            <w:pPr>
              <w:jc w:val="center"/>
              <w:rPr>
                <w:lang w:val="en-GB"/>
              </w:rPr>
            </w:pPr>
            <w:r>
              <w:rPr>
                <w:lang w:val="en-GB"/>
              </w:rPr>
              <w:t>6</w:t>
            </w:r>
            <w:r w:rsidR="00A75E58">
              <w:rPr>
                <w:lang w:val="en-GB"/>
              </w:rPr>
              <w:t>%</w:t>
            </w:r>
          </w:p>
        </w:tc>
      </w:tr>
    </w:tbl>
    <w:p w14:paraId="51BF81AC" w14:textId="1BFE7A64" w:rsidR="00F5446B" w:rsidRDefault="00C61AB3" w:rsidP="00876E85">
      <w:r>
        <w:fldChar w:fldCharType="begin"/>
      </w:r>
      <w:r>
        <w:instrText xml:space="preserve"> REF _Ref28685769 \h </w:instrText>
      </w:r>
      <w:r>
        <w:fldChar w:fldCharType="separate"/>
      </w:r>
      <w:r w:rsidR="00A75E58">
        <w:t xml:space="preserve">Table </w:t>
      </w:r>
      <w:r w:rsidR="00A75E58">
        <w:rPr>
          <w:noProof/>
        </w:rPr>
        <w:t>2</w:t>
      </w:r>
      <w:r>
        <w:fldChar w:fldCharType="end"/>
      </w:r>
      <w:r>
        <w:t xml:space="preserve"> shows the d</w:t>
      </w:r>
      <w:r w:rsidRPr="00C61AB3">
        <w:t>istribution of frailty risk by HFRS</w:t>
      </w:r>
      <w:r>
        <w:t>; very few individuals (&lt;2%) could not be risk stratified for frailty</w:t>
      </w:r>
      <w:r w:rsidR="00E9120C">
        <w:t xml:space="preserve"> risk</w:t>
      </w:r>
      <w:r w:rsidR="0088009B">
        <w:t>,</w:t>
      </w:r>
      <w:r>
        <w:t xml:space="preserve"> as they had no hospital episode </w:t>
      </w:r>
      <w:r w:rsidR="00B57D78">
        <w:t xml:space="preserve">(and therefore SUS records) </w:t>
      </w:r>
      <w:r>
        <w:t>in the previous two years.</w:t>
      </w:r>
      <w:r w:rsidR="00AC01DE">
        <w:t xml:space="preserve"> </w:t>
      </w:r>
      <w:bookmarkStart w:id="3" w:name="_Ref28685769"/>
      <w:r w:rsidR="00876E85">
        <w:t xml:space="preserve">Frailty was differentially distributed across the specialties, but for the most part, at least mild frailty was present in the most people aged 75. Around one-third had mild </w:t>
      </w:r>
      <w:r w:rsidR="004B47D3">
        <w:t>frailty;</w:t>
      </w:r>
      <w:r w:rsidR="00876E85">
        <w:t xml:space="preserve"> another third had moderate frailty and </w:t>
      </w:r>
      <w:r w:rsidR="004B47D3">
        <w:t>one-quarter</w:t>
      </w:r>
      <w:r w:rsidR="00876E85">
        <w:t xml:space="preserve"> severe frailty.</w:t>
      </w:r>
    </w:p>
    <w:p w14:paraId="3ADE7DB3" w14:textId="77777777" w:rsidR="00C61AB3" w:rsidRDefault="00C61AB3" w:rsidP="000B44F3">
      <w:pPr>
        <w:pStyle w:val="Caption"/>
      </w:pPr>
      <w:r>
        <w:t xml:space="preserve">Table </w:t>
      </w:r>
      <w:r w:rsidR="00B835CD">
        <w:rPr>
          <w:noProof/>
        </w:rPr>
        <w:fldChar w:fldCharType="begin"/>
      </w:r>
      <w:r w:rsidR="00B835CD">
        <w:rPr>
          <w:noProof/>
        </w:rPr>
        <w:instrText xml:space="preserve"> SEQ Table \* ARABIC </w:instrText>
      </w:r>
      <w:r w:rsidR="00B835CD">
        <w:rPr>
          <w:noProof/>
        </w:rPr>
        <w:fldChar w:fldCharType="separate"/>
      </w:r>
      <w:r w:rsidR="000402F0">
        <w:rPr>
          <w:noProof/>
        </w:rPr>
        <w:t>2</w:t>
      </w:r>
      <w:r w:rsidR="00B835CD">
        <w:rPr>
          <w:noProof/>
        </w:rPr>
        <w:fldChar w:fldCharType="end"/>
      </w:r>
      <w:bookmarkEnd w:id="3"/>
      <w:r>
        <w:t xml:space="preserve"> </w:t>
      </w:r>
      <w:r w:rsidRPr="00C61AB3">
        <w:t>Distribution of frailty risk by HFRS</w:t>
      </w:r>
    </w:p>
    <w:tbl>
      <w:tblPr>
        <w:tblStyle w:val="TableGrid"/>
        <w:tblW w:w="14887" w:type="dxa"/>
        <w:tblLook w:val="04A0" w:firstRow="1" w:lastRow="0" w:firstColumn="1" w:lastColumn="0" w:noHBand="0" w:noVBand="1"/>
      </w:tblPr>
      <w:tblGrid>
        <w:gridCol w:w="2768"/>
        <w:gridCol w:w="1701"/>
        <w:gridCol w:w="1659"/>
        <w:gridCol w:w="1549"/>
        <w:gridCol w:w="1545"/>
        <w:gridCol w:w="1405"/>
        <w:gridCol w:w="1417"/>
        <w:gridCol w:w="1418"/>
        <w:gridCol w:w="1417"/>
        <w:gridCol w:w="8"/>
      </w:tblGrid>
      <w:tr w:rsidR="005F70F7" w:rsidRPr="007343C1" w14:paraId="3F105F7B" w14:textId="77777777" w:rsidTr="002441E2">
        <w:trPr>
          <w:gridAfter w:val="1"/>
          <w:wAfter w:w="8" w:type="dxa"/>
          <w:trHeight w:val="300"/>
        </w:trPr>
        <w:tc>
          <w:tcPr>
            <w:tcW w:w="2768" w:type="dxa"/>
            <w:noWrap/>
            <w:vAlign w:val="center"/>
            <w:hideMark/>
          </w:tcPr>
          <w:p w14:paraId="04890A2E" w14:textId="77777777" w:rsidR="005F70F7" w:rsidRPr="00C61AB3" w:rsidRDefault="005F70F7" w:rsidP="000B44F3"/>
        </w:tc>
        <w:tc>
          <w:tcPr>
            <w:tcW w:w="1701" w:type="dxa"/>
            <w:noWrap/>
            <w:vAlign w:val="center"/>
            <w:hideMark/>
          </w:tcPr>
          <w:p w14:paraId="18584B7F" w14:textId="77777777" w:rsidR="005F70F7" w:rsidRPr="00C61AB3" w:rsidRDefault="005F70F7" w:rsidP="0088009B">
            <w:pPr>
              <w:jc w:val="center"/>
            </w:pPr>
            <w:r w:rsidRPr="00C61AB3">
              <w:t>Adult Critical Care</w:t>
            </w:r>
          </w:p>
        </w:tc>
        <w:tc>
          <w:tcPr>
            <w:tcW w:w="1659" w:type="dxa"/>
            <w:noWrap/>
            <w:vAlign w:val="center"/>
            <w:hideMark/>
          </w:tcPr>
          <w:p w14:paraId="0E55173D" w14:textId="77777777" w:rsidR="005F70F7" w:rsidRPr="00C61AB3" w:rsidRDefault="005F70F7" w:rsidP="0088009B">
            <w:pPr>
              <w:jc w:val="center"/>
            </w:pPr>
            <w:r w:rsidRPr="00C61AB3">
              <w:t>Chemotherapy</w:t>
            </w:r>
          </w:p>
        </w:tc>
        <w:tc>
          <w:tcPr>
            <w:tcW w:w="1549" w:type="dxa"/>
            <w:noWrap/>
            <w:vAlign w:val="center"/>
            <w:hideMark/>
          </w:tcPr>
          <w:p w14:paraId="7169394D" w14:textId="77777777" w:rsidR="005F70F7" w:rsidRPr="00C61AB3" w:rsidRDefault="005F70F7" w:rsidP="0088009B">
            <w:pPr>
              <w:jc w:val="center"/>
            </w:pPr>
            <w:r w:rsidRPr="00C61AB3">
              <w:t>Neurosurgery</w:t>
            </w:r>
          </w:p>
        </w:tc>
        <w:tc>
          <w:tcPr>
            <w:tcW w:w="1545" w:type="dxa"/>
            <w:noWrap/>
            <w:vAlign w:val="center"/>
            <w:hideMark/>
          </w:tcPr>
          <w:p w14:paraId="6CC83D60" w14:textId="77777777" w:rsidR="005F70F7" w:rsidRPr="00C61AB3" w:rsidRDefault="005F70F7" w:rsidP="0088009B">
            <w:pPr>
              <w:jc w:val="center"/>
            </w:pPr>
            <w:r w:rsidRPr="00C61AB3">
              <w:t>Renal</w:t>
            </w:r>
          </w:p>
        </w:tc>
        <w:tc>
          <w:tcPr>
            <w:tcW w:w="1405" w:type="dxa"/>
            <w:noWrap/>
            <w:vAlign w:val="center"/>
            <w:hideMark/>
          </w:tcPr>
          <w:p w14:paraId="58E77632" w14:textId="77777777" w:rsidR="005F70F7" w:rsidRPr="00C61AB3" w:rsidRDefault="005F70F7" w:rsidP="0088009B">
            <w:pPr>
              <w:jc w:val="center"/>
            </w:pPr>
            <w:r w:rsidRPr="00C61AB3">
              <w:t>Spinal Deformity Surgery</w:t>
            </w:r>
          </w:p>
        </w:tc>
        <w:tc>
          <w:tcPr>
            <w:tcW w:w="1417" w:type="dxa"/>
            <w:noWrap/>
            <w:vAlign w:val="center"/>
            <w:hideMark/>
          </w:tcPr>
          <w:p w14:paraId="42AE52C7" w14:textId="77777777" w:rsidR="005F70F7" w:rsidRPr="00C61AB3" w:rsidRDefault="005F70F7" w:rsidP="0088009B">
            <w:pPr>
              <w:jc w:val="center"/>
            </w:pPr>
            <w:r w:rsidRPr="00C61AB3">
              <w:t>Spinal Fracture Surgery</w:t>
            </w:r>
          </w:p>
        </w:tc>
        <w:tc>
          <w:tcPr>
            <w:tcW w:w="1418" w:type="dxa"/>
            <w:noWrap/>
            <w:vAlign w:val="center"/>
            <w:hideMark/>
          </w:tcPr>
          <w:p w14:paraId="34AA6460" w14:textId="77777777" w:rsidR="005F70F7" w:rsidRPr="00C61AB3" w:rsidRDefault="005F70F7" w:rsidP="0088009B">
            <w:pPr>
              <w:jc w:val="center"/>
            </w:pPr>
            <w:r w:rsidRPr="00C61AB3">
              <w:t>Elective TAVI</w:t>
            </w:r>
          </w:p>
        </w:tc>
        <w:tc>
          <w:tcPr>
            <w:tcW w:w="1417" w:type="dxa"/>
            <w:noWrap/>
            <w:vAlign w:val="center"/>
            <w:hideMark/>
          </w:tcPr>
          <w:p w14:paraId="07D986AD" w14:textId="77777777" w:rsidR="005F70F7" w:rsidRPr="00C61AB3" w:rsidRDefault="005F70F7" w:rsidP="0088009B">
            <w:pPr>
              <w:jc w:val="center"/>
            </w:pPr>
            <w:r w:rsidRPr="00C61AB3">
              <w:t>Emergency TAVI</w:t>
            </w:r>
          </w:p>
        </w:tc>
      </w:tr>
      <w:tr w:rsidR="005F70F7" w:rsidRPr="007343C1" w14:paraId="32022C35" w14:textId="77777777" w:rsidTr="002441E2">
        <w:trPr>
          <w:gridAfter w:val="1"/>
          <w:wAfter w:w="8" w:type="dxa"/>
          <w:trHeight w:val="300"/>
        </w:trPr>
        <w:tc>
          <w:tcPr>
            <w:tcW w:w="2768" w:type="dxa"/>
            <w:noWrap/>
            <w:vAlign w:val="center"/>
            <w:hideMark/>
          </w:tcPr>
          <w:p w14:paraId="722BDA35" w14:textId="77777777" w:rsidR="005F70F7" w:rsidRPr="007343C1" w:rsidRDefault="005F70F7" w:rsidP="000B44F3">
            <w:r w:rsidRPr="007343C1">
              <w:t>Number of people aged 75+</w:t>
            </w:r>
            <w:r w:rsidR="00C414F4">
              <w:t xml:space="preserve"> accessing the specialty</w:t>
            </w:r>
          </w:p>
        </w:tc>
        <w:tc>
          <w:tcPr>
            <w:tcW w:w="1701" w:type="dxa"/>
            <w:noWrap/>
            <w:vAlign w:val="center"/>
            <w:hideMark/>
          </w:tcPr>
          <w:p w14:paraId="175F0C02" w14:textId="77777777" w:rsidR="005F70F7" w:rsidRPr="007343C1" w:rsidRDefault="00C414F4" w:rsidP="0088009B">
            <w:pPr>
              <w:jc w:val="center"/>
            </w:pPr>
            <w:r>
              <w:t>56039</w:t>
            </w:r>
          </w:p>
        </w:tc>
        <w:tc>
          <w:tcPr>
            <w:tcW w:w="1659" w:type="dxa"/>
            <w:noWrap/>
            <w:vAlign w:val="center"/>
            <w:hideMark/>
          </w:tcPr>
          <w:p w14:paraId="345C59CE" w14:textId="77777777" w:rsidR="005F70F7" w:rsidRPr="007343C1" w:rsidRDefault="00C414F4" w:rsidP="0088009B">
            <w:pPr>
              <w:jc w:val="center"/>
            </w:pPr>
            <w:r>
              <w:t>21751</w:t>
            </w:r>
          </w:p>
        </w:tc>
        <w:tc>
          <w:tcPr>
            <w:tcW w:w="1549" w:type="dxa"/>
            <w:noWrap/>
            <w:vAlign w:val="center"/>
            <w:hideMark/>
          </w:tcPr>
          <w:p w14:paraId="55EE0CB3" w14:textId="77777777" w:rsidR="005F70F7" w:rsidRPr="007343C1" w:rsidRDefault="00C414F4" w:rsidP="0088009B">
            <w:pPr>
              <w:jc w:val="center"/>
            </w:pPr>
            <w:r>
              <w:t>1460</w:t>
            </w:r>
          </w:p>
        </w:tc>
        <w:tc>
          <w:tcPr>
            <w:tcW w:w="1545" w:type="dxa"/>
            <w:noWrap/>
            <w:vAlign w:val="center"/>
            <w:hideMark/>
          </w:tcPr>
          <w:p w14:paraId="286A1934" w14:textId="77777777" w:rsidR="005F70F7" w:rsidRPr="007343C1" w:rsidRDefault="00C414F4" w:rsidP="0088009B">
            <w:pPr>
              <w:jc w:val="center"/>
            </w:pPr>
            <w:r>
              <w:t>6474</w:t>
            </w:r>
          </w:p>
        </w:tc>
        <w:tc>
          <w:tcPr>
            <w:tcW w:w="1405" w:type="dxa"/>
            <w:noWrap/>
            <w:vAlign w:val="center"/>
            <w:hideMark/>
          </w:tcPr>
          <w:p w14:paraId="0955A222" w14:textId="77777777" w:rsidR="005F70F7" w:rsidRPr="007343C1" w:rsidRDefault="00C414F4" w:rsidP="0088009B">
            <w:pPr>
              <w:jc w:val="center"/>
            </w:pPr>
            <w:r>
              <w:t>92</w:t>
            </w:r>
          </w:p>
        </w:tc>
        <w:tc>
          <w:tcPr>
            <w:tcW w:w="1417" w:type="dxa"/>
            <w:noWrap/>
            <w:vAlign w:val="center"/>
            <w:hideMark/>
          </w:tcPr>
          <w:p w14:paraId="35399558" w14:textId="77777777" w:rsidR="005F70F7" w:rsidRPr="007343C1" w:rsidRDefault="00C414F4" w:rsidP="0088009B">
            <w:pPr>
              <w:jc w:val="center"/>
            </w:pPr>
            <w:r>
              <w:t>1460</w:t>
            </w:r>
          </w:p>
        </w:tc>
        <w:tc>
          <w:tcPr>
            <w:tcW w:w="1418" w:type="dxa"/>
            <w:noWrap/>
            <w:vAlign w:val="center"/>
            <w:hideMark/>
          </w:tcPr>
          <w:p w14:paraId="7D232423" w14:textId="77777777" w:rsidR="005F70F7" w:rsidRPr="007343C1" w:rsidRDefault="00C414F4" w:rsidP="0088009B">
            <w:pPr>
              <w:jc w:val="center"/>
            </w:pPr>
            <w:r>
              <w:t>2157</w:t>
            </w:r>
          </w:p>
        </w:tc>
        <w:tc>
          <w:tcPr>
            <w:tcW w:w="1417" w:type="dxa"/>
            <w:noWrap/>
            <w:vAlign w:val="center"/>
            <w:hideMark/>
          </w:tcPr>
          <w:p w14:paraId="482E4462" w14:textId="77777777" w:rsidR="005F70F7" w:rsidRPr="007343C1" w:rsidRDefault="00C414F4" w:rsidP="0088009B">
            <w:pPr>
              <w:jc w:val="center"/>
            </w:pPr>
            <w:r>
              <w:t>565</w:t>
            </w:r>
          </w:p>
        </w:tc>
      </w:tr>
      <w:tr w:rsidR="00C414F4" w:rsidRPr="007343C1" w14:paraId="09D6C9C6" w14:textId="77777777" w:rsidTr="002441E2">
        <w:trPr>
          <w:gridAfter w:val="1"/>
          <w:wAfter w:w="8" w:type="dxa"/>
          <w:trHeight w:val="300"/>
        </w:trPr>
        <w:tc>
          <w:tcPr>
            <w:tcW w:w="2768" w:type="dxa"/>
            <w:noWrap/>
            <w:vAlign w:val="center"/>
            <w:hideMark/>
          </w:tcPr>
          <w:p w14:paraId="1866C778" w14:textId="77777777" w:rsidR="00C414F4" w:rsidRPr="007343C1" w:rsidRDefault="00C414F4" w:rsidP="000B44F3">
            <w:r>
              <w:t>Unable to calculate HFRS - no SUS data on previous two years</w:t>
            </w:r>
          </w:p>
        </w:tc>
        <w:tc>
          <w:tcPr>
            <w:tcW w:w="1701" w:type="dxa"/>
            <w:noWrap/>
            <w:vAlign w:val="center"/>
            <w:hideMark/>
          </w:tcPr>
          <w:p w14:paraId="39FF14BF" w14:textId="77777777" w:rsidR="00C414F4" w:rsidRPr="007343C1" w:rsidRDefault="00C414F4" w:rsidP="0088009B">
            <w:pPr>
              <w:jc w:val="center"/>
            </w:pPr>
            <w:r w:rsidRPr="007343C1">
              <w:t>1121 (2%)</w:t>
            </w:r>
          </w:p>
        </w:tc>
        <w:tc>
          <w:tcPr>
            <w:tcW w:w="1659" w:type="dxa"/>
            <w:noWrap/>
            <w:vAlign w:val="center"/>
            <w:hideMark/>
          </w:tcPr>
          <w:p w14:paraId="09CBA82D" w14:textId="77777777" w:rsidR="00C414F4" w:rsidRPr="007343C1" w:rsidRDefault="00C414F4" w:rsidP="0088009B">
            <w:pPr>
              <w:jc w:val="center"/>
            </w:pPr>
            <w:r>
              <w:t>0 (0%)</w:t>
            </w:r>
          </w:p>
        </w:tc>
        <w:tc>
          <w:tcPr>
            <w:tcW w:w="1549" w:type="dxa"/>
            <w:noWrap/>
            <w:vAlign w:val="center"/>
            <w:hideMark/>
          </w:tcPr>
          <w:p w14:paraId="64FF7015" w14:textId="77777777" w:rsidR="00C414F4" w:rsidRPr="007343C1" w:rsidRDefault="00C414F4" w:rsidP="0088009B">
            <w:pPr>
              <w:jc w:val="center"/>
            </w:pPr>
            <w:r>
              <w:t>0 (0%)</w:t>
            </w:r>
          </w:p>
        </w:tc>
        <w:tc>
          <w:tcPr>
            <w:tcW w:w="1545" w:type="dxa"/>
            <w:noWrap/>
            <w:vAlign w:val="center"/>
            <w:hideMark/>
          </w:tcPr>
          <w:p w14:paraId="367BB623" w14:textId="77777777" w:rsidR="00C414F4" w:rsidRPr="007343C1" w:rsidRDefault="00C414F4" w:rsidP="0088009B">
            <w:pPr>
              <w:jc w:val="center"/>
            </w:pPr>
            <w:r>
              <w:t>0 (0%)</w:t>
            </w:r>
          </w:p>
        </w:tc>
        <w:tc>
          <w:tcPr>
            <w:tcW w:w="1405" w:type="dxa"/>
            <w:noWrap/>
            <w:vAlign w:val="center"/>
            <w:hideMark/>
          </w:tcPr>
          <w:p w14:paraId="430734C1" w14:textId="77777777" w:rsidR="00C414F4" w:rsidRPr="007343C1" w:rsidRDefault="00C414F4" w:rsidP="0088009B">
            <w:pPr>
              <w:jc w:val="center"/>
            </w:pPr>
            <w:r>
              <w:t>1 (1%)</w:t>
            </w:r>
          </w:p>
        </w:tc>
        <w:tc>
          <w:tcPr>
            <w:tcW w:w="1417" w:type="dxa"/>
            <w:noWrap/>
            <w:vAlign w:val="center"/>
            <w:hideMark/>
          </w:tcPr>
          <w:p w14:paraId="067FBA5E" w14:textId="77777777" w:rsidR="00C414F4" w:rsidRPr="007343C1" w:rsidRDefault="00C414F4" w:rsidP="0088009B">
            <w:pPr>
              <w:jc w:val="center"/>
            </w:pPr>
            <w:r>
              <w:t>18 (1%)</w:t>
            </w:r>
          </w:p>
        </w:tc>
        <w:tc>
          <w:tcPr>
            <w:tcW w:w="1418" w:type="dxa"/>
            <w:noWrap/>
            <w:vAlign w:val="center"/>
            <w:hideMark/>
          </w:tcPr>
          <w:p w14:paraId="6D1D4AFD" w14:textId="77777777" w:rsidR="00C414F4" w:rsidRPr="007343C1" w:rsidRDefault="00C414F4" w:rsidP="0088009B">
            <w:pPr>
              <w:jc w:val="center"/>
            </w:pPr>
            <w:r>
              <w:t>11 (1%)</w:t>
            </w:r>
          </w:p>
        </w:tc>
        <w:tc>
          <w:tcPr>
            <w:tcW w:w="1417" w:type="dxa"/>
            <w:noWrap/>
            <w:vAlign w:val="center"/>
            <w:hideMark/>
          </w:tcPr>
          <w:p w14:paraId="17D2B783" w14:textId="77777777" w:rsidR="00C414F4" w:rsidRPr="007343C1" w:rsidRDefault="00C414F4" w:rsidP="0088009B">
            <w:pPr>
              <w:jc w:val="center"/>
            </w:pPr>
            <w:r>
              <w:t>5 (1%)</w:t>
            </w:r>
          </w:p>
        </w:tc>
      </w:tr>
      <w:tr w:rsidR="00C61AB3" w:rsidRPr="007343C1" w14:paraId="09AEB869" w14:textId="77777777" w:rsidTr="002441E2">
        <w:trPr>
          <w:trHeight w:val="300"/>
        </w:trPr>
        <w:tc>
          <w:tcPr>
            <w:tcW w:w="14887" w:type="dxa"/>
            <w:gridSpan w:val="10"/>
            <w:noWrap/>
            <w:vAlign w:val="center"/>
            <w:hideMark/>
          </w:tcPr>
          <w:p w14:paraId="100778B7" w14:textId="77777777" w:rsidR="00C61AB3" w:rsidRPr="007343C1" w:rsidRDefault="00C61AB3" w:rsidP="000B44F3">
            <w:r w:rsidRPr="007343C1">
              <w:t>Total at risk of frailty by HFRS</w:t>
            </w:r>
          </w:p>
        </w:tc>
      </w:tr>
      <w:tr w:rsidR="005F70F7" w:rsidRPr="007343C1" w14:paraId="7596635C" w14:textId="77777777" w:rsidTr="002441E2">
        <w:trPr>
          <w:gridAfter w:val="1"/>
          <w:wAfter w:w="8" w:type="dxa"/>
          <w:trHeight w:val="300"/>
        </w:trPr>
        <w:tc>
          <w:tcPr>
            <w:tcW w:w="2768" w:type="dxa"/>
            <w:noWrap/>
            <w:vAlign w:val="center"/>
            <w:hideMark/>
          </w:tcPr>
          <w:p w14:paraId="0EE542E7" w14:textId="77777777" w:rsidR="005F70F7" w:rsidRPr="007343C1" w:rsidRDefault="005F70F7" w:rsidP="000B44F3">
            <w:r w:rsidRPr="007343C1">
              <w:t>Not frail</w:t>
            </w:r>
          </w:p>
        </w:tc>
        <w:tc>
          <w:tcPr>
            <w:tcW w:w="1701" w:type="dxa"/>
            <w:noWrap/>
            <w:vAlign w:val="center"/>
            <w:hideMark/>
          </w:tcPr>
          <w:p w14:paraId="0C445896" w14:textId="77777777" w:rsidR="005F70F7" w:rsidRPr="007343C1" w:rsidRDefault="005F70F7" w:rsidP="0088009B">
            <w:pPr>
              <w:jc w:val="center"/>
            </w:pPr>
            <w:r w:rsidRPr="007343C1">
              <w:t>3923 (7</w:t>
            </w:r>
            <w:r w:rsidR="00C61AB3">
              <w:t>.1</w:t>
            </w:r>
            <w:r w:rsidRPr="007343C1">
              <w:t>%)</w:t>
            </w:r>
          </w:p>
        </w:tc>
        <w:tc>
          <w:tcPr>
            <w:tcW w:w="1659" w:type="dxa"/>
            <w:noWrap/>
            <w:vAlign w:val="center"/>
            <w:hideMark/>
          </w:tcPr>
          <w:p w14:paraId="35071C9A" w14:textId="77777777" w:rsidR="005F70F7" w:rsidRPr="007343C1" w:rsidRDefault="005F70F7" w:rsidP="0088009B">
            <w:pPr>
              <w:jc w:val="center"/>
            </w:pPr>
            <w:r w:rsidRPr="007343C1">
              <w:t>6090 (28</w:t>
            </w:r>
            <w:r w:rsidR="00C61AB3">
              <w:t>.0</w:t>
            </w:r>
            <w:r w:rsidRPr="007343C1">
              <w:t>%)</w:t>
            </w:r>
          </w:p>
        </w:tc>
        <w:tc>
          <w:tcPr>
            <w:tcW w:w="1549" w:type="dxa"/>
            <w:noWrap/>
            <w:vAlign w:val="center"/>
            <w:hideMark/>
          </w:tcPr>
          <w:p w14:paraId="6CE11CEE" w14:textId="77777777" w:rsidR="005F70F7" w:rsidRPr="007343C1" w:rsidRDefault="005F70F7" w:rsidP="0088009B">
            <w:pPr>
              <w:jc w:val="center"/>
            </w:pPr>
            <w:r w:rsidRPr="007343C1">
              <w:t>0 (0%)</w:t>
            </w:r>
          </w:p>
        </w:tc>
        <w:tc>
          <w:tcPr>
            <w:tcW w:w="1545" w:type="dxa"/>
            <w:noWrap/>
            <w:vAlign w:val="center"/>
            <w:hideMark/>
          </w:tcPr>
          <w:p w14:paraId="131FC043" w14:textId="77777777" w:rsidR="005F70F7" w:rsidRPr="007343C1" w:rsidRDefault="005F70F7" w:rsidP="0088009B">
            <w:pPr>
              <w:jc w:val="center"/>
            </w:pPr>
            <w:r w:rsidRPr="007343C1">
              <w:t>0 (0%)</w:t>
            </w:r>
          </w:p>
        </w:tc>
        <w:tc>
          <w:tcPr>
            <w:tcW w:w="1405" w:type="dxa"/>
            <w:noWrap/>
            <w:vAlign w:val="center"/>
            <w:hideMark/>
          </w:tcPr>
          <w:p w14:paraId="441F9019" w14:textId="77777777" w:rsidR="005F70F7" w:rsidRPr="007343C1" w:rsidRDefault="005F70F7" w:rsidP="0088009B">
            <w:pPr>
              <w:jc w:val="center"/>
            </w:pPr>
            <w:r w:rsidRPr="007343C1">
              <w:t>4 (4.3%)</w:t>
            </w:r>
          </w:p>
        </w:tc>
        <w:tc>
          <w:tcPr>
            <w:tcW w:w="1417" w:type="dxa"/>
            <w:noWrap/>
            <w:vAlign w:val="center"/>
            <w:hideMark/>
          </w:tcPr>
          <w:p w14:paraId="09E7ED0C" w14:textId="77777777" w:rsidR="005F70F7" w:rsidRPr="007343C1" w:rsidRDefault="005F70F7" w:rsidP="0088009B">
            <w:pPr>
              <w:jc w:val="center"/>
            </w:pPr>
            <w:r w:rsidRPr="007343C1">
              <w:t>70 (4.8%)</w:t>
            </w:r>
          </w:p>
        </w:tc>
        <w:tc>
          <w:tcPr>
            <w:tcW w:w="1418" w:type="dxa"/>
            <w:noWrap/>
            <w:vAlign w:val="center"/>
            <w:hideMark/>
          </w:tcPr>
          <w:p w14:paraId="217D904C" w14:textId="77777777" w:rsidR="005F70F7" w:rsidRPr="007343C1" w:rsidRDefault="005F70F7" w:rsidP="0088009B">
            <w:pPr>
              <w:jc w:val="center"/>
            </w:pPr>
            <w:r w:rsidRPr="007343C1">
              <w:t>315 (14.6%)</w:t>
            </w:r>
          </w:p>
        </w:tc>
        <w:tc>
          <w:tcPr>
            <w:tcW w:w="1417" w:type="dxa"/>
            <w:noWrap/>
            <w:vAlign w:val="center"/>
            <w:hideMark/>
          </w:tcPr>
          <w:p w14:paraId="69156A28" w14:textId="77777777" w:rsidR="005F70F7" w:rsidRPr="007343C1" w:rsidRDefault="005F70F7" w:rsidP="0088009B">
            <w:pPr>
              <w:jc w:val="center"/>
            </w:pPr>
            <w:r w:rsidRPr="007343C1">
              <w:t>43 (7.6%)</w:t>
            </w:r>
          </w:p>
        </w:tc>
      </w:tr>
      <w:tr w:rsidR="005F70F7" w:rsidRPr="007343C1" w14:paraId="714A0D22" w14:textId="77777777" w:rsidTr="002441E2">
        <w:trPr>
          <w:gridAfter w:val="1"/>
          <w:wAfter w:w="8" w:type="dxa"/>
          <w:trHeight w:val="300"/>
        </w:trPr>
        <w:tc>
          <w:tcPr>
            <w:tcW w:w="2768" w:type="dxa"/>
            <w:noWrap/>
            <w:vAlign w:val="center"/>
            <w:hideMark/>
          </w:tcPr>
          <w:p w14:paraId="256EB0AB" w14:textId="77777777" w:rsidR="005F70F7" w:rsidRPr="007343C1" w:rsidRDefault="005F70F7" w:rsidP="000B44F3">
            <w:r w:rsidRPr="007343C1">
              <w:t>Mild</w:t>
            </w:r>
          </w:p>
        </w:tc>
        <w:tc>
          <w:tcPr>
            <w:tcW w:w="1701" w:type="dxa"/>
            <w:noWrap/>
            <w:vAlign w:val="center"/>
            <w:hideMark/>
          </w:tcPr>
          <w:p w14:paraId="227C477F" w14:textId="77777777" w:rsidR="005F70F7" w:rsidRPr="007343C1" w:rsidRDefault="005F70F7" w:rsidP="0088009B">
            <w:pPr>
              <w:jc w:val="center"/>
            </w:pPr>
            <w:r w:rsidRPr="007343C1">
              <w:t>16251 (29</w:t>
            </w:r>
            <w:r w:rsidR="00C61AB3">
              <w:t>.6</w:t>
            </w:r>
            <w:r w:rsidRPr="007343C1">
              <w:t>%)</w:t>
            </w:r>
          </w:p>
        </w:tc>
        <w:tc>
          <w:tcPr>
            <w:tcW w:w="1659" w:type="dxa"/>
            <w:noWrap/>
            <w:vAlign w:val="center"/>
            <w:hideMark/>
          </w:tcPr>
          <w:p w14:paraId="14CF8F88" w14:textId="77777777" w:rsidR="005F70F7" w:rsidRPr="007343C1" w:rsidRDefault="005F70F7" w:rsidP="0088009B">
            <w:pPr>
              <w:jc w:val="center"/>
            </w:pPr>
            <w:r w:rsidRPr="007343C1">
              <w:t>8265 (38</w:t>
            </w:r>
            <w:r w:rsidR="00C61AB3">
              <w:t>.0</w:t>
            </w:r>
            <w:r w:rsidRPr="007343C1">
              <w:t>%)</w:t>
            </w:r>
          </w:p>
        </w:tc>
        <w:tc>
          <w:tcPr>
            <w:tcW w:w="1549" w:type="dxa"/>
            <w:noWrap/>
            <w:vAlign w:val="center"/>
            <w:hideMark/>
          </w:tcPr>
          <w:p w14:paraId="79C21750" w14:textId="77777777" w:rsidR="005F70F7" w:rsidRPr="007343C1" w:rsidRDefault="005F70F7" w:rsidP="0088009B">
            <w:pPr>
              <w:jc w:val="center"/>
            </w:pPr>
            <w:r w:rsidRPr="007343C1">
              <w:t>146 (10</w:t>
            </w:r>
            <w:r w:rsidR="00C61AB3">
              <w:t>.0</w:t>
            </w:r>
            <w:r w:rsidRPr="007343C1">
              <w:t>%)</w:t>
            </w:r>
          </w:p>
        </w:tc>
        <w:tc>
          <w:tcPr>
            <w:tcW w:w="1545" w:type="dxa"/>
            <w:noWrap/>
            <w:vAlign w:val="center"/>
            <w:hideMark/>
          </w:tcPr>
          <w:p w14:paraId="26056022" w14:textId="77777777" w:rsidR="005F70F7" w:rsidRPr="007343C1" w:rsidRDefault="005F70F7" w:rsidP="0088009B">
            <w:pPr>
              <w:jc w:val="center"/>
            </w:pPr>
            <w:r w:rsidRPr="007343C1">
              <w:t>1230 (19</w:t>
            </w:r>
            <w:r w:rsidR="00AC01DE">
              <w:t>.0</w:t>
            </w:r>
            <w:r w:rsidRPr="007343C1">
              <w:t>%)</w:t>
            </w:r>
          </w:p>
        </w:tc>
        <w:tc>
          <w:tcPr>
            <w:tcW w:w="1405" w:type="dxa"/>
            <w:noWrap/>
            <w:vAlign w:val="center"/>
            <w:hideMark/>
          </w:tcPr>
          <w:p w14:paraId="3745CCCC" w14:textId="77777777" w:rsidR="005F70F7" w:rsidRPr="007343C1" w:rsidRDefault="005F70F7" w:rsidP="0088009B">
            <w:pPr>
              <w:jc w:val="center"/>
            </w:pPr>
            <w:r w:rsidRPr="007343C1">
              <w:t>54 (58.7%)</w:t>
            </w:r>
          </w:p>
        </w:tc>
        <w:tc>
          <w:tcPr>
            <w:tcW w:w="1417" w:type="dxa"/>
            <w:noWrap/>
            <w:vAlign w:val="center"/>
            <w:hideMark/>
          </w:tcPr>
          <w:p w14:paraId="0BCE7CCA" w14:textId="77777777" w:rsidR="005F70F7" w:rsidRPr="007343C1" w:rsidRDefault="005F70F7" w:rsidP="0088009B">
            <w:pPr>
              <w:jc w:val="center"/>
            </w:pPr>
            <w:r w:rsidRPr="007343C1">
              <w:t>704 (48.2%)</w:t>
            </w:r>
          </w:p>
        </w:tc>
        <w:tc>
          <w:tcPr>
            <w:tcW w:w="1418" w:type="dxa"/>
            <w:noWrap/>
            <w:vAlign w:val="center"/>
            <w:hideMark/>
          </w:tcPr>
          <w:p w14:paraId="0B95FA39" w14:textId="77777777" w:rsidR="005F70F7" w:rsidRPr="007343C1" w:rsidRDefault="005F70F7" w:rsidP="0088009B">
            <w:pPr>
              <w:jc w:val="center"/>
            </w:pPr>
            <w:r w:rsidRPr="007343C1">
              <w:t>835 (38.7%)</w:t>
            </w:r>
          </w:p>
        </w:tc>
        <w:tc>
          <w:tcPr>
            <w:tcW w:w="1417" w:type="dxa"/>
            <w:noWrap/>
            <w:vAlign w:val="center"/>
            <w:hideMark/>
          </w:tcPr>
          <w:p w14:paraId="13AD0FF6" w14:textId="77777777" w:rsidR="005F70F7" w:rsidRPr="007343C1" w:rsidRDefault="005F70F7" w:rsidP="0088009B">
            <w:pPr>
              <w:jc w:val="center"/>
            </w:pPr>
            <w:r w:rsidRPr="007343C1">
              <w:t>160 (28.3%)</w:t>
            </w:r>
          </w:p>
        </w:tc>
      </w:tr>
      <w:tr w:rsidR="005F70F7" w:rsidRPr="007343C1" w14:paraId="69AA2F0A" w14:textId="77777777" w:rsidTr="002441E2">
        <w:trPr>
          <w:gridAfter w:val="1"/>
          <w:wAfter w:w="8" w:type="dxa"/>
          <w:trHeight w:val="300"/>
        </w:trPr>
        <w:tc>
          <w:tcPr>
            <w:tcW w:w="2768" w:type="dxa"/>
            <w:noWrap/>
            <w:vAlign w:val="center"/>
            <w:hideMark/>
          </w:tcPr>
          <w:p w14:paraId="40E6B71B" w14:textId="77777777" w:rsidR="005F70F7" w:rsidRPr="007343C1" w:rsidRDefault="005F70F7" w:rsidP="000B44F3">
            <w:r w:rsidRPr="007343C1">
              <w:t>Moderate</w:t>
            </w:r>
          </w:p>
        </w:tc>
        <w:tc>
          <w:tcPr>
            <w:tcW w:w="1701" w:type="dxa"/>
            <w:noWrap/>
            <w:vAlign w:val="center"/>
            <w:hideMark/>
          </w:tcPr>
          <w:p w14:paraId="6E0B540F" w14:textId="77777777" w:rsidR="005F70F7" w:rsidRPr="007343C1" w:rsidRDefault="005F70F7" w:rsidP="0088009B">
            <w:pPr>
              <w:jc w:val="center"/>
            </w:pPr>
            <w:r w:rsidRPr="007343C1">
              <w:t>21855 (39</w:t>
            </w:r>
            <w:r w:rsidR="00C61AB3">
              <w:t>.8</w:t>
            </w:r>
            <w:r w:rsidRPr="007343C1">
              <w:t>%)</w:t>
            </w:r>
          </w:p>
        </w:tc>
        <w:tc>
          <w:tcPr>
            <w:tcW w:w="1659" w:type="dxa"/>
            <w:noWrap/>
            <w:vAlign w:val="center"/>
            <w:hideMark/>
          </w:tcPr>
          <w:p w14:paraId="43A4A7B4" w14:textId="77777777" w:rsidR="005F70F7" w:rsidRPr="007343C1" w:rsidRDefault="005F70F7" w:rsidP="0088009B">
            <w:pPr>
              <w:jc w:val="center"/>
            </w:pPr>
            <w:r w:rsidRPr="007343C1">
              <w:t>5438 (25</w:t>
            </w:r>
            <w:r w:rsidR="00C61AB3">
              <w:t>.0</w:t>
            </w:r>
            <w:r w:rsidRPr="007343C1">
              <w:t>%)</w:t>
            </w:r>
          </w:p>
        </w:tc>
        <w:tc>
          <w:tcPr>
            <w:tcW w:w="1549" w:type="dxa"/>
            <w:noWrap/>
            <w:vAlign w:val="center"/>
            <w:hideMark/>
          </w:tcPr>
          <w:p w14:paraId="1EC27FBB" w14:textId="77777777" w:rsidR="005F70F7" w:rsidRPr="007343C1" w:rsidRDefault="005F70F7" w:rsidP="0088009B">
            <w:pPr>
              <w:jc w:val="center"/>
            </w:pPr>
            <w:r w:rsidRPr="007343C1">
              <w:t>584 (40</w:t>
            </w:r>
            <w:r w:rsidR="00C61AB3">
              <w:t>.0</w:t>
            </w:r>
            <w:r w:rsidRPr="007343C1">
              <w:t>%)</w:t>
            </w:r>
          </w:p>
        </w:tc>
        <w:tc>
          <w:tcPr>
            <w:tcW w:w="1545" w:type="dxa"/>
            <w:noWrap/>
            <w:vAlign w:val="center"/>
            <w:hideMark/>
          </w:tcPr>
          <w:p w14:paraId="26AAEC85" w14:textId="77777777" w:rsidR="005F70F7" w:rsidRPr="007343C1" w:rsidRDefault="005F70F7" w:rsidP="0088009B">
            <w:pPr>
              <w:jc w:val="center"/>
            </w:pPr>
            <w:r w:rsidRPr="007343C1">
              <w:t>2719 (42</w:t>
            </w:r>
            <w:r w:rsidR="00AC01DE">
              <w:t>.0</w:t>
            </w:r>
            <w:r w:rsidRPr="007343C1">
              <w:t>%)</w:t>
            </w:r>
          </w:p>
        </w:tc>
        <w:tc>
          <w:tcPr>
            <w:tcW w:w="1405" w:type="dxa"/>
            <w:noWrap/>
            <w:vAlign w:val="center"/>
            <w:hideMark/>
          </w:tcPr>
          <w:p w14:paraId="06407E04" w14:textId="77777777" w:rsidR="005F70F7" w:rsidRPr="007343C1" w:rsidRDefault="005F70F7" w:rsidP="0088009B">
            <w:pPr>
              <w:jc w:val="center"/>
            </w:pPr>
            <w:r w:rsidRPr="007343C1">
              <w:t>24 (26.1%)</w:t>
            </w:r>
          </w:p>
        </w:tc>
        <w:tc>
          <w:tcPr>
            <w:tcW w:w="1417" w:type="dxa"/>
            <w:noWrap/>
            <w:vAlign w:val="center"/>
            <w:hideMark/>
          </w:tcPr>
          <w:p w14:paraId="732F0ECE" w14:textId="77777777" w:rsidR="005F70F7" w:rsidRPr="007343C1" w:rsidRDefault="005F70F7" w:rsidP="0088009B">
            <w:pPr>
              <w:jc w:val="center"/>
            </w:pPr>
            <w:r w:rsidRPr="007343C1">
              <w:t>407 (27.9%)</w:t>
            </w:r>
          </w:p>
        </w:tc>
        <w:tc>
          <w:tcPr>
            <w:tcW w:w="1418" w:type="dxa"/>
            <w:noWrap/>
            <w:vAlign w:val="center"/>
            <w:hideMark/>
          </w:tcPr>
          <w:p w14:paraId="6F57ED3E" w14:textId="77777777" w:rsidR="005F70F7" w:rsidRPr="007343C1" w:rsidRDefault="005F70F7" w:rsidP="0088009B">
            <w:pPr>
              <w:jc w:val="center"/>
            </w:pPr>
            <w:r w:rsidRPr="007343C1">
              <w:t>606 (28.1%)</w:t>
            </w:r>
          </w:p>
        </w:tc>
        <w:tc>
          <w:tcPr>
            <w:tcW w:w="1417" w:type="dxa"/>
            <w:noWrap/>
            <w:vAlign w:val="center"/>
            <w:hideMark/>
          </w:tcPr>
          <w:p w14:paraId="1B355FD5" w14:textId="77777777" w:rsidR="005F70F7" w:rsidRPr="007343C1" w:rsidRDefault="005F70F7" w:rsidP="0088009B">
            <w:pPr>
              <w:jc w:val="center"/>
            </w:pPr>
            <w:r w:rsidRPr="007343C1">
              <w:t>206 (36.5%)</w:t>
            </w:r>
          </w:p>
        </w:tc>
      </w:tr>
      <w:tr w:rsidR="005F70F7" w:rsidRPr="007343C1" w14:paraId="4BE33FE4" w14:textId="77777777" w:rsidTr="002441E2">
        <w:trPr>
          <w:gridAfter w:val="1"/>
          <w:wAfter w:w="8" w:type="dxa"/>
          <w:trHeight w:val="300"/>
        </w:trPr>
        <w:tc>
          <w:tcPr>
            <w:tcW w:w="2768" w:type="dxa"/>
            <w:noWrap/>
            <w:vAlign w:val="center"/>
            <w:hideMark/>
          </w:tcPr>
          <w:p w14:paraId="40DB8978" w14:textId="77777777" w:rsidR="005F70F7" w:rsidRPr="007343C1" w:rsidRDefault="005F70F7" w:rsidP="000B44F3">
            <w:r w:rsidRPr="007343C1">
              <w:t>Severe</w:t>
            </w:r>
          </w:p>
        </w:tc>
        <w:tc>
          <w:tcPr>
            <w:tcW w:w="1701" w:type="dxa"/>
            <w:noWrap/>
            <w:vAlign w:val="center"/>
            <w:hideMark/>
          </w:tcPr>
          <w:p w14:paraId="41359D94" w14:textId="77777777" w:rsidR="005F70F7" w:rsidRPr="007343C1" w:rsidRDefault="005F70F7" w:rsidP="0088009B">
            <w:pPr>
              <w:jc w:val="center"/>
            </w:pPr>
            <w:r w:rsidRPr="007343C1">
              <w:t>12889 (23</w:t>
            </w:r>
            <w:r w:rsidR="00C61AB3">
              <w:t>.5</w:t>
            </w:r>
            <w:r w:rsidRPr="007343C1">
              <w:t>%)</w:t>
            </w:r>
          </w:p>
        </w:tc>
        <w:tc>
          <w:tcPr>
            <w:tcW w:w="1659" w:type="dxa"/>
            <w:noWrap/>
            <w:vAlign w:val="center"/>
            <w:hideMark/>
          </w:tcPr>
          <w:p w14:paraId="40EB2091" w14:textId="77777777" w:rsidR="005F70F7" w:rsidRPr="007343C1" w:rsidRDefault="005F70F7" w:rsidP="0088009B">
            <w:pPr>
              <w:jc w:val="center"/>
            </w:pPr>
            <w:r w:rsidRPr="007343C1">
              <w:t>1958 (9</w:t>
            </w:r>
            <w:r w:rsidR="00C61AB3">
              <w:t>.0</w:t>
            </w:r>
            <w:r w:rsidRPr="007343C1">
              <w:t>%)</w:t>
            </w:r>
          </w:p>
        </w:tc>
        <w:tc>
          <w:tcPr>
            <w:tcW w:w="1549" w:type="dxa"/>
            <w:noWrap/>
            <w:vAlign w:val="center"/>
            <w:hideMark/>
          </w:tcPr>
          <w:p w14:paraId="174D2070" w14:textId="77777777" w:rsidR="005F70F7" w:rsidRPr="007343C1" w:rsidRDefault="005F70F7" w:rsidP="0088009B">
            <w:pPr>
              <w:jc w:val="center"/>
            </w:pPr>
            <w:r w:rsidRPr="007343C1">
              <w:t>730 (50</w:t>
            </w:r>
            <w:r w:rsidR="00C61AB3">
              <w:t>.0</w:t>
            </w:r>
            <w:r w:rsidRPr="007343C1">
              <w:t>%)</w:t>
            </w:r>
          </w:p>
        </w:tc>
        <w:tc>
          <w:tcPr>
            <w:tcW w:w="1545" w:type="dxa"/>
            <w:noWrap/>
            <w:vAlign w:val="center"/>
            <w:hideMark/>
          </w:tcPr>
          <w:p w14:paraId="04E2204A" w14:textId="77777777" w:rsidR="005F70F7" w:rsidRPr="007343C1" w:rsidRDefault="005F70F7" w:rsidP="0088009B">
            <w:pPr>
              <w:jc w:val="center"/>
            </w:pPr>
            <w:r w:rsidRPr="007343C1">
              <w:t>2525 (39</w:t>
            </w:r>
            <w:r w:rsidR="00AC01DE">
              <w:t>.0</w:t>
            </w:r>
            <w:r w:rsidRPr="007343C1">
              <w:t>%)</w:t>
            </w:r>
          </w:p>
        </w:tc>
        <w:tc>
          <w:tcPr>
            <w:tcW w:w="1405" w:type="dxa"/>
            <w:noWrap/>
            <w:vAlign w:val="center"/>
            <w:hideMark/>
          </w:tcPr>
          <w:p w14:paraId="71FD61D0" w14:textId="77777777" w:rsidR="005F70F7" w:rsidRPr="007343C1" w:rsidRDefault="005F70F7" w:rsidP="0088009B">
            <w:pPr>
              <w:jc w:val="center"/>
            </w:pPr>
            <w:r w:rsidRPr="007343C1">
              <w:t>9 (9.8%)</w:t>
            </w:r>
          </w:p>
        </w:tc>
        <w:tc>
          <w:tcPr>
            <w:tcW w:w="1417" w:type="dxa"/>
            <w:noWrap/>
            <w:vAlign w:val="center"/>
            <w:hideMark/>
          </w:tcPr>
          <w:p w14:paraId="209E6BD7" w14:textId="77777777" w:rsidR="005F70F7" w:rsidRPr="007343C1" w:rsidRDefault="005F70F7" w:rsidP="0088009B">
            <w:pPr>
              <w:jc w:val="center"/>
            </w:pPr>
            <w:r w:rsidRPr="007343C1">
              <w:t>261 (17.9%)</w:t>
            </w:r>
          </w:p>
        </w:tc>
        <w:tc>
          <w:tcPr>
            <w:tcW w:w="1418" w:type="dxa"/>
            <w:noWrap/>
            <w:vAlign w:val="center"/>
            <w:hideMark/>
          </w:tcPr>
          <w:p w14:paraId="789BD392" w14:textId="77777777" w:rsidR="005F70F7" w:rsidRPr="007343C1" w:rsidRDefault="005F70F7" w:rsidP="0088009B">
            <w:pPr>
              <w:jc w:val="center"/>
            </w:pPr>
            <w:r w:rsidRPr="007343C1">
              <w:t>390 (18.1%)</w:t>
            </w:r>
          </w:p>
        </w:tc>
        <w:tc>
          <w:tcPr>
            <w:tcW w:w="1417" w:type="dxa"/>
            <w:noWrap/>
            <w:vAlign w:val="center"/>
            <w:hideMark/>
          </w:tcPr>
          <w:p w14:paraId="0D107849" w14:textId="77777777" w:rsidR="005F70F7" w:rsidRPr="007343C1" w:rsidRDefault="005F70F7" w:rsidP="0088009B">
            <w:pPr>
              <w:jc w:val="center"/>
            </w:pPr>
            <w:r w:rsidRPr="007343C1">
              <w:t>151 (26.7%)</w:t>
            </w:r>
          </w:p>
        </w:tc>
      </w:tr>
    </w:tbl>
    <w:p w14:paraId="53186D67" w14:textId="250EF461" w:rsidR="0041321D" w:rsidRDefault="006E152B" w:rsidP="00CE6DC4">
      <w:r w:rsidRPr="00712991">
        <w:lastRenderedPageBreak/>
        <w:t>Some patients appeared more than once in the dataset (TAVI n=6</w:t>
      </w:r>
      <w:r>
        <w:t>/2706, 0.2%</w:t>
      </w:r>
      <w:r w:rsidRPr="00712991">
        <w:t>; neurosurgery n=171</w:t>
      </w:r>
      <w:r>
        <w:t>/1460, 11.7%</w:t>
      </w:r>
      <w:r w:rsidRPr="00712991">
        <w:t>; critical care n=2270</w:t>
      </w:r>
      <w:r>
        <w:t>/54918, 4.1%</w:t>
      </w:r>
      <w:r w:rsidRPr="00712991">
        <w:t xml:space="preserve">; </w:t>
      </w:r>
      <w:r>
        <w:t>s</w:t>
      </w:r>
      <w:r w:rsidRPr="00712991">
        <w:t>pinal n=</w:t>
      </w:r>
      <w:r>
        <w:t>123/1533, 8.0%</w:t>
      </w:r>
      <w:r w:rsidRPr="00712991">
        <w:t>)</w:t>
      </w:r>
      <w:r>
        <w:t xml:space="preserve">, </w:t>
      </w:r>
      <w:r w:rsidRPr="00712991">
        <w:t>relating to clinical complications</w:t>
      </w:r>
      <w:r w:rsidR="00585C4E">
        <w:t xml:space="preserve"> or further treatment</w:t>
      </w:r>
      <w:r w:rsidRPr="00712991">
        <w:t xml:space="preserve"> following the index admission during the study period.</w:t>
      </w:r>
      <w:r w:rsidR="00873C87">
        <w:t xml:space="preserve"> </w:t>
      </w:r>
      <w:r w:rsidR="0041321D">
        <w:fldChar w:fldCharType="begin"/>
      </w:r>
      <w:r w:rsidR="0041321D">
        <w:instrText xml:space="preserve"> REF _Ref28689757 \h </w:instrText>
      </w:r>
      <w:r w:rsidR="00CE6DC4">
        <w:instrText xml:space="preserve"> \* MERGEFORMAT </w:instrText>
      </w:r>
      <w:r w:rsidR="0041321D">
        <w:fldChar w:fldCharType="separate"/>
      </w:r>
      <w:r w:rsidR="00AA7E95" w:rsidRPr="0041321D">
        <w:t xml:space="preserve">Table </w:t>
      </w:r>
      <w:r w:rsidR="00AA7E95">
        <w:rPr>
          <w:noProof/>
        </w:rPr>
        <w:t>3</w:t>
      </w:r>
      <w:r w:rsidR="0041321D">
        <w:fldChar w:fldCharType="end"/>
      </w:r>
      <w:r w:rsidR="0041321D">
        <w:t xml:space="preserve"> shows the service o</w:t>
      </w:r>
      <w:r w:rsidR="00E9120C">
        <w:t>utcomes</w:t>
      </w:r>
      <w:r w:rsidR="0041321D">
        <w:t xml:space="preserve"> following the index treatment event by each </w:t>
      </w:r>
      <w:r w:rsidR="00B57D78">
        <w:t>specialty</w:t>
      </w:r>
      <w:r w:rsidR="0041321D">
        <w:t>.</w:t>
      </w:r>
      <w:r w:rsidR="00876E85">
        <w:t xml:space="preserve"> Increasing frailty risk was associated with increased length of stay for the index admission, more days in hospital in the year following intervention (42 days on average for those with high frailty risk) and increased risk of dying in hospital. When death occurred, most of these happened within one year of specialist intervention.</w:t>
      </w:r>
    </w:p>
    <w:p w14:paraId="6B29EA1F" w14:textId="77777777" w:rsidR="0041321D" w:rsidRPr="0041321D" w:rsidRDefault="0041321D" w:rsidP="000B44F3">
      <w:pPr>
        <w:pStyle w:val="Caption"/>
      </w:pPr>
      <w:bookmarkStart w:id="4" w:name="_Ref28689757"/>
      <w:r w:rsidRPr="0041321D">
        <w:t xml:space="preserve">Table </w:t>
      </w:r>
      <w:r w:rsidR="00B835CD">
        <w:fldChar w:fldCharType="begin"/>
      </w:r>
      <w:r w:rsidR="00B835CD">
        <w:instrText xml:space="preserve"> SEQ Table \* ARABIC </w:instrText>
      </w:r>
      <w:r w:rsidR="00B835CD">
        <w:fldChar w:fldCharType="separate"/>
      </w:r>
      <w:r w:rsidR="000402F0">
        <w:rPr>
          <w:noProof/>
        </w:rPr>
        <w:t>3</w:t>
      </w:r>
      <w:r w:rsidR="00B835CD">
        <w:fldChar w:fldCharType="end"/>
      </w:r>
      <w:bookmarkEnd w:id="4"/>
      <w:r w:rsidRPr="0041321D">
        <w:t xml:space="preserve"> Service outcomes following specialised interventions by frailty status</w:t>
      </w:r>
    </w:p>
    <w:tbl>
      <w:tblPr>
        <w:tblStyle w:val="TableGrid"/>
        <w:tblW w:w="14314" w:type="dxa"/>
        <w:tblLayout w:type="fixed"/>
        <w:tblLook w:val="04A0" w:firstRow="1" w:lastRow="0" w:firstColumn="1" w:lastColumn="0" w:noHBand="0" w:noVBand="1"/>
      </w:tblPr>
      <w:tblGrid>
        <w:gridCol w:w="2551"/>
        <w:gridCol w:w="1452"/>
        <w:gridCol w:w="1276"/>
        <w:gridCol w:w="1559"/>
        <w:gridCol w:w="1276"/>
        <w:gridCol w:w="1690"/>
        <w:gridCol w:w="1653"/>
        <w:gridCol w:w="1418"/>
        <w:gridCol w:w="1422"/>
        <w:gridCol w:w="17"/>
      </w:tblGrid>
      <w:tr w:rsidR="0041321D" w:rsidRPr="001B3BA3" w14:paraId="4432255A" w14:textId="77777777" w:rsidTr="00E9120C">
        <w:trPr>
          <w:gridAfter w:val="1"/>
          <w:wAfter w:w="17" w:type="dxa"/>
          <w:trHeight w:val="203"/>
        </w:trPr>
        <w:tc>
          <w:tcPr>
            <w:tcW w:w="2551" w:type="dxa"/>
            <w:hideMark/>
          </w:tcPr>
          <w:p w14:paraId="4207A212" w14:textId="77777777" w:rsidR="0041321D" w:rsidRPr="001B3BA3" w:rsidRDefault="0041321D" w:rsidP="000B44F3"/>
        </w:tc>
        <w:tc>
          <w:tcPr>
            <w:tcW w:w="1452" w:type="dxa"/>
            <w:hideMark/>
          </w:tcPr>
          <w:p w14:paraId="39E15B4A" w14:textId="77777777" w:rsidR="0041321D" w:rsidRPr="001B3BA3" w:rsidRDefault="0041321D" w:rsidP="0088009B">
            <w:pPr>
              <w:jc w:val="center"/>
            </w:pPr>
            <w:r w:rsidRPr="001B3BA3">
              <w:t>Adult Critical Care</w:t>
            </w:r>
          </w:p>
        </w:tc>
        <w:tc>
          <w:tcPr>
            <w:tcW w:w="1276" w:type="dxa"/>
            <w:hideMark/>
          </w:tcPr>
          <w:p w14:paraId="1577FC0E" w14:textId="77777777" w:rsidR="0041321D" w:rsidRPr="001B3BA3" w:rsidRDefault="0041321D" w:rsidP="0088009B">
            <w:pPr>
              <w:jc w:val="center"/>
            </w:pPr>
            <w:r w:rsidRPr="001B3BA3">
              <w:t>Chemotherapy</w:t>
            </w:r>
          </w:p>
        </w:tc>
        <w:tc>
          <w:tcPr>
            <w:tcW w:w="1559" w:type="dxa"/>
            <w:hideMark/>
          </w:tcPr>
          <w:p w14:paraId="370D5437" w14:textId="77777777" w:rsidR="0041321D" w:rsidRPr="001B3BA3" w:rsidRDefault="0041321D" w:rsidP="0088009B">
            <w:pPr>
              <w:jc w:val="center"/>
            </w:pPr>
            <w:r w:rsidRPr="001B3BA3">
              <w:t>Neurosurgery</w:t>
            </w:r>
          </w:p>
        </w:tc>
        <w:tc>
          <w:tcPr>
            <w:tcW w:w="1276" w:type="dxa"/>
            <w:hideMark/>
          </w:tcPr>
          <w:p w14:paraId="1564A57D" w14:textId="77777777" w:rsidR="0041321D" w:rsidRPr="001B3BA3" w:rsidRDefault="0041321D" w:rsidP="0088009B">
            <w:pPr>
              <w:jc w:val="center"/>
            </w:pPr>
            <w:r w:rsidRPr="001B3BA3">
              <w:t>Renal</w:t>
            </w:r>
          </w:p>
        </w:tc>
        <w:tc>
          <w:tcPr>
            <w:tcW w:w="1690" w:type="dxa"/>
            <w:hideMark/>
          </w:tcPr>
          <w:p w14:paraId="512D6847" w14:textId="77777777" w:rsidR="0041321D" w:rsidRPr="001B3BA3" w:rsidRDefault="0041321D" w:rsidP="0088009B">
            <w:pPr>
              <w:jc w:val="center"/>
            </w:pPr>
            <w:r w:rsidRPr="001B3BA3">
              <w:t>Spinal Deformity Surgery</w:t>
            </w:r>
          </w:p>
        </w:tc>
        <w:tc>
          <w:tcPr>
            <w:tcW w:w="1653" w:type="dxa"/>
            <w:hideMark/>
          </w:tcPr>
          <w:p w14:paraId="56064AA7" w14:textId="77777777" w:rsidR="0041321D" w:rsidRPr="001B3BA3" w:rsidRDefault="0041321D" w:rsidP="0088009B">
            <w:pPr>
              <w:jc w:val="center"/>
            </w:pPr>
            <w:r w:rsidRPr="001B3BA3">
              <w:t>Spinal Fracture Surgery</w:t>
            </w:r>
          </w:p>
        </w:tc>
        <w:tc>
          <w:tcPr>
            <w:tcW w:w="1418" w:type="dxa"/>
            <w:hideMark/>
          </w:tcPr>
          <w:p w14:paraId="4A6AC0DC" w14:textId="77777777" w:rsidR="0041321D" w:rsidRPr="001B3BA3" w:rsidRDefault="0041321D" w:rsidP="0088009B">
            <w:pPr>
              <w:jc w:val="center"/>
            </w:pPr>
            <w:r w:rsidRPr="001B3BA3">
              <w:t>Elective TAVI</w:t>
            </w:r>
          </w:p>
        </w:tc>
        <w:tc>
          <w:tcPr>
            <w:tcW w:w="1422" w:type="dxa"/>
            <w:hideMark/>
          </w:tcPr>
          <w:p w14:paraId="7C7589BD" w14:textId="77777777" w:rsidR="0041321D" w:rsidRPr="001B3BA3" w:rsidRDefault="0041321D" w:rsidP="0088009B">
            <w:pPr>
              <w:jc w:val="center"/>
            </w:pPr>
            <w:r w:rsidRPr="001B3BA3">
              <w:t>Emergency TAVI</w:t>
            </w:r>
          </w:p>
        </w:tc>
      </w:tr>
      <w:tr w:rsidR="00AC01DE" w:rsidRPr="001B3BA3" w14:paraId="052FC696" w14:textId="77777777" w:rsidTr="00E9120C">
        <w:trPr>
          <w:trHeight w:val="94"/>
        </w:trPr>
        <w:tc>
          <w:tcPr>
            <w:tcW w:w="14314" w:type="dxa"/>
            <w:gridSpan w:val="10"/>
            <w:hideMark/>
          </w:tcPr>
          <w:p w14:paraId="52CFB3C1" w14:textId="77777777" w:rsidR="00AC01DE" w:rsidRPr="001B3BA3" w:rsidRDefault="00AC01DE" w:rsidP="000B44F3">
            <w:r w:rsidRPr="001B3BA3">
              <w:t>Me</w:t>
            </w:r>
            <w:r w:rsidR="00FA30EC">
              <w:t>di</w:t>
            </w:r>
            <w:r w:rsidRPr="001B3BA3">
              <w:t>an length of stay in days for the index admission (</w:t>
            </w:r>
            <w:r w:rsidR="0078707F">
              <w:t>Interquartile range</w:t>
            </w:r>
            <w:r w:rsidRPr="001B3BA3">
              <w:t>)</w:t>
            </w:r>
          </w:p>
        </w:tc>
      </w:tr>
      <w:tr w:rsidR="0041321D" w:rsidRPr="001B3BA3" w14:paraId="759D6964" w14:textId="77777777" w:rsidTr="00E9120C">
        <w:trPr>
          <w:gridAfter w:val="1"/>
          <w:wAfter w:w="17" w:type="dxa"/>
          <w:trHeight w:val="94"/>
        </w:trPr>
        <w:tc>
          <w:tcPr>
            <w:tcW w:w="2551" w:type="dxa"/>
            <w:hideMark/>
          </w:tcPr>
          <w:p w14:paraId="14E2294F" w14:textId="77777777" w:rsidR="0041321D" w:rsidRPr="001B3BA3" w:rsidRDefault="0041321D" w:rsidP="000B44F3">
            <w:r w:rsidRPr="001B3BA3">
              <w:t>Not frail</w:t>
            </w:r>
          </w:p>
        </w:tc>
        <w:tc>
          <w:tcPr>
            <w:tcW w:w="1452" w:type="dxa"/>
            <w:hideMark/>
          </w:tcPr>
          <w:p w14:paraId="435773BF" w14:textId="77777777" w:rsidR="0041321D" w:rsidRPr="001B3BA3" w:rsidRDefault="004E1D95" w:rsidP="0088009B">
            <w:pPr>
              <w:jc w:val="center"/>
            </w:pPr>
            <w:r>
              <w:t>6</w:t>
            </w:r>
            <w:r w:rsidR="0041321D" w:rsidRPr="001B3BA3">
              <w:t xml:space="preserve"> (</w:t>
            </w:r>
            <w:r>
              <w:t>4-9</w:t>
            </w:r>
            <w:r w:rsidR="0041321D" w:rsidRPr="001B3BA3">
              <w:t>)</w:t>
            </w:r>
          </w:p>
        </w:tc>
        <w:tc>
          <w:tcPr>
            <w:tcW w:w="1276" w:type="dxa"/>
            <w:vMerge w:val="restart"/>
            <w:hideMark/>
          </w:tcPr>
          <w:p w14:paraId="0D003B22" w14:textId="77777777" w:rsidR="0041321D" w:rsidRPr="001B3BA3" w:rsidRDefault="0041321D" w:rsidP="0088009B">
            <w:pPr>
              <w:jc w:val="center"/>
            </w:pPr>
            <w:r w:rsidRPr="001B3BA3">
              <w:t>Not applicable (outpatient setting)</w:t>
            </w:r>
          </w:p>
        </w:tc>
        <w:tc>
          <w:tcPr>
            <w:tcW w:w="1559" w:type="dxa"/>
            <w:hideMark/>
          </w:tcPr>
          <w:p w14:paraId="5CE94B89" w14:textId="77777777" w:rsidR="0041321D" w:rsidRPr="001B3BA3" w:rsidRDefault="0041321D" w:rsidP="0088009B">
            <w:pPr>
              <w:jc w:val="center"/>
            </w:pPr>
          </w:p>
        </w:tc>
        <w:tc>
          <w:tcPr>
            <w:tcW w:w="1276" w:type="dxa"/>
            <w:vMerge w:val="restart"/>
            <w:hideMark/>
          </w:tcPr>
          <w:p w14:paraId="7D03ABD8" w14:textId="77777777" w:rsidR="0041321D" w:rsidRPr="001B3BA3" w:rsidRDefault="0041321D" w:rsidP="0088009B">
            <w:pPr>
              <w:jc w:val="center"/>
            </w:pPr>
            <w:r w:rsidRPr="001B3BA3">
              <w:t>Not applicable (outpatient setting)</w:t>
            </w:r>
          </w:p>
        </w:tc>
        <w:tc>
          <w:tcPr>
            <w:tcW w:w="1690" w:type="dxa"/>
            <w:hideMark/>
          </w:tcPr>
          <w:p w14:paraId="10E47EF3" w14:textId="77777777" w:rsidR="0041321D" w:rsidRPr="001B3BA3" w:rsidRDefault="0041321D" w:rsidP="0088009B">
            <w:pPr>
              <w:jc w:val="center"/>
            </w:pPr>
            <w:r w:rsidRPr="001B3BA3">
              <w:t>13.5 (1</w:t>
            </w:r>
            <w:r w:rsidR="004E1D95">
              <w:t>1-23</w:t>
            </w:r>
            <w:r w:rsidRPr="001B3BA3">
              <w:t>)</w:t>
            </w:r>
          </w:p>
        </w:tc>
        <w:tc>
          <w:tcPr>
            <w:tcW w:w="1653" w:type="dxa"/>
            <w:hideMark/>
          </w:tcPr>
          <w:p w14:paraId="28E6DEF6" w14:textId="77777777" w:rsidR="0041321D" w:rsidRPr="001B3BA3" w:rsidRDefault="0041321D" w:rsidP="0088009B">
            <w:pPr>
              <w:jc w:val="center"/>
            </w:pPr>
            <w:r w:rsidRPr="001B3BA3">
              <w:t>2 (</w:t>
            </w:r>
            <w:r w:rsidR="004E1D95">
              <w:t>1-5</w:t>
            </w:r>
            <w:r w:rsidRPr="001B3BA3">
              <w:t>)</w:t>
            </w:r>
          </w:p>
        </w:tc>
        <w:tc>
          <w:tcPr>
            <w:tcW w:w="1418" w:type="dxa"/>
            <w:hideMark/>
          </w:tcPr>
          <w:p w14:paraId="3C043D10" w14:textId="77777777" w:rsidR="0041321D" w:rsidRPr="001B3BA3" w:rsidRDefault="0041321D" w:rsidP="0088009B">
            <w:pPr>
              <w:jc w:val="center"/>
            </w:pPr>
            <w:r w:rsidRPr="001B3BA3">
              <w:t>3 (</w:t>
            </w:r>
            <w:r w:rsidR="004E1D95">
              <w:t>2-4</w:t>
            </w:r>
            <w:r w:rsidRPr="001B3BA3">
              <w:t>)</w:t>
            </w:r>
          </w:p>
        </w:tc>
        <w:tc>
          <w:tcPr>
            <w:tcW w:w="1422" w:type="dxa"/>
            <w:hideMark/>
          </w:tcPr>
          <w:p w14:paraId="09A76369" w14:textId="77777777" w:rsidR="0041321D" w:rsidRPr="001B3BA3" w:rsidRDefault="0041321D" w:rsidP="0088009B">
            <w:pPr>
              <w:jc w:val="center"/>
            </w:pPr>
            <w:r w:rsidRPr="001B3BA3">
              <w:t>6 (</w:t>
            </w:r>
            <w:r w:rsidR="00D60826">
              <w:t>3-10</w:t>
            </w:r>
            <w:r w:rsidRPr="001B3BA3">
              <w:t>)</w:t>
            </w:r>
          </w:p>
        </w:tc>
      </w:tr>
      <w:tr w:rsidR="0041321D" w:rsidRPr="001B3BA3" w14:paraId="5641EE17" w14:textId="77777777" w:rsidTr="00E9120C">
        <w:trPr>
          <w:gridAfter w:val="1"/>
          <w:wAfter w:w="17" w:type="dxa"/>
          <w:trHeight w:val="94"/>
        </w:trPr>
        <w:tc>
          <w:tcPr>
            <w:tcW w:w="2551" w:type="dxa"/>
            <w:hideMark/>
          </w:tcPr>
          <w:p w14:paraId="32E10EA6" w14:textId="77777777" w:rsidR="0041321D" w:rsidRPr="001B3BA3" w:rsidRDefault="0041321D" w:rsidP="000B44F3">
            <w:r w:rsidRPr="001B3BA3">
              <w:t>Risk of mild frailty</w:t>
            </w:r>
          </w:p>
        </w:tc>
        <w:tc>
          <w:tcPr>
            <w:tcW w:w="1452" w:type="dxa"/>
            <w:hideMark/>
          </w:tcPr>
          <w:p w14:paraId="7EFBD0BD" w14:textId="77777777" w:rsidR="0041321D" w:rsidRPr="001B3BA3" w:rsidRDefault="0041321D" w:rsidP="0088009B">
            <w:pPr>
              <w:jc w:val="center"/>
            </w:pPr>
            <w:r w:rsidRPr="001B3BA3">
              <w:t>8 (</w:t>
            </w:r>
            <w:r w:rsidR="004E1D95">
              <w:t>4-13</w:t>
            </w:r>
            <w:r w:rsidRPr="001B3BA3">
              <w:t>)</w:t>
            </w:r>
          </w:p>
        </w:tc>
        <w:tc>
          <w:tcPr>
            <w:tcW w:w="1276" w:type="dxa"/>
            <w:vMerge/>
            <w:hideMark/>
          </w:tcPr>
          <w:p w14:paraId="1D83EC15" w14:textId="77777777" w:rsidR="0041321D" w:rsidRPr="001B3BA3" w:rsidRDefault="0041321D" w:rsidP="0088009B">
            <w:pPr>
              <w:jc w:val="center"/>
            </w:pPr>
          </w:p>
        </w:tc>
        <w:tc>
          <w:tcPr>
            <w:tcW w:w="1559" w:type="dxa"/>
            <w:hideMark/>
          </w:tcPr>
          <w:p w14:paraId="69049A33" w14:textId="77777777" w:rsidR="0041321D" w:rsidRPr="001B3BA3" w:rsidRDefault="0041321D" w:rsidP="0088009B">
            <w:pPr>
              <w:jc w:val="center"/>
            </w:pPr>
            <w:r w:rsidRPr="001B3BA3">
              <w:t>4 (</w:t>
            </w:r>
            <w:r w:rsidR="004E1D95">
              <w:t>2-6</w:t>
            </w:r>
            <w:r w:rsidRPr="001B3BA3">
              <w:t>)</w:t>
            </w:r>
          </w:p>
        </w:tc>
        <w:tc>
          <w:tcPr>
            <w:tcW w:w="1276" w:type="dxa"/>
            <w:vMerge/>
            <w:hideMark/>
          </w:tcPr>
          <w:p w14:paraId="709C75AF" w14:textId="77777777" w:rsidR="0041321D" w:rsidRPr="001B3BA3" w:rsidRDefault="0041321D" w:rsidP="0088009B">
            <w:pPr>
              <w:jc w:val="center"/>
            </w:pPr>
          </w:p>
        </w:tc>
        <w:tc>
          <w:tcPr>
            <w:tcW w:w="1690" w:type="dxa"/>
            <w:hideMark/>
          </w:tcPr>
          <w:p w14:paraId="3D5BAEA3" w14:textId="77777777" w:rsidR="0041321D" w:rsidRPr="001B3BA3" w:rsidRDefault="0041321D" w:rsidP="0088009B">
            <w:pPr>
              <w:jc w:val="center"/>
            </w:pPr>
            <w:r w:rsidRPr="001B3BA3">
              <w:t>8 (</w:t>
            </w:r>
            <w:r w:rsidR="004E1D95">
              <w:t>4-13</w:t>
            </w:r>
            <w:r w:rsidRPr="001B3BA3">
              <w:t>)</w:t>
            </w:r>
          </w:p>
        </w:tc>
        <w:tc>
          <w:tcPr>
            <w:tcW w:w="1653" w:type="dxa"/>
            <w:hideMark/>
          </w:tcPr>
          <w:p w14:paraId="01478AFF" w14:textId="77777777" w:rsidR="0041321D" w:rsidRPr="001B3BA3" w:rsidRDefault="0041321D" w:rsidP="0088009B">
            <w:pPr>
              <w:jc w:val="center"/>
            </w:pPr>
            <w:r w:rsidRPr="001B3BA3">
              <w:t>2 (</w:t>
            </w:r>
            <w:r w:rsidR="004E1D95">
              <w:t>1-5</w:t>
            </w:r>
            <w:r w:rsidRPr="001B3BA3">
              <w:t>)</w:t>
            </w:r>
          </w:p>
        </w:tc>
        <w:tc>
          <w:tcPr>
            <w:tcW w:w="1418" w:type="dxa"/>
            <w:hideMark/>
          </w:tcPr>
          <w:p w14:paraId="30ABFBB4" w14:textId="77777777" w:rsidR="0041321D" w:rsidRPr="001B3BA3" w:rsidRDefault="0041321D" w:rsidP="0088009B">
            <w:pPr>
              <w:jc w:val="center"/>
            </w:pPr>
            <w:r w:rsidRPr="001B3BA3">
              <w:t>4 (</w:t>
            </w:r>
            <w:r w:rsidR="004E1D95">
              <w:t>3-5</w:t>
            </w:r>
            <w:r w:rsidRPr="001B3BA3">
              <w:t>)</w:t>
            </w:r>
          </w:p>
        </w:tc>
        <w:tc>
          <w:tcPr>
            <w:tcW w:w="1422" w:type="dxa"/>
            <w:hideMark/>
          </w:tcPr>
          <w:p w14:paraId="50E40288" w14:textId="77777777" w:rsidR="0041321D" w:rsidRPr="001B3BA3" w:rsidRDefault="0041321D" w:rsidP="0088009B">
            <w:pPr>
              <w:jc w:val="center"/>
            </w:pPr>
            <w:r w:rsidRPr="001B3BA3">
              <w:t>7 (</w:t>
            </w:r>
            <w:r w:rsidR="00D60826">
              <w:t>4-14</w:t>
            </w:r>
            <w:r w:rsidRPr="001B3BA3">
              <w:t>)</w:t>
            </w:r>
          </w:p>
        </w:tc>
      </w:tr>
      <w:tr w:rsidR="0041321D" w:rsidRPr="001B3BA3" w14:paraId="56BA1700" w14:textId="77777777" w:rsidTr="00E9120C">
        <w:trPr>
          <w:gridAfter w:val="1"/>
          <w:wAfter w:w="17" w:type="dxa"/>
          <w:trHeight w:val="94"/>
        </w:trPr>
        <w:tc>
          <w:tcPr>
            <w:tcW w:w="2551" w:type="dxa"/>
            <w:hideMark/>
          </w:tcPr>
          <w:p w14:paraId="3A57BFDF" w14:textId="77777777" w:rsidR="0041321D" w:rsidRPr="001B3BA3" w:rsidRDefault="0041321D" w:rsidP="000B44F3">
            <w:r w:rsidRPr="001B3BA3">
              <w:t>Risk of moderate frailty</w:t>
            </w:r>
          </w:p>
        </w:tc>
        <w:tc>
          <w:tcPr>
            <w:tcW w:w="1452" w:type="dxa"/>
            <w:hideMark/>
          </w:tcPr>
          <w:p w14:paraId="5368ADD8" w14:textId="77777777" w:rsidR="0041321D" w:rsidRPr="001B3BA3" w:rsidRDefault="0041321D" w:rsidP="0088009B">
            <w:pPr>
              <w:jc w:val="center"/>
            </w:pPr>
            <w:r w:rsidRPr="001B3BA3">
              <w:t>12 (</w:t>
            </w:r>
            <w:r w:rsidR="004E1D95">
              <w:t>6-21</w:t>
            </w:r>
            <w:r w:rsidRPr="001B3BA3">
              <w:t>)</w:t>
            </w:r>
          </w:p>
        </w:tc>
        <w:tc>
          <w:tcPr>
            <w:tcW w:w="1276" w:type="dxa"/>
            <w:vMerge/>
            <w:hideMark/>
          </w:tcPr>
          <w:p w14:paraId="71E21D85" w14:textId="77777777" w:rsidR="0041321D" w:rsidRPr="001B3BA3" w:rsidRDefault="0041321D" w:rsidP="0088009B">
            <w:pPr>
              <w:jc w:val="center"/>
            </w:pPr>
          </w:p>
        </w:tc>
        <w:tc>
          <w:tcPr>
            <w:tcW w:w="1559" w:type="dxa"/>
            <w:hideMark/>
          </w:tcPr>
          <w:p w14:paraId="0A93604B" w14:textId="77777777" w:rsidR="0041321D" w:rsidRPr="001B3BA3" w:rsidRDefault="0041321D" w:rsidP="0088009B">
            <w:pPr>
              <w:jc w:val="center"/>
            </w:pPr>
            <w:r w:rsidRPr="001B3BA3">
              <w:t>5 (</w:t>
            </w:r>
            <w:r w:rsidR="004E1D95">
              <w:t>3-10</w:t>
            </w:r>
            <w:r w:rsidRPr="001B3BA3">
              <w:t>)</w:t>
            </w:r>
          </w:p>
        </w:tc>
        <w:tc>
          <w:tcPr>
            <w:tcW w:w="1276" w:type="dxa"/>
            <w:vMerge/>
            <w:hideMark/>
          </w:tcPr>
          <w:p w14:paraId="52E1E327" w14:textId="77777777" w:rsidR="0041321D" w:rsidRPr="001B3BA3" w:rsidRDefault="0041321D" w:rsidP="0088009B">
            <w:pPr>
              <w:jc w:val="center"/>
            </w:pPr>
          </w:p>
        </w:tc>
        <w:tc>
          <w:tcPr>
            <w:tcW w:w="1690" w:type="dxa"/>
            <w:hideMark/>
          </w:tcPr>
          <w:p w14:paraId="3ED43B11" w14:textId="77777777" w:rsidR="0041321D" w:rsidRPr="001B3BA3" w:rsidRDefault="0041321D" w:rsidP="0088009B">
            <w:pPr>
              <w:jc w:val="center"/>
            </w:pPr>
            <w:r w:rsidRPr="001B3BA3">
              <w:t>10 (</w:t>
            </w:r>
            <w:r w:rsidR="004E1D95">
              <w:t>7-16</w:t>
            </w:r>
            <w:r w:rsidRPr="001B3BA3">
              <w:t>)</w:t>
            </w:r>
          </w:p>
        </w:tc>
        <w:tc>
          <w:tcPr>
            <w:tcW w:w="1653" w:type="dxa"/>
            <w:hideMark/>
          </w:tcPr>
          <w:p w14:paraId="6EEAC43A" w14:textId="77777777" w:rsidR="0041321D" w:rsidRPr="001B3BA3" w:rsidRDefault="0041321D" w:rsidP="0088009B">
            <w:pPr>
              <w:jc w:val="center"/>
            </w:pPr>
            <w:r w:rsidRPr="001B3BA3">
              <w:t>10 (</w:t>
            </w:r>
            <w:r w:rsidR="004E1D95">
              <w:t>3-22</w:t>
            </w:r>
            <w:r w:rsidRPr="001B3BA3">
              <w:t>)</w:t>
            </w:r>
          </w:p>
        </w:tc>
        <w:tc>
          <w:tcPr>
            <w:tcW w:w="1418" w:type="dxa"/>
            <w:hideMark/>
          </w:tcPr>
          <w:p w14:paraId="3F76E918" w14:textId="77777777" w:rsidR="0041321D" w:rsidRPr="001B3BA3" w:rsidRDefault="0041321D" w:rsidP="0088009B">
            <w:pPr>
              <w:jc w:val="center"/>
            </w:pPr>
            <w:r w:rsidRPr="001B3BA3">
              <w:t>4 (</w:t>
            </w:r>
            <w:r w:rsidR="004E1D95">
              <w:t>3-7</w:t>
            </w:r>
            <w:r w:rsidRPr="001B3BA3">
              <w:t>)</w:t>
            </w:r>
          </w:p>
        </w:tc>
        <w:tc>
          <w:tcPr>
            <w:tcW w:w="1422" w:type="dxa"/>
            <w:hideMark/>
          </w:tcPr>
          <w:p w14:paraId="4FD919A8" w14:textId="77777777" w:rsidR="0041321D" w:rsidRPr="001B3BA3" w:rsidRDefault="0041321D" w:rsidP="0088009B">
            <w:pPr>
              <w:jc w:val="center"/>
            </w:pPr>
            <w:r w:rsidRPr="001B3BA3">
              <w:t>12 (</w:t>
            </w:r>
            <w:r w:rsidR="00D60826">
              <w:t>4-20</w:t>
            </w:r>
            <w:r w:rsidRPr="001B3BA3">
              <w:t>)</w:t>
            </w:r>
          </w:p>
        </w:tc>
      </w:tr>
      <w:tr w:rsidR="0041321D" w:rsidRPr="001B3BA3" w14:paraId="5F9343B1" w14:textId="77777777" w:rsidTr="00E9120C">
        <w:trPr>
          <w:gridAfter w:val="1"/>
          <w:wAfter w:w="17" w:type="dxa"/>
          <w:trHeight w:val="94"/>
        </w:trPr>
        <w:tc>
          <w:tcPr>
            <w:tcW w:w="2551" w:type="dxa"/>
            <w:hideMark/>
          </w:tcPr>
          <w:p w14:paraId="3C113417" w14:textId="77777777" w:rsidR="0041321D" w:rsidRPr="001B3BA3" w:rsidRDefault="0041321D" w:rsidP="000B44F3">
            <w:r w:rsidRPr="001B3BA3">
              <w:t>Risk of severe frailty</w:t>
            </w:r>
          </w:p>
        </w:tc>
        <w:tc>
          <w:tcPr>
            <w:tcW w:w="1452" w:type="dxa"/>
            <w:hideMark/>
          </w:tcPr>
          <w:p w14:paraId="7B082F11" w14:textId="77777777" w:rsidR="0041321D" w:rsidRPr="001B3BA3" w:rsidRDefault="0041321D" w:rsidP="0088009B">
            <w:pPr>
              <w:jc w:val="center"/>
            </w:pPr>
            <w:r w:rsidRPr="001B3BA3">
              <w:t>20 (</w:t>
            </w:r>
            <w:r w:rsidR="004E1D95">
              <w:t>11-36</w:t>
            </w:r>
            <w:r w:rsidRPr="001B3BA3">
              <w:t>)</w:t>
            </w:r>
          </w:p>
        </w:tc>
        <w:tc>
          <w:tcPr>
            <w:tcW w:w="1276" w:type="dxa"/>
            <w:vMerge/>
            <w:hideMark/>
          </w:tcPr>
          <w:p w14:paraId="0402A1C8" w14:textId="77777777" w:rsidR="0041321D" w:rsidRPr="001B3BA3" w:rsidRDefault="0041321D" w:rsidP="0088009B">
            <w:pPr>
              <w:jc w:val="center"/>
            </w:pPr>
          </w:p>
        </w:tc>
        <w:tc>
          <w:tcPr>
            <w:tcW w:w="1559" w:type="dxa"/>
            <w:hideMark/>
          </w:tcPr>
          <w:p w14:paraId="740519D8" w14:textId="77777777" w:rsidR="0041321D" w:rsidRPr="001B3BA3" w:rsidRDefault="0041321D" w:rsidP="0088009B">
            <w:pPr>
              <w:jc w:val="center"/>
            </w:pPr>
            <w:r w:rsidRPr="001B3BA3">
              <w:t>17 (</w:t>
            </w:r>
            <w:r w:rsidR="004E1D95">
              <w:t>9-26</w:t>
            </w:r>
            <w:r w:rsidRPr="001B3BA3">
              <w:t>)</w:t>
            </w:r>
          </w:p>
        </w:tc>
        <w:tc>
          <w:tcPr>
            <w:tcW w:w="1276" w:type="dxa"/>
            <w:vMerge/>
            <w:hideMark/>
          </w:tcPr>
          <w:p w14:paraId="02BD6969" w14:textId="77777777" w:rsidR="0041321D" w:rsidRPr="001B3BA3" w:rsidRDefault="0041321D" w:rsidP="0088009B">
            <w:pPr>
              <w:jc w:val="center"/>
            </w:pPr>
          </w:p>
        </w:tc>
        <w:tc>
          <w:tcPr>
            <w:tcW w:w="1690" w:type="dxa"/>
            <w:hideMark/>
          </w:tcPr>
          <w:p w14:paraId="37819106" w14:textId="77777777" w:rsidR="0041321D" w:rsidRPr="001B3BA3" w:rsidRDefault="0041321D" w:rsidP="0088009B">
            <w:pPr>
              <w:jc w:val="center"/>
            </w:pPr>
            <w:r w:rsidRPr="001B3BA3">
              <w:t>31 (</w:t>
            </w:r>
            <w:r w:rsidR="004E1D95">
              <w:t>16-77</w:t>
            </w:r>
            <w:r w:rsidRPr="001B3BA3">
              <w:t>)</w:t>
            </w:r>
          </w:p>
        </w:tc>
        <w:tc>
          <w:tcPr>
            <w:tcW w:w="1653" w:type="dxa"/>
            <w:hideMark/>
          </w:tcPr>
          <w:p w14:paraId="00A56FA6" w14:textId="77777777" w:rsidR="0041321D" w:rsidRPr="001B3BA3" w:rsidRDefault="0041321D" w:rsidP="0088009B">
            <w:pPr>
              <w:jc w:val="center"/>
            </w:pPr>
            <w:r w:rsidRPr="001B3BA3">
              <w:t>20 (</w:t>
            </w:r>
            <w:r w:rsidR="004E1D95">
              <w:t>9-39</w:t>
            </w:r>
            <w:r w:rsidRPr="001B3BA3">
              <w:t>)</w:t>
            </w:r>
          </w:p>
        </w:tc>
        <w:tc>
          <w:tcPr>
            <w:tcW w:w="1418" w:type="dxa"/>
            <w:hideMark/>
          </w:tcPr>
          <w:p w14:paraId="65B8DCF6" w14:textId="77777777" w:rsidR="0041321D" w:rsidRPr="001B3BA3" w:rsidRDefault="0041321D" w:rsidP="0088009B">
            <w:pPr>
              <w:jc w:val="center"/>
            </w:pPr>
            <w:r w:rsidRPr="001B3BA3">
              <w:t>5 (</w:t>
            </w:r>
            <w:r w:rsidR="004E1D95">
              <w:t>3-9</w:t>
            </w:r>
            <w:r w:rsidRPr="001B3BA3">
              <w:t>)</w:t>
            </w:r>
          </w:p>
        </w:tc>
        <w:tc>
          <w:tcPr>
            <w:tcW w:w="1422" w:type="dxa"/>
            <w:hideMark/>
          </w:tcPr>
          <w:p w14:paraId="0001C946" w14:textId="77777777" w:rsidR="0041321D" w:rsidRPr="001B3BA3" w:rsidRDefault="0041321D" w:rsidP="0088009B">
            <w:pPr>
              <w:jc w:val="center"/>
            </w:pPr>
            <w:r w:rsidRPr="001B3BA3">
              <w:t>15 (</w:t>
            </w:r>
            <w:r w:rsidR="00D60826">
              <w:t>7-24</w:t>
            </w:r>
            <w:r w:rsidRPr="001B3BA3">
              <w:t>)</w:t>
            </w:r>
          </w:p>
        </w:tc>
      </w:tr>
      <w:tr w:rsidR="0041321D" w:rsidRPr="001B3BA3" w14:paraId="11EA51C7" w14:textId="77777777" w:rsidTr="00E9120C">
        <w:trPr>
          <w:trHeight w:val="134"/>
        </w:trPr>
        <w:tc>
          <w:tcPr>
            <w:tcW w:w="14314" w:type="dxa"/>
            <w:gridSpan w:val="10"/>
            <w:hideMark/>
          </w:tcPr>
          <w:p w14:paraId="2F98BF29" w14:textId="77777777" w:rsidR="0041321D" w:rsidRPr="001B3BA3" w:rsidRDefault="0041321D" w:rsidP="000B44F3">
            <w:r w:rsidRPr="001B3BA3">
              <w:t>Proportion of 7/21 day stranded LOS</w:t>
            </w:r>
          </w:p>
        </w:tc>
      </w:tr>
      <w:tr w:rsidR="00AA7E95" w:rsidRPr="001B3BA3" w14:paraId="15D6ECEF" w14:textId="77777777" w:rsidTr="00E9120C">
        <w:trPr>
          <w:gridAfter w:val="1"/>
          <w:wAfter w:w="17" w:type="dxa"/>
          <w:trHeight w:val="94"/>
        </w:trPr>
        <w:tc>
          <w:tcPr>
            <w:tcW w:w="2551" w:type="dxa"/>
            <w:hideMark/>
          </w:tcPr>
          <w:p w14:paraId="654FF683" w14:textId="77777777" w:rsidR="00AA7E95" w:rsidRPr="001B3BA3" w:rsidRDefault="00AA7E95" w:rsidP="00AA7E95">
            <w:r w:rsidRPr="001B3BA3">
              <w:t>Not frail</w:t>
            </w:r>
          </w:p>
        </w:tc>
        <w:tc>
          <w:tcPr>
            <w:tcW w:w="1452" w:type="dxa"/>
            <w:hideMark/>
          </w:tcPr>
          <w:p w14:paraId="47B0FAC6" w14:textId="77777777" w:rsidR="00AA7E95" w:rsidRPr="001B3BA3" w:rsidRDefault="00AA7E95" w:rsidP="00F5446B">
            <w:pPr>
              <w:jc w:val="center"/>
            </w:pPr>
            <w:r>
              <w:t>7%</w:t>
            </w:r>
            <w:r w:rsidR="00E9120C">
              <w:t>/2</w:t>
            </w:r>
            <w:r w:rsidRPr="001B3BA3">
              <w:t>%</w:t>
            </w:r>
          </w:p>
        </w:tc>
        <w:tc>
          <w:tcPr>
            <w:tcW w:w="1276" w:type="dxa"/>
            <w:vMerge w:val="restart"/>
            <w:hideMark/>
          </w:tcPr>
          <w:p w14:paraId="6B914915" w14:textId="77777777" w:rsidR="00AA7E95" w:rsidRPr="001B3BA3" w:rsidRDefault="00AA7E95" w:rsidP="00AA7E95">
            <w:pPr>
              <w:jc w:val="center"/>
            </w:pPr>
            <w:r w:rsidRPr="001B3BA3">
              <w:t>Not applicable (outpatient setting)</w:t>
            </w:r>
          </w:p>
        </w:tc>
        <w:tc>
          <w:tcPr>
            <w:tcW w:w="1559" w:type="dxa"/>
            <w:hideMark/>
          </w:tcPr>
          <w:p w14:paraId="3FAD8B96" w14:textId="77777777" w:rsidR="00AA7E95" w:rsidRPr="001B3BA3" w:rsidRDefault="00AA7E95" w:rsidP="00AA7E95">
            <w:pPr>
              <w:jc w:val="center"/>
            </w:pPr>
          </w:p>
        </w:tc>
        <w:tc>
          <w:tcPr>
            <w:tcW w:w="1276" w:type="dxa"/>
            <w:vMerge w:val="restart"/>
            <w:hideMark/>
          </w:tcPr>
          <w:p w14:paraId="7FD0D520" w14:textId="77777777" w:rsidR="00AA7E95" w:rsidRPr="001B3BA3" w:rsidRDefault="00AA7E95" w:rsidP="00AA7E95">
            <w:pPr>
              <w:jc w:val="center"/>
            </w:pPr>
            <w:r w:rsidRPr="001B3BA3">
              <w:t>Not applicable (outpatient setting)</w:t>
            </w:r>
          </w:p>
        </w:tc>
        <w:tc>
          <w:tcPr>
            <w:tcW w:w="1690" w:type="dxa"/>
            <w:hideMark/>
          </w:tcPr>
          <w:p w14:paraId="098D3273" w14:textId="77777777" w:rsidR="00AA7E95" w:rsidRPr="001B3BA3" w:rsidRDefault="00AA7E95" w:rsidP="00AA7E95">
            <w:pPr>
              <w:jc w:val="center"/>
            </w:pPr>
            <w:r w:rsidRPr="001B3BA3">
              <w:t>100/25%</w:t>
            </w:r>
          </w:p>
        </w:tc>
        <w:tc>
          <w:tcPr>
            <w:tcW w:w="1653" w:type="dxa"/>
            <w:hideMark/>
          </w:tcPr>
          <w:p w14:paraId="08D52924" w14:textId="77777777" w:rsidR="00AA7E95" w:rsidRPr="001B3BA3" w:rsidRDefault="00AA7E95" w:rsidP="00AA7E95">
            <w:pPr>
              <w:jc w:val="center"/>
            </w:pPr>
            <w:r w:rsidRPr="001B3BA3">
              <w:t>16/1%</w:t>
            </w:r>
          </w:p>
        </w:tc>
        <w:tc>
          <w:tcPr>
            <w:tcW w:w="1418" w:type="dxa"/>
            <w:hideMark/>
          </w:tcPr>
          <w:p w14:paraId="749808DD" w14:textId="77777777" w:rsidR="00AA7E95" w:rsidRPr="001B3BA3" w:rsidRDefault="00AA7E95" w:rsidP="00AA7E95">
            <w:pPr>
              <w:jc w:val="center"/>
            </w:pPr>
            <w:r w:rsidRPr="001B3BA3">
              <w:t>5/ 1%</w:t>
            </w:r>
          </w:p>
        </w:tc>
        <w:tc>
          <w:tcPr>
            <w:tcW w:w="1422" w:type="dxa"/>
            <w:hideMark/>
          </w:tcPr>
          <w:p w14:paraId="07990EBC" w14:textId="77777777" w:rsidR="00AA7E95" w:rsidRPr="001B3BA3" w:rsidRDefault="00AA7E95" w:rsidP="00AA7E95">
            <w:pPr>
              <w:jc w:val="center"/>
            </w:pPr>
            <w:r w:rsidRPr="001B3BA3">
              <w:t>44/5%</w:t>
            </w:r>
          </w:p>
        </w:tc>
      </w:tr>
      <w:tr w:rsidR="00AA7E95" w:rsidRPr="001B3BA3" w14:paraId="0E0DBCC0" w14:textId="77777777" w:rsidTr="00E9120C">
        <w:trPr>
          <w:gridAfter w:val="1"/>
          <w:wAfter w:w="17" w:type="dxa"/>
          <w:trHeight w:val="94"/>
        </w:trPr>
        <w:tc>
          <w:tcPr>
            <w:tcW w:w="2551" w:type="dxa"/>
            <w:hideMark/>
          </w:tcPr>
          <w:p w14:paraId="714C4DDC" w14:textId="77777777" w:rsidR="00AA7E95" w:rsidRPr="001B3BA3" w:rsidRDefault="00AA7E95" w:rsidP="00AA7E95">
            <w:r w:rsidRPr="001B3BA3">
              <w:t>Risk of mild frailty</w:t>
            </w:r>
          </w:p>
        </w:tc>
        <w:tc>
          <w:tcPr>
            <w:tcW w:w="1452" w:type="dxa"/>
            <w:hideMark/>
          </w:tcPr>
          <w:p w14:paraId="1753E43D" w14:textId="77777777" w:rsidR="00AA7E95" w:rsidRPr="001B3BA3" w:rsidRDefault="00AA7E95" w:rsidP="00F5446B">
            <w:pPr>
              <w:jc w:val="center"/>
            </w:pPr>
            <w:r>
              <w:t>11%</w:t>
            </w:r>
            <w:r w:rsidRPr="001B3BA3">
              <w:t>/</w:t>
            </w:r>
            <w:r>
              <w:t>4</w:t>
            </w:r>
            <w:r w:rsidRPr="001B3BA3">
              <w:t>%</w:t>
            </w:r>
          </w:p>
        </w:tc>
        <w:tc>
          <w:tcPr>
            <w:tcW w:w="1276" w:type="dxa"/>
            <w:vMerge/>
            <w:hideMark/>
          </w:tcPr>
          <w:p w14:paraId="0867C09F" w14:textId="77777777" w:rsidR="00AA7E95" w:rsidRPr="001B3BA3" w:rsidRDefault="00AA7E95" w:rsidP="00AA7E95">
            <w:pPr>
              <w:jc w:val="center"/>
            </w:pPr>
          </w:p>
        </w:tc>
        <w:tc>
          <w:tcPr>
            <w:tcW w:w="1559" w:type="dxa"/>
            <w:hideMark/>
          </w:tcPr>
          <w:p w14:paraId="0F5539AE" w14:textId="77777777" w:rsidR="00AA7E95" w:rsidRPr="001B3BA3" w:rsidRDefault="00AA7E95" w:rsidP="00AA7E95">
            <w:pPr>
              <w:jc w:val="center"/>
            </w:pPr>
            <w:r w:rsidRPr="001B3BA3">
              <w:t>28/4%</w:t>
            </w:r>
          </w:p>
        </w:tc>
        <w:tc>
          <w:tcPr>
            <w:tcW w:w="1276" w:type="dxa"/>
            <w:vMerge/>
            <w:hideMark/>
          </w:tcPr>
          <w:p w14:paraId="5392783D" w14:textId="77777777" w:rsidR="00AA7E95" w:rsidRPr="001B3BA3" w:rsidRDefault="00AA7E95" w:rsidP="00AA7E95">
            <w:pPr>
              <w:jc w:val="center"/>
            </w:pPr>
          </w:p>
        </w:tc>
        <w:tc>
          <w:tcPr>
            <w:tcW w:w="1690" w:type="dxa"/>
            <w:hideMark/>
          </w:tcPr>
          <w:p w14:paraId="351BA68F" w14:textId="77777777" w:rsidR="00AA7E95" w:rsidRPr="001B3BA3" w:rsidRDefault="00AA7E95" w:rsidP="00AA7E95">
            <w:pPr>
              <w:jc w:val="center"/>
            </w:pPr>
            <w:r w:rsidRPr="001B3BA3">
              <w:t>50/9%</w:t>
            </w:r>
          </w:p>
        </w:tc>
        <w:tc>
          <w:tcPr>
            <w:tcW w:w="1653" w:type="dxa"/>
            <w:hideMark/>
          </w:tcPr>
          <w:p w14:paraId="00D19318" w14:textId="77777777" w:rsidR="00AA7E95" w:rsidRPr="001B3BA3" w:rsidRDefault="00AA7E95" w:rsidP="00AA7E95">
            <w:pPr>
              <w:jc w:val="center"/>
            </w:pPr>
            <w:r w:rsidRPr="001B3BA3">
              <w:t>17/4%</w:t>
            </w:r>
          </w:p>
        </w:tc>
        <w:tc>
          <w:tcPr>
            <w:tcW w:w="1418" w:type="dxa"/>
            <w:hideMark/>
          </w:tcPr>
          <w:p w14:paraId="0304BCB7" w14:textId="77777777" w:rsidR="00AA7E95" w:rsidRPr="001B3BA3" w:rsidRDefault="00AA7E95" w:rsidP="00AA7E95">
            <w:pPr>
              <w:jc w:val="center"/>
            </w:pPr>
            <w:r w:rsidRPr="001B3BA3">
              <w:t>12/1%</w:t>
            </w:r>
          </w:p>
        </w:tc>
        <w:tc>
          <w:tcPr>
            <w:tcW w:w="1422" w:type="dxa"/>
            <w:hideMark/>
          </w:tcPr>
          <w:p w14:paraId="67C86669" w14:textId="77777777" w:rsidR="00AA7E95" w:rsidRPr="001B3BA3" w:rsidRDefault="00AA7E95" w:rsidP="00AA7E95">
            <w:pPr>
              <w:jc w:val="center"/>
            </w:pPr>
            <w:r w:rsidRPr="001B3BA3">
              <w:t>45/8%</w:t>
            </w:r>
          </w:p>
        </w:tc>
      </w:tr>
      <w:tr w:rsidR="00AA7E95" w:rsidRPr="001B3BA3" w14:paraId="01A5DA04" w14:textId="77777777" w:rsidTr="00E9120C">
        <w:trPr>
          <w:gridAfter w:val="1"/>
          <w:wAfter w:w="17" w:type="dxa"/>
          <w:trHeight w:val="94"/>
        </w:trPr>
        <w:tc>
          <w:tcPr>
            <w:tcW w:w="2551" w:type="dxa"/>
            <w:hideMark/>
          </w:tcPr>
          <w:p w14:paraId="400EBA83" w14:textId="77777777" w:rsidR="00AA7E95" w:rsidRPr="001B3BA3" w:rsidRDefault="00AA7E95" w:rsidP="00AA7E95">
            <w:r w:rsidRPr="001B3BA3">
              <w:t>Risk of moderate frailty</w:t>
            </w:r>
          </w:p>
        </w:tc>
        <w:tc>
          <w:tcPr>
            <w:tcW w:w="1452" w:type="dxa"/>
            <w:hideMark/>
          </w:tcPr>
          <w:p w14:paraId="1016063D" w14:textId="77777777" w:rsidR="00AA7E95" w:rsidRPr="001B3BA3" w:rsidRDefault="00AA7E95" w:rsidP="00F5446B">
            <w:pPr>
              <w:jc w:val="center"/>
            </w:pPr>
            <w:r>
              <w:t>22%</w:t>
            </w:r>
            <w:r w:rsidRPr="001B3BA3">
              <w:t>/1</w:t>
            </w:r>
            <w:r>
              <w:t>6</w:t>
            </w:r>
            <w:r w:rsidRPr="001B3BA3">
              <w:t>%</w:t>
            </w:r>
          </w:p>
        </w:tc>
        <w:tc>
          <w:tcPr>
            <w:tcW w:w="1276" w:type="dxa"/>
            <w:vMerge/>
            <w:hideMark/>
          </w:tcPr>
          <w:p w14:paraId="37FA130D" w14:textId="77777777" w:rsidR="00AA7E95" w:rsidRPr="001B3BA3" w:rsidRDefault="00AA7E95" w:rsidP="00AA7E95">
            <w:pPr>
              <w:jc w:val="center"/>
            </w:pPr>
          </w:p>
        </w:tc>
        <w:tc>
          <w:tcPr>
            <w:tcW w:w="1559" w:type="dxa"/>
            <w:hideMark/>
          </w:tcPr>
          <w:p w14:paraId="0FB998BE" w14:textId="77777777" w:rsidR="00AA7E95" w:rsidRPr="001B3BA3" w:rsidRDefault="00AA7E95" w:rsidP="00AA7E95">
            <w:pPr>
              <w:jc w:val="center"/>
            </w:pPr>
            <w:r w:rsidRPr="001B3BA3">
              <w:t>49/10%</w:t>
            </w:r>
          </w:p>
        </w:tc>
        <w:tc>
          <w:tcPr>
            <w:tcW w:w="1276" w:type="dxa"/>
            <w:vMerge/>
            <w:hideMark/>
          </w:tcPr>
          <w:p w14:paraId="5E255B48" w14:textId="77777777" w:rsidR="00AA7E95" w:rsidRPr="001B3BA3" w:rsidRDefault="00AA7E95" w:rsidP="00AA7E95">
            <w:pPr>
              <w:jc w:val="center"/>
            </w:pPr>
          </w:p>
        </w:tc>
        <w:tc>
          <w:tcPr>
            <w:tcW w:w="1690" w:type="dxa"/>
            <w:hideMark/>
          </w:tcPr>
          <w:p w14:paraId="5A2BC414" w14:textId="77777777" w:rsidR="00AA7E95" w:rsidRPr="001B3BA3" w:rsidRDefault="00AA7E95" w:rsidP="00AA7E95">
            <w:pPr>
              <w:jc w:val="center"/>
            </w:pPr>
            <w:r w:rsidRPr="001B3BA3">
              <w:t>701/13%</w:t>
            </w:r>
          </w:p>
        </w:tc>
        <w:tc>
          <w:tcPr>
            <w:tcW w:w="1653" w:type="dxa"/>
            <w:hideMark/>
          </w:tcPr>
          <w:p w14:paraId="5C0E14D2" w14:textId="77777777" w:rsidR="00AA7E95" w:rsidRPr="001B3BA3" w:rsidRDefault="00AA7E95" w:rsidP="00AA7E95">
            <w:pPr>
              <w:jc w:val="center"/>
            </w:pPr>
            <w:r w:rsidRPr="001B3BA3">
              <w:t>55/25%</w:t>
            </w:r>
          </w:p>
        </w:tc>
        <w:tc>
          <w:tcPr>
            <w:tcW w:w="1418" w:type="dxa"/>
            <w:hideMark/>
          </w:tcPr>
          <w:p w14:paraId="2341A929" w14:textId="77777777" w:rsidR="00AA7E95" w:rsidRPr="001B3BA3" w:rsidRDefault="00AA7E95" w:rsidP="00AA7E95">
            <w:pPr>
              <w:jc w:val="center"/>
            </w:pPr>
            <w:r w:rsidRPr="001B3BA3">
              <w:t>25/5%</w:t>
            </w:r>
          </w:p>
        </w:tc>
        <w:tc>
          <w:tcPr>
            <w:tcW w:w="1422" w:type="dxa"/>
            <w:hideMark/>
          </w:tcPr>
          <w:p w14:paraId="290360D0" w14:textId="77777777" w:rsidR="00AA7E95" w:rsidRPr="001B3BA3" w:rsidRDefault="00AA7E95" w:rsidP="00AA7E95">
            <w:pPr>
              <w:jc w:val="center"/>
            </w:pPr>
            <w:r w:rsidRPr="001B3BA3">
              <w:t>66/22%</w:t>
            </w:r>
          </w:p>
        </w:tc>
      </w:tr>
      <w:tr w:rsidR="00AA7E95" w:rsidRPr="001B3BA3" w14:paraId="6E78A775" w14:textId="77777777" w:rsidTr="00E9120C">
        <w:trPr>
          <w:gridAfter w:val="1"/>
          <w:wAfter w:w="17" w:type="dxa"/>
          <w:trHeight w:val="94"/>
        </w:trPr>
        <w:tc>
          <w:tcPr>
            <w:tcW w:w="2551" w:type="dxa"/>
            <w:hideMark/>
          </w:tcPr>
          <w:p w14:paraId="52A985BF" w14:textId="77777777" w:rsidR="00AA7E95" w:rsidRPr="001B3BA3" w:rsidRDefault="00AA7E95" w:rsidP="00AA7E95">
            <w:r w:rsidRPr="001B3BA3">
              <w:t>Risk of severe frailty</w:t>
            </w:r>
          </w:p>
        </w:tc>
        <w:tc>
          <w:tcPr>
            <w:tcW w:w="1452" w:type="dxa"/>
            <w:hideMark/>
          </w:tcPr>
          <w:p w14:paraId="4C7CD65D" w14:textId="77777777" w:rsidR="00AA7E95" w:rsidRPr="001B3BA3" w:rsidRDefault="00AA7E95" w:rsidP="00F5446B">
            <w:pPr>
              <w:jc w:val="center"/>
            </w:pPr>
            <w:r>
              <w:t>30%</w:t>
            </w:r>
            <w:r w:rsidR="002441E2">
              <w:t>/</w:t>
            </w:r>
            <w:r>
              <w:t>40</w:t>
            </w:r>
            <w:r w:rsidRPr="001B3BA3">
              <w:t>%</w:t>
            </w:r>
          </w:p>
        </w:tc>
        <w:tc>
          <w:tcPr>
            <w:tcW w:w="1276" w:type="dxa"/>
            <w:vMerge/>
            <w:hideMark/>
          </w:tcPr>
          <w:p w14:paraId="6C389B41" w14:textId="77777777" w:rsidR="00AA7E95" w:rsidRPr="001B3BA3" w:rsidRDefault="00AA7E95" w:rsidP="00AA7E95">
            <w:pPr>
              <w:jc w:val="center"/>
            </w:pPr>
          </w:p>
        </w:tc>
        <w:tc>
          <w:tcPr>
            <w:tcW w:w="1559" w:type="dxa"/>
            <w:hideMark/>
          </w:tcPr>
          <w:p w14:paraId="52A8F4EA" w14:textId="77777777" w:rsidR="00AA7E95" w:rsidRPr="001B3BA3" w:rsidRDefault="00AA7E95" w:rsidP="00AA7E95">
            <w:pPr>
              <w:jc w:val="center"/>
            </w:pPr>
            <w:r w:rsidRPr="001B3BA3">
              <w:t>73/25%</w:t>
            </w:r>
          </w:p>
        </w:tc>
        <w:tc>
          <w:tcPr>
            <w:tcW w:w="1276" w:type="dxa"/>
            <w:vMerge/>
            <w:hideMark/>
          </w:tcPr>
          <w:p w14:paraId="36C888DA" w14:textId="77777777" w:rsidR="00AA7E95" w:rsidRPr="001B3BA3" w:rsidRDefault="00AA7E95" w:rsidP="00AA7E95">
            <w:pPr>
              <w:jc w:val="center"/>
            </w:pPr>
          </w:p>
        </w:tc>
        <w:tc>
          <w:tcPr>
            <w:tcW w:w="1690" w:type="dxa"/>
            <w:hideMark/>
          </w:tcPr>
          <w:p w14:paraId="4636F6DA" w14:textId="77777777" w:rsidR="00AA7E95" w:rsidRPr="001B3BA3" w:rsidRDefault="00AA7E95" w:rsidP="00AA7E95">
            <w:pPr>
              <w:jc w:val="center"/>
            </w:pPr>
            <w:r w:rsidRPr="001B3BA3">
              <w:t>89/56%</w:t>
            </w:r>
          </w:p>
        </w:tc>
        <w:tc>
          <w:tcPr>
            <w:tcW w:w="1653" w:type="dxa"/>
            <w:hideMark/>
          </w:tcPr>
          <w:p w14:paraId="45A8D300" w14:textId="77777777" w:rsidR="00AA7E95" w:rsidRPr="001B3BA3" w:rsidRDefault="00AA7E95" w:rsidP="00AA7E95">
            <w:pPr>
              <w:jc w:val="center"/>
            </w:pPr>
            <w:r w:rsidRPr="001B3BA3">
              <w:t>77/46%</w:t>
            </w:r>
          </w:p>
        </w:tc>
        <w:tc>
          <w:tcPr>
            <w:tcW w:w="1418" w:type="dxa"/>
            <w:hideMark/>
          </w:tcPr>
          <w:p w14:paraId="78B37D9D" w14:textId="77777777" w:rsidR="00AA7E95" w:rsidRPr="001B3BA3" w:rsidRDefault="00AA7E95" w:rsidP="00AA7E95">
            <w:pPr>
              <w:jc w:val="center"/>
            </w:pPr>
            <w:r w:rsidRPr="001B3BA3">
              <w:t>31/8%</w:t>
            </w:r>
          </w:p>
        </w:tc>
        <w:tc>
          <w:tcPr>
            <w:tcW w:w="1422" w:type="dxa"/>
            <w:hideMark/>
          </w:tcPr>
          <w:p w14:paraId="18E6EF57" w14:textId="77777777" w:rsidR="00AA7E95" w:rsidRPr="001B3BA3" w:rsidRDefault="00AA7E95" w:rsidP="00AA7E95">
            <w:pPr>
              <w:jc w:val="center"/>
            </w:pPr>
            <w:r w:rsidRPr="001B3BA3">
              <w:t>72/31%</w:t>
            </w:r>
          </w:p>
        </w:tc>
      </w:tr>
      <w:tr w:rsidR="00AA7E95" w:rsidRPr="001B3BA3" w14:paraId="63593C66" w14:textId="77777777" w:rsidTr="00E9120C">
        <w:trPr>
          <w:trHeight w:val="203"/>
        </w:trPr>
        <w:tc>
          <w:tcPr>
            <w:tcW w:w="14314" w:type="dxa"/>
            <w:gridSpan w:val="10"/>
            <w:hideMark/>
          </w:tcPr>
          <w:p w14:paraId="25BD1EF4" w14:textId="77777777" w:rsidR="00AA7E95" w:rsidRPr="001B3BA3" w:rsidRDefault="00AA7E95" w:rsidP="00AA7E95">
            <w:bookmarkStart w:id="5" w:name="_Hlk29331672"/>
            <w:r w:rsidRPr="001B3BA3">
              <w:t>Me</w:t>
            </w:r>
            <w:r>
              <w:t>di</w:t>
            </w:r>
            <w:r w:rsidRPr="001B3BA3">
              <w:t>an number of inpatient days in the year following treatment initiation</w:t>
            </w:r>
            <w:r w:rsidR="0078707F">
              <w:t xml:space="preserve"> </w:t>
            </w:r>
            <w:r w:rsidR="0078707F" w:rsidRPr="001B3BA3">
              <w:t>(</w:t>
            </w:r>
            <w:r w:rsidR="0078707F">
              <w:t>Interquartile range</w:t>
            </w:r>
            <w:r w:rsidR="0078707F" w:rsidRPr="001B3BA3">
              <w:t>)</w:t>
            </w:r>
          </w:p>
        </w:tc>
      </w:tr>
      <w:bookmarkEnd w:id="5"/>
      <w:tr w:rsidR="00AA7E95" w:rsidRPr="004B47D3" w14:paraId="4FE277CE" w14:textId="77777777" w:rsidTr="00E9120C">
        <w:trPr>
          <w:gridAfter w:val="1"/>
          <w:wAfter w:w="17" w:type="dxa"/>
          <w:trHeight w:val="94"/>
        </w:trPr>
        <w:tc>
          <w:tcPr>
            <w:tcW w:w="2551" w:type="dxa"/>
            <w:hideMark/>
          </w:tcPr>
          <w:p w14:paraId="716EF303" w14:textId="77777777" w:rsidR="00AA7E95" w:rsidRPr="004B47D3" w:rsidRDefault="00AA7E95" w:rsidP="00AA7E95">
            <w:r w:rsidRPr="004B47D3">
              <w:t>Not frail</w:t>
            </w:r>
          </w:p>
        </w:tc>
        <w:tc>
          <w:tcPr>
            <w:tcW w:w="1452" w:type="dxa"/>
            <w:hideMark/>
          </w:tcPr>
          <w:p w14:paraId="486DB1C0" w14:textId="77777777" w:rsidR="00AA7E95" w:rsidRPr="004B47D3" w:rsidRDefault="00AA7E95" w:rsidP="00AA7E95">
            <w:pPr>
              <w:jc w:val="center"/>
            </w:pPr>
            <w:r w:rsidRPr="004B47D3">
              <w:t>7 (</w:t>
            </w:r>
            <w:r w:rsidR="00312338" w:rsidRPr="004B47D3">
              <w:t>4-11</w:t>
            </w:r>
            <w:r w:rsidRPr="004B47D3">
              <w:t>)</w:t>
            </w:r>
          </w:p>
        </w:tc>
        <w:tc>
          <w:tcPr>
            <w:tcW w:w="1276" w:type="dxa"/>
            <w:hideMark/>
          </w:tcPr>
          <w:p w14:paraId="3348EFBD" w14:textId="77777777" w:rsidR="00AA7E95" w:rsidRPr="004B47D3" w:rsidRDefault="00AA7E95" w:rsidP="00AA7E95">
            <w:pPr>
              <w:jc w:val="center"/>
            </w:pPr>
            <w:r w:rsidRPr="004B47D3">
              <w:t>0 (</w:t>
            </w:r>
            <w:r w:rsidR="00542CE9" w:rsidRPr="004B47D3">
              <w:t>0-</w:t>
            </w:r>
            <w:r w:rsidRPr="004B47D3">
              <w:t>1)</w:t>
            </w:r>
          </w:p>
        </w:tc>
        <w:tc>
          <w:tcPr>
            <w:tcW w:w="1559" w:type="dxa"/>
            <w:hideMark/>
          </w:tcPr>
          <w:p w14:paraId="1021E919" w14:textId="77777777" w:rsidR="00AA7E95" w:rsidRPr="004B47D3" w:rsidRDefault="00AA7E95" w:rsidP="00AA7E95">
            <w:pPr>
              <w:jc w:val="center"/>
            </w:pPr>
          </w:p>
        </w:tc>
        <w:tc>
          <w:tcPr>
            <w:tcW w:w="1276" w:type="dxa"/>
            <w:hideMark/>
          </w:tcPr>
          <w:p w14:paraId="7FF829D6" w14:textId="77777777" w:rsidR="00AA7E95" w:rsidRPr="004B47D3" w:rsidRDefault="00AA7E95" w:rsidP="00AA7E95">
            <w:pPr>
              <w:jc w:val="center"/>
            </w:pPr>
          </w:p>
        </w:tc>
        <w:tc>
          <w:tcPr>
            <w:tcW w:w="1690" w:type="dxa"/>
            <w:hideMark/>
          </w:tcPr>
          <w:p w14:paraId="6E69FB10" w14:textId="77777777" w:rsidR="00AA7E95" w:rsidRPr="004B47D3" w:rsidRDefault="00AA7E95" w:rsidP="00AA7E95">
            <w:pPr>
              <w:jc w:val="center"/>
            </w:pPr>
            <w:r w:rsidRPr="004B47D3">
              <w:t>5 (</w:t>
            </w:r>
            <w:r w:rsidR="00C7265E" w:rsidRPr="004B47D3">
              <w:t>4-14</w:t>
            </w:r>
            <w:r w:rsidRPr="004B47D3">
              <w:t>)</w:t>
            </w:r>
          </w:p>
        </w:tc>
        <w:tc>
          <w:tcPr>
            <w:tcW w:w="1653" w:type="dxa"/>
            <w:hideMark/>
          </w:tcPr>
          <w:p w14:paraId="72D18C9F" w14:textId="29552695" w:rsidR="00AA7E95" w:rsidRPr="004B47D3" w:rsidRDefault="00AA7E95" w:rsidP="00CB1A60">
            <w:pPr>
              <w:jc w:val="center"/>
            </w:pPr>
            <w:r w:rsidRPr="004B47D3">
              <w:t>3 (</w:t>
            </w:r>
            <w:r w:rsidR="00CB1A60" w:rsidRPr="004B47D3">
              <w:t>2</w:t>
            </w:r>
            <w:r w:rsidR="00C7265E" w:rsidRPr="004B47D3">
              <w:t>-</w:t>
            </w:r>
            <w:r w:rsidR="00CB1A60" w:rsidRPr="004B47D3">
              <w:t>7</w:t>
            </w:r>
            <w:r w:rsidRPr="004B47D3">
              <w:t>)</w:t>
            </w:r>
          </w:p>
        </w:tc>
        <w:tc>
          <w:tcPr>
            <w:tcW w:w="1418" w:type="dxa"/>
            <w:hideMark/>
          </w:tcPr>
          <w:p w14:paraId="6C0C9AAF" w14:textId="77777777" w:rsidR="00AA7E95" w:rsidRPr="004B47D3" w:rsidRDefault="00AA7E95" w:rsidP="00AA7E95">
            <w:pPr>
              <w:jc w:val="center"/>
            </w:pPr>
            <w:r w:rsidRPr="004B47D3">
              <w:t>3 (</w:t>
            </w:r>
            <w:r w:rsidR="00C7265E" w:rsidRPr="004B47D3">
              <w:t>2-5</w:t>
            </w:r>
            <w:r w:rsidRPr="004B47D3">
              <w:t>)</w:t>
            </w:r>
          </w:p>
        </w:tc>
        <w:tc>
          <w:tcPr>
            <w:tcW w:w="1422" w:type="dxa"/>
            <w:hideMark/>
          </w:tcPr>
          <w:p w14:paraId="3A970D35" w14:textId="77777777" w:rsidR="00AA7E95" w:rsidRPr="004B47D3" w:rsidRDefault="00AA7E95" w:rsidP="00AA7E95">
            <w:pPr>
              <w:jc w:val="center"/>
            </w:pPr>
            <w:r w:rsidRPr="004B47D3">
              <w:t>6 (</w:t>
            </w:r>
            <w:r w:rsidR="00C7265E" w:rsidRPr="004B47D3">
              <w:t>3-14</w:t>
            </w:r>
            <w:r w:rsidRPr="004B47D3">
              <w:t>)</w:t>
            </w:r>
          </w:p>
        </w:tc>
      </w:tr>
      <w:tr w:rsidR="00AA7E95" w:rsidRPr="004B47D3" w14:paraId="1D493BAD" w14:textId="77777777" w:rsidTr="000D1885">
        <w:trPr>
          <w:gridAfter w:val="1"/>
          <w:wAfter w:w="17" w:type="dxa"/>
          <w:trHeight w:val="94"/>
        </w:trPr>
        <w:tc>
          <w:tcPr>
            <w:tcW w:w="2551" w:type="dxa"/>
            <w:hideMark/>
          </w:tcPr>
          <w:p w14:paraId="3E1AF39A" w14:textId="77777777" w:rsidR="00AA7E95" w:rsidRPr="004B47D3" w:rsidRDefault="00AA7E95" w:rsidP="00AA7E95">
            <w:r w:rsidRPr="004B47D3">
              <w:t>Risk of mild frailty</w:t>
            </w:r>
          </w:p>
        </w:tc>
        <w:tc>
          <w:tcPr>
            <w:tcW w:w="1452" w:type="dxa"/>
            <w:hideMark/>
          </w:tcPr>
          <w:p w14:paraId="2B0025A7" w14:textId="77777777" w:rsidR="00AA7E95" w:rsidRPr="004B47D3" w:rsidRDefault="00AA7E95" w:rsidP="00AA7E95">
            <w:pPr>
              <w:jc w:val="center"/>
            </w:pPr>
            <w:r w:rsidRPr="004B47D3">
              <w:t>10 (</w:t>
            </w:r>
            <w:r w:rsidR="00312338" w:rsidRPr="004B47D3">
              <w:t>5-17</w:t>
            </w:r>
            <w:r w:rsidRPr="004B47D3">
              <w:t>)</w:t>
            </w:r>
          </w:p>
        </w:tc>
        <w:tc>
          <w:tcPr>
            <w:tcW w:w="1276" w:type="dxa"/>
            <w:hideMark/>
          </w:tcPr>
          <w:p w14:paraId="3FB12ED1" w14:textId="77777777" w:rsidR="00AA7E95" w:rsidRPr="004B47D3" w:rsidRDefault="00AA7E95" w:rsidP="00AA7E95">
            <w:pPr>
              <w:jc w:val="center"/>
            </w:pPr>
            <w:r w:rsidRPr="004B47D3">
              <w:t>2 (</w:t>
            </w:r>
            <w:r w:rsidR="00542CE9" w:rsidRPr="004B47D3">
              <w:t>0-8</w:t>
            </w:r>
            <w:r w:rsidRPr="004B47D3">
              <w:t>)</w:t>
            </w:r>
          </w:p>
        </w:tc>
        <w:tc>
          <w:tcPr>
            <w:tcW w:w="1559" w:type="dxa"/>
            <w:hideMark/>
          </w:tcPr>
          <w:p w14:paraId="0B5DD5C8" w14:textId="77777777" w:rsidR="00AA7E95" w:rsidRPr="004B47D3" w:rsidRDefault="00AA7E95" w:rsidP="00AA7E95">
            <w:pPr>
              <w:jc w:val="center"/>
            </w:pPr>
            <w:r w:rsidRPr="004B47D3">
              <w:t>6 (</w:t>
            </w:r>
            <w:r w:rsidR="00312338" w:rsidRPr="004B47D3">
              <w:t>4-12</w:t>
            </w:r>
            <w:r w:rsidRPr="004B47D3">
              <w:t>)</w:t>
            </w:r>
          </w:p>
        </w:tc>
        <w:tc>
          <w:tcPr>
            <w:tcW w:w="1276" w:type="dxa"/>
            <w:hideMark/>
          </w:tcPr>
          <w:p w14:paraId="29DF0292" w14:textId="77777777" w:rsidR="00AA7E95" w:rsidRPr="004B47D3" w:rsidRDefault="00AA7E95" w:rsidP="00AA7E95">
            <w:pPr>
              <w:jc w:val="center"/>
            </w:pPr>
            <w:r w:rsidRPr="004B47D3">
              <w:t>1 (</w:t>
            </w:r>
            <w:r w:rsidR="00542CE9" w:rsidRPr="004B47D3">
              <w:t>0-5</w:t>
            </w:r>
            <w:r w:rsidRPr="004B47D3">
              <w:t>)</w:t>
            </w:r>
          </w:p>
        </w:tc>
        <w:tc>
          <w:tcPr>
            <w:tcW w:w="1690" w:type="dxa"/>
            <w:hideMark/>
          </w:tcPr>
          <w:p w14:paraId="6B725542" w14:textId="77777777" w:rsidR="00AA7E95" w:rsidRPr="004B47D3" w:rsidRDefault="00AA7E95" w:rsidP="00AA7E95">
            <w:pPr>
              <w:jc w:val="center"/>
            </w:pPr>
            <w:r w:rsidRPr="004B47D3">
              <w:t>8 (</w:t>
            </w:r>
            <w:r w:rsidR="00C7265E" w:rsidRPr="004B47D3">
              <w:t>4-15</w:t>
            </w:r>
            <w:r w:rsidRPr="004B47D3">
              <w:t>)</w:t>
            </w:r>
          </w:p>
        </w:tc>
        <w:tc>
          <w:tcPr>
            <w:tcW w:w="1653" w:type="dxa"/>
            <w:hideMark/>
          </w:tcPr>
          <w:p w14:paraId="1C3DA3FD" w14:textId="13CE3042" w:rsidR="00AA7E95" w:rsidRPr="004B47D3" w:rsidRDefault="00AA7E95" w:rsidP="00CB1A60">
            <w:pPr>
              <w:jc w:val="center"/>
            </w:pPr>
            <w:r w:rsidRPr="004B47D3">
              <w:t>3 (</w:t>
            </w:r>
            <w:r w:rsidR="00CB1A60" w:rsidRPr="004B47D3">
              <w:t>1</w:t>
            </w:r>
            <w:r w:rsidR="00C7265E" w:rsidRPr="004B47D3">
              <w:t>-</w:t>
            </w:r>
            <w:r w:rsidR="00CB1A60" w:rsidRPr="004B47D3">
              <w:t>9</w:t>
            </w:r>
            <w:r w:rsidRPr="004B47D3">
              <w:t>)</w:t>
            </w:r>
          </w:p>
        </w:tc>
        <w:tc>
          <w:tcPr>
            <w:tcW w:w="1418" w:type="dxa"/>
            <w:hideMark/>
          </w:tcPr>
          <w:p w14:paraId="03C8E0AE" w14:textId="77777777" w:rsidR="00AA7E95" w:rsidRPr="004B47D3" w:rsidRDefault="00AA7E95" w:rsidP="00AA7E95">
            <w:pPr>
              <w:jc w:val="center"/>
            </w:pPr>
            <w:r w:rsidRPr="004B47D3">
              <w:t>5 (</w:t>
            </w:r>
            <w:r w:rsidR="00C7265E" w:rsidRPr="004B47D3">
              <w:t>3-10</w:t>
            </w:r>
            <w:r w:rsidRPr="004B47D3">
              <w:t>)</w:t>
            </w:r>
          </w:p>
        </w:tc>
        <w:tc>
          <w:tcPr>
            <w:tcW w:w="1422" w:type="dxa"/>
            <w:shd w:val="clear" w:color="auto" w:fill="auto"/>
            <w:hideMark/>
          </w:tcPr>
          <w:p w14:paraId="4C60166D" w14:textId="081C8998" w:rsidR="00AA7E95" w:rsidRPr="004B47D3" w:rsidRDefault="00AA7E95" w:rsidP="00AA7E95">
            <w:pPr>
              <w:jc w:val="center"/>
            </w:pPr>
            <w:r w:rsidRPr="004B47D3">
              <w:t xml:space="preserve">11 </w:t>
            </w:r>
            <w:r w:rsidR="000D1885" w:rsidRPr="004B47D3">
              <w:t>(</w:t>
            </w:r>
            <w:r w:rsidR="00C7265E" w:rsidRPr="004B47D3">
              <w:t>5-22</w:t>
            </w:r>
            <w:r w:rsidRPr="004B47D3">
              <w:t>)</w:t>
            </w:r>
          </w:p>
        </w:tc>
      </w:tr>
      <w:tr w:rsidR="00AA7E95" w:rsidRPr="004B47D3" w14:paraId="78644CF0" w14:textId="77777777" w:rsidTr="00E9120C">
        <w:trPr>
          <w:gridAfter w:val="1"/>
          <w:wAfter w:w="17" w:type="dxa"/>
          <w:trHeight w:val="94"/>
        </w:trPr>
        <w:tc>
          <w:tcPr>
            <w:tcW w:w="2551" w:type="dxa"/>
            <w:hideMark/>
          </w:tcPr>
          <w:p w14:paraId="1D831ACA" w14:textId="77777777" w:rsidR="00AA7E95" w:rsidRPr="004B47D3" w:rsidRDefault="00AA7E95" w:rsidP="00AA7E95">
            <w:r w:rsidRPr="004B47D3">
              <w:t>Risk of moderate frailty</w:t>
            </w:r>
          </w:p>
        </w:tc>
        <w:tc>
          <w:tcPr>
            <w:tcW w:w="1452" w:type="dxa"/>
            <w:hideMark/>
          </w:tcPr>
          <w:p w14:paraId="49A78109" w14:textId="17496CEC" w:rsidR="00AA7E95" w:rsidRPr="004B47D3" w:rsidRDefault="000D1885" w:rsidP="000D1885">
            <w:pPr>
              <w:jc w:val="center"/>
            </w:pPr>
            <w:r w:rsidRPr="004B47D3">
              <w:t>17 (8–32)</w:t>
            </w:r>
          </w:p>
        </w:tc>
        <w:tc>
          <w:tcPr>
            <w:tcW w:w="1276" w:type="dxa"/>
            <w:hideMark/>
          </w:tcPr>
          <w:p w14:paraId="3A0E2550" w14:textId="77777777" w:rsidR="00AA7E95" w:rsidRPr="004B47D3" w:rsidRDefault="00AA7E95" w:rsidP="00AA7E95">
            <w:pPr>
              <w:jc w:val="center"/>
            </w:pPr>
            <w:r w:rsidRPr="004B47D3">
              <w:t>12 (</w:t>
            </w:r>
            <w:r w:rsidR="00542CE9" w:rsidRPr="004B47D3">
              <w:t>5-24</w:t>
            </w:r>
            <w:r w:rsidRPr="004B47D3">
              <w:t>)</w:t>
            </w:r>
          </w:p>
        </w:tc>
        <w:tc>
          <w:tcPr>
            <w:tcW w:w="1559" w:type="dxa"/>
            <w:hideMark/>
          </w:tcPr>
          <w:p w14:paraId="4BBA4F3E" w14:textId="77777777" w:rsidR="00AA7E95" w:rsidRPr="004B47D3" w:rsidRDefault="00AA7E95" w:rsidP="00AA7E95">
            <w:pPr>
              <w:jc w:val="center"/>
            </w:pPr>
            <w:r w:rsidRPr="004B47D3">
              <w:t>13 (</w:t>
            </w:r>
            <w:r w:rsidR="00312338" w:rsidRPr="004B47D3">
              <w:t>6-27</w:t>
            </w:r>
            <w:r w:rsidRPr="004B47D3">
              <w:t>)</w:t>
            </w:r>
          </w:p>
        </w:tc>
        <w:tc>
          <w:tcPr>
            <w:tcW w:w="1276" w:type="dxa"/>
            <w:hideMark/>
          </w:tcPr>
          <w:p w14:paraId="457EEDEA" w14:textId="77777777" w:rsidR="00AA7E95" w:rsidRPr="004B47D3" w:rsidRDefault="00AA7E95" w:rsidP="00AA7E95">
            <w:pPr>
              <w:jc w:val="center"/>
            </w:pPr>
            <w:r w:rsidRPr="004B47D3">
              <w:t>10 (</w:t>
            </w:r>
            <w:r w:rsidR="00542CE9" w:rsidRPr="004B47D3">
              <w:t>3-21</w:t>
            </w:r>
            <w:r w:rsidRPr="004B47D3">
              <w:t>)</w:t>
            </w:r>
          </w:p>
        </w:tc>
        <w:tc>
          <w:tcPr>
            <w:tcW w:w="1690" w:type="dxa"/>
            <w:hideMark/>
          </w:tcPr>
          <w:p w14:paraId="317A1588" w14:textId="77777777" w:rsidR="00AA7E95" w:rsidRPr="004B47D3" w:rsidRDefault="00AA7E95" w:rsidP="00AA7E95">
            <w:pPr>
              <w:jc w:val="center"/>
            </w:pPr>
            <w:r w:rsidRPr="004B47D3">
              <w:t>17 (</w:t>
            </w:r>
            <w:r w:rsidR="00C7265E" w:rsidRPr="004B47D3">
              <w:t>9-45</w:t>
            </w:r>
            <w:r w:rsidRPr="004B47D3">
              <w:t>)</w:t>
            </w:r>
          </w:p>
        </w:tc>
        <w:tc>
          <w:tcPr>
            <w:tcW w:w="1653" w:type="dxa"/>
            <w:hideMark/>
          </w:tcPr>
          <w:p w14:paraId="3398CEFC" w14:textId="77777777" w:rsidR="00AA7E95" w:rsidRPr="004B47D3" w:rsidRDefault="00AA7E95" w:rsidP="00AA7E95">
            <w:pPr>
              <w:jc w:val="center"/>
            </w:pPr>
            <w:r w:rsidRPr="004B47D3">
              <w:t>21 (</w:t>
            </w:r>
            <w:r w:rsidR="00C7265E" w:rsidRPr="004B47D3">
              <w:t>8-44</w:t>
            </w:r>
            <w:r w:rsidRPr="004B47D3">
              <w:t>)</w:t>
            </w:r>
          </w:p>
        </w:tc>
        <w:tc>
          <w:tcPr>
            <w:tcW w:w="1418" w:type="dxa"/>
            <w:hideMark/>
          </w:tcPr>
          <w:p w14:paraId="08496574" w14:textId="77777777" w:rsidR="00AA7E95" w:rsidRPr="004B47D3" w:rsidRDefault="00AA7E95" w:rsidP="00AA7E95">
            <w:pPr>
              <w:jc w:val="center"/>
            </w:pPr>
            <w:r w:rsidRPr="004B47D3">
              <w:t>13 (</w:t>
            </w:r>
            <w:r w:rsidR="00C7265E" w:rsidRPr="004B47D3">
              <w:t>7-24</w:t>
            </w:r>
            <w:r w:rsidRPr="004B47D3">
              <w:t>)</w:t>
            </w:r>
          </w:p>
        </w:tc>
        <w:tc>
          <w:tcPr>
            <w:tcW w:w="1422" w:type="dxa"/>
            <w:hideMark/>
          </w:tcPr>
          <w:p w14:paraId="02C5C6B2" w14:textId="77777777" w:rsidR="00AA7E95" w:rsidRPr="004B47D3" w:rsidRDefault="00AA7E95" w:rsidP="00AA7E95">
            <w:pPr>
              <w:jc w:val="center"/>
            </w:pPr>
            <w:r w:rsidRPr="004B47D3">
              <w:t>21 (</w:t>
            </w:r>
            <w:r w:rsidR="00C7265E" w:rsidRPr="004B47D3">
              <w:t>12-36</w:t>
            </w:r>
            <w:r w:rsidRPr="004B47D3">
              <w:t>)</w:t>
            </w:r>
          </w:p>
        </w:tc>
      </w:tr>
      <w:tr w:rsidR="00AA7E95" w:rsidRPr="001B3BA3" w14:paraId="288F1A09" w14:textId="77777777" w:rsidTr="00E9120C">
        <w:trPr>
          <w:gridAfter w:val="1"/>
          <w:wAfter w:w="17" w:type="dxa"/>
          <w:trHeight w:val="94"/>
        </w:trPr>
        <w:tc>
          <w:tcPr>
            <w:tcW w:w="2551" w:type="dxa"/>
            <w:hideMark/>
          </w:tcPr>
          <w:p w14:paraId="3AE88ED2" w14:textId="77777777" w:rsidR="00AA7E95" w:rsidRPr="004B47D3" w:rsidRDefault="00AA7E95" w:rsidP="00AA7E95">
            <w:r w:rsidRPr="004B47D3">
              <w:t>Risk of severe frailty</w:t>
            </w:r>
          </w:p>
        </w:tc>
        <w:tc>
          <w:tcPr>
            <w:tcW w:w="1452" w:type="dxa"/>
            <w:hideMark/>
          </w:tcPr>
          <w:p w14:paraId="06BBF3F8" w14:textId="77777777" w:rsidR="00AA7E95" w:rsidRPr="004B47D3" w:rsidRDefault="00AA7E95" w:rsidP="00AA7E95">
            <w:pPr>
              <w:jc w:val="center"/>
            </w:pPr>
            <w:r w:rsidRPr="004B47D3">
              <w:t>43 (</w:t>
            </w:r>
            <w:r w:rsidR="00312338" w:rsidRPr="004B47D3">
              <w:t>23-76</w:t>
            </w:r>
            <w:r w:rsidRPr="004B47D3">
              <w:t>)</w:t>
            </w:r>
          </w:p>
        </w:tc>
        <w:tc>
          <w:tcPr>
            <w:tcW w:w="1276" w:type="dxa"/>
            <w:hideMark/>
          </w:tcPr>
          <w:p w14:paraId="738B3739" w14:textId="77777777" w:rsidR="00AA7E95" w:rsidRPr="004B47D3" w:rsidRDefault="00AA7E95" w:rsidP="00AA7E95">
            <w:pPr>
              <w:jc w:val="center"/>
            </w:pPr>
            <w:r w:rsidRPr="004B47D3">
              <w:t>32 (</w:t>
            </w:r>
            <w:r w:rsidR="00542CE9" w:rsidRPr="004B47D3">
              <w:t>17-54</w:t>
            </w:r>
            <w:r w:rsidRPr="004B47D3">
              <w:t>)</w:t>
            </w:r>
          </w:p>
        </w:tc>
        <w:tc>
          <w:tcPr>
            <w:tcW w:w="1559" w:type="dxa"/>
            <w:hideMark/>
          </w:tcPr>
          <w:p w14:paraId="3ED28682" w14:textId="64D5CF51" w:rsidR="00AA7E95" w:rsidRPr="004B47D3" w:rsidRDefault="00AA7E95" w:rsidP="00CB1A60">
            <w:pPr>
              <w:jc w:val="center"/>
            </w:pPr>
            <w:r w:rsidRPr="004B47D3">
              <w:t>42 (</w:t>
            </w:r>
            <w:r w:rsidR="00312338" w:rsidRPr="004B47D3">
              <w:t>22-</w:t>
            </w:r>
            <w:r w:rsidR="00CB1A60" w:rsidRPr="004B47D3">
              <w:t>71</w:t>
            </w:r>
            <w:r w:rsidRPr="004B47D3">
              <w:t>)</w:t>
            </w:r>
          </w:p>
        </w:tc>
        <w:tc>
          <w:tcPr>
            <w:tcW w:w="1276" w:type="dxa"/>
            <w:hideMark/>
          </w:tcPr>
          <w:p w14:paraId="2D7F0C5C" w14:textId="77777777" w:rsidR="00AA7E95" w:rsidRPr="004B47D3" w:rsidRDefault="00AA7E95" w:rsidP="00AA7E95">
            <w:pPr>
              <w:jc w:val="center"/>
            </w:pPr>
            <w:r w:rsidRPr="004B47D3">
              <w:t>34 (</w:t>
            </w:r>
            <w:r w:rsidR="00542CE9" w:rsidRPr="004B47D3">
              <w:t>18-60</w:t>
            </w:r>
            <w:r w:rsidRPr="004B47D3">
              <w:t>)</w:t>
            </w:r>
          </w:p>
        </w:tc>
        <w:tc>
          <w:tcPr>
            <w:tcW w:w="1690" w:type="dxa"/>
            <w:hideMark/>
          </w:tcPr>
          <w:p w14:paraId="7E09E4CF" w14:textId="77777777" w:rsidR="00AA7E95" w:rsidRPr="004B47D3" w:rsidRDefault="00AA7E95" w:rsidP="00AA7E95">
            <w:pPr>
              <w:jc w:val="center"/>
            </w:pPr>
            <w:r w:rsidRPr="004B47D3">
              <w:t>46 (</w:t>
            </w:r>
            <w:r w:rsidR="00C7265E" w:rsidRPr="004B47D3">
              <w:t>30-137</w:t>
            </w:r>
            <w:r w:rsidRPr="004B47D3">
              <w:t>)</w:t>
            </w:r>
          </w:p>
        </w:tc>
        <w:tc>
          <w:tcPr>
            <w:tcW w:w="1653" w:type="dxa"/>
            <w:hideMark/>
          </w:tcPr>
          <w:p w14:paraId="5C9BCCAA" w14:textId="77777777" w:rsidR="00AA7E95" w:rsidRPr="004B47D3" w:rsidRDefault="00AA7E95" w:rsidP="00F5446B">
            <w:r w:rsidRPr="004B47D3">
              <w:t xml:space="preserve">    57 (</w:t>
            </w:r>
            <w:r w:rsidR="00C7265E" w:rsidRPr="004B47D3">
              <w:t>29-98</w:t>
            </w:r>
            <w:r w:rsidRPr="004B47D3">
              <w:t>)</w:t>
            </w:r>
          </w:p>
        </w:tc>
        <w:tc>
          <w:tcPr>
            <w:tcW w:w="1418" w:type="dxa"/>
            <w:hideMark/>
          </w:tcPr>
          <w:p w14:paraId="60076C26" w14:textId="77777777" w:rsidR="00AA7E95" w:rsidRPr="004B47D3" w:rsidRDefault="00AA7E95" w:rsidP="00AA7E95">
            <w:pPr>
              <w:jc w:val="center"/>
            </w:pPr>
            <w:r w:rsidRPr="004B47D3">
              <w:t>38 (</w:t>
            </w:r>
            <w:r w:rsidR="00C7265E" w:rsidRPr="004B47D3">
              <w:t>19-68</w:t>
            </w:r>
            <w:r w:rsidRPr="004B47D3">
              <w:t>)</w:t>
            </w:r>
          </w:p>
        </w:tc>
        <w:tc>
          <w:tcPr>
            <w:tcW w:w="1422" w:type="dxa"/>
            <w:hideMark/>
          </w:tcPr>
          <w:p w14:paraId="17CCD835" w14:textId="77777777" w:rsidR="00AA7E95" w:rsidRPr="001B3BA3" w:rsidRDefault="00AA7E95" w:rsidP="00AA7E95">
            <w:pPr>
              <w:jc w:val="center"/>
            </w:pPr>
            <w:r w:rsidRPr="004B47D3">
              <w:t>52 (</w:t>
            </w:r>
            <w:r w:rsidR="00C7265E" w:rsidRPr="004B47D3">
              <w:t>28-71</w:t>
            </w:r>
            <w:r w:rsidRPr="004B47D3">
              <w:t>)</w:t>
            </w:r>
          </w:p>
        </w:tc>
      </w:tr>
      <w:tr w:rsidR="00AA7E95" w:rsidRPr="001B3BA3" w14:paraId="6B0646A2" w14:textId="77777777" w:rsidTr="00E9120C">
        <w:trPr>
          <w:trHeight w:val="203"/>
        </w:trPr>
        <w:tc>
          <w:tcPr>
            <w:tcW w:w="14314" w:type="dxa"/>
            <w:gridSpan w:val="10"/>
            <w:hideMark/>
          </w:tcPr>
          <w:p w14:paraId="14E68844" w14:textId="77777777" w:rsidR="00AA7E95" w:rsidRPr="001B3BA3" w:rsidRDefault="00AA7E95" w:rsidP="00AA7E95">
            <w:r w:rsidRPr="001B3BA3">
              <w:t>Proportion of patients readmitted within 30 days as an emergency following discharge from index intervention</w:t>
            </w:r>
          </w:p>
        </w:tc>
      </w:tr>
      <w:tr w:rsidR="00AA7E95" w:rsidRPr="001B3BA3" w14:paraId="5010262C" w14:textId="77777777" w:rsidTr="00E9120C">
        <w:trPr>
          <w:gridAfter w:val="1"/>
          <w:wAfter w:w="17" w:type="dxa"/>
          <w:trHeight w:val="94"/>
        </w:trPr>
        <w:tc>
          <w:tcPr>
            <w:tcW w:w="2551" w:type="dxa"/>
            <w:hideMark/>
          </w:tcPr>
          <w:p w14:paraId="6AD09BF3" w14:textId="77777777" w:rsidR="00AA7E95" w:rsidRPr="001B3BA3" w:rsidRDefault="00AA7E95" w:rsidP="00AA7E95">
            <w:r w:rsidRPr="001B3BA3">
              <w:t>Not frail</w:t>
            </w:r>
          </w:p>
        </w:tc>
        <w:tc>
          <w:tcPr>
            <w:tcW w:w="1452" w:type="dxa"/>
            <w:hideMark/>
          </w:tcPr>
          <w:p w14:paraId="5FFBB715" w14:textId="77777777" w:rsidR="00AA7E95" w:rsidRPr="001B3BA3" w:rsidRDefault="00AA7E95" w:rsidP="00AA7E95">
            <w:pPr>
              <w:jc w:val="center"/>
            </w:pPr>
            <w:r w:rsidRPr="001B3BA3">
              <w:t>4%</w:t>
            </w:r>
          </w:p>
        </w:tc>
        <w:tc>
          <w:tcPr>
            <w:tcW w:w="1276" w:type="dxa"/>
            <w:hideMark/>
          </w:tcPr>
          <w:p w14:paraId="56AB7991" w14:textId="77777777" w:rsidR="00AA7E95" w:rsidRPr="001B3BA3" w:rsidRDefault="00AA7E95" w:rsidP="00AA7E95">
            <w:pPr>
              <w:jc w:val="center"/>
            </w:pPr>
            <w:r w:rsidRPr="001B3BA3">
              <w:t>3%</w:t>
            </w:r>
          </w:p>
        </w:tc>
        <w:tc>
          <w:tcPr>
            <w:tcW w:w="1559" w:type="dxa"/>
            <w:hideMark/>
          </w:tcPr>
          <w:p w14:paraId="0B63A0D2" w14:textId="36027F1B" w:rsidR="00AA7E95" w:rsidRPr="001B3BA3" w:rsidRDefault="000F335C" w:rsidP="00AA7E95">
            <w:pPr>
              <w:jc w:val="center"/>
            </w:pPr>
            <w:r w:rsidRPr="001B3BA3">
              <w:t>0%</w:t>
            </w:r>
          </w:p>
        </w:tc>
        <w:tc>
          <w:tcPr>
            <w:tcW w:w="1276" w:type="dxa"/>
            <w:hideMark/>
          </w:tcPr>
          <w:p w14:paraId="081D5669" w14:textId="6BF3C8BB" w:rsidR="00AA7E95" w:rsidRPr="001B3BA3" w:rsidRDefault="000F335C" w:rsidP="00AA7E95">
            <w:pPr>
              <w:jc w:val="center"/>
            </w:pPr>
            <w:r w:rsidRPr="001B3BA3">
              <w:t>0%</w:t>
            </w:r>
          </w:p>
        </w:tc>
        <w:tc>
          <w:tcPr>
            <w:tcW w:w="1690" w:type="dxa"/>
            <w:hideMark/>
          </w:tcPr>
          <w:p w14:paraId="68889D82" w14:textId="77777777" w:rsidR="00AA7E95" w:rsidRPr="001B3BA3" w:rsidRDefault="00AA7E95" w:rsidP="00AA7E95">
            <w:pPr>
              <w:jc w:val="center"/>
            </w:pPr>
            <w:r w:rsidRPr="001B3BA3">
              <w:t>0%</w:t>
            </w:r>
          </w:p>
        </w:tc>
        <w:tc>
          <w:tcPr>
            <w:tcW w:w="1653" w:type="dxa"/>
            <w:hideMark/>
          </w:tcPr>
          <w:p w14:paraId="5C0F7A3D" w14:textId="77777777" w:rsidR="00AA7E95" w:rsidRPr="001B3BA3" w:rsidRDefault="00AA7E95" w:rsidP="00AA7E95">
            <w:pPr>
              <w:jc w:val="center"/>
            </w:pPr>
            <w:r w:rsidRPr="001B3BA3">
              <w:t>4%</w:t>
            </w:r>
          </w:p>
        </w:tc>
        <w:tc>
          <w:tcPr>
            <w:tcW w:w="1418" w:type="dxa"/>
            <w:hideMark/>
          </w:tcPr>
          <w:p w14:paraId="58D15338" w14:textId="77777777" w:rsidR="00AA7E95" w:rsidRPr="001B3BA3" w:rsidRDefault="00AA7E95" w:rsidP="00AA7E95">
            <w:pPr>
              <w:jc w:val="center"/>
            </w:pPr>
            <w:r w:rsidRPr="001B3BA3">
              <w:t>0%</w:t>
            </w:r>
          </w:p>
        </w:tc>
        <w:tc>
          <w:tcPr>
            <w:tcW w:w="1422" w:type="dxa"/>
            <w:hideMark/>
          </w:tcPr>
          <w:p w14:paraId="71727C1C" w14:textId="77777777" w:rsidR="00AA7E95" w:rsidRPr="001B3BA3" w:rsidRDefault="00AA7E95" w:rsidP="00AA7E95">
            <w:pPr>
              <w:jc w:val="center"/>
            </w:pPr>
            <w:r w:rsidRPr="001B3BA3">
              <w:t>30%</w:t>
            </w:r>
          </w:p>
        </w:tc>
      </w:tr>
      <w:tr w:rsidR="00AA7E95" w:rsidRPr="001B3BA3" w14:paraId="4CCD7362" w14:textId="77777777" w:rsidTr="00E9120C">
        <w:trPr>
          <w:gridAfter w:val="1"/>
          <w:wAfter w:w="17" w:type="dxa"/>
          <w:trHeight w:val="94"/>
        </w:trPr>
        <w:tc>
          <w:tcPr>
            <w:tcW w:w="2551" w:type="dxa"/>
            <w:hideMark/>
          </w:tcPr>
          <w:p w14:paraId="16954452" w14:textId="77777777" w:rsidR="00AA7E95" w:rsidRPr="001B3BA3" w:rsidRDefault="00AA7E95" w:rsidP="00AA7E95">
            <w:r w:rsidRPr="001B3BA3">
              <w:t>Risk of mild frailty</w:t>
            </w:r>
          </w:p>
        </w:tc>
        <w:tc>
          <w:tcPr>
            <w:tcW w:w="1452" w:type="dxa"/>
            <w:hideMark/>
          </w:tcPr>
          <w:p w14:paraId="776ACB90" w14:textId="77777777" w:rsidR="00AA7E95" w:rsidRPr="001B3BA3" w:rsidRDefault="00AA7E95" w:rsidP="00AA7E95">
            <w:pPr>
              <w:jc w:val="center"/>
            </w:pPr>
            <w:r w:rsidRPr="001B3BA3">
              <w:t>6%</w:t>
            </w:r>
          </w:p>
        </w:tc>
        <w:tc>
          <w:tcPr>
            <w:tcW w:w="1276" w:type="dxa"/>
            <w:hideMark/>
          </w:tcPr>
          <w:p w14:paraId="571041FB" w14:textId="77777777" w:rsidR="00AA7E95" w:rsidRPr="001B3BA3" w:rsidRDefault="00AA7E95" w:rsidP="00AA7E95">
            <w:pPr>
              <w:jc w:val="center"/>
            </w:pPr>
            <w:r w:rsidRPr="001B3BA3">
              <w:t>15%</w:t>
            </w:r>
          </w:p>
        </w:tc>
        <w:tc>
          <w:tcPr>
            <w:tcW w:w="1559" w:type="dxa"/>
            <w:hideMark/>
          </w:tcPr>
          <w:p w14:paraId="25C01EF7" w14:textId="77777777" w:rsidR="00AA7E95" w:rsidRPr="001B3BA3" w:rsidRDefault="00AA7E95" w:rsidP="00AA7E95">
            <w:pPr>
              <w:jc w:val="center"/>
            </w:pPr>
            <w:r>
              <w:t>11%</w:t>
            </w:r>
          </w:p>
        </w:tc>
        <w:tc>
          <w:tcPr>
            <w:tcW w:w="1276" w:type="dxa"/>
            <w:hideMark/>
          </w:tcPr>
          <w:p w14:paraId="5670A8F8" w14:textId="77777777" w:rsidR="00AA7E95" w:rsidRPr="001B3BA3" w:rsidRDefault="00AA7E95" w:rsidP="00AA7E95">
            <w:pPr>
              <w:jc w:val="center"/>
            </w:pPr>
            <w:r>
              <w:t>12%</w:t>
            </w:r>
          </w:p>
        </w:tc>
        <w:tc>
          <w:tcPr>
            <w:tcW w:w="1690" w:type="dxa"/>
            <w:hideMark/>
          </w:tcPr>
          <w:p w14:paraId="3B0F179F" w14:textId="77777777" w:rsidR="00AA7E95" w:rsidRPr="001B3BA3" w:rsidRDefault="00AA7E95" w:rsidP="00AA7E95">
            <w:pPr>
              <w:jc w:val="center"/>
            </w:pPr>
            <w:r w:rsidRPr="001B3BA3">
              <w:t>6%</w:t>
            </w:r>
          </w:p>
        </w:tc>
        <w:tc>
          <w:tcPr>
            <w:tcW w:w="1653" w:type="dxa"/>
            <w:hideMark/>
          </w:tcPr>
          <w:p w14:paraId="4D0A0D52" w14:textId="77777777" w:rsidR="00AA7E95" w:rsidRPr="001B3BA3" w:rsidRDefault="00AA7E95" w:rsidP="00AA7E95">
            <w:pPr>
              <w:jc w:val="center"/>
            </w:pPr>
            <w:r w:rsidRPr="001B3BA3">
              <w:t>5%</w:t>
            </w:r>
          </w:p>
        </w:tc>
        <w:tc>
          <w:tcPr>
            <w:tcW w:w="1418" w:type="dxa"/>
            <w:hideMark/>
          </w:tcPr>
          <w:p w14:paraId="15ADE579" w14:textId="77777777" w:rsidR="00AA7E95" w:rsidRPr="001B3BA3" w:rsidRDefault="00AA7E95" w:rsidP="00AA7E95">
            <w:pPr>
              <w:jc w:val="center"/>
            </w:pPr>
            <w:r w:rsidRPr="001B3BA3">
              <w:t>0%</w:t>
            </w:r>
          </w:p>
        </w:tc>
        <w:tc>
          <w:tcPr>
            <w:tcW w:w="1422" w:type="dxa"/>
            <w:hideMark/>
          </w:tcPr>
          <w:p w14:paraId="4B490EE6" w14:textId="77777777" w:rsidR="00AA7E95" w:rsidRPr="001B3BA3" w:rsidRDefault="00AA7E95" w:rsidP="00AA7E95">
            <w:pPr>
              <w:jc w:val="center"/>
            </w:pPr>
            <w:r w:rsidRPr="001B3BA3">
              <w:t>3</w:t>
            </w:r>
            <w:r>
              <w:t>3</w:t>
            </w:r>
            <w:r w:rsidRPr="001B3BA3">
              <w:t>%</w:t>
            </w:r>
          </w:p>
        </w:tc>
      </w:tr>
      <w:tr w:rsidR="00AA7E95" w:rsidRPr="001B3BA3" w14:paraId="0316AB49" w14:textId="77777777" w:rsidTr="00E9120C">
        <w:trPr>
          <w:gridAfter w:val="1"/>
          <w:wAfter w:w="17" w:type="dxa"/>
          <w:trHeight w:val="94"/>
        </w:trPr>
        <w:tc>
          <w:tcPr>
            <w:tcW w:w="2551" w:type="dxa"/>
            <w:hideMark/>
          </w:tcPr>
          <w:p w14:paraId="00D04AAD" w14:textId="77777777" w:rsidR="00AA7E95" w:rsidRPr="001B3BA3" w:rsidRDefault="00AA7E95" w:rsidP="00AA7E95">
            <w:r w:rsidRPr="001B3BA3">
              <w:t>Risk of moderate frailty</w:t>
            </w:r>
          </w:p>
        </w:tc>
        <w:tc>
          <w:tcPr>
            <w:tcW w:w="1452" w:type="dxa"/>
            <w:hideMark/>
          </w:tcPr>
          <w:p w14:paraId="51CD7AAE" w14:textId="77777777" w:rsidR="00AA7E95" w:rsidRPr="001B3BA3" w:rsidRDefault="00AA7E95" w:rsidP="00AA7E95">
            <w:pPr>
              <w:jc w:val="center"/>
            </w:pPr>
            <w:r>
              <w:t>9</w:t>
            </w:r>
            <w:r w:rsidRPr="001B3BA3">
              <w:t>%</w:t>
            </w:r>
          </w:p>
        </w:tc>
        <w:tc>
          <w:tcPr>
            <w:tcW w:w="1276" w:type="dxa"/>
            <w:hideMark/>
          </w:tcPr>
          <w:p w14:paraId="52E84904" w14:textId="77777777" w:rsidR="00AA7E95" w:rsidRPr="001B3BA3" w:rsidRDefault="00AA7E95" w:rsidP="00AA7E95">
            <w:pPr>
              <w:jc w:val="center"/>
            </w:pPr>
            <w:r w:rsidRPr="001B3BA3">
              <w:t>26%</w:t>
            </w:r>
          </w:p>
        </w:tc>
        <w:tc>
          <w:tcPr>
            <w:tcW w:w="1559" w:type="dxa"/>
            <w:hideMark/>
          </w:tcPr>
          <w:p w14:paraId="344601A9" w14:textId="77777777" w:rsidR="00AA7E95" w:rsidRPr="001B3BA3" w:rsidRDefault="00AA7E95" w:rsidP="00AA7E95">
            <w:pPr>
              <w:jc w:val="center"/>
            </w:pPr>
            <w:r>
              <w:t>20%</w:t>
            </w:r>
          </w:p>
        </w:tc>
        <w:tc>
          <w:tcPr>
            <w:tcW w:w="1276" w:type="dxa"/>
            <w:hideMark/>
          </w:tcPr>
          <w:p w14:paraId="7CBA76C0" w14:textId="77777777" w:rsidR="00AA7E95" w:rsidRPr="001B3BA3" w:rsidRDefault="00AA7E95" w:rsidP="00AA7E95">
            <w:pPr>
              <w:jc w:val="center"/>
            </w:pPr>
            <w:r>
              <w:t>29%</w:t>
            </w:r>
          </w:p>
        </w:tc>
        <w:tc>
          <w:tcPr>
            <w:tcW w:w="1690" w:type="dxa"/>
            <w:hideMark/>
          </w:tcPr>
          <w:p w14:paraId="186A9319" w14:textId="77777777" w:rsidR="00AA7E95" w:rsidRPr="001B3BA3" w:rsidRDefault="00AA7E95" w:rsidP="00AA7E95">
            <w:pPr>
              <w:jc w:val="center"/>
            </w:pPr>
            <w:r w:rsidRPr="001B3BA3">
              <w:t>4%</w:t>
            </w:r>
          </w:p>
        </w:tc>
        <w:tc>
          <w:tcPr>
            <w:tcW w:w="1653" w:type="dxa"/>
            <w:hideMark/>
          </w:tcPr>
          <w:p w14:paraId="4B99D68F" w14:textId="77777777" w:rsidR="00AA7E95" w:rsidRPr="001B3BA3" w:rsidRDefault="00AA7E95" w:rsidP="00AA7E95">
            <w:pPr>
              <w:jc w:val="center"/>
            </w:pPr>
            <w:r w:rsidRPr="001B3BA3">
              <w:t>18%</w:t>
            </w:r>
          </w:p>
        </w:tc>
        <w:tc>
          <w:tcPr>
            <w:tcW w:w="1418" w:type="dxa"/>
            <w:hideMark/>
          </w:tcPr>
          <w:p w14:paraId="67C919CB" w14:textId="77777777" w:rsidR="00AA7E95" w:rsidRPr="001B3BA3" w:rsidRDefault="00AA7E95" w:rsidP="00AA7E95">
            <w:pPr>
              <w:jc w:val="center"/>
            </w:pPr>
            <w:r w:rsidRPr="001B3BA3">
              <w:t>0%</w:t>
            </w:r>
          </w:p>
        </w:tc>
        <w:tc>
          <w:tcPr>
            <w:tcW w:w="1422" w:type="dxa"/>
            <w:hideMark/>
          </w:tcPr>
          <w:p w14:paraId="28EF6587" w14:textId="77777777" w:rsidR="00AA7E95" w:rsidRPr="001B3BA3" w:rsidRDefault="00AA7E95" w:rsidP="00AA7E95">
            <w:pPr>
              <w:jc w:val="center"/>
            </w:pPr>
            <w:r w:rsidRPr="001B3BA3">
              <w:t>3</w:t>
            </w:r>
            <w:r>
              <w:t>9</w:t>
            </w:r>
            <w:r w:rsidRPr="001B3BA3">
              <w:t>%</w:t>
            </w:r>
          </w:p>
        </w:tc>
      </w:tr>
      <w:tr w:rsidR="00AA7E95" w:rsidRPr="001B3BA3" w14:paraId="7FD99B7B" w14:textId="77777777" w:rsidTr="00E9120C">
        <w:trPr>
          <w:gridAfter w:val="1"/>
          <w:wAfter w:w="17" w:type="dxa"/>
          <w:trHeight w:val="94"/>
        </w:trPr>
        <w:tc>
          <w:tcPr>
            <w:tcW w:w="2551" w:type="dxa"/>
            <w:hideMark/>
          </w:tcPr>
          <w:p w14:paraId="17B5CEB0" w14:textId="77777777" w:rsidR="00AA7E95" w:rsidRPr="001B3BA3" w:rsidRDefault="00AA7E95" w:rsidP="00AA7E95">
            <w:r w:rsidRPr="001B3BA3">
              <w:t>Risk of severe frailty</w:t>
            </w:r>
          </w:p>
        </w:tc>
        <w:tc>
          <w:tcPr>
            <w:tcW w:w="1452" w:type="dxa"/>
            <w:hideMark/>
          </w:tcPr>
          <w:p w14:paraId="34C6EE23" w14:textId="77777777" w:rsidR="00AA7E95" w:rsidRPr="001B3BA3" w:rsidRDefault="00AA7E95" w:rsidP="00AA7E95">
            <w:pPr>
              <w:jc w:val="center"/>
            </w:pPr>
            <w:r w:rsidRPr="001B3BA3">
              <w:t>1</w:t>
            </w:r>
            <w:r>
              <w:t>4</w:t>
            </w:r>
            <w:r w:rsidRPr="001B3BA3">
              <w:t>%</w:t>
            </w:r>
          </w:p>
        </w:tc>
        <w:tc>
          <w:tcPr>
            <w:tcW w:w="1276" w:type="dxa"/>
            <w:hideMark/>
          </w:tcPr>
          <w:p w14:paraId="4EAA8809" w14:textId="77777777" w:rsidR="00AA7E95" w:rsidRPr="001B3BA3" w:rsidRDefault="00AA7E95" w:rsidP="00AA7E95">
            <w:pPr>
              <w:jc w:val="center"/>
            </w:pPr>
            <w:r w:rsidRPr="001B3BA3">
              <w:t>30%</w:t>
            </w:r>
          </w:p>
        </w:tc>
        <w:tc>
          <w:tcPr>
            <w:tcW w:w="1559" w:type="dxa"/>
            <w:hideMark/>
          </w:tcPr>
          <w:p w14:paraId="7F319A81" w14:textId="77777777" w:rsidR="00AA7E95" w:rsidRPr="001B3BA3" w:rsidRDefault="00AA7E95" w:rsidP="00AA7E95">
            <w:pPr>
              <w:jc w:val="center"/>
            </w:pPr>
            <w:r>
              <w:t>35%</w:t>
            </w:r>
          </w:p>
        </w:tc>
        <w:tc>
          <w:tcPr>
            <w:tcW w:w="1276" w:type="dxa"/>
            <w:hideMark/>
          </w:tcPr>
          <w:p w14:paraId="2D0153E1" w14:textId="77777777" w:rsidR="00AA7E95" w:rsidRPr="001B3BA3" w:rsidRDefault="00AA7E95" w:rsidP="00AA7E95">
            <w:pPr>
              <w:jc w:val="center"/>
            </w:pPr>
            <w:r>
              <w:t>34%</w:t>
            </w:r>
          </w:p>
        </w:tc>
        <w:tc>
          <w:tcPr>
            <w:tcW w:w="1690" w:type="dxa"/>
            <w:hideMark/>
          </w:tcPr>
          <w:p w14:paraId="26FBB2E2" w14:textId="77777777" w:rsidR="00AA7E95" w:rsidRPr="001B3BA3" w:rsidRDefault="00AA7E95" w:rsidP="00AA7E95">
            <w:pPr>
              <w:jc w:val="center"/>
            </w:pPr>
            <w:r w:rsidRPr="001B3BA3">
              <w:t>22%</w:t>
            </w:r>
          </w:p>
        </w:tc>
        <w:tc>
          <w:tcPr>
            <w:tcW w:w="1653" w:type="dxa"/>
            <w:hideMark/>
          </w:tcPr>
          <w:p w14:paraId="210A6145" w14:textId="77777777" w:rsidR="00AA7E95" w:rsidRPr="001B3BA3" w:rsidRDefault="00AA7E95" w:rsidP="00AA7E95">
            <w:pPr>
              <w:jc w:val="center"/>
            </w:pPr>
            <w:r w:rsidRPr="001B3BA3">
              <w:t>2</w:t>
            </w:r>
            <w:r>
              <w:t>6</w:t>
            </w:r>
            <w:r w:rsidRPr="001B3BA3">
              <w:t>%</w:t>
            </w:r>
          </w:p>
        </w:tc>
        <w:tc>
          <w:tcPr>
            <w:tcW w:w="1418" w:type="dxa"/>
            <w:hideMark/>
          </w:tcPr>
          <w:p w14:paraId="26424D63" w14:textId="6CD07B19" w:rsidR="00AA7E95" w:rsidRPr="001B3BA3" w:rsidRDefault="000F335C" w:rsidP="00AA7E95">
            <w:pPr>
              <w:jc w:val="center"/>
            </w:pPr>
            <w:r>
              <w:t>0</w:t>
            </w:r>
            <w:r w:rsidR="00AA7E95" w:rsidRPr="001B3BA3">
              <w:t>%</w:t>
            </w:r>
          </w:p>
        </w:tc>
        <w:tc>
          <w:tcPr>
            <w:tcW w:w="1422" w:type="dxa"/>
            <w:hideMark/>
          </w:tcPr>
          <w:p w14:paraId="589FA714" w14:textId="77777777" w:rsidR="00AA7E95" w:rsidRPr="001B3BA3" w:rsidRDefault="00AA7E95" w:rsidP="00AA7E95">
            <w:pPr>
              <w:jc w:val="center"/>
            </w:pPr>
            <w:r w:rsidRPr="001B3BA3">
              <w:t>36%</w:t>
            </w:r>
          </w:p>
        </w:tc>
      </w:tr>
    </w:tbl>
    <w:p w14:paraId="5A2EA921" w14:textId="77777777" w:rsidR="001B3BA3" w:rsidRDefault="001B3BA3" w:rsidP="000B44F3">
      <w:pPr>
        <w:sectPr w:rsidR="001B3BA3" w:rsidSect="001B3BA3">
          <w:pgSz w:w="16838" w:h="11906" w:orient="landscape"/>
          <w:pgMar w:top="1440" w:right="1440" w:bottom="1440" w:left="1440" w:header="708" w:footer="708" w:gutter="0"/>
          <w:cols w:space="708"/>
          <w:docGrid w:linePitch="360"/>
        </w:sectPr>
      </w:pPr>
    </w:p>
    <w:p w14:paraId="4B1B431C" w14:textId="50F2A6C8" w:rsidR="0041321D" w:rsidRDefault="001B3BA3" w:rsidP="000B44F3">
      <w:r>
        <w:lastRenderedPageBreak/>
        <w:fldChar w:fldCharType="begin"/>
      </w:r>
      <w:r>
        <w:instrText xml:space="preserve"> REF _Ref28690396 \h </w:instrText>
      </w:r>
      <w:r>
        <w:fldChar w:fldCharType="separate"/>
      </w:r>
      <w:r w:rsidR="005E57EA">
        <w:t xml:space="preserve">Figure </w:t>
      </w:r>
      <w:r w:rsidR="005E57EA">
        <w:rPr>
          <w:noProof/>
        </w:rPr>
        <w:t>1</w:t>
      </w:r>
      <w:r>
        <w:fldChar w:fldCharType="end"/>
      </w:r>
      <w:r>
        <w:t xml:space="preserve"> shows the survival post-index procedure; severe frailty was a powerful discriminator of the risk of </w:t>
      </w:r>
      <w:r w:rsidR="000F335C">
        <w:t>death</w:t>
      </w:r>
      <w:r w:rsidR="0088009B">
        <w:t>;</w:t>
      </w:r>
      <w:r>
        <w:t xml:space="preserve"> between 25-40% of those with severe frailty </w:t>
      </w:r>
      <w:r w:rsidR="0088009B">
        <w:t>risk died</w:t>
      </w:r>
      <w:r>
        <w:t xml:space="preserve"> at 30 months across all specialties</w:t>
      </w:r>
      <w:r w:rsidR="00F5446B">
        <w:t xml:space="preserve"> (NB only in-hospital deaths captured, not those occurring out of hospital)</w:t>
      </w:r>
      <w:r>
        <w:t>.</w:t>
      </w:r>
    </w:p>
    <w:p w14:paraId="6FEA6721" w14:textId="727BE50C" w:rsidR="001B3BA3" w:rsidRDefault="001B3BA3" w:rsidP="000B44F3">
      <w:pPr>
        <w:pStyle w:val="Caption"/>
      </w:pPr>
      <w:bookmarkStart w:id="6" w:name="_Ref28690396"/>
      <w:r>
        <w:t xml:space="preserve">Figure </w:t>
      </w:r>
      <w:r w:rsidR="00B835CD">
        <w:rPr>
          <w:noProof/>
        </w:rPr>
        <w:fldChar w:fldCharType="begin"/>
      </w:r>
      <w:r w:rsidR="00B835CD">
        <w:rPr>
          <w:noProof/>
        </w:rPr>
        <w:instrText xml:space="preserve"> SEQ Figure \* ARABIC </w:instrText>
      </w:r>
      <w:r w:rsidR="00B835CD">
        <w:rPr>
          <w:noProof/>
        </w:rPr>
        <w:fldChar w:fldCharType="separate"/>
      </w:r>
      <w:r w:rsidR="005E57EA">
        <w:rPr>
          <w:noProof/>
        </w:rPr>
        <w:t>1</w:t>
      </w:r>
      <w:r w:rsidR="00B835CD">
        <w:rPr>
          <w:noProof/>
        </w:rPr>
        <w:fldChar w:fldCharType="end"/>
      </w:r>
      <w:bookmarkEnd w:id="6"/>
      <w:r>
        <w:t xml:space="preserve"> Survival curves for </w:t>
      </w:r>
      <w:r w:rsidR="000D1885">
        <w:t>30-month</w:t>
      </w:r>
      <w:r>
        <w:t xml:space="preserve"> </w:t>
      </w:r>
      <w:r w:rsidR="00F13E8A">
        <w:t xml:space="preserve">in-hospital </w:t>
      </w:r>
      <w:r>
        <w:t>mortality post index specialty intervention</w:t>
      </w:r>
      <w:r w:rsidR="000D1885">
        <w:t>,</w:t>
      </w:r>
      <w:r>
        <w:t xml:space="preserve"> by frailty risk</w:t>
      </w:r>
    </w:p>
    <w:p w14:paraId="160EEDFB" w14:textId="77777777" w:rsidR="005734B2" w:rsidRPr="005734B2" w:rsidRDefault="005734B2" w:rsidP="005734B2"/>
    <w:p w14:paraId="0E8354A7" w14:textId="0D8DD7DC" w:rsidR="0041321D" w:rsidRDefault="005734B2" w:rsidP="005734B2">
      <w:pPr>
        <w:jc w:val="center"/>
        <w:rPr>
          <w:noProof/>
          <w:lang w:val="en-GB"/>
        </w:rPr>
      </w:pPr>
      <w:r>
        <w:rPr>
          <w:noProof/>
          <w:lang w:val="en-GB"/>
        </w:rPr>
        <w:t>Insert Figure 1 about here</w:t>
      </w:r>
    </w:p>
    <w:p w14:paraId="159ECF3E" w14:textId="77777777" w:rsidR="005734B2" w:rsidRDefault="005734B2" w:rsidP="005734B2">
      <w:pPr>
        <w:jc w:val="center"/>
      </w:pPr>
    </w:p>
    <w:p w14:paraId="5F53414A" w14:textId="77777777" w:rsidR="00133635" w:rsidRDefault="00F31C93" w:rsidP="000B44F3">
      <w:r>
        <w:t xml:space="preserve">Elective TAVI, emergency TAVI, renal dialysis and spinal surgery </w:t>
      </w:r>
      <w:r w:rsidR="00800795">
        <w:t>patients had an increased risk of complications with frailty (Appendix 2). For neurosurgery patients there was a rise of admissions with a diagnosis of fall within one year of neurosurgery with frailty.</w:t>
      </w:r>
    </w:p>
    <w:p w14:paraId="17FC9DAF" w14:textId="77777777" w:rsidR="004D6B57" w:rsidRPr="007343C1" w:rsidRDefault="00001C79" w:rsidP="000B44F3">
      <w:pPr>
        <w:pStyle w:val="Heading1"/>
      </w:pPr>
      <w:r w:rsidRPr="007343C1">
        <w:t>DISCUSSIon</w:t>
      </w:r>
    </w:p>
    <w:p w14:paraId="513A0855" w14:textId="77777777" w:rsidR="00184391" w:rsidRDefault="00184391" w:rsidP="000B44F3">
      <w:r>
        <w:t>This</w:t>
      </w:r>
      <w:r w:rsidR="00FB0178">
        <w:t xml:space="preserve"> </w:t>
      </w:r>
      <w:r>
        <w:t>is</w:t>
      </w:r>
      <w:r w:rsidR="00FB0178">
        <w:t xml:space="preserve"> the first application of the HFRS to a national dataset, </w:t>
      </w:r>
      <w:r>
        <w:t>describing</w:t>
      </w:r>
      <w:r w:rsidR="00FB0178">
        <w:t xml:space="preserve"> service outcomes and </w:t>
      </w:r>
      <w:r>
        <w:t>mortality</w:t>
      </w:r>
      <w:r w:rsidR="00FB0178">
        <w:t xml:space="preserve"> for older people undergoing </w:t>
      </w:r>
      <w:r w:rsidR="00EE4DD8">
        <w:t>a</w:t>
      </w:r>
      <w:r w:rsidR="00152390">
        <w:t xml:space="preserve"> </w:t>
      </w:r>
      <w:r>
        <w:t>range</w:t>
      </w:r>
      <w:r w:rsidR="00FB0178">
        <w:t xml:space="preserve"> of </w:t>
      </w:r>
      <w:r w:rsidR="003A044E">
        <w:t xml:space="preserve">specialised </w:t>
      </w:r>
      <w:r w:rsidR="00FB0178">
        <w:t xml:space="preserve">interventions. </w:t>
      </w:r>
      <w:r w:rsidR="00A75E58">
        <w:t>Whilst there were differences in the precise number of individuals identified in registry data vs. SUS data</w:t>
      </w:r>
      <w:r w:rsidR="004C2BB8">
        <w:t xml:space="preserve"> the variance was 6% or less. </w:t>
      </w:r>
      <w:r w:rsidR="00A75E58">
        <w:t>For those who were identified in SUS data, w</w:t>
      </w:r>
      <w:r w:rsidR="00FB0178">
        <w:t xml:space="preserve">e have shown that it is </w:t>
      </w:r>
      <w:r>
        <w:t>feasible</w:t>
      </w:r>
      <w:r w:rsidR="00790829">
        <w:t xml:space="preserve"> as </w:t>
      </w:r>
      <w:r>
        <w:t xml:space="preserve">the vast majority (&gt;98%) of patients undergoing specialised interventions </w:t>
      </w:r>
      <w:r w:rsidR="00790829">
        <w:t>could</w:t>
      </w:r>
      <w:r>
        <w:t xml:space="preserve"> be risk stratified. </w:t>
      </w:r>
      <w:r w:rsidR="00790829">
        <w:t>Within</w:t>
      </w:r>
      <w:r>
        <w:t xml:space="preserve"> specialised services, the HFRS performs in a manner commensurate with the initial validation – namely that increasing frailty risk is associated with poorer outcomes</w:t>
      </w:r>
      <w:r w:rsidR="00F77490">
        <w:t xml:space="preserve"> and often </w:t>
      </w:r>
      <w:r w:rsidR="00F8145A">
        <w:t xml:space="preserve">higher </w:t>
      </w:r>
      <w:r w:rsidR="00F5446B">
        <w:t>use</w:t>
      </w:r>
      <w:r w:rsidR="00F8145A">
        <w:t xml:space="preserve"> of health care resource</w:t>
      </w:r>
      <w:r w:rsidR="00291EA9">
        <w:t xml:space="preserve"> in specific cohorts with specialised conditions</w:t>
      </w:r>
      <w:r>
        <w:t>.</w:t>
      </w:r>
    </w:p>
    <w:p w14:paraId="2D68E4BF" w14:textId="3429851E" w:rsidR="00B174F6" w:rsidRDefault="00B174F6" w:rsidP="000B44F3">
      <w:r>
        <w:t>Whilst a strength of this approach is the use of nationally representative data, t</w:t>
      </w:r>
      <w:r w:rsidR="00790829">
        <w:t>he HFRS does depend upon coding practice, which is known to vary across the country</w:t>
      </w:r>
      <w:r>
        <w:t xml:space="preserve">. However, </w:t>
      </w:r>
      <w:r w:rsidR="00790829">
        <w:t xml:space="preserve">in the original study </w:t>
      </w:r>
      <w:r w:rsidR="00790829">
        <w:fldChar w:fldCharType="begin"/>
      </w:r>
      <w:r w:rsidR="00790829">
        <w:instrText xml:space="preserve"> ADDIN EN.CITE &lt;EndNote&gt;&lt;Cite&gt;&lt;Author&gt;Gilbert&lt;/Author&gt;&lt;Year&gt;2018&lt;/Year&gt;&lt;RecNum&gt;4367&lt;/RecNum&gt;&lt;DisplayText&gt;[13]&lt;/DisplayText&gt;&lt;record&gt;&lt;rec-number&gt;4367&lt;/rec-number&gt;&lt;foreign-keys&gt;&lt;key app="EN" db-id="zs5ada52fwzzflexpwcv0awr0ptttxa9frxe" timestamp="1527143913"&gt;4367&lt;/key&gt;&lt;/foreign-keys&gt;&lt;ref-type name="Journal Article"&gt;17&lt;/ref-type&gt;&lt;contributors&gt;&lt;authors&gt;&lt;author&gt;Gilbert, Thomas&lt;/author&gt;&lt;author&gt;Neuburger, Jenny&lt;/author&gt;&lt;author&gt;Kraindler, Joshua&lt;/author&gt;&lt;author&gt;Keeble, Eilis&lt;/author&gt;&lt;author&gt;Smith, Paul&lt;/author&gt;&lt;author&gt;Ariti, Cono&lt;/author&gt;&lt;author&gt;Arora, Sandeepa&lt;/author&gt;&lt;author&gt;Street, Andrew&lt;/author&gt;&lt;author&gt;Parker, Stuart&lt;/author&gt;&lt;author&gt;Roberts, Helen C.&lt;/author&gt;&lt;author&gt;Bardsley, Martin&lt;/author&gt;&lt;author&gt;Conroy, Simon&lt;/author&gt;&lt;/authors&gt;&lt;/contributors&gt;&lt;titles&gt;&lt;title&gt;Development and validation of a Hospital Frailty Risk Score focusing on older people in acute care settings using electronic hospital records: an observational study&lt;/title&gt;&lt;secondary-title&gt;The Lancet&lt;/secondary-title&gt;&lt;/titles&gt;&lt;periodical&gt;&lt;full-title&gt;The Lancet&lt;/full-title&gt;&lt;/periodical&gt;&lt;pages&gt;1775-1782&lt;/pages&gt;&lt;volume&gt;391&lt;/volume&gt;&lt;number&gt;10132&lt;/number&gt;&lt;dates&gt;&lt;year&gt;2018&lt;/year&gt;&lt;/dates&gt;&lt;publisher&gt;Elsevier&lt;/publisher&gt;&lt;isbn&gt;0140-6736&lt;/isbn&gt;&lt;urls&gt;&lt;related-urls&gt;&lt;url&gt;http://dx.doi.org/10.1016/S0140-6736(18)30668-8&lt;/url&gt;&lt;/related-urls&gt;&lt;/urls&gt;&lt;electronic-resource-num&gt;10.1016/S0140-6736(18)30668-8&lt;/electronic-resource-num&gt;&lt;access-date&gt;2018/05/23&lt;/access-date&gt;&lt;/record&gt;&lt;/Cite&gt;&lt;/EndNote&gt;</w:instrText>
      </w:r>
      <w:r w:rsidR="00790829">
        <w:fldChar w:fldCharType="separate"/>
      </w:r>
      <w:r w:rsidR="00790829">
        <w:rPr>
          <w:noProof/>
        </w:rPr>
        <w:t>[13]</w:t>
      </w:r>
      <w:r w:rsidR="00790829">
        <w:fldChar w:fldCharType="end"/>
      </w:r>
      <w:r w:rsidR="00790829">
        <w:t xml:space="preserve">, coding variation did not alter the direction of the results, suggesting this is random rather than systematic error. </w:t>
      </w:r>
      <w:r>
        <w:t>SUS data only captures in-hospital deaths, so deaths occurring outside of hospital may have been missed, reducing the number of events and thus the precision of the study.</w:t>
      </w:r>
      <w:r w:rsidR="00873C87">
        <w:t xml:space="preserve"> </w:t>
      </w:r>
      <w:r w:rsidR="00873C87" w:rsidRPr="00873C87">
        <w:t>We estimated frailty at the time of the index presentation, but frailty can be dynamic, and may have changed over the course of follow-up, especially following an intervention. It would be interesting to explore the dynamic nature of frailty in future research.</w:t>
      </w:r>
    </w:p>
    <w:p w14:paraId="3A5E82D7" w14:textId="598EF541" w:rsidR="00184391" w:rsidRDefault="00184391" w:rsidP="000B44F3">
      <w:r w:rsidRPr="007343C1">
        <w:t xml:space="preserve">Although </w:t>
      </w:r>
      <w:r>
        <w:t xml:space="preserve">useful at a population health level, the HFRS is not designed to be used as a clinical decision making tool – patient assessments should always be individualised. </w:t>
      </w:r>
      <w:r w:rsidR="00790829">
        <w:t xml:space="preserve">Even frailty tools developed with specific specialised conditions in mind do not exhibit sufficiently robust predictive characteristics to direct individual patient </w:t>
      </w:r>
      <w:r w:rsidR="00876E85">
        <w:t>decision-making</w:t>
      </w:r>
      <w:r w:rsidR="00790829">
        <w:t xml:space="preserve"> </w:t>
      </w:r>
      <w:r w:rsidR="00790829" w:rsidRPr="007343C1">
        <w:fldChar w:fldCharType="begin">
          <w:fldData xml:space="preserve">PEVuZE5vdGU+PENpdGU+PEF1dGhvcj5LZWVibGU8L0F1dGhvcj48WWVhcj4yMDE5PC9ZZWFyPjxS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dGU+PEF1dGhvcj5Ib3VnaHRvbjwvQXV0aG9yPjxZZWFyPjkwMDA8L1llYXI+PFJlY051bT42ODg8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=
</w:fldData>
        </w:fldChar>
      </w:r>
      <w:r w:rsidR="00B57D78">
        <w:instrText xml:space="preserve"> ADDIN EN.CITE </w:instrText>
      </w:r>
      <w:r w:rsidR="00B57D78">
        <w:fldChar w:fldCharType="begin">
          <w:fldData xml:space="preserve">PEVuZE5vdGU+PENpdGU+PEF1dGhvcj5LZWVibGU8L0F1dGhvcj48WWVhcj4yMDE5PC9ZZWFyPjxS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ZWNobm9sb2dpZXM8L3JlbW90ZS1kYXRhYmFzZS1wcm92aWRlcj48L3JlY29yZD48L0NpdGU+PENp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=
</w:fldData>
        </w:fldChar>
      </w:r>
      <w:r w:rsidR="00B57D78">
        <w:instrText xml:space="preserve"> ADDIN EN.CITE.DATA </w:instrText>
      </w:r>
      <w:r w:rsidR="00B57D78">
        <w:fldChar w:fldCharType="end"/>
      </w:r>
      <w:r w:rsidR="00790829" w:rsidRPr="007343C1">
        <w:fldChar w:fldCharType="separate"/>
      </w:r>
      <w:r w:rsidR="00B57D78">
        <w:rPr>
          <w:noProof/>
        </w:rPr>
        <w:t>[2-11]</w:t>
      </w:r>
      <w:r w:rsidR="00790829" w:rsidRPr="007343C1">
        <w:fldChar w:fldCharType="end"/>
      </w:r>
      <w:r w:rsidR="00790829" w:rsidRPr="007343C1">
        <w:t xml:space="preserve">. </w:t>
      </w:r>
      <w:r>
        <w:t>However, the knowledge of the risk of frailty should sensitise the clinician to think about holistic assessment and prognosis when helping patients decide the right approach to their care.</w:t>
      </w:r>
      <w:r w:rsidR="00291EA9">
        <w:t xml:space="preserve"> For example, this data has underpinned specialties selected to participate in a national improvement programme designed to enhance the delivery of frailty-attuned care for older people with frailty and specialised conditions (</w:t>
      </w:r>
      <w:r w:rsidR="00291EA9" w:rsidRPr="00291EA9">
        <w:t>https://www.scfn.org.uk/</w:t>
      </w:r>
      <w:r w:rsidR="00291EA9">
        <w:t>).</w:t>
      </w:r>
    </w:p>
    <w:p w14:paraId="56CE4367" w14:textId="5847DF27" w:rsidR="00CC1D62" w:rsidRDefault="00001C79" w:rsidP="00CC1D62">
      <w:pPr>
        <w:rPr>
          <w:rFonts w:asciiTheme="minorHAnsi" w:hAnsiTheme="minorHAnsi" w:cstheme="minorBidi"/>
          <w:lang w:val="en-GB"/>
        </w:rPr>
      </w:pPr>
      <w:r w:rsidRPr="007343C1">
        <w:t xml:space="preserve">This methodology </w:t>
      </w:r>
      <w:r w:rsidR="00184391">
        <w:t>could</w:t>
      </w:r>
      <w:r w:rsidRPr="007343C1">
        <w:t xml:space="preserve"> be reproduced across</w:t>
      </w:r>
      <w:r w:rsidR="00184391">
        <w:t xml:space="preserve"> other</w:t>
      </w:r>
      <w:r w:rsidRPr="007343C1">
        <w:t xml:space="preserve"> specialties</w:t>
      </w:r>
      <w:r w:rsidR="00184391">
        <w:t>, but also general acute care,</w:t>
      </w:r>
      <w:r w:rsidRPr="007343C1">
        <w:t xml:space="preserve"> to understand population health needs without the </w:t>
      </w:r>
      <w:r w:rsidR="00184391">
        <w:t>need for manual frailty scores. This will provide a standardised approach to population risk stratification that could be used for benchmarking</w:t>
      </w:r>
      <w:r w:rsidR="000B44F3">
        <w:t xml:space="preserve"> </w:t>
      </w:r>
      <w:r w:rsidR="000B44F3">
        <w:fldChar w:fldCharType="begin"/>
      </w:r>
      <w:r w:rsidR="000B44F3">
        <w:instrText xml:space="preserve"> ADDIN EN.CITE &lt;EndNote&gt;&lt;Cite&gt;&lt;Author&gt;NHS Benchmarking Network&lt;/Author&gt;&lt;Year&gt;2016&lt;/Year&gt;&lt;RecNum&gt;3471&lt;/RecNum&gt;&lt;DisplayText&gt;[14]&lt;/DisplayText&gt;&lt;record&gt;&lt;rec-number&gt;3471&lt;/rec-number&gt;&lt;foreign-keys&gt;&lt;key app="EN" db-id="zs5ada52fwzzflexpwcv0awr0ptttxa9frxe" timestamp="1438876174"&gt;3471&lt;/key&gt;&lt;/foreign-keys&gt;&lt;ref-type name="Report"&gt;27&lt;/ref-type&gt;&lt;contributors&gt;&lt;authors&gt;&lt;author&gt;NHS Benchmarking Network,&lt;/author&gt;&lt;/authors&gt;&lt;/contributors&gt;&lt;titles&gt;&lt;title&gt;Older People in Acute Settings&lt;/title&gt;&lt;/titles&gt;&lt;dates&gt;&lt;year&gt;2016&lt;/year&gt;&lt;/dates&gt;&lt;publisher&gt;NHS Benchmarking Network&lt;/publisher&gt;&lt;urls&gt;&lt;/urls&gt;&lt;/record&gt;&lt;/Cite&gt;&lt;/EndNote&gt;</w:instrText>
      </w:r>
      <w:r w:rsidR="000B44F3">
        <w:fldChar w:fldCharType="separate"/>
      </w:r>
      <w:r w:rsidR="000B44F3">
        <w:rPr>
          <w:noProof/>
        </w:rPr>
        <w:t>[14]</w:t>
      </w:r>
      <w:r w:rsidR="000B44F3">
        <w:fldChar w:fldCharType="end"/>
      </w:r>
      <w:r w:rsidR="00184391">
        <w:t>, service evaluation or research. It could also be used by commissioners to take account of frailty distributions that vary across different settings</w:t>
      </w:r>
      <w:r w:rsidR="000B44F3">
        <w:t xml:space="preserve"> </w:t>
      </w:r>
      <w:r w:rsidR="000B44F3">
        <w:fldChar w:fldCharType="begin"/>
      </w:r>
      <w:r w:rsidR="000B44F3">
        <w:instrText xml:space="preserve"> ADDIN EN.CITE &lt;EndNote&gt;&lt;Cite&gt;&lt;Author&gt;Care&lt;/Author&gt;&lt;Year&gt;2019&lt;/Year&gt;&lt;RecNum&gt;5089&lt;/RecNum&gt;&lt;DisplayText&gt;[15]&lt;/DisplayText&gt;&lt;record&gt;&lt;rec-number&gt;5089&lt;/rec-number&gt;&lt;foreign-keys&gt;&lt;key app="EN" db-id="zs5ada52fwzzflexpwcv0awr0ptttxa9frxe" timestamp="1559722630"&gt;5089&lt;/key&gt;&lt;/foreign-keys&gt;&lt;ref-type name="Report"&gt;27&lt;/ref-type&gt;&lt;contributors&gt;&lt;authors&gt;&lt;author&gt;NHS Right Care&lt;/author&gt;&lt;/authors&gt;&lt;/contributors&gt;&lt;titles&gt;&lt;title&gt;NHS RightCare: Frailty Toolkit&lt;/title&gt;&lt;/titles&gt;&lt;dates&gt;&lt;year&gt;2019&lt;/year&gt;&lt;pub-dates&gt;&lt;date&gt;April 2019&lt;/date&gt;&lt;/pub-dates&gt;&lt;/dates&gt;&lt;pub-location&gt;London&lt;/pub-location&gt;&lt;publisher&gt;NHS England&lt;/publisher&gt;&lt;urls&gt;&lt;/urls&gt;&lt;electronic-resource-num&gt;Gateway ref: 000513&lt;/electronic-resource-num&gt;&lt;/record&gt;&lt;/Cite&gt;&lt;/EndNote&gt;</w:instrText>
      </w:r>
      <w:r w:rsidR="000B44F3">
        <w:fldChar w:fldCharType="separate"/>
      </w:r>
      <w:r w:rsidR="000B44F3">
        <w:rPr>
          <w:noProof/>
        </w:rPr>
        <w:t>[15]</w:t>
      </w:r>
      <w:r w:rsidR="000B44F3">
        <w:fldChar w:fldCharType="end"/>
      </w:r>
      <w:r w:rsidR="00184391">
        <w:t>.</w:t>
      </w:r>
      <w:r w:rsidR="00CC1D62">
        <w:t xml:space="preserve"> The HFRS is an example of the NHS Long Term plan </w:t>
      </w:r>
      <w:r w:rsidR="00F5446B">
        <w:t>(</w:t>
      </w:r>
      <w:hyperlink r:id="rId20" w:history="1">
        <w:r w:rsidR="000F335C" w:rsidRPr="0038320E">
          <w:rPr>
            <w:rStyle w:val="Hyperlink"/>
          </w:rPr>
          <w:t>https://www.longtermplan.nhs.uk/</w:t>
        </w:r>
      </w:hyperlink>
      <w:r w:rsidR="00F5446B">
        <w:t>)</w:t>
      </w:r>
      <w:r w:rsidR="000F335C">
        <w:t xml:space="preserve"> </w:t>
      </w:r>
      <w:r w:rsidR="00CC1D62">
        <w:t>commitment to using population health management solutions to match NHS resources to need. It states that by identifying groups of people who are at risk of adverse health outcomes we can predict the value for patients and the system from different health and care interventions</w:t>
      </w:r>
      <w:r w:rsidR="00F5446B">
        <w:t>.</w:t>
      </w:r>
    </w:p>
    <w:p w14:paraId="41FCA354" w14:textId="77777777" w:rsidR="0071476A" w:rsidRPr="007343C1" w:rsidRDefault="0071476A" w:rsidP="000B44F3"/>
    <w:p w14:paraId="7BE0A3E9" w14:textId="77777777" w:rsidR="00750DE8" w:rsidRPr="007343C1" w:rsidRDefault="00750DE8" w:rsidP="000B44F3">
      <w:pPr>
        <w:pStyle w:val="Heading2"/>
      </w:pPr>
      <w:r w:rsidRPr="007343C1">
        <w:t>Appendix 1 – Codes used to define patient populations</w:t>
      </w:r>
    </w:p>
    <w:p w14:paraId="73FD2358" w14:textId="77777777" w:rsidR="001311CC" w:rsidRPr="007343C1" w:rsidRDefault="001311CC" w:rsidP="000B44F3">
      <w:pPr>
        <w:pStyle w:val="Heading3"/>
      </w:pPr>
      <w:r w:rsidRPr="007343C1">
        <w:t>Adult Critical Care</w:t>
      </w:r>
    </w:p>
    <w:p w14:paraId="5141D0FE" w14:textId="77777777" w:rsidR="008E5FD2" w:rsidRPr="007343C1" w:rsidRDefault="008E5FD2" w:rsidP="000B44F3">
      <w:r w:rsidRPr="007343C1">
        <w:t>Patients with one or more records in the SUS Plus PbR critical care dataset, spells selected from discharges in 2017/18</w:t>
      </w:r>
    </w:p>
    <w:p w14:paraId="64FB7B02" w14:textId="77777777" w:rsidR="00750DE8" w:rsidRPr="007343C1" w:rsidRDefault="001311CC" w:rsidP="000B44F3">
      <w:pPr>
        <w:pStyle w:val="Heading3"/>
      </w:pPr>
      <w:r w:rsidRPr="007343C1">
        <w:t>Chemotherapy</w:t>
      </w:r>
    </w:p>
    <w:p w14:paraId="1EAAFAA8" w14:textId="77777777" w:rsidR="001311CC" w:rsidRPr="007343C1" w:rsidRDefault="001311CC" w:rsidP="000B44F3">
      <w:r w:rsidRPr="007343C1">
        <w:rPr>
          <w:noProof/>
          <w:lang w:val="en-GB"/>
        </w:rPr>
        <w:drawing>
          <wp:inline distT="0" distB="0" distL="0" distR="0" wp14:anchorId="2D82CFDA" wp14:editId="0E6C9E43">
            <wp:extent cx="5676405" cy="284718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9390" cy="2858711"/>
                    </a:xfrm>
                    <a:prstGeom prst="rect">
                      <a:avLst/>
                    </a:prstGeom>
                    <a:noFill/>
                  </pic:spPr>
                </pic:pic>
              </a:graphicData>
            </a:graphic>
          </wp:inline>
        </w:drawing>
      </w:r>
    </w:p>
    <w:p w14:paraId="205ECD55" w14:textId="77777777" w:rsidR="001311CC" w:rsidRPr="007343C1" w:rsidRDefault="001311CC" w:rsidP="000B44F3">
      <w:pPr>
        <w:pStyle w:val="Heading3"/>
      </w:pPr>
      <w:r w:rsidRPr="007343C1">
        <w:t>Neurosurgery</w:t>
      </w:r>
    </w:p>
    <w:p w14:paraId="6FF80899" w14:textId="77777777" w:rsidR="001311CC" w:rsidRPr="007343C1" w:rsidRDefault="001311CC" w:rsidP="000B44F3">
      <w:r w:rsidRPr="007343C1">
        <w:rPr>
          <w:noProof/>
          <w:lang w:val="en-GB"/>
        </w:rPr>
        <w:drawing>
          <wp:inline distT="0" distB="0" distL="0" distR="0" wp14:anchorId="78002F6D" wp14:editId="3A28668E">
            <wp:extent cx="5676265" cy="316487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0811" cy="3178564"/>
                    </a:xfrm>
                    <a:prstGeom prst="rect">
                      <a:avLst/>
                    </a:prstGeom>
                    <a:noFill/>
                  </pic:spPr>
                </pic:pic>
              </a:graphicData>
            </a:graphic>
          </wp:inline>
        </w:drawing>
      </w:r>
    </w:p>
    <w:p w14:paraId="196EC3CE" w14:textId="77777777" w:rsidR="001311CC" w:rsidRPr="007343C1" w:rsidRDefault="001311CC" w:rsidP="000B44F3">
      <w:r w:rsidRPr="007343C1">
        <w:rPr>
          <w:noProof/>
          <w:lang w:val="en-GB"/>
        </w:rPr>
        <w:lastRenderedPageBreak/>
        <w:drawing>
          <wp:inline distT="0" distB="0" distL="0" distR="0" wp14:anchorId="3AF3161A" wp14:editId="1AA3A5FC">
            <wp:extent cx="2719449" cy="144906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9382" cy="1465015"/>
                    </a:xfrm>
                    <a:prstGeom prst="rect">
                      <a:avLst/>
                    </a:prstGeom>
                    <a:noFill/>
                  </pic:spPr>
                </pic:pic>
              </a:graphicData>
            </a:graphic>
          </wp:inline>
        </w:drawing>
      </w:r>
    </w:p>
    <w:p w14:paraId="495A70CE" w14:textId="77777777" w:rsidR="001311CC" w:rsidRPr="007343C1" w:rsidRDefault="001311CC" w:rsidP="000B44F3">
      <w:pPr>
        <w:pStyle w:val="Heading3"/>
      </w:pPr>
      <w:r w:rsidRPr="007343C1">
        <w:t>Renal</w:t>
      </w:r>
    </w:p>
    <w:p w14:paraId="2DA666CE" w14:textId="77777777" w:rsidR="001311CC" w:rsidRPr="007343C1" w:rsidRDefault="001311CC" w:rsidP="000B44F3">
      <w:r w:rsidRPr="007343C1">
        <w:t xml:space="preserve">The Renal Dialysis population was identified by inpatient records with a diagnosis code </w:t>
      </w:r>
      <w:bookmarkStart w:id="7" w:name="_Hlk29381538"/>
      <w:r w:rsidRPr="007343C1">
        <w:t>N185</w:t>
      </w:r>
      <w:r w:rsidR="00044BAC" w:rsidRPr="007343C1">
        <w:t xml:space="preserve"> Chronic Kidney Disease Stage 5</w:t>
      </w:r>
      <w:r w:rsidRPr="007343C1">
        <w:t xml:space="preserve"> (in any position) and diagnosis Z992</w:t>
      </w:r>
      <w:r w:rsidR="00044BAC" w:rsidRPr="007343C1">
        <w:t xml:space="preserve"> Dependence on renal </w:t>
      </w:r>
      <w:r w:rsidR="00790829" w:rsidRPr="007343C1">
        <w:t>dialysis</w:t>
      </w:r>
      <w:r w:rsidRPr="007343C1">
        <w:t xml:space="preserve"> </w:t>
      </w:r>
      <w:bookmarkEnd w:id="7"/>
      <w:r w:rsidRPr="007343C1">
        <w:t>(in any position).</w:t>
      </w:r>
    </w:p>
    <w:p w14:paraId="63C2A9C0" w14:textId="77777777" w:rsidR="001311CC" w:rsidRPr="007343C1" w:rsidRDefault="001311CC" w:rsidP="000B44F3">
      <w:r w:rsidRPr="007343C1">
        <w:t>These criteria yield multiple records during 2017-18 (circa 58,000 records), for the purposes of this analysis only the first record in 2017-18 for this patient group is captured as an ‘index event’ (circa 22,000 patients).</w:t>
      </w:r>
    </w:p>
    <w:p w14:paraId="3DF71E71" w14:textId="77777777" w:rsidR="001311CC" w:rsidRPr="007343C1" w:rsidRDefault="001311CC" w:rsidP="000B44F3">
      <w:r w:rsidRPr="007343C1">
        <w:t xml:space="preserve">Additionally, those patients who have no inpatient record fitting the above criteria prior to their index event in 2017-18 </w:t>
      </w:r>
      <w:r w:rsidR="00790829">
        <w:t>were</w:t>
      </w:r>
      <w:r w:rsidRPr="007343C1">
        <w:t xml:space="preserve"> flagged. This proxy measure is intended to identify those patients starting dialysis in 2017-18</w:t>
      </w:r>
    </w:p>
    <w:p w14:paraId="4C5799E9" w14:textId="77777777" w:rsidR="001311CC" w:rsidRPr="007343C1" w:rsidRDefault="001311CC" w:rsidP="000B44F3">
      <w:r w:rsidRPr="007343C1">
        <w:rPr>
          <w:noProof/>
          <w:lang w:val="en-GB"/>
        </w:rPr>
        <w:drawing>
          <wp:inline distT="0" distB="0" distL="0" distR="0" wp14:anchorId="1323736A" wp14:editId="520F6C31">
            <wp:extent cx="5750048" cy="3123210"/>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8601" cy="3127855"/>
                    </a:xfrm>
                    <a:prstGeom prst="rect">
                      <a:avLst/>
                    </a:prstGeom>
                    <a:noFill/>
                  </pic:spPr>
                </pic:pic>
              </a:graphicData>
            </a:graphic>
          </wp:inline>
        </w:drawing>
      </w:r>
    </w:p>
    <w:p w14:paraId="57B856B6" w14:textId="77777777" w:rsidR="001311CC" w:rsidRDefault="001311CC" w:rsidP="000B44F3">
      <w:pPr>
        <w:pStyle w:val="Heading3"/>
      </w:pPr>
      <w:r w:rsidRPr="007343C1">
        <w:t>Spinal Surgery</w:t>
      </w:r>
    </w:p>
    <w:p w14:paraId="55E36081" w14:textId="77777777" w:rsidR="001311CC" w:rsidRPr="007343C1" w:rsidRDefault="00044BAC" w:rsidP="000B44F3">
      <w:r w:rsidRPr="007343C1">
        <w:rPr>
          <w:noProof/>
          <w:lang w:val="en-GB"/>
        </w:rPr>
        <w:lastRenderedPageBreak/>
        <w:drawing>
          <wp:inline distT="0" distB="0" distL="0" distR="0" wp14:anchorId="34B686F7" wp14:editId="59649289">
            <wp:extent cx="5914984" cy="274318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4933" cy="2747803"/>
                    </a:xfrm>
                    <a:prstGeom prst="rect">
                      <a:avLst/>
                    </a:prstGeom>
                    <a:noFill/>
                  </pic:spPr>
                </pic:pic>
              </a:graphicData>
            </a:graphic>
          </wp:inline>
        </w:drawing>
      </w:r>
    </w:p>
    <w:p w14:paraId="0EFA0D48" w14:textId="77777777" w:rsidR="001311CC" w:rsidRPr="007343C1" w:rsidRDefault="001311CC" w:rsidP="000B44F3">
      <w:pPr>
        <w:pStyle w:val="Heading3"/>
      </w:pPr>
      <w:r w:rsidRPr="007343C1">
        <w:t xml:space="preserve">Transaortic </w:t>
      </w:r>
      <w:r w:rsidR="00790829" w:rsidRPr="007343C1">
        <w:t xml:space="preserve">Valve Implantation </w:t>
      </w:r>
      <w:r w:rsidRPr="007343C1">
        <w:t>(TAVI)</w:t>
      </w:r>
    </w:p>
    <w:p w14:paraId="29DC4385" w14:textId="77777777" w:rsidR="00750DE8" w:rsidRPr="007343C1" w:rsidRDefault="00044BAC" w:rsidP="000B44F3">
      <w:r w:rsidRPr="007343C1">
        <w:rPr>
          <w:noProof/>
          <w:lang w:val="en-GB"/>
        </w:rPr>
        <w:drawing>
          <wp:inline distT="0" distB="0" distL="0" distR="0" wp14:anchorId="025685B0" wp14:editId="4C536456">
            <wp:extent cx="5915561" cy="280033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27776" cy="2806118"/>
                    </a:xfrm>
                    <a:prstGeom prst="rect">
                      <a:avLst/>
                    </a:prstGeom>
                    <a:noFill/>
                  </pic:spPr>
                </pic:pic>
              </a:graphicData>
            </a:graphic>
          </wp:inline>
        </w:drawing>
      </w:r>
    </w:p>
    <w:p w14:paraId="02172049" w14:textId="77777777" w:rsidR="0027564B" w:rsidRPr="007343C1" w:rsidRDefault="0087337E" w:rsidP="000B44F3">
      <w:r w:rsidRPr="007343C1">
        <w:rPr>
          <w:noProof/>
          <w:lang w:val="en-GB"/>
        </w:rPr>
        <w:lastRenderedPageBreak/>
        <w:drawing>
          <wp:inline distT="0" distB="0" distL="0" distR="0" wp14:anchorId="363D2850" wp14:editId="63405336">
            <wp:extent cx="5687728" cy="2989814"/>
            <wp:effectExtent l="0" t="0" r="825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2176" cy="2997409"/>
                    </a:xfrm>
                    <a:prstGeom prst="rect">
                      <a:avLst/>
                    </a:prstGeom>
                    <a:noFill/>
                  </pic:spPr>
                </pic:pic>
              </a:graphicData>
            </a:graphic>
          </wp:inline>
        </w:drawing>
      </w:r>
    </w:p>
    <w:p w14:paraId="4C3E3143" w14:textId="77777777" w:rsidR="00790829" w:rsidRDefault="00F31C93" w:rsidP="000B44F3">
      <w:pPr>
        <w:pStyle w:val="Heading2"/>
      </w:pPr>
      <w:r>
        <w:t>APPENDIX 2 – SPECIALTY SPECIFIC METRICS</w:t>
      </w:r>
    </w:p>
    <w:p w14:paraId="08F4BFA5" w14:textId="77777777" w:rsidR="00F31C93" w:rsidRDefault="00F31C93" w:rsidP="00F31C93"/>
    <w:tbl>
      <w:tblPr>
        <w:tblStyle w:val="TableGrid"/>
        <w:tblW w:w="8926" w:type="dxa"/>
        <w:tblLayout w:type="fixed"/>
        <w:tblLook w:val="04A0" w:firstRow="1" w:lastRow="0" w:firstColumn="1" w:lastColumn="0" w:noHBand="0" w:noVBand="1"/>
      </w:tblPr>
      <w:tblGrid>
        <w:gridCol w:w="2551"/>
        <w:gridCol w:w="6375"/>
      </w:tblGrid>
      <w:tr w:rsidR="00800795" w:rsidRPr="001B3BA3" w14:paraId="19441512" w14:textId="77777777" w:rsidTr="000F01D4">
        <w:trPr>
          <w:trHeight w:val="203"/>
        </w:trPr>
        <w:tc>
          <w:tcPr>
            <w:tcW w:w="2551" w:type="dxa"/>
            <w:hideMark/>
          </w:tcPr>
          <w:p w14:paraId="3068E16D" w14:textId="77777777" w:rsidR="00800795" w:rsidRPr="001B3BA3" w:rsidRDefault="00800795" w:rsidP="00CD1231">
            <w:r w:rsidRPr="001B3BA3">
              <w:t>Neurosurgery</w:t>
            </w:r>
          </w:p>
        </w:tc>
        <w:tc>
          <w:tcPr>
            <w:tcW w:w="6375" w:type="dxa"/>
            <w:hideMark/>
          </w:tcPr>
          <w:p w14:paraId="429CED30" w14:textId="77777777" w:rsidR="00800795" w:rsidRPr="001B3BA3" w:rsidRDefault="00800795" w:rsidP="00CD1231">
            <w:pPr>
              <w:jc w:val="center"/>
            </w:pPr>
          </w:p>
        </w:tc>
      </w:tr>
      <w:tr w:rsidR="00800795" w:rsidRPr="001B3BA3" w14:paraId="2DDACFD4" w14:textId="77777777" w:rsidTr="000F01D4">
        <w:trPr>
          <w:trHeight w:val="203"/>
        </w:trPr>
        <w:tc>
          <w:tcPr>
            <w:tcW w:w="2551" w:type="dxa"/>
          </w:tcPr>
          <w:p w14:paraId="63E903B7" w14:textId="77777777" w:rsidR="00800795" w:rsidRPr="001B3BA3" w:rsidRDefault="00800795" w:rsidP="00CD1231"/>
        </w:tc>
        <w:tc>
          <w:tcPr>
            <w:tcW w:w="6375" w:type="dxa"/>
          </w:tcPr>
          <w:p w14:paraId="7D407BD0" w14:textId="6D368D50" w:rsidR="00800795" w:rsidRDefault="000F335C" w:rsidP="00CD1231">
            <w:pPr>
              <w:jc w:val="center"/>
            </w:pPr>
            <w:r>
              <w:t>Mean</w:t>
            </w:r>
            <w:r w:rsidR="00800795">
              <w:t xml:space="preserve"> number of admissions within 1 year of surgery</w:t>
            </w:r>
          </w:p>
        </w:tc>
      </w:tr>
      <w:tr w:rsidR="00800795" w:rsidRPr="001B3BA3" w14:paraId="42A94DB7" w14:textId="77777777" w:rsidTr="000F01D4">
        <w:trPr>
          <w:trHeight w:val="94"/>
        </w:trPr>
        <w:tc>
          <w:tcPr>
            <w:tcW w:w="2551" w:type="dxa"/>
            <w:hideMark/>
          </w:tcPr>
          <w:p w14:paraId="3E63B5D5" w14:textId="77777777" w:rsidR="00800795" w:rsidRPr="001B3BA3" w:rsidRDefault="00800795" w:rsidP="00CD1231">
            <w:r w:rsidRPr="001B3BA3">
              <w:t>Risk of mild frailty</w:t>
            </w:r>
          </w:p>
        </w:tc>
        <w:tc>
          <w:tcPr>
            <w:tcW w:w="6375" w:type="dxa"/>
          </w:tcPr>
          <w:p w14:paraId="1243809A" w14:textId="63679A72" w:rsidR="00800795" w:rsidRPr="001B3BA3" w:rsidRDefault="000F335C" w:rsidP="00CD1231">
            <w:pPr>
              <w:jc w:val="center"/>
            </w:pPr>
            <w:r>
              <w:t>1.0</w:t>
            </w:r>
          </w:p>
        </w:tc>
      </w:tr>
      <w:tr w:rsidR="00800795" w:rsidRPr="001B3BA3" w14:paraId="665651D1" w14:textId="77777777" w:rsidTr="000F01D4">
        <w:trPr>
          <w:trHeight w:val="94"/>
        </w:trPr>
        <w:tc>
          <w:tcPr>
            <w:tcW w:w="2551" w:type="dxa"/>
            <w:hideMark/>
          </w:tcPr>
          <w:p w14:paraId="7417410A" w14:textId="77777777" w:rsidR="00800795" w:rsidRPr="001B3BA3" w:rsidRDefault="00800795" w:rsidP="00CD1231">
            <w:r w:rsidRPr="001B3BA3">
              <w:t>Risk of moderate frailty</w:t>
            </w:r>
          </w:p>
        </w:tc>
        <w:tc>
          <w:tcPr>
            <w:tcW w:w="6375" w:type="dxa"/>
          </w:tcPr>
          <w:p w14:paraId="3B271B7D" w14:textId="7FA75AEC" w:rsidR="00800795" w:rsidRPr="001B3BA3" w:rsidRDefault="000F335C" w:rsidP="00CD1231">
            <w:pPr>
              <w:jc w:val="center"/>
            </w:pPr>
            <w:r>
              <w:t>2.0</w:t>
            </w:r>
          </w:p>
        </w:tc>
      </w:tr>
      <w:tr w:rsidR="00800795" w:rsidRPr="001B3BA3" w14:paraId="499A1EF8" w14:textId="77777777" w:rsidTr="000F01D4">
        <w:trPr>
          <w:trHeight w:val="94"/>
        </w:trPr>
        <w:tc>
          <w:tcPr>
            <w:tcW w:w="2551" w:type="dxa"/>
            <w:hideMark/>
          </w:tcPr>
          <w:p w14:paraId="188D9CBD" w14:textId="77777777" w:rsidR="00800795" w:rsidRPr="001B3BA3" w:rsidRDefault="00800795" w:rsidP="00CD1231">
            <w:r w:rsidRPr="001B3BA3">
              <w:t>Risk of severe frailty</w:t>
            </w:r>
          </w:p>
        </w:tc>
        <w:tc>
          <w:tcPr>
            <w:tcW w:w="6375" w:type="dxa"/>
          </w:tcPr>
          <w:p w14:paraId="0BC2C206" w14:textId="37710555" w:rsidR="00800795" w:rsidRPr="001B3BA3" w:rsidRDefault="000F335C" w:rsidP="00CD1231">
            <w:pPr>
              <w:jc w:val="center"/>
            </w:pPr>
            <w:r>
              <w:t>3.0</w:t>
            </w:r>
          </w:p>
        </w:tc>
      </w:tr>
      <w:tr w:rsidR="00800795" w:rsidRPr="001B3BA3" w14:paraId="2B062C80" w14:textId="77777777" w:rsidTr="000F01D4">
        <w:trPr>
          <w:trHeight w:val="94"/>
        </w:trPr>
        <w:tc>
          <w:tcPr>
            <w:tcW w:w="2551" w:type="dxa"/>
            <w:hideMark/>
          </w:tcPr>
          <w:p w14:paraId="38A2F22D" w14:textId="77777777" w:rsidR="00800795" w:rsidRPr="001B3BA3" w:rsidRDefault="00800795" w:rsidP="00800795"/>
        </w:tc>
        <w:tc>
          <w:tcPr>
            <w:tcW w:w="6375" w:type="dxa"/>
          </w:tcPr>
          <w:p w14:paraId="5E317945" w14:textId="631366B6" w:rsidR="00800795" w:rsidRPr="001B3BA3" w:rsidRDefault="000F335C" w:rsidP="000F335C">
            <w:pPr>
              <w:jc w:val="center"/>
            </w:pPr>
            <w:r>
              <w:t>Proportion</w:t>
            </w:r>
            <w:r w:rsidR="00800795">
              <w:t xml:space="preserve"> of patients admitted with fa</w:t>
            </w:r>
            <w:r>
              <w:t>l</w:t>
            </w:r>
            <w:r w:rsidR="00800795">
              <w:t>l</w:t>
            </w:r>
            <w:r>
              <w:t>s</w:t>
            </w:r>
            <w:r w:rsidR="00800795">
              <w:t xml:space="preserve"> within 18 months of surgery</w:t>
            </w:r>
          </w:p>
        </w:tc>
      </w:tr>
      <w:tr w:rsidR="00800795" w:rsidRPr="001B3BA3" w14:paraId="3B5CCAFA" w14:textId="77777777" w:rsidTr="000F01D4">
        <w:trPr>
          <w:trHeight w:val="94"/>
        </w:trPr>
        <w:tc>
          <w:tcPr>
            <w:tcW w:w="2551" w:type="dxa"/>
          </w:tcPr>
          <w:p w14:paraId="26E5FB93" w14:textId="77777777" w:rsidR="00800795" w:rsidRPr="001B3BA3" w:rsidRDefault="00800795" w:rsidP="00800795">
            <w:r w:rsidRPr="001B3BA3">
              <w:t>Risk of mild frailty</w:t>
            </w:r>
          </w:p>
        </w:tc>
        <w:tc>
          <w:tcPr>
            <w:tcW w:w="6375" w:type="dxa"/>
          </w:tcPr>
          <w:p w14:paraId="5FF0FE68" w14:textId="77777777" w:rsidR="00800795" w:rsidRPr="001B3BA3" w:rsidRDefault="00800795" w:rsidP="00800795">
            <w:pPr>
              <w:jc w:val="center"/>
            </w:pPr>
            <w:r>
              <w:t>12.5%</w:t>
            </w:r>
          </w:p>
        </w:tc>
      </w:tr>
      <w:tr w:rsidR="00800795" w:rsidRPr="001B3BA3" w14:paraId="3EE349A5" w14:textId="77777777" w:rsidTr="000F01D4">
        <w:trPr>
          <w:trHeight w:val="94"/>
        </w:trPr>
        <w:tc>
          <w:tcPr>
            <w:tcW w:w="2551" w:type="dxa"/>
          </w:tcPr>
          <w:p w14:paraId="71E3A193" w14:textId="77777777" w:rsidR="00800795" w:rsidRPr="001B3BA3" w:rsidRDefault="00800795" w:rsidP="00800795">
            <w:r w:rsidRPr="001B3BA3">
              <w:t>Risk of moderate frailty</w:t>
            </w:r>
          </w:p>
        </w:tc>
        <w:tc>
          <w:tcPr>
            <w:tcW w:w="6375" w:type="dxa"/>
          </w:tcPr>
          <w:p w14:paraId="44BA6C8D" w14:textId="77777777" w:rsidR="00800795" w:rsidRPr="001B3BA3" w:rsidRDefault="00800795" w:rsidP="00800795">
            <w:pPr>
              <w:jc w:val="center"/>
            </w:pPr>
            <w:r>
              <w:t>25.9%</w:t>
            </w:r>
          </w:p>
        </w:tc>
      </w:tr>
      <w:tr w:rsidR="00800795" w:rsidRPr="001B3BA3" w14:paraId="67BF8132" w14:textId="77777777" w:rsidTr="000F01D4">
        <w:trPr>
          <w:trHeight w:val="94"/>
        </w:trPr>
        <w:tc>
          <w:tcPr>
            <w:tcW w:w="2551" w:type="dxa"/>
          </w:tcPr>
          <w:p w14:paraId="308D126A" w14:textId="77777777" w:rsidR="00800795" w:rsidRPr="001B3BA3" w:rsidRDefault="00800795" w:rsidP="00800795">
            <w:r w:rsidRPr="001B3BA3">
              <w:t>Risk of severe frailty</w:t>
            </w:r>
          </w:p>
        </w:tc>
        <w:tc>
          <w:tcPr>
            <w:tcW w:w="6375" w:type="dxa"/>
          </w:tcPr>
          <w:p w14:paraId="2F082D52" w14:textId="77777777" w:rsidR="00800795" w:rsidRPr="001B3BA3" w:rsidRDefault="00800795" w:rsidP="00800795">
            <w:pPr>
              <w:jc w:val="center"/>
            </w:pPr>
            <w:r>
              <w:t>65.9%</w:t>
            </w:r>
          </w:p>
        </w:tc>
      </w:tr>
      <w:tr w:rsidR="00800795" w:rsidRPr="001B3BA3" w14:paraId="042A8F1E" w14:textId="77777777" w:rsidTr="000F01D4">
        <w:trPr>
          <w:trHeight w:val="94"/>
        </w:trPr>
        <w:tc>
          <w:tcPr>
            <w:tcW w:w="2551" w:type="dxa"/>
          </w:tcPr>
          <w:p w14:paraId="38CC5646" w14:textId="77777777" w:rsidR="00800795" w:rsidRPr="001B3BA3" w:rsidRDefault="00800795" w:rsidP="00CD1231"/>
        </w:tc>
        <w:tc>
          <w:tcPr>
            <w:tcW w:w="6375" w:type="dxa"/>
          </w:tcPr>
          <w:p w14:paraId="12167F9E" w14:textId="77777777" w:rsidR="00800795" w:rsidRPr="001B3BA3" w:rsidRDefault="00800795" w:rsidP="00CD1231">
            <w:pPr>
              <w:jc w:val="center"/>
            </w:pPr>
          </w:p>
        </w:tc>
      </w:tr>
      <w:tr w:rsidR="00800795" w:rsidRPr="001B3BA3" w14:paraId="425FCD77" w14:textId="77777777" w:rsidTr="000F01D4">
        <w:trPr>
          <w:trHeight w:val="94"/>
        </w:trPr>
        <w:tc>
          <w:tcPr>
            <w:tcW w:w="2551" w:type="dxa"/>
          </w:tcPr>
          <w:p w14:paraId="6FC126A5" w14:textId="77777777" w:rsidR="00800795" w:rsidRPr="001B3BA3" w:rsidRDefault="00800795" w:rsidP="00CD1231">
            <w:r w:rsidRPr="001B3BA3">
              <w:t>Renal</w:t>
            </w:r>
          </w:p>
        </w:tc>
        <w:tc>
          <w:tcPr>
            <w:tcW w:w="6375" w:type="dxa"/>
          </w:tcPr>
          <w:p w14:paraId="5FF48359" w14:textId="77777777" w:rsidR="00800795" w:rsidRPr="001B3BA3" w:rsidRDefault="00800795" w:rsidP="00CD1231">
            <w:pPr>
              <w:jc w:val="center"/>
            </w:pPr>
          </w:p>
        </w:tc>
      </w:tr>
      <w:tr w:rsidR="00800795" w:rsidRPr="001B3BA3" w14:paraId="21F2287D" w14:textId="77777777" w:rsidTr="000F01D4">
        <w:trPr>
          <w:trHeight w:val="94"/>
        </w:trPr>
        <w:tc>
          <w:tcPr>
            <w:tcW w:w="2551" w:type="dxa"/>
          </w:tcPr>
          <w:p w14:paraId="705A29CA" w14:textId="77777777" w:rsidR="00800795" w:rsidRPr="001B3BA3" w:rsidRDefault="00800795" w:rsidP="00CD1231"/>
        </w:tc>
        <w:tc>
          <w:tcPr>
            <w:tcW w:w="6375" w:type="dxa"/>
          </w:tcPr>
          <w:p w14:paraId="43F4D091" w14:textId="067E0B62" w:rsidR="00800795" w:rsidRPr="001B3BA3" w:rsidRDefault="000F335C" w:rsidP="00AC1B03">
            <w:pPr>
              <w:jc w:val="center"/>
            </w:pPr>
            <w:r>
              <w:t xml:space="preserve">Proportion </w:t>
            </w:r>
            <w:r w:rsidR="00DA63D9">
              <w:t xml:space="preserve">of patients with admission to </w:t>
            </w:r>
            <w:r w:rsidR="00AC1B03">
              <w:t>c</w:t>
            </w:r>
            <w:r w:rsidR="00DA63D9">
              <w:t>ardiac</w:t>
            </w:r>
            <w:r w:rsidR="00AC1B03">
              <w:t xml:space="preserve"> services within one</w:t>
            </w:r>
            <w:r w:rsidR="00DA63D9">
              <w:t xml:space="preserve"> year of starting dialysis</w:t>
            </w:r>
          </w:p>
        </w:tc>
      </w:tr>
      <w:tr w:rsidR="00800795" w:rsidRPr="001B3BA3" w14:paraId="2407ACED" w14:textId="77777777" w:rsidTr="000F01D4">
        <w:trPr>
          <w:trHeight w:val="94"/>
        </w:trPr>
        <w:tc>
          <w:tcPr>
            <w:tcW w:w="2551" w:type="dxa"/>
            <w:hideMark/>
          </w:tcPr>
          <w:p w14:paraId="620806C5" w14:textId="77777777" w:rsidR="00800795" w:rsidRPr="001B3BA3" w:rsidRDefault="00800795" w:rsidP="00800795">
            <w:r w:rsidRPr="001B3BA3">
              <w:t>Risk of mild frailty</w:t>
            </w:r>
          </w:p>
        </w:tc>
        <w:tc>
          <w:tcPr>
            <w:tcW w:w="6375" w:type="dxa"/>
          </w:tcPr>
          <w:p w14:paraId="68F898B8" w14:textId="29F6C119" w:rsidR="00800795" w:rsidRPr="001B3BA3" w:rsidRDefault="00DA63D9" w:rsidP="00800795">
            <w:pPr>
              <w:jc w:val="center"/>
            </w:pPr>
            <w:r>
              <w:t>9</w:t>
            </w:r>
            <w:r w:rsidR="00AC1B03">
              <w:t>.0</w:t>
            </w:r>
            <w:r>
              <w:t>%</w:t>
            </w:r>
          </w:p>
        </w:tc>
      </w:tr>
      <w:tr w:rsidR="00800795" w:rsidRPr="001B3BA3" w14:paraId="5E03A152" w14:textId="77777777" w:rsidTr="000F01D4">
        <w:trPr>
          <w:trHeight w:val="94"/>
        </w:trPr>
        <w:tc>
          <w:tcPr>
            <w:tcW w:w="2551" w:type="dxa"/>
            <w:hideMark/>
          </w:tcPr>
          <w:p w14:paraId="5581D105" w14:textId="77777777" w:rsidR="00800795" w:rsidRPr="001B3BA3" w:rsidRDefault="00800795" w:rsidP="00800795">
            <w:r w:rsidRPr="001B3BA3">
              <w:t>Risk of moderate frailty</w:t>
            </w:r>
          </w:p>
        </w:tc>
        <w:tc>
          <w:tcPr>
            <w:tcW w:w="6375" w:type="dxa"/>
          </w:tcPr>
          <w:p w14:paraId="703C8D3F" w14:textId="77777777" w:rsidR="00800795" w:rsidRPr="001B3BA3" w:rsidRDefault="00DA63D9" w:rsidP="00800795">
            <w:pPr>
              <w:jc w:val="center"/>
            </w:pPr>
            <w:r>
              <w:t>11.3%</w:t>
            </w:r>
          </w:p>
        </w:tc>
      </w:tr>
      <w:tr w:rsidR="00800795" w:rsidRPr="001B3BA3" w14:paraId="28C2B21C" w14:textId="77777777" w:rsidTr="000F01D4">
        <w:trPr>
          <w:trHeight w:val="94"/>
        </w:trPr>
        <w:tc>
          <w:tcPr>
            <w:tcW w:w="2551" w:type="dxa"/>
            <w:hideMark/>
          </w:tcPr>
          <w:p w14:paraId="4C50B54F" w14:textId="77777777" w:rsidR="00800795" w:rsidRPr="001B3BA3" w:rsidRDefault="00800795" w:rsidP="00800795">
            <w:r w:rsidRPr="001B3BA3">
              <w:t>Risk of severe frailty</w:t>
            </w:r>
          </w:p>
        </w:tc>
        <w:tc>
          <w:tcPr>
            <w:tcW w:w="6375" w:type="dxa"/>
          </w:tcPr>
          <w:p w14:paraId="4F486E77" w14:textId="580EA36F" w:rsidR="00800795" w:rsidRPr="001B3BA3" w:rsidRDefault="00DA63D9" w:rsidP="00800795">
            <w:pPr>
              <w:jc w:val="center"/>
            </w:pPr>
            <w:r>
              <w:t>12</w:t>
            </w:r>
            <w:r w:rsidR="00AC1B03">
              <w:t>.0</w:t>
            </w:r>
            <w:r>
              <w:t>%</w:t>
            </w:r>
          </w:p>
        </w:tc>
      </w:tr>
      <w:tr w:rsidR="00800795" w:rsidRPr="001B3BA3" w14:paraId="56A5083B" w14:textId="77777777" w:rsidTr="000F01D4">
        <w:trPr>
          <w:trHeight w:val="94"/>
        </w:trPr>
        <w:tc>
          <w:tcPr>
            <w:tcW w:w="2551" w:type="dxa"/>
            <w:hideMark/>
          </w:tcPr>
          <w:p w14:paraId="50379EB5" w14:textId="77777777" w:rsidR="00800795" w:rsidRPr="001B3BA3" w:rsidRDefault="00800795" w:rsidP="00800795"/>
        </w:tc>
        <w:tc>
          <w:tcPr>
            <w:tcW w:w="6375" w:type="dxa"/>
          </w:tcPr>
          <w:p w14:paraId="00D06AFC" w14:textId="77777777" w:rsidR="00800795" w:rsidRPr="001B3BA3" w:rsidRDefault="00800795" w:rsidP="00800795">
            <w:pPr>
              <w:jc w:val="center"/>
            </w:pPr>
          </w:p>
        </w:tc>
      </w:tr>
      <w:tr w:rsidR="00DA63D9" w:rsidRPr="001B3BA3" w14:paraId="11202E18" w14:textId="77777777" w:rsidTr="000F01D4">
        <w:trPr>
          <w:trHeight w:val="94"/>
        </w:trPr>
        <w:tc>
          <w:tcPr>
            <w:tcW w:w="2551" w:type="dxa"/>
          </w:tcPr>
          <w:p w14:paraId="1439B29A" w14:textId="77777777" w:rsidR="00DA63D9" w:rsidRPr="001B3BA3" w:rsidRDefault="00DA63D9" w:rsidP="00DA63D9"/>
        </w:tc>
        <w:tc>
          <w:tcPr>
            <w:tcW w:w="6375" w:type="dxa"/>
          </w:tcPr>
          <w:p w14:paraId="048583DB" w14:textId="77777777" w:rsidR="00DA63D9" w:rsidRPr="001B3BA3" w:rsidRDefault="00DA63D9" w:rsidP="00DA63D9">
            <w:pPr>
              <w:jc w:val="center"/>
            </w:pPr>
            <w:r w:rsidRPr="00DA63D9">
              <w:t>Proportion of patients readmitted within 365 days with complications/infection</w:t>
            </w:r>
          </w:p>
        </w:tc>
      </w:tr>
      <w:tr w:rsidR="00800795" w:rsidRPr="001B3BA3" w14:paraId="63F750A4" w14:textId="77777777" w:rsidTr="000F01D4">
        <w:trPr>
          <w:trHeight w:val="94"/>
        </w:trPr>
        <w:tc>
          <w:tcPr>
            <w:tcW w:w="2551" w:type="dxa"/>
          </w:tcPr>
          <w:p w14:paraId="1A9517C7" w14:textId="77777777" w:rsidR="00800795" w:rsidRPr="001B3BA3" w:rsidRDefault="00800795" w:rsidP="00800795">
            <w:r w:rsidRPr="001B3BA3">
              <w:t>Spinal Deformity Surgery</w:t>
            </w:r>
          </w:p>
        </w:tc>
        <w:tc>
          <w:tcPr>
            <w:tcW w:w="6375" w:type="dxa"/>
          </w:tcPr>
          <w:p w14:paraId="64BDE497" w14:textId="77777777" w:rsidR="00800795" w:rsidRPr="001B3BA3" w:rsidRDefault="00800795" w:rsidP="00800795">
            <w:pPr>
              <w:jc w:val="center"/>
            </w:pPr>
          </w:p>
        </w:tc>
      </w:tr>
      <w:tr w:rsidR="00800795" w:rsidRPr="001B3BA3" w14:paraId="09F2FA5A" w14:textId="77777777" w:rsidTr="000F01D4">
        <w:trPr>
          <w:trHeight w:val="94"/>
        </w:trPr>
        <w:tc>
          <w:tcPr>
            <w:tcW w:w="2551" w:type="dxa"/>
          </w:tcPr>
          <w:p w14:paraId="21DD90FA" w14:textId="77777777" w:rsidR="00800795" w:rsidRPr="001B3BA3" w:rsidRDefault="00800795" w:rsidP="00800795">
            <w:r w:rsidRPr="001B3BA3">
              <w:t>Not frail</w:t>
            </w:r>
          </w:p>
        </w:tc>
        <w:tc>
          <w:tcPr>
            <w:tcW w:w="6375" w:type="dxa"/>
          </w:tcPr>
          <w:p w14:paraId="4C0F81CA" w14:textId="77777777" w:rsidR="00800795" w:rsidRPr="001B3BA3" w:rsidRDefault="00DA63D9" w:rsidP="00800795">
            <w:pPr>
              <w:jc w:val="center"/>
            </w:pPr>
            <w:r>
              <w:t>0%</w:t>
            </w:r>
          </w:p>
        </w:tc>
      </w:tr>
      <w:tr w:rsidR="00800795" w:rsidRPr="001B3BA3" w14:paraId="197FDBA6" w14:textId="77777777" w:rsidTr="000F01D4">
        <w:trPr>
          <w:trHeight w:val="94"/>
        </w:trPr>
        <w:tc>
          <w:tcPr>
            <w:tcW w:w="2551" w:type="dxa"/>
            <w:hideMark/>
          </w:tcPr>
          <w:p w14:paraId="497B0B9D" w14:textId="77777777" w:rsidR="00800795" w:rsidRPr="001B3BA3" w:rsidRDefault="00800795" w:rsidP="00800795">
            <w:r w:rsidRPr="001B3BA3">
              <w:t>Risk of mild frailty</w:t>
            </w:r>
          </w:p>
        </w:tc>
        <w:tc>
          <w:tcPr>
            <w:tcW w:w="6375" w:type="dxa"/>
          </w:tcPr>
          <w:p w14:paraId="1079535D" w14:textId="77777777" w:rsidR="00800795" w:rsidRPr="001B3BA3" w:rsidRDefault="00DA63D9" w:rsidP="00800795">
            <w:pPr>
              <w:jc w:val="center"/>
            </w:pPr>
            <w:r>
              <w:t>7.8%</w:t>
            </w:r>
          </w:p>
        </w:tc>
      </w:tr>
      <w:tr w:rsidR="00800795" w:rsidRPr="001B3BA3" w14:paraId="021235F4" w14:textId="77777777" w:rsidTr="000F01D4">
        <w:trPr>
          <w:trHeight w:val="94"/>
        </w:trPr>
        <w:tc>
          <w:tcPr>
            <w:tcW w:w="2551" w:type="dxa"/>
            <w:hideMark/>
          </w:tcPr>
          <w:p w14:paraId="591A2002" w14:textId="77777777" w:rsidR="00800795" w:rsidRPr="001B3BA3" w:rsidRDefault="00800795" w:rsidP="00800795">
            <w:r w:rsidRPr="001B3BA3">
              <w:t>Risk of moderate frailty</w:t>
            </w:r>
          </w:p>
        </w:tc>
        <w:tc>
          <w:tcPr>
            <w:tcW w:w="6375" w:type="dxa"/>
          </w:tcPr>
          <w:p w14:paraId="5A4AC91D" w14:textId="77777777" w:rsidR="00800795" w:rsidRPr="001B3BA3" w:rsidRDefault="00DA63D9" w:rsidP="00800795">
            <w:pPr>
              <w:jc w:val="center"/>
            </w:pPr>
            <w:r>
              <w:t>14.9%</w:t>
            </w:r>
          </w:p>
        </w:tc>
      </w:tr>
      <w:tr w:rsidR="00800795" w:rsidRPr="001B3BA3" w14:paraId="014173A1" w14:textId="77777777" w:rsidTr="000F01D4">
        <w:trPr>
          <w:trHeight w:val="94"/>
        </w:trPr>
        <w:tc>
          <w:tcPr>
            <w:tcW w:w="2551" w:type="dxa"/>
            <w:hideMark/>
          </w:tcPr>
          <w:p w14:paraId="0FAC9202" w14:textId="77777777" w:rsidR="00800795" w:rsidRPr="001B3BA3" w:rsidRDefault="00800795" w:rsidP="00800795">
            <w:r w:rsidRPr="001B3BA3">
              <w:t>Risk of severe frailty</w:t>
            </w:r>
          </w:p>
        </w:tc>
        <w:tc>
          <w:tcPr>
            <w:tcW w:w="6375" w:type="dxa"/>
          </w:tcPr>
          <w:p w14:paraId="6A6A0B54" w14:textId="77777777" w:rsidR="00800795" w:rsidRPr="001B3BA3" w:rsidRDefault="00DA63D9" w:rsidP="00800795">
            <w:pPr>
              <w:jc w:val="center"/>
            </w:pPr>
            <w:r>
              <w:t>11.1%</w:t>
            </w:r>
          </w:p>
        </w:tc>
      </w:tr>
      <w:tr w:rsidR="00800795" w:rsidRPr="001B3BA3" w14:paraId="43726766" w14:textId="77777777" w:rsidTr="000F01D4">
        <w:trPr>
          <w:trHeight w:val="94"/>
        </w:trPr>
        <w:tc>
          <w:tcPr>
            <w:tcW w:w="2551" w:type="dxa"/>
            <w:hideMark/>
          </w:tcPr>
          <w:p w14:paraId="46FDA05C" w14:textId="77777777" w:rsidR="00800795" w:rsidRPr="001B3BA3" w:rsidRDefault="00800795" w:rsidP="00800795"/>
        </w:tc>
        <w:tc>
          <w:tcPr>
            <w:tcW w:w="6375" w:type="dxa"/>
          </w:tcPr>
          <w:p w14:paraId="0AFDBE18" w14:textId="77777777" w:rsidR="00800795" w:rsidRPr="001B3BA3" w:rsidRDefault="00800795" w:rsidP="00800795">
            <w:pPr>
              <w:jc w:val="center"/>
            </w:pPr>
          </w:p>
        </w:tc>
      </w:tr>
      <w:tr w:rsidR="00800795" w:rsidRPr="001B3BA3" w14:paraId="34328FF6" w14:textId="77777777" w:rsidTr="000F01D4">
        <w:trPr>
          <w:trHeight w:val="94"/>
        </w:trPr>
        <w:tc>
          <w:tcPr>
            <w:tcW w:w="2551" w:type="dxa"/>
          </w:tcPr>
          <w:p w14:paraId="16F5953D" w14:textId="77777777" w:rsidR="00800795" w:rsidRPr="001B3BA3" w:rsidRDefault="00800795" w:rsidP="00800795">
            <w:r w:rsidRPr="001B3BA3">
              <w:t>Spinal Fracture Surgery</w:t>
            </w:r>
          </w:p>
        </w:tc>
        <w:tc>
          <w:tcPr>
            <w:tcW w:w="6375" w:type="dxa"/>
          </w:tcPr>
          <w:p w14:paraId="666B0F30" w14:textId="77777777" w:rsidR="00800795" w:rsidRPr="001B3BA3" w:rsidRDefault="00800795" w:rsidP="00800795">
            <w:pPr>
              <w:jc w:val="center"/>
            </w:pPr>
          </w:p>
        </w:tc>
      </w:tr>
      <w:tr w:rsidR="00800795" w:rsidRPr="001B3BA3" w14:paraId="40B01AD7" w14:textId="77777777" w:rsidTr="000F01D4">
        <w:trPr>
          <w:trHeight w:val="94"/>
        </w:trPr>
        <w:tc>
          <w:tcPr>
            <w:tcW w:w="2551" w:type="dxa"/>
          </w:tcPr>
          <w:p w14:paraId="12C99CF2" w14:textId="77777777" w:rsidR="00800795" w:rsidRPr="001B3BA3" w:rsidRDefault="00800795" w:rsidP="00800795">
            <w:r w:rsidRPr="001B3BA3">
              <w:t>Not frail</w:t>
            </w:r>
          </w:p>
        </w:tc>
        <w:tc>
          <w:tcPr>
            <w:tcW w:w="6375" w:type="dxa"/>
          </w:tcPr>
          <w:p w14:paraId="5B96BBD1" w14:textId="77777777" w:rsidR="00800795" w:rsidRPr="001B3BA3" w:rsidRDefault="00DA63D9" w:rsidP="00800795">
            <w:pPr>
              <w:jc w:val="center"/>
            </w:pPr>
            <w:r>
              <w:t>0%</w:t>
            </w:r>
          </w:p>
        </w:tc>
      </w:tr>
      <w:tr w:rsidR="00800795" w:rsidRPr="001B3BA3" w14:paraId="715F31A1" w14:textId="77777777" w:rsidTr="000F01D4">
        <w:trPr>
          <w:trHeight w:val="94"/>
        </w:trPr>
        <w:tc>
          <w:tcPr>
            <w:tcW w:w="2551" w:type="dxa"/>
            <w:hideMark/>
          </w:tcPr>
          <w:p w14:paraId="3F0282BF" w14:textId="77777777" w:rsidR="00800795" w:rsidRPr="001B3BA3" w:rsidRDefault="00800795" w:rsidP="00800795">
            <w:r w:rsidRPr="001B3BA3">
              <w:t>Risk of mild frailty</w:t>
            </w:r>
          </w:p>
        </w:tc>
        <w:tc>
          <w:tcPr>
            <w:tcW w:w="6375" w:type="dxa"/>
          </w:tcPr>
          <w:p w14:paraId="5E5EAEA7" w14:textId="77777777" w:rsidR="00800795" w:rsidRPr="001B3BA3" w:rsidRDefault="00DA63D9" w:rsidP="00800795">
            <w:pPr>
              <w:jc w:val="center"/>
            </w:pPr>
            <w:r>
              <w:t>9.3%</w:t>
            </w:r>
          </w:p>
        </w:tc>
      </w:tr>
      <w:tr w:rsidR="00800795" w:rsidRPr="001B3BA3" w14:paraId="25ADA59E" w14:textId="77777777" w:rsidTr="000F01D4">
        <w:trPr>
          <w:trHeight w:val="94"/>
        </w:trPr>
        <w:tc>
          <w:tcPr>
            <w:tcW w:w="2551" w:type="dxa"/>
            <w:hideMark/>
          </w:tcPr>
          <w:p w14:paraId="6BFFDC15" w14:textId="77777777" w:rsidR="00800795" w:rsidRPr="001B3BA3" w:rsidRDefault="00800795" w:rsidP="00800795">
            <w:r w:rsidRPr="001B3BA3">
              <w:lastRenderedPageBreak/>
              <w:t>Risk of moderate frailty</w:t>
            </w:r>
          </w:p>
        </w:tc>
        <w:tc>
          <w:tcPr>
            <w:tcW w:w="6375" w:type="dxa"/>
          </w:tcPr>
          <w:p w14:paraId="51AAEF5D" w14:textId="77777777" w:rsidR="00800795" w:rsidRPr="001B3BA3" w:rsidRDefault="00DA63D9" w:rsidP="00800795">
            <w:pPr>
              <w:jc w:val="center"/>
            </w:pPr>
            <w:r>
              <w:t>16.7%</w:t>
            </w:r>
          </w:p>
        </w:tc>
      </w:tr>
      <w:tr w:rsidR="00800795" w:rsidRPr="001B3BA3" w14:paraId="5893E30E" w14:textId="77777777" w:rsidTr="000F01D4">
        <w:trPr>
          <w:trHeight w:val="77"/>
        </w:trPr>
        <w:tc>
          <w:tcPr>
            <w:tcW w:w="2551" w:type="dxa"/>
            <w:hideMark/>
          </w:tcPr>
          <w:p w14:paraId="11B76848" w14:textId="77777777" w:rsidR="00800795" w:rsidRPr="001B3BA3" w:rsidRDefault="00800795" w:rsidP="00800795">
            <w:r w:rsidRPr="001B3BA3">
              <w:t>Risk of severe frailty</w:t>
            </w:r>
          </w:p>
        </w:tc>
        <w:tc>
          <w:tcPr>
            <w:tcW w:w="6375" w:type="dxa"/>
          </w:tcPr>
          <w:p w14:paraId="44284961" w14:textId="77777777" w:rsidR="00800795" w:rsidRPr="001B3BA3" w:rsidRDefault="00DA63D9" w:rsidP="00800795">
            <w:pPr>
              <w:jc w:val="center"/>
            </w:pPr>
            <w:r>
              <w:t>11.1%</w:t>
            </w:r>
          </w:p>
        </w:tc>
      </w:tr>
      <w:tr w:rsidR="00800795" w:rsidRPr="001B3BA3" w14:paraId="79E36667" w14:textId="77777777" w:rsidTr="000F01D4">
        <w:trPr>
          <w:trHeight w:val="94"/>
        </w:trPr>
        <w:tc>
          <w:tcPr>
            <w:tcW w:w="2551" w:type="dxa"/>
            <w:hideMark/>
          </w:tcPr>
          <w:p w14:paraId="3C7A819A" w14:textId="77777777" w:rsidR="00800795" w:rsidRPr="001B3BA3" w:rsidRDefault="00800795" w:rsidP="00800795"/>
        </w:tc>
        <w:tc>
          <w:tcPr>
            <w:tcW w:w="6375" w:type="dxa"/>
          </w:tcPr>
          <w:p w14:paraId="42CAD1E7" w14:textId="77777777" w:rsidR="00800795" w:rsidRPr="001B3BA3" w:rsidRDefault="00800795" w:rsidP="00800795">
            <w:pPr>
              <w:jc w:val="center"/>
            </w:pPr>
          </w:p>
        </w:tc>
      </w:tr>
      <w:tr w:rsidR="00DA63D9" w:rsidRPr="001B3BA3" w14:paraId="4ACAA7DA" w14:textId="77777777" w:rsidTr="000F01D4">
        <w:trPr>
          <w:trHeight w:val="94"/>
        </w:trPr>
        <w:tc>
          <w:tcPr>
            <w:tcW w:w="2551" w:type="dxa"/>
          </w:tcPr>
          <w:p w14:paraId="23DC754E" w14:textId="77777777" w:rsidR="00DA63D9" w:rsidRPr="001B3BA3" w:rsidRDefault="00DA63D9" w:rsidP="00800795"/>
        </w:tc>
        <w:tc>
          <w:tcPr>
            <w:tcW w:w="6375" w:type="dxa"/>
          </w:tcPr>
          <w:p w14:paraId="5B8CFCCA" w14:textId="77777777" w:rsidR="00DA63D9" w:rsidRPr="001B3BA3" w:rsidRDefault="00DA63D9" w:rsidP="00800795">
            <w:pPr>
              <w:jc w:val="center"/>
            </w:pPr>
            <w:r>
              <w:t>Complication rate within admission</w:t>
            </w:r>
          </w:p>
        </w:tc>
      </w:tr>
      <w:tr w:rsidR="00800795" w:rsidRPr="001B3BA3" w14:paraId="59780296" w14:textId="77777777" w:rsidTr="000F01D4">
        <w:trPr>
          <w:trHeight w:val="94"/>
        </w:trPr>
        <w:tc>
          <w:tcPr>
            <w:tcW w:w="2551" w:type="dxa"/>
          </w:tcPr>
          <w:p w14:paraId="5B962132" w14:textId="77777777" w:rsidR="00800795" w:rsidRPr="001B3BA3" w:rsidRDefault="00800795" w:rsidP="00800795">
            <w:r>
              <w:t>Elective TAVI</w:t>
            </w:r>
          </w:p>
        </w:tc>
        <w:tc>
          <w:tcPr>
            <w:tcW w:w="6375" w:type="dxa"/>
          </w:tcPr>
          <w:p w14:paraId="2984748D" w14:textId="77777777" w:rsidR="00800795" w:rsidRPr="001B3BA3" w:rsidRDefault="00800795" w:rsidP="00800795">
            <w:pPr>
              <w:jc w:val="center"/>
            </w:pPr>
          </w:p>
        </w:tc>
      </w:tr>
      <w:tr w:rsidR="00800795" w:rsidRPr="001B3BA3" w14:paraId="62B349EF" w14:textId="77777777" w:rsidTr="000F01D4">
        <w:trPr>
          <w:trHeight w:val="94"/>
        </w:trPr>
        <w:tc>
          <w:tcPr>
            <w:tcW w:w="2551" w:type="dxa"/>
          </w:tcPr>
          <w:p w14:paraId="6C082BA0" w14:textId="77777777" w:rsidR="00800795" w:rsidRPr="001B3BA3" w:rsidRDefault="00800795" w:rsidP="00800795">
            <w:r w:rsidRPr="001B3BA3">
              <w:t>Not frail</w:t>
            </w:r>
          </w:p>
        </w:tc>
        <w:tc>
          <w:tcPr>
            <w:tcW w:w="6375" w:type="dxa"/>
          </w:tcPr>
          <w:p w14:paraId="107E91FD" w14:textId="77777777" w:rsidR="00800795" w:rsidRPr="001B3BA3" w:rsidRDefault="00DA63D9" w:rsidP="00800795">
            <w:pPr>
              <w:jc w:val="center"/>
            </w:pPr>
            <w:r>
              <w:t>2.6%</w:t>
            </w:r>
          </w:p>
        </w:tc>
      </w:tr>
      <w:tr w:rsidR="00800795" w:rsidRPr="001B3BA3" w14:paraId="359A2651" w14:textId="77777777" w:rsidTr="000F01D4">
        <w:trPr>
          <w:trHeight w:val="94"/>
        </w:trPr>
        <w:tc>
          <w:tcPr>
            <w:tcW w:w="2551" w:type="dxa"/>
          </w:tcPr>
          <w:p w14:paraId="13284A6A" w14:textId="77777777" w:rsidR="00800795" w:rsidRPr="001B3BA3" w:rsidRDefault="00800795" w:rsidP="00800795">
            <w:r w:rsidRPr="001B3BA3">
              <w:t>Risk of mild frailty</w:t>
            </w:r>
          </w:p>
        </w:tc>
        <w:tc>
          <w:tcPr>
            <w:tcW w:w="6375" w:type="dxa"/>
          </w:tcPr>
          <w:p w14:paraId="0BBB9044" w14:textId="77777777" w:rsidR="00800795" w:rsidRPr="001B3BA3" w:rsidRDefault="00DA63D9" w:rsidP="00800795">
            <w:pPr>
              <w:jc w:val="center"/>
            </w:pPr>
            <w:r>
              <w:t>5.7%</w:t>
            </w:r>
          </w:p>
        </w:tc>
      </w:tr>
      <w:tr w:rsidR="00800795" w:rsidRPr="001B3BA3" w14:paraId="22B83AFD" w14:textId="77777777" w:rsidTr="000F01D4">
        <w:trPr>
          <w:trHeight w:val="94"/>
        </w:trPr>
        <w:tc>
          <w:tcPr>
            <w:tcW w:w="2551" w:type="dxa"/>
          </w:tcPr>
          <w:p w14:paraId="75BCD24E" w14:textId="77777777" w:rsidR="00800795" w:rsidRPr="001B3BA3" w:rsidRDefault="00800795" w:rsidP="00800795">
            <w:r w:rsidRPr="001B3BA3">
              <w:t>Risk of moderate frailty</w:t>
            </w:r>
          </w:p>
        </w:tc>
        <w:tc>
          <w:tcPr>
            <w:tcW w:w="6375" w:type="dxa"/>
          </w:tcPr>
          <w:p w14:paraId="67DCF537" w14:textId="77777777" w:rsidR="00800795" w:rsidRPr="001B3BA3" w:rsidRDefault="00DA63D9" w:rsidP="00800795">
            <w:pPr>
              <w:jc w:val="center"/>
            </w:pPr>
            <w:r>
              <w:t>14.6%</w:t>
            </w:r>
          </w:p>
        </w:tc>
      </w:tr>
      <w:tr w:rsidR="00800795" w:rsidRPr="001B3BA3" w14:paraId="042EA42B" w14:textId="77777777" w:rsidTr="000F01D4">
        <w:trPr>
          <w:trHeight w:val="94"/>
        </w:trPr>
        <w:tc>
          <w:tcPr>
            <w:tcW w:w="2551" w:type="dxa"/>
          </w:tcPr>
          <w:p w14:paraId="10BBC6FE" w14:textId="77777777" w:rsidR="00800795" w:rsidRPr="001B3BA3" w:rsidRDefault="00800795" w:rsidP="00800795">
            <w:r w:rsidRPr="001B3BA3">
              <w:t>Risk of severe frailty</w:t>
            </w:r>
          </w:p>
        </w:tc>
        <w:tc>
          <w:tcPr>
            <w:tcW w:w="6375" w:type="dxa"/>
          </w:tcPr>
          <w:p w14:paraId="0ECDB1E7" w14:textId="77777777" w:rsidR="00800795" w:rsidRPr="001B3BA3" w:rsidRDefault="00DA63D9" w:rsidP="00800795">
            <w:pPr>
              <w:jc w:val="center"/>
            </w:pPr>
            <w:r>
              <w:t>15.3%</w:t>
            </w:r>
          </w:p>
        </w:tc>
      </w:tr>
      <w:tr w:rsidR="00800795" w:rsidRPr="001B3BA3" w14:paraId="1E085B30" w14:textId="77777777" w:rsidTr="000F01D4">
        <w:trPr>
          <w:trHeight w:val="94"/>
        </w:trPr>
        <w:tc>
          <w:tcPr>
            <w:tcW w:w="2551" w:type="dxa"/>
          </w:tcPr>
          <w:p w14:paraId="0C5CB069" w14:textId="77777777" w:rsidR="00800795" w:rsidRPr="001B3BA3" w:rsidRDefault="00800795" w:rsidP="00800795"/>
        </w:tc>
        <w:tc>
          <w:tcPr>
            <w:tcW w:w="6375" w:type="dxa"/>
          </w:tcPr>
          <w:p w14:paraId="5AE854C1" w14:textId="77777777" w:rsidR="00800795" w:rsidRPr="001B3BA3" w:rsidRDefault="00800795" w:rsidP="00800795">
            <w:pPr>
              <w:jc w:val="center"/>
            </w:pPr>
          </w:p>
        </w:tc>
      </w:tr>
      <w:tr w:rsidR="00800795" w:rsidRPr="001B3BA3" w14:paraId="40C95C01" w14:textId="77777777" w:rsidTr="000F01D4">
        <w:trPr>
          <w:trHeight w:val="94"/>
        </w:trPr>
        <w:tc>
          <w:tcPr>
            <w:tcW w:w="2551" w:type="dxa"/>
          </w:tcPr>
          <w:p w14:paraId="419F0991" w14:textId="77777777" w:rsidR="00800795" w:rsidRPr="001B3BA3" w:rsidRDefault="00800795" w:rsidP="00800795">
            <w:r>
              <w:t>Emergency TAVI</w:t>
            </w:r>
          </w:p>
        </w:tc>
        <w:tc>
          <w:tcPr>
            <w:tcW w:w="6375" w:type="dxa"/>
          </w:tcPr>
          <w:p w14:paraId="0D3EE44F" w14:textId="77777777" w:rsidR="00800795" w:rsidRPr="001B3BA3" w:rsidRDefault="00800795" w:rsidP="00800795">
            <w:pPr>
              <w:jc w:val="center"/>
            </w:pPr>
          </w:p>
        </w:tc>
      </w:tr>
      <w:tr w:rsidR="00800795" w:rsidRPr="001B3BA3" w14:paraId="47212499" w14:textId="77777777" w:rsidTr="000F01D4">
        <w:trPr>
          <w:trHeight w:val="94"/>
        </w:trPr>
        <w:tc>
          <w:tcPr>
            <w:tcW w:w="2551" w:type="dxa"/>
          </w:tcPr>
          <w:p w14:paraId="07DB59C6" w14:textId="77777777" w:rsidR="00800795" w:rsidRPr="001B3BA3" w:rsidRDefault="00800795" w:rsidP="00800795">
            <w:r w:rsidRPr="001B3BA3">
              <w:t>Not frail</w:t>
            </w:r>
          </w:p>
        </w:tc>
        <w:tc>
          <w:tcPr>
            <w:tcW w:w="6375" w:type="dxa"/>
          </w:tcPr>
          <w:p w14:paraId="050FB861" w14:textId="77777777" w:rsidR="00800795" w:rsidRPr="001B3BA3" w:rsidRDefault="00DA63D9" w:rsidP="00800795">
            <w:pPr>
              <w:jc w:val="center"/>
            </w:pPr>
            <w:r>
              <w:t>3.3%</w:t>
            </w:r>
          </w:p>
        </w:tc>
      </w:tr>
      <w:tr w:rsidR="00800795" w:rsidRPr="001B3BA3" w14:paraId="74090628" w14:textId="77777777" w:rsidTr="000F01D4">
        <w:trPr>
          <w:trHeight w:val="94"/>
        </w:trPr>
        <w:tc>
          <w:tcPr>
            <w:tcW w:w="2551" w:type="dxa"/>
          </w:tcPr>
          <w:p w14:paraId="5D85E6BC" w14:textId="77777777" w:rsidR="00800795" w:rsidRPr="001B3BA3" w:rsidRDefault="00800795" w:rsidP="00800795">
            <w:r w:rsidRPr="001B3BA3">
              <w:t>Risk of mild frailty</w:t>
            </w:r>
          </w:p>
        </w:tc>
        <w:tc>
          <w:tcPr>
            <w:tcW w:w="6375" w:type="dxa"/>
          </w:tcPr>
          <w:p w14:paraId="74F19C60" w14:textId="77777777" w:rsidR="00800795" w:rsidRPr="001B3BA3" w:rsidRDefault="00DA63D9" w:rsidP="00800795">
            <w:pPr>
              <w:jc w:val="center"/>
            </w:pPr>
            <w:r>
              <w:t>11.3%</w:t>
            </w:r>
          </w:p>
        </w:tc>
      </w:tr>
      <w:tr w:rsidR="00800795" w:rsidRPr="001B3BA3" w14:paraId="0327BEBC" w14:textId="77777777" w:rsidTr="000F01D4">
        <w:trPr>
          <w:trHeight w:val="94"/>
        </w:trPr>
        <w:tc>
          <w:tcPr>
            <w:tcW w:w="2551" w:type="dxa"/>
          </w:tcPr>
          <w:p w14:paraId="193E3354" w14:textId="77777777" w:rsidR="00800795" w:rsidRPr="001B3BA3" w:rsidRDefault="00800795" w:rsidP="00800795">
            <w:r w:rsidRPr="001B3BA3">
              <w:t>Risk of moderate frailty</w:t>
            </w:r>
          </w:p>
        </w:tc>
        <w:tc>
          <w:tcPr>
            <w:tcW w:w="6375" w:type="dxa"/>
          </w:tcPr>
          <w:p w14:paraId="0243EEAB" w14:textId="77777777" w:rsidR="00800795" w:rsidRPr="001B3BA3" w:rsidRDefault="00DA63D9" w:rsidP="00800795">
            <w:pPr>
              <w:jc w:val="center"/>
            </w:pPr>
            <w:r>
              <w:t>26.4%</w:t>
            </w:r>
          </w:p>
        </w:tc>
      </w:tr>
      <w:tr w:rsidR="00800795" w:rsidRPr="001B3BA3" w14:paraId="75C7907A" w14:textId="77777777" w:rsidTr="000F01D4">
        <w:trPr>
          <w:trHeight w:val="94"/>
        </w:trPr>
        <w:tc>
          <w:tcPr>
            <w:tcW w:w="2551" w:type="dxa"/>
          </w:tcPr>
          <w:p w14:paraId="26CCF703" w14:textId="77777777" w:rsidR="00800795" w:rsidRPr="001B3BA3" w:rsidRDefault="00800795" w:rsidP="00800795">
            <w:r w:rsidRPr="001B3BA3">
              <w:t>Risk of severe frailty</w:t>
            </w:r>
          </w:p>
        </w:tc>
        <w:tc>
          <w:tcPr>
            <w:tcW w:w="6375" w:type="dxa"/>
          </w:tcPr>
          <w:p w14:paraId="202CE7DB" w14:textId="77777777" w:rsidR="00800795" w:rsidRPr="001B3BA3" w:rsidRDefault="00DA63D9" w:rsidP="00800795">
            <w:pPr>
              <w:jc w:val="center"/>
            </w:pPr>
            <w:r>
              <w:t>29.1%</w:t>
            </w:r>
          </w:p>
        </w:tc>
      </w:tr>
    </w:tbl>
    <w:p w14:paraId="03FE82F3" w14:textId="77777777" w:rsidR="00CD1231" w:rsidRPr="00D55F32" w:rsidRDefault="00CD1231" w:rsidP="00F5446B">
      <w:pPr>
        <w:sectPr w:rsidR="00CD1231" w:rsidRPr="00D55F32" w:rsidSect="00790829">
          <w:pgSz w:w="11906" w:h="16838"/>
          <w:pgMar w:top="1440" w:right="1440" w:bottom="1440" w:left="1440" w:header="708" w:footer="708" w:gutter="0"/>
          <w:cols w:space="708"/>
          <w:docGrid w:linePitch="360"/>
        </w:sectPr>
      </w:pPr>
    </w:p>
    <w:p w14:paraId="55F243AC" w14:textId="77777777" w:rsidR="0027564B" w:rsidRPr="007343C1" w:rsidRDefault="00790829" w:rsidP="000B44F3">
      <w:pPr>
        <w:pStyle w:val="Heading2"/>
      </w:pPr>
      <w:r>
        <w:lastRenderedPageBreak/>
        <w:t>References</w:t>
      </w:r>
    </w:p>
    <w:p w14:paraId="4A1AFB72" w14:textId="77777777" w:rsidR="00B57D78" w:rsidRPr="00B57D78" w:rsidRDefault="0027564B" w:rsidP="00B57D78">
      <w:pPr>
        <w:pStyle w:val="EndNoteBibliography"/>
        <w:spacing w:after="0"/>
      </w:pPr>
      <w:r w:rsidRPr="007343C1">
        <w:rPr>
          <w:rFonts w:ascii="Arial" w:hAnsi="Arial" w:cs="Arial"/>
        </w:rPr>
        <w:fldChar w:fldCharType="begin"/>
      </w:r>
      <w:r w:rsidRPr="007343C1">
        <w:rPr>
          <w:rFonts w:ascii="Arial" w:hAnsi="Arial" w:cs="Arial"/>
        </w:rPr>
        <w:instrText xml:space="preserve"> ADDIN EN.REFLIST </w:instrText>
      </w:r>
      <w:r w:rsidRPr="007343C1">
        <w:rPr>
          <w:rFonts w:ascii="Arial" w:hAnsi="Arial" w:cs="Arial"/>
        </w:rPr>
        <w:fldChar w:fldCharType="separate"/>
      </w:r>
      <w:r w:rsidR="00B57D78" w:rsidRPr="00B57D78">
        <w:t>1.</w:t>
      </w:r>
      <w:r w:rsidR="00B57D78" w:rsidRPr="00B57D78">
        <w:tab/>
        <w:t>Clegg A, Young J, Iliffe S, Rikkert MO, Rockwood K. Frailty in elderly people. Lancet (London, England). 2013 Mar 02, 2013;381:752-62.</w:t>
      </w:r>
    </w:p>
    <w:p w14:paraId="082D15B7" w14:textId="77777777" w:rsidR="00B57D78" w:rsidRPr="00B57D78" w:rsidRDefault="00B57D78" w:rsidP="00B57D78">
      <w:pPr>
        <w:pStyle w:val="EndNoteBibliography"/>
        <w:spacing w:after="0"/>
      </w:pPr>
      <w:r w:rsidRPr="00B57D78">
        <w:t>2.</w:t>
      </w:r>
      <w:r w:rsidRPr="00B57D78">
        <w:tab/>
        <w:t>Keeble E, Arora S, van Oppen J, Williams C, Roberts H, Conroy S. Outcomes of even brief hospital admissions amongst frail older people: a role for secondary prevention of frailty crises in the community? British Journal of General Practice. 2019;In press.</w:t>
      </w:r>
    </w:p>
    <w:p w14:paraId="44A6C407" w14:textId="77777777" w:rsidR="00B57D78" w:rsidRPr="00B57D78" w:rsidRDefault="00B57D78" w:rsidP="00B57D78">
      <w:pPr>
        <w:pStyle w:val="EndNoteBibliography"/>
        <w:spacing w:after="0"/>
      </w:pPr>
      <w:r w:rsidRPr="00B57D78">
        <w:t>3.</w:t>
      </w:r>
      <w:r w:rsidRPr="00B57D78">
        <w:tab/>
        <w:t>Clegg A, Bates C, Young J, Ryan R, Nichols L, Ann Teale E, et al. Development and validation of an electronic frailty index using routine primary care electronic health record data. Age Ageing. 2016 May;45(3):353-60.</w:t>
      </w:r>
    </w:p>
    <w:p w14:paraId="4CBB235F" w14:textId="77777777" w:rsidR="00B57D78" w:rsidRPr="00B57D78" w:rsidRDefault="00B57D78" w:rsidP="00B57D78">
      <w:pPr>
        <w:pStyle w:val="EndNoteBibliography"/>
        <w:spacing w:after="0"/>
      </w:pPr>
      <w:r w:rsidRPr="00B57D78">
        <w:t>4.</w:t>
      </w:r>
      <w:r w:rsidRPr="00B57D78">
        <w:tab/>
        <w:t>Sridharan ND, Chaer RA, Wu BB, Eslami MH, Makaroun MS, Avgerinos ED. An Accumulated Deficits Model Predicts Perioperative and Long-term Adverse Events after Carotid Endarterectomy. Annals of Vascular Surgery. 2018;46:97-103.</w:t>
      </w:r>
    </w:p>
    <w:p w14:paraId="4248E3C1" w14:textId="77777777" w:rsidR="00B57D78" w:rsidRPr="00B57D78" w:rsidRDefault="00B57D78" w:rsidP="00B57D78">
      <w:pPr>
        <w:pStyle w:val="EndNoteBibliography"/>
        <w:spacing w:after="0"/>
      </w:pPr>
      <w:r w:rsidRPr="00B57D78">
        <w:t>5.</w:t>
      </w:r>
      <w:r w:rsidRPr="00B57D78">
        <w:tab/>
        <w:t>Hubbard RE, Peel NM, Samanta M, Gray LC, Mitnitski A, Rockwood K. Frailty status at admission to hospital predicts multiple adverse outcomes. Age and Ageing. 2017 May 22, 2017:1-6.</w:t>
      </w:r>
    </w:p>
    <w:p w14:paraId="015640B4" w14:textId="77777777" w:rsidR="00B57D78" w:rsidRPr="00B57D78" w:rsidRDefault="00B57D78" w:rsidP="00B57D78">
      <w:pPr>
        <w:pStyle w:val="EndNoteBibliography"/>
        <w:spacing w:after="0"/>
      </w:pPr>
      <w:r w:rsidRPr="00B57D78">
        <w:t>6.</w:t>
      </w:r>
      <w:r w:rsidRPr="00B57D78">
        <w:tab/>
        <w:t>Muscedere J, Waters B, Varambally A. The impact of frailty on intensive care unit outcomes: a systematic review and meta-analysis. Intensive Care Med. 2017;43(8):1105–22.</w:t>
      </w:r>
    </w:p>
    <w:p w14:paraId="64FCE7D8" w14:textId="77777777" w:rsidR="00B57D78" w:rsidRPr="00B57D78" w:rsidRDefault="00B57D78" w:rsidP="00B57D78">
      <w:pPr>
        <w:pStyle w:val="EndNoteBibliography"/>
        <w:spacing w:after="0"/>
      </w:pPr>
      <w:r w:rsidRPr="00B57D78">
        <w:t>7.</w:t>
      </w:r>
      <w:r w:rsidRPr="00B57D78">
        <w:tab/>
        <w:t>Allum W, Lordick F, Alsina M, Andritsch E, Ba-Ssalamah A, Beishon M, et al. ECCO essential requirements for quality cancer care: Oesophageal and gastric cancer. Critical Reviews in Oncology/Hematology. 2018 2018/02/01/;122:179-93.</w:t>
      </w:r>
    </w:p>
    <w:p w14:paraId="55573AFC" w14:textId="77777777" w:rsidR="00B57D78" w:rsidRPr="00B57D78" w:rsidRDefault="00B57D78" w:rsidP="00B57D78">
      <w:pPr>
        <w:pStyle w:val="EndNoteBibliography"/>
        <w:spacing w:after="0"/>
      </w:pPr>
      <w:r w:rsidRPr="00B57D78">
        <w:t>8.</w:t>
      </w:r>
      <w:r w:rsidRPr="00B57D78">
        <w:tab/>
        <w:t>Kirkhus L, Šaltytė Benth J, Rostoft S, Grønberg BH, Hjermstad MJ, Selbæk G, et al. Geriatric assessment is superior to oncologists’ clinical judgement in identifying frailty. British Journal Of Cancer. [Clinical Study]. 2017 06/29/online;117:470.</w:t>
      </w:r>
    </w:p>
    <w:p w14:paraId="0E7EC1F9" w14:textId="77777777" w:rsidR="00B57D78" w:rsidRPr="00B57D78" w:rsidRDefault="00B57D78" w:rsidP="00B57D78">
      <w:pPr>
        <w:pStyle w:val="EndNoteBibliography"/>
        <w:spacing w:after="0"/>
      </w:pPr>
      <w:r w:rsidRPr="00B57D78">
        <w:t>9.</w:t>
      </w:r>
      <w:r w:rsidRPr="00B57D78">
        <w:tab/>
        <w:t>Rajabali N, Rolfson D, Bagshaw SM. Assessment and Utility of Frailty Measures in Critical Illness, Cardiology, and Cardiac Surgery. Canadian Journal of Cardiology. [Review]. 2016;32(9):1157-65.</w:t>
      </w:r>
    </w:p>
    <w:p w14:paraId="2FE41A91" w14:textId="77777777" w:rsidR="00B57D78" w:rsidRPr="00B57D78" w:rsidRDefault="00B57D78" w:rsidP="00B57D78">
      <w:pPr>
        <w:pStyle w:val="EndNoteBibliography"/>
        <w:spacing w:after="0"/>
      </w:pPr>
      <w:r w:rsidRPr="00B57D78">
        <w:t>10.</w:t>
      </w:r>
      <w:r w:rsidRPr="00B57D78">
        <w:tab/>
        <w:t>Kallenberg MH, Kleinveld HA, Dekker FW, van Munster BC, Rabelink TJ, van Buren M, et al. Functional and Cognitive Impairment, Frailty, and Adverse Health Outcomes in Older Patients Reaching ESRD-A Systematic Review. Clinical Journal of The American Society of Nephrology: CJASN. [Review]. 2016;11(9):1624-39.</w:t>
      </w:r>
    </w:p>
    <w:p w14:paraId="5CDBED7D" w14:textId="77777777" w:rsidR="00B57D78" w:rsidRPr="00B57D78" w:rsidRDefault="00B57D78" w:rsidP="00B57D78">
      <w:pPr>
        <w:pStyle w:val="EndNoteBibliography"/>
        <w:spacing w:after="0"/>
      </w:pPr>
      <w:r w:rsidRPr="00B57D78">
        <w:t>11.</w:t>
      </w:r>
      <w:r w:rsidRPr="00B57D78">
        <w:tab/>
        <w:t>Houghton JSM, Nickinson ATO, Morton AJ, Nduwayo S, Pepper CJ, Rayt HS, et al. Frailty Factors and Outcomes in Vascular Surgery Patients: A Systematic Review and Meta-analysis. Annals of Surgery. 9000;Publish Ahead of Print.</w:t>
      </w:r>
    </w:p>
    <w:p w14:paraId="7C32B2D1" w14:textId="77777777" w:rsidR="00B57D78" w:rsidRPr="00B57D78" w:rsidRDefault="00B57D78" w:rsidP="00B57D78">
      <w:pPr>
        <w:pStyle w:val="EndNoteBibliography"/>
        <w:spacing w:after="0"/>
      </w:pPr>
      <w:r w:rsidRPr="00B57D78">
        <w:t>12.</w:t>
      </w:r>
      <w:r w:rsidRPr="00B57D78">
        <w:tab/>
        <w:t xml:space="preserve">NHS England. The NHS Long Term Plan. 2019 [January 2019]; Available from: </w:t>
      </w:r>
      <w:hyperlink r:id="rId28" w:history="1">
        <w:r w:rsidRPr="00B57D78">
          <w:rPr>
            <w:rStyle w:val="Hyperlink"/>
          </w:rPr>
          <w:t>www.longtermplan.nhs.uk</w:t>
        </w:r>
      </w:hyperlink>
      <w:r w:rsidRPr="00B57D78">
        <w:t>.</w:t>
      </w:r>
    </w:p>
    <w:p w14:paraId="4002F709" w14:textId="77777777" w:rsidR="00B57D78" w:rsidRPr="00B57D78" w:rsidRDefault="00B57D78" w:rsidP="00B57D78">
      <w:pPr>
        <w:pStyle w:val="EndNoteBibliography"/>
        <w:spacing w:after="0"/>
      </w:pPr>
      <w:r w:rsidRPr="00B57D78">
        <w:t>13.</w:t>
      </w:r>
      <w:r w:rsidRPr="00B57D78">
        <w:tab/>
        <w:t>Gilbert T, Neuburger J, Kraindler J, Keeble E, Smith P, Ariti C, et al. Development and validation of a Hospital Frailty Risk Score focusing on older people in acute care settings using electronic hospital records: an observational study. The Lancet. 2018;391(10132):1775-82.</w:t>
      </w:r>
    </w:p>
    <w:p w14:paraId="4CCBD887" w14:textId="77777777" w:rsidR="00B57D78" w:rsidRPr="00B57D78" w:rsidRDefault="00B57D78" w:rsidP="00B57D78">
      <w:pPr>
        <w:pStyle w:val="EndNoteBibliography"/>
        <w:spacing w:after="0"/>
      </w:pPr>
      <w:r w:rsidRPr="00B57D78">
        <w:t>14.</w:t>
      </w:r>
      <w:r w:rsidRPr="00B57D78">
        <w:tab/>
        <w:t>NHS Benchmarking Network. Older People in Acute Settings. NHS Benchmarking Network, 2016.</w:t>
      </w:r>
    </w:p>
    <w:p w14:paraId="433E9F17" w14:textId="77777777" w:rsidR="00B57D78" w:rsidRPr="00B57D78" w:rsidRDefault="00B57D78" w:rsidP="00B57D78">
      <w:pPr>
        <w:pStyle w:val="EndNoteBibliography"/>
      </w:pPr>
      <w:r w:rsidRPr="00B57D78">
        <w:t>15.</w:t>
      </w:r>
      <w:r w:rsidRPr="00B57D78">
        <w:tab/>
        <w:t>Care NR. NHS RightCare: Frailty Toolkit. London: NHS England, 2019 April 2019. Report No.</w:t>
      </w:r>
    </w:p>
    <w:p w14:paraId="546A0C59" w14:textId="1B0DC71F" w:rsidR="00044BAC" w:rsidRPr="007343C1" w:rsidRDefault="0027564B" w:rsidP="000B44F3">
      <w:r w:rsidRPr="007343C1">
        <w:fldChar w:fldCharType="end"/>
      </w:r>
    </w:p>
    <w:sectPr w:rsidR="00044BAC" w:rsidRPr="007343C1" w:rsidSect="007908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B9F10" w14:textId="77777777" w:rsidR="00746EC9" w:rsidRDefault="00746EC9" w:rsidP="000B44F3">
      <w:r>
        <w:separator/>
      </w:r>
    </w:p>
  </w:endnote>
  <w:endnote w:type="continuationSeparator" w:id="0">
    <w:p w14:paraId="0F03E414" w14:textId="77777777" w:rsidR="00746EC9" w:rsidRDefault="00746EC9" w:rsidP="000B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EB5E" w14:textId="1630463A" w:rsidR="00F87C44" w:rsidRDefault="00F87C44" w:rsidP="000B44F3">
    <w:pPr>
      <w:pStyle w:val="Footer"/>
    </w:pPr>
    <w:r>
      <w:t>V</w:t>
    </w:r>
    <w:r w:rsidRPr="0027564B">
      <w:t xml:space="preserve">ersion </w:t>
    </w:r>
    <w:r>
      <w:t>2.8</w:t>
    </w:r>
    <w:r>
      <w:tab/>
      <w:t>8th June 2020</w:t>
    </w:r>
    <w:r>
      <w:tab/>
      <w:t xml:space="preserve">Page </w:t>
    </w:r>
    <w:r>
      <w:fldChar w:fldCharType="begin"/>
    </w:r>
    <w:r>
      <w:instrText xml:space="preserve"> PAGE   \* MERGEFORMAT </w:instrText>
    </w:r>
    <w:r>
      <w:fldChar w:fldCharType="separate"/>
    </w:r>
    <w:r w:rsidR="00C459B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67841" w14:textId="77777777" w:rsidR="00746EC9" w:rsidRDefault="00746EC9" w:rsidP="000B44F3">
      <w:r>
        <w:separator/>
      </w:r>
    </w:p>
  </w:footnote>
  <w:footnote w:type="continuationSeparator" w:id="0">
    <w:p w14:paraId="3C0DC755" w14:textId="77777777" w:rsidR="00746EC9" w:rsidRDefault="00746EC9" w:rsidP="000B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75BA5"/>
    <w:multiLevelType w:val="hybridMultilevel"/>
    <w:tmpl w:val="21D2EEF0"/>
    <w:lvl w:ilvl="0" w:tplc="B81EE882">
      <w:start w:val="7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945C8"/>
    <w:multiLevelType w:val="hybridMultilevel"/>
    <w:tmpl w:val="89DEB4FC"/>
    <w:lvl w:ilvl="0" w:tplc="B81EE882">
      <w:start w:val="7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66161"/>
    <w:multiLevelType w:val="hybridMultilevel"/>
    <w:tmpl w:val="231A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7268F"/>
    <w:multiLevelType w:val="multilevel"/>
    <w:tmpl w:val="8730D0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8370A1"/>
    <w:multiLevelType w:val="hybridMultilevel"/>
    <w:tmpl w:val="3434F8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 and Ageing&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5ada52fwzzflexpwcv0awr0ptttxa9frxe&quot;&gt;My EndNote Library&lt;record-ids&gt;&lt;item&gt;3471&lt;/item&gt;&lt;item&gt;3653&lt;/item&gt;&lt;item&gt;3966&lt;/item&gt;&lt;item&gt;4034&lt;/item&gt;&lt;item&gt;4083&lt;/item&gt;&lt;item&gt;4367&lt;/item&gt;&lt;item&gt;4383&lt;/item&gt;&lt;item&gt;4836&lt;/item&gt;&lt;item&gt;5062&lt;/item&gt;&lt;item&gt;5089&lt;/item&gt;&lt;item&gt;5165&lt;/item&gt;&lt;item&gt;5180&lt;/item&gt;&lt;/record-ids&gt;&lt;/item&gt;&lt;/Libraries&gt;"/>
  </w:docVars>
  <w:rsids>
    <w:rsidRoot w:val="00445DBC"/>
    <w:rsid w:val="00001C79"/>
    <w:rsid w:val="000149DF"/>
    <w:rsid w:val="000402F0"/>
    <w:rsid w:val="00043A29"/>
    <w:rsid w:val="00044BAC"/>
    <w:rsid w:val="000516C7"/>
    <w:rsid w:val="00051C1B"/>
    <w:rsid w:val="00054C61"/>
    <w:rsid w:val="00077B70"/>
    <w:rsid w:val="000823D3"/>
    <w:rsid w:val="00083264"/>
    <w:rsid w:val="00084065"/>
    <w:rsid w:val="000B44F3"/>
    <w:rsid w:val="000B4614"/>
    <w:rsid w:val="000B67F0"/>
    <w:rsid w:val="000C72E7"/>
    <w:rsid w:val="000D1885"/>
    <w:rsid w:val="000D26FE"/>
    <w:rsid w:val="000E0955"/>
    <w:rsid w:val="000F01D4"/>
    <w:rsid w:val="000F335C"/>
    <w:rsid w:val="00110022"/>
    <w:rsid w:val="00113752"/>
    <w:rsid w:val="00115193"/>
    <w:rsid w:val="0012333A"/>
    <w:rsid w:val="00130F92"/>
    <w:rsid w:val="001311CC"/>
    <w:rsid w:val="001323A8"/>
    <w:rsid w:val="00133635"/>
    <w:rsid w:val="001502F4"/>
    <w:rsid w:val="00152390"/>
    <w:rsid w:val="001650F5"/>
    <w:rsid w:val="00172DA8"/>
    <w:rsid w:val="001806EB"/>
    <w:rsid w:val="00184391"/>
    <w:rsid w:val="001A2B4D"/>
    <w:rsid w:val="001B3BA3"/>
    <w:rsid w:val="001D63AB"/>
    <w:rsid w:val="00212A21"/>
    <w:rsid w:val="002277F6"/>
    <w:rsid w:val="002336BA"/>
    <w:rsid w:val="00242DA9"/>
    <w:rsid w:val="002441E2"/>
    <w:rsid w:val="002471A9"/>
    <w:rsid w:val="00250517"/>
    <w:rsid w:val="00250D58"/>
    <w:rsid w:val="00253EBB"/>
    <w:rsid w:val="0027564B"/>
    <w:rsid w:val="00276EC4"/>
    <w:rsid w:val="00281CB2"/>
    <w:rsid w:val="00290410"/>
    <w:rsid w:val="00291EA9"/>
    <w:rsid w:val="002A2EB3"/>
    <w:rsid w:val="002B6120"/>
    <w:rsid w:val="002B7F53"/>
    <w:rsid w:val="002C62D1"/>
    <w:rsid w:val="002E7292"/>
    <w:rsid w:val="00300321"/>
    <w:rsid w:val="00312338"/>
    <w:rsid w:val="0031512F"/>
    <w:rsid w:val="00327869"/>
    <w:rsid w:val="00333275"/>
    <w:rsid w:val="00335B70"/>
    <w:rsid w:val="00342061"/>
    <w:rsid w:val="003509F4"/>
    <w:rsid w:val="0035287E"/>
    <w:rsid w:val="003623C9"/>
    <w:rsid w:val="003802E9"/>
    <w:rsid w:val="003A01FD"/>
    <w:rsid w:val="003A044E"/>
    <w:rsid w:val="003A6904"/>
    <w:rsid w:val="003B124D"/>
    <w:rsid w:val="003C6C64"/>
    <w:rsid w:val="003D43FE"/>
    <w:rsid w:val="003E6DE7"/>
    <w:rsid w:val="004006C3"/>
    <w:rsid w:val="00411571"/>
    <w:rsid w:val="0041321D"/>
    <w:rsid w:val="00426D55"/>
    <w:rsid w:val="004358F4"/>
    <w:rsid w:val="00440935"/>
    <w:rsid w:val="00445746"/>
    <w:rsid w:val="00445DBC"/>
    <w:rsid w:val="00480865"/>
    <w:rsid w:val="004811D2"/>
    <w:rsid w:val="0048290F"/>
    <w:rsid w:val="004A63F7"/>
    <w:rsid w:val="004B0AFB"/>
    <w:rsid w:val="004B47D3"/>
    <w:rsid w:val="004C2BB8"/>
    <w:rsid w:val="004D6B57"/>
    <w:rsid w:val="004E1D95"/>
    <w:rsid w:val="0052463B"/>
    <w:rsid w:val="005269C7"/>
    <w:rsid w:val="005328B5"/>
    <w:rsid w:val="00540412"/>
    <w:rsid w:val="00542CE9"/>
    <w:rsid w:val="005457D9"/>
    <w:rsid w:val="00562755"/>
    <w:rsid w:val="00566211"/>
    <w:rsid w:val="005712C0"/>
    <w:rsid w:val="005734B2"/>
    <w:rsid w:val="005835B8"/>
    <w:rsid w:val="00585C4E"/>
    <w:rsid w:val="005906A9"/>
    <w:rsid w:val="005B35AE"/>
    <w:rsid w:val="005E50EA"/>
    <w:rsid w:val="005E57EA"/>
    <w:rsid w:val="005F0DF0"/>
    <w:rsid w:val="005F70F7"/>
    <w:rsid w:val="006048BF"/>
    <w:rsid w:val="00620D3B"/>
    <w:rsid w:val="00670A62"/>
    <w:rsid w:val="00674EA5"/>
    <w:rsid w:val="006B4973"/>
    <w:rsid w:val="006B5057"/>
    <w:rsid w:val="006C7271"/>
    <w:rsid w:val="006C7D65"/>
    <w:rsid w:val="006E152B"/>
    <w:rsid w:val="00700F7B"/>
    <w:rsid w:val="00707579"/>
    <w:rsid w:val="00712991"/>
    <w:rsid w:val="0071476A"/>
    <w:rsid w:val="00724E30"/>
    <w:rsid w:val="007343C1"/>
    <w:rsid w:val="007462AC"/>
    <w:rsid w:val="00746EC9"/>
    <w:rsid w:val="00750DE8"/>
    <w:rsid w:val="00763121"/>
    <w:rsid w:val="0078707F"/>
    <w:rsid w:val="007903D6"/>
    <w:rsid w:val="00790829"/>
    <w:rsid w:val="007C2E3C"/>
    <w:rsid w:val="007C406B"/>
    <w:rsid w:val="007D5972"/>
    <w:rsid w:val="007E71D3"/>
    <w:rsid w:val="00800795"/>
    <w:rsid w:val="00802485"/>
    <w:rsid w:val="00816F8F"/>
    <w:rsid w:val="00820EEE"/>
    <w:rsid w:val="00841807"/>
    <w:rsid w:val="00842682"/>
    <w:rsid w:val="008573B3"/>
    <w:rsid w:val="0086559D"/>
    <w:rsid w:val="0087337E"/>
    <w:rsid w:val="00873C87"/>
    <w:rsid w:val="00876E85"/>
    <w:rsid w:val="00877741"/>
    <w:rsid w:val="0088009B"/>
    <w:rsid w:val="00890E56"/>
    <w:rsid w:val="008D1BA4"/>
    <w:rsid w:val="008E5FD2"/>
    <w:rsid w:val="00934617"/>
    <w:rsid w:val="009613E3"/>
    <w:rsid w:val="0096151C"/>
    <w:rsid w:val="00974AD1"/>
    <w:rsid w:val="009A5011"/>
    <w:rsid w:val="009D218F"/>
    <w:rsid w:val="009E3B14"/>
    <w:rsid w:val="009F47C2"/>
    <w:rsid w:val="009F77A2"/>
    <w:rsid w:val="00A0649D"/>
    <w:rsid w:val="00A10FF9"/>
    <w:rsid w:val="00A510C9"/>
    <w:rsid w:val="00A64119"/>
    <w:rsid w:val="00A704B9"/>
    <w:rsid w:val="00A75E58"/>
    <w:rsid w:val="00A93E4F"/>
    <w:rsid w:val="00AA7E95"/>
    <w:rsid w:val="00AB526B"/>
    <w:rsid w:val="00AC01DE"/>
    <w:rsid w:val="00AC1B03"/>
    <w:rsid w:val="00AE2C29"/>
    <w:rsid w:val="00B001AB"/>
    <w:rsid w:val="00B13C19"/>
    <w:rsid w:val="00B174F6"/>
    <w:rsid w:val="00B33DE0"/>
    <w:rsid w:val="00B40AF0"/>
    <w:rsid w:val="00B57D78"/>
    <w:rsid w:val="00B60D75"/>
    <w:rsid w:val="00B6209B"/>
    <w:rsid w:val="00B835CD"/>
    <w:rsid w:val="00B863B4"/>
    <w:rsid w:val="00B977B8"/>
    <w:rsid w:val="00BA0D3E"/>
    <w:rsid w:val="00BA6E31"/>
    <w:rsid w:val="00BB0B30"/>
    <w:rsid w:val="00C0513E"/>
    <w:rsid w:val="00C115A9"/>
    <w:rsid w:val="00C11D18"/>
    <w:rsid w:val="00C1484A"/>
    <w:rsid w:val="00C17869"/>
    <w:rsid w:val="00C22C62"/>
    <w:rsid w:val="00C414F4"/>
    <w:rsid w:val="00C41D9C"/>
    <w:rsid w:val="00C459B4"/>
    <w:rsid w:val="00C61AB3"/>
    <w:rsid w:val="00C63CAF"/>
    <w:rsid w:val="00C7265E"/>
    <w:rsid w:val="00C85CF0"/>
    <w:rsid w:val="00C862D0"/>
    <w:rsid w:val="00C93102"/>
    <w:rsid w:val="00CB1A60"/>
    <w:rsid w:val="00CC1D62"/>
    <w:rsid w:val="00CD1231"/>
    <w:rsid w:val="00CE5CD7"/>
    <w:rsid w:val="00CE6DC4"/>
    <w:rsid w:val="00D03D25"/>
    <w:rsid w:val="00D30549"/>
    <w:rsid w:val="00D40BBC"/>
    <w:rsid w:val="00D47F1C"/>
    <w:rsid w:val="00D55F32"/>
    <w:rsid w:val="00D60826"/>
    <w:rsid w:val="00D71E14"/>
    <w:rsid w:val="00D762E3"/>
    <w:rsid w:val="00D83463"/>
    <w:rsid w:val="00D93374"/>
    <w:rsid w:val="00DA1799"/>
    <w:rsid w:val="00DA63D9"/>
    <w:rsid w:val="00DB7668"/>
    <w:rsid w:val="00DC0CAB"/>
    <w:rsid w:val="00DC3094"/>
    <w:rsid w:val="00DC6C24"/>
    <w:rsid w:val="00DD4E72"/>
    <w:rsid w:val="00DF2A35"/>
    <w:rsid w:val="00DF645B"/>
    <w:rsid w:val="00E15B79"/>
    <w:rsid w:val="00E2519D"/>
    <w:rsid w:val="00E6109A"/>
    <w:rsid w:val="00E9120C"/>
    <w:rsid w:val="00E9696A"/>
    <w:rsid w:val="00EA59E4"/>
    <w:rsid w:val="00EB755E"/>
    <w:rsid w:val="00EC242E"/>
    <w:rsid w:val="00EC27F6"/>
    <w:rsid w:val="00EE4DD8"/>
    <w:rsid w:val="00EF6D45"/>
    <w:rsid w:val="00F11312"/>
    <w:rsid w:val="00F13E8A"/>
    <w:rsid w:val="00F142A8"/>
    <w:rsid w:val="00F15CDE"/>
    <w:rsid w:val="00F263A0"/>
    <w:rsid w:val="00F31C93"/>
    <w:rsid w:val="00F5446B"/>
    <w:rsid w:val="00F60C5D"/>
    <w:rsid w:val="00F76DDB"/>
    <w:rsid w:val="00F77490"/>
    <w:rsid w:val="00F777B0"/>
    <w:rsid w:val="00F8145A"/>
    <w:rsid w:val="00F87C44"/>
    <w:rsid w:val="00F918DB"/>
    <w:rsid w:val="00F96AB0"/>
    <w:rsid w:val="00FA30EC"/>
    <w:rsid w:val="00FA4AF3"/>
    <w:rsid w:val="00FB0178"/>
    <w:rsid w:val="00FF1CF3"/>
    <w:rsid w:val="00FF5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C6E12"/>
  <w15:docId w15:val="{7B7C4C70-26B0-471B-81C3-8BF3FCFE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F3"/>
    <w:rPr>
      <w:rFonts w:ascii="Arial" w:eastAsia="Times New Roman" w:hAnsi="Arial" w:cs="Arial"/>
      <w:lang w:val="en" w:eastAsia="en-GB"/>
    </w:rPr>
  </w:style>
  <w:style w:type="paragraph" w:styleId="Heading1">
    <w:name w:val="heading 1"/>
    <w:basedOn w:val="Normal"/>
    <w:next w:val="Normal"/>
    <w:link w:val="Heading1Char"/>
    <w:uiPriority w:val="9"/>
    <w:qFormat/>
    <w:rsid w:val="00445DB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45DB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45DB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45DB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45DB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45DB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45DB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45DB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5DB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DB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45DBC"/>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445DB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445DBC"/>
    <w:rPr>
      <w:caps/>
      <w:spacing w:val="15"/>
      <w:shd w:val="clear" w:color="auto" w:fill="D9E2F3" w:themeFill="accent1" w:themeFillTint="33"/>
    </w:rPr>
  </w:style>
  <w:style w:type="character" w:customStyle="1" w:styleId="Heading3Char">
    <w:name w:val="Heading 3 Char"/>
    <w:basedOn w:val="DefaultParagraphFont"/>
    <w:link w:val="Heading3"/>
    <w:uiPriority w:val="9"/>
    <w:rsid w:val="00445DBC"/>
    <w:rPr>
      <w:caps/>
      <w:color w:val="1F3763" w:themeColor="accent1" w:themeShade="7F"/>
      <w:spacing w:val="15"/>
    </w:rPr>
  </w:style>
  <w:style w:type="character" w:customStyle="1" w:styleId="Heading4Char">
    <w:name w:val="Heading 4 Char"/>
    <w:basedOn w:val="DefaultParagraphFont"/>
    <w:link w:val="Heading4"/>
    <w:uiPriority w:val="9"/>
    <w:semiHidden/>
    <w:rsid w:val="00445DBC"/>
    <w:rPr>
      <w:caps/>
      <w:color w:val="2F5496" w:themeColor="accent1" w:themeShade="BF"/>
      <w:spacing w:val="10"/>
    </w:rPr>
  </w:style>
  <w:style w:type="character" w:customStyle="1" w:styleId="Heading5Char">
    <w:name w:val="Heading 5 Char"/>
    <w:basedOn w:val="DefaultParagraphFont"/>
    <w:link w:val="Heading5"/>
    <w:uiPriority w:val="9"/>
    <w:semiHidden/>
    <w:rsid w:val="00445DBC"/>
    <w:rPr>
      <w:caps/>
      <w:color w:val="2F5496" w:themeColor="accent1" w:themeShade="BF"/>
      <w:spacing w:val="10"/>
    </w:rPr>
  </w:style>
  <w:style w:type="character" w:customStyle="1" w:styleId="Heading6Char">
    <w:name w:val="Heading 6 Char"/>
    <w:basedOn w:val="DefaultParagraphFont"/>
    <w:link w:val="Heading6"/>
    <w:uiPriority w:val="9"/>
    <w:semiHidden/>
    <w:rsid w:val="00445DBC"/>
    <w:rPr>
      <w:caps/>
      <w:color w:val="2F5496" w:themeColor="accent1" w:themeShade="BF"/>
      <w:spacing w:val="10"/>
    </w:rPr>
  </w:style>
  <w:style w:type="character" w:customStyle="1" w:styleId="Heading7Char">
    <w:name w:val="Heading 7 Char"/>
    <w:basedOn w:val="DefaultParagraphFont"/>
    <w:link w:val="Heading7"/>
    <w:uiPriority w:val="9"/>
    <w:semiHidden/>
    <w:rsid w:val="00445DBC"/>
    <w:rPr>
      <w:caps/>
      <w:color w:val="2F5496" w:themeColor="accent1" w:themeShade="BF"/>
      <w:spacing w:val="10"/>
    </w:rPr>
  </w:style>
  <w:style w:type="character" w:customStyle="1" w:styleId="Heading8Char">
    <w:name w:val="Heading 8 Char"/>
    <w:basedOn w:val="DefaultParagraphFont"/>
    <w:link w:val="Heading8"/>
    <w:uiPriority w:val="9"/>
    <w:semiHidden/>
    <w:rsid w:val="00445DBC"/>
    <w:rPr>
      <w:caps/>
      <w:spacing w:val="10"/>
      <w:sz w:val="18"/>
      <w:szCs w:val="18"/>
    </w:rPr>
  </w:style>
  <w:style w:type="character" w:customStyle="1" w:styleId="Heading9Char">
    <w:name w:val="Heading 9 Char"/>
    <w:basedOn w:val="DefaultParagraphFont"/>
    <w:link w:val="Heading9"/>
    <w:uiPriority w:val="9"/>
    <w:semiHidden/>
    <w:rsid w:val="00445DBC"/>
    <w:rPr>
      <w:i/>
      <w:iCs/>
      <w:caps/>
      <w:spacing w:val="10"/>
      <w:sz w:val="18"/>
      <w:szCs w:val="18"/>
    </w:rPr>
  </w:style>
  <w:style w:type="paragraph" w:styleId="Caption">
    <w:name w:val="caption"/>
    <w:basedOn w:val="Normal"/>
    <w:next w:val="Normal"/>
    <w:uiPriority w:val="35"/>
    <w:unhideWhenUsed/>
    <w:qFormat/>
    <w:rsid w:val="0041321D"/>
    <w:pPr>
      <w:keepNext/>
    </w:pPr>
    <w:rPr>
      <w:b/>
      <w:bCs/>
      <w:color w:val="2F5496" w:themeColor="accent1" w:themeShade="BF"/>
    </w:rPr>
  </w:style>
  <w:style w:type="paragraph" w:styleId="Subtitle">
    <w:name w:val="Subtitle"/>
    <w:basedOn w:val="Normal"/>
    <w:next w:val="Normal"/>
    <w:link w:val="SubtitleChar"/>
    <w:uiPriority w:val="11"/>
    <w:qFormat/>
    <w:rsid w:val="00445DB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45DBC"/>
    <w:rPr>
      <w:caps/>
      <w:color w:val="595959" w:themeColor="text1" w:themeTint="A6"/>
      <w:spacing w:val="10"/>
      <w:sz w:val="21"/>
      <w:szCs w:val="21"/>
    </w:rPr>
  </w:style>
  <w:style w:type="character" w:styleId="Strong">
    <w:name w:val="Strong"/>
    <w:uiPriority w:val="22"/>
    <w:qFormat/>
    <w:rsid w:val="00445DBC"/>
    <w:rPr>
      <w:b/>
      <w:bCs/>
    </w:rPr>
  </w:style>
  <w:style w:type="character" w:styleId="Emphasis">
    <w:name w:val="Emphasis"/>
    <w:uiPriority w:val="20"/>
    <w:qFormat/>
    <w:rsid w:val="00445DBC"/>
    <w:rPr>
      <w:caps/>
      <w:color w:val="1F3763" w:themeColor="accent1" w:themeShade="7F"/>
      <w:spacing w:val="5"/>
    </w:rPr>
  </w:style>
  <w:style w:type="paragraph" w:styleId="NoSpacing">
    <w:name w:val="No Spacing"/>
    <w:uiPriority w:val="1"/>
    <w:qFormat/>
    <w:rsid w:val="00445DBC"/>
    <w:pPr>
      <w:spacing w:after="0" w:line="240" w:lineRule="auto"/>
    </w:pPr>
  </w:style>
  <w:style w:type="paragraph" w:styleId="Quote">
    <w:name w:val="Quote"/>
    <w:basedOn w:val="Normal"/>
    <w:next w:val="Normal"/>
    <w:link w:val="QuoteChar"/>
    <w:uiPriority w:val="29"/>
    <w:qFormat/>
    <w:rsid w:val="00445DBC"/>
    <w:rPr>
      <w:i/>
      <w:iCs/>
      <w:sz w:val="24"/>
      <w:szCs w:val="24"/>
    </w:rPr>
  </w:style>
  <w:style w:type="character" w:customStyle="1" w:styleId="QuoteChar">
    <w:name w:val="Quote Char"/>
    <w:basedOn w:val="DefaultParagraphFont"/>
    <w:link w:val="Quote"/>
    <w:uiPriority w:val="29"/>
    <w:rsid w:val="00445DBC"/>
    <w:rPr>
      <w:i/>
      <w:iCs/>
      <w:sz w:val="24"/>
      <w:szCs w:val="24"/>
    </w:rPr>
  </w:style>
  <w:style w:type="paragraph" w:styleId="IntenseQuote">
    <w:name w:val="Intense Quote"/>
    <w:basedOn w:val="Normal"/>
    <w:next w:val="Normal"/>
    <w:link w:val="IntenseQuoteChar"/>
    <w:uiPriority w:val="30"/>
    <w:qFormat/>
    <w:rsid w:val="00445DB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45DBC"/>
    <w:rPr>
      <w:color w:val="4472C4" w:themeColor="accent1"/>
      <w:sz w:val="24"/>
      <w:szCs w:val="24"/>
    </w:rPr>
  </w:style>
  <w:style w:type="character" w:styleId="SubtleEmphasis">
    <w:name w:val="Subtle Emphasis"/>
    <w:uiPriority w:val="19"/>
    <w:qFormat/>
    <w:rsid w:val="00445DBC"/>
    <w:rPr>
      <w:i/>
      <w:iCs/>
      <w:color w:val="1F3763" w:themeColor="accent1" w:themeShade="7F"/>
    </w:rPr>
  </w:style>
  <w:style w:type="character" w:styleId="IntenseEmphasis">
    <w:name w:val="Intense Emphasis"/>
    <w:uiPriority w:val="21"/>
    <w:qFormat/>
    <w:rsid w:val="00445DBC"/>
    <w:rPr>
      <w:b/>
      <w:bCs/>
      <w:caps/>
      <w:color w:val="1F3763" w:themeColor="accent1" w:themeShade="7F"/>
      <w:spacing w:val="10"/>
    </w:rPr>
  </w:style>
  <w:style w:type="character" w:styleId="SubtleReference">
    <w:name w:val="Subtle Reference"/>
    <w:uiPriority w:val="31"/>
    <w:qFormat/>
    <w:rsid w:val="00445DBC"/>
    <w:rPr>
      <w:b/>
      <w:bCs/>
      <w:color w:val="4472C4" w:themeColor="accent1"/>
    </w:rPr>
  </w:style>
  <w:style w:type="character" w:styleId="IntenseReference">
    <w:name w:val="Intense Reference"/>
    <w:uiPriority w:val="32"/>
    <w:qFormat/>
    <w:rsid w:val="00445DBC"/>
    <w:rPr>
      <w:b/>
      <w:bCs/>
      <w:i/>
      <w:iCs/>
      <w:caps/>
      <w:color w:val="4472C4" w:themeColor="accent1"/>
    </w:rPr>
  </w:style>
  <w:style w:type="character" w:styleId="BookTitle">
    <w:name w:val="Book Title"/>
    <w:uiPriority w:val="33"/>
    <w:qFormat/>
    <w:rsid w:val="00445DBC"/>
    <w:rPr>
      <w:b/>
      <w:bCs/>
      <w:i/>
      <w:iCs/>
      <w:spacing w:val="0"/>
    </w:rPr>
  </w:style>
  <w:style w:type="paragraph" w:styleId="TOCHeading">
    <w:name w:val="TOC Heading"/>
    <w:basedOn w:val="Heading1"/>
    <w:next w:val="Normal"/>
    <w:uiPriority w:val="39"/>
    <w:semiHidden/>
    <w:unhideWhenUsed/>
    <w:qFormat/>
    <w:rsid w:val="00445DBC"/>
    <w:pPr>
      <w:outlineLvl w:val="9"/>
    </w:pPr>
  </w:style>
  <w:style w:type="paragraph" w:styleId="Header">
    <w:name w:val="header"/>
    <w:basedOn w:val="Normal"/>
    <w:link w:val="HeaderChar"/>
    <w:uiPriority w:val="99"/>
    <w:unhideWhenUsed/>
    <w:rsid w:val="00445DB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45DBC"/>
  </w:style>
  <w:style w:type="paragraph" w:styleId="Footer">
    <w:name w:val="footer"/>
    <w:basedOn w:val="Normal"/>
    <w:link w:val="FooterChar"/>
    <w:uiPriority w:val="99"/>
    <w:unhideWhenUsed/>
    <w:rsid w:val="00445DB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45DBC"/>
  </w:style>
  <w:style w:type="paragraph" w:styleId="CommentText">
    <w:name w:val="annotation text"/>
    <w:basedOn w:val="Normal"/>
    <w:link w:val="CommentTextChar"/>
    <w:uiPriority w:val="99"/>
    <w:unhideWhenUsed/>
    <w:rsid w:val="00F142A8"/>
    <w:pPr>
      <w:spacing w:before="0" w:line="240" w:lineRule="auto"/>
    </w:pPr>
    <w:rPr>
      <w:rFonts w:eastAsiaTheme="minorHAnsi"/>
    </w:rPr>
  </w:style>
  <w:style w:type="character" w:customStyle="1" w:styleId="CommentTextChar">
    <w:name w:val="Comment Text Char"/>
    <w:basedOn w:val="DefaultParagraphFont"/>
    <w:link w:val="CommentText"/>
    <w:uiPriority w:val="99"/>
    <w:rsid w:val="00F142A8"/>
    <w:rPr>
      <w:rFonts w:eastAsiaTheme="minorHAnsi"/>
    </w:rPr>
  </w:style>
  <w:style w:type="table" w:styleId="TableGrid">
    <w:name w:val="Table Grid"/>
    <w:basedOn w:val="TableNormal"/>
    <w:uiPriority w:val="39"/>
    <w:rsid w:val="000149DF"/>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3121"/>
    <w:pPr>
      <w:spacing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457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7D9"/>
    <w:rPr>
      <w:rFonts w:ascii="Segoe UI" w:hAnsi="Segoe UI" w:cs="Segoe UI"/>
      <w:sz w:val="18"/>
      <w:szCs w:val="18"/>
    </w:rPr>
  </w:style>
  <w:style w:type="character" w:styleId="CommentReference">
    <w:name w:val="annotation reference"/>
    <w:basedOn w:val="DefaultParagraphFont"/>
    <w:uiPriority w:val="99"/>
    <w:semiHidden/>
    <w:unhideWhenUsed/>
    <w:rsid w:val="00DA1799"/>
    <w:rPr>
      <w:sz w:val="16"/>
      <w:szCs w:val="16"/>
    </w:rPr>
  </w:style>
  <w:style w:type="paragraph" w:styleId="CommentSubject">
    <w:name w:val="annotation subject"/>
    <w:basedOn w:val="CommentText"/>
    <w:next w:val="CommentText"/>
    <w:link w:val="CommentSubjectChar"/>
    <w:uiPriority w:val="99"/>
    <w:semiHidden/>
    <w:unhideWhenUsed/>
    <w:rsid w:val="00DA1799"/>
    <w:pPr>
      <w:spacing w:before="100"/>
    </w:pPr>
    <w:rPr>
      <w:rFonts w:eastAsiaTheme="minorEastAsia"/>
      <w:b/>
      <w:bCs/>
    </w:rPr>
  </w:style>
  <w:style w:type="character" w:customStyle="1" w:styleId="CommentSubjectChar">
    <w:name w:val="Comment Subject Char"/>
    <w:basedOn w:val="CommentTextChar"/>
    <w:link w:val="CommentSubject"/>
    <w:uiPriority w:val="99"/>
    <w:semiHidden/>
    <w:rsid w:val="00DA1799"/>
    <w:rPr>
      <w:rFonts w:eastAsiaTheme="minorHAnsi"/>
      <w:b/>
      <w:bCs/>
    </w:rPr>
  </w:style>
  <w:style w:type="paragraph" w:styleId="ListParagraph">
    <w:name w:val="List Paragraph"/>
    <w:basedOn w:val="Normal"/>
    <w:uiPriority w:val="34"/>
    <w:qFormat/>
    <w:rsid w:val="0027564B"/>
    <w:pPr>
      <w:ind w:left="720"/>
      <w:contextualSpacing/>
    </w:pPr>
  </w:style>
  <w:style w:type="paragraph" w:customStyle="1" w:styleId="EndNoteBibliographyTitle">
    <w:name w:val="EndNote Bibliography Title"/>
    <w:basedOn w:val="Normal"/>
    <w:link w:val="EndNoteBibliographyTitleChar"/>
    <w:rsid w:val="0027564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7564B"/>
    <w:rPr>
      <w:rFonts w:ascii="Calibri" w:eastAsia="Times New Roman" w:hAnsi="Calibri" w:cs="Calibri"/>
      <w:noProof/>
      <w:lang w:val="en-US" w:eastAsia="en-GB"/>
    </w:rPr>
  </w:style>
  <w:style w:type="paragraph" w:customStyle="1" w:styleId="EndNoteBibliography">
    <w:name w:val="EndNote Bibliography"/>
    <w:basedOn w:val="Normal"/>
    <w:link w:val="EndNoteBibliographyChar"/>
    <w:rsid w:val="0027564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7564B"/>
    <w:rPr>
      <w:rFonts w:ascii="Calibri" w:eastAsia="Times New Roman" w:hAnsi="Calibri" w:cs="Calibri"/>
      <w:noProof/>
      <w:lang w:val="en-US" w:eastAsia="en-GB"/>
    </w:rPr>
  </w:style>
  <w:style w:type="character" w:styleId="Hyperlink">
    <w:name w:val="Hyperlink"/>
    <w:basedOn w:val="DefaultParagraphFont"/>
    <w:uiPriority w:val="99"/>
    <w:unhideWhenUsed/>
    <w:rsid w:val="0048290F"/>
    <w:rPr>
      <w:color w:val="0563C1" w:themeColor="hyperlink"/>
      <w:u w:val="single"/>
    </w:rPr>
  </w:style>
  <w:style w:type="paragraph" w:styleId="Revision">
    <w:name w:val="Revision"/>
    <w:hidden/>
    <w:uiPriority w:val="99"/>
    <w:semiHidden/>
    <w:rsid w:val="00EF6D45"/>
    <w:pPr>
      <w:spacing w:before="0" w:after="0" w:line="240" w:lineRule="auto"/>
    </w:pPr>
    <w:rPr>
      <w:rFonts w:ascii="Arial" w:eastAsia="Times New Roman" w:hAnsi="Arial" w:cs="Arial"/>
      <w:lang w:val="en" w:eastAsia="en-GB"/>
    </w:rPr>
  </w:style>
  <w:style w:type="character" w:customStyle="1" w:styleId="UnresolvedMention1">
    <w:name w:val="Unresolved Mention1"/>
    <w:basedOn w:val="DefaultParagraphFont"/>
    <w:uiPriority w:val="99"/>
    <w:semiHidden/>
    <w:unhideWhenUsed/>
    <w:rsid w:val="004C2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1752">
      <w:bodyDiv w:val="1"/>
      <w:marLeft w:val="0"/>
      <w:marRight w:val="0"/>
      <w:marTop w:val="0"/>
      <w:marBottom w:val="0"/>
      <w:divBdr>
        <w:top w:val="none" w:sz="0" w:space="0" w:color="auto"/>
        <w:left w:val="none" w:sz="0" w:space="0" w:color="auto"/>
        <w:bottom w:val="none" w:sz="0" w:space="0" w:color="auto"/>
        <w:right w:val="none" w:sz="0" w:space="0" w:color="auto"/>
      </w:divBdr>
    </w:div>
    <w:div w:id="165941608">
      <w:bodyDiv w:val="1"/>
      <w:marLeft w:val="0"/>
      <w:marRight w:val="0"/>
      <w:marTop w:val="0"/>
      <w:marBottom w:val="0"/>
      <w:divBdr>
        <w:top w:val="none" w:sz="0" w:space="0" w:color="auto"/>
        <w:left w:val="none" w:sz="0" w:space="0" w:color="auto"/>
        <w:bottom w:val="none" w:sz="0" w:space="0" w:color="auto"/>
        <w:right w:val="none" w:sz="0" w:space="0" w:color="auto"/>
      </w:divBdr>
    </w:div>
    <w:div w:id="168759484">
      <w:bodyDiv w:val="1"/>
      <w:marLeft w:val="0"/>
      <w:marRight w:val="0"/>
      <w:marTop w:val="0"/>
      <w:marBottom w:val="0"/>
      <w:divBdr>
        <w:top w:val="none" w:sz="0" w:space="0" w:color="auto"/>
        <w:left w:val="none" w:sz="0" w:space="0" w:color="auto"/>
        <w:bottom w:val="none" w:sz="0" w:space="0" w:color="auto"/>
        <w:right w:val="none" w:sz="0" w:space="0" w:color="auto"/>
      </w:divBdr>
    </w:div>
    <w:div w:id="177280421">
      <w:bodyDiv w:val="1"/>
      <w:marLeft w:val="0"/>
      <w:marRight w:val="0"/>
      <w:marTop w:val="0"/>
      <w:marBottom w:val="0"/>
      <w:divBdr>
        <w:top w:val="none" w:sz="0" w:space="0" w:color="auto"/>
        <w:left w:val="none" w:sz="0" w:space="0" w:color="auto"/>
        <w:bottom w:val="none" w:sz="0" w:space="0" w:color="auto"/>
        <w:right w:val="none" w:sz="0" w:space="0" w:color="auto"/>
      </w:divBdr>
    </w:div>
    <w:div w:id="179321266">
      <w:bodyDiv w:val="1"/>
      <w:marLeft w:val="0"/>
      <w:marRight w:val="0"/>
      <w:marTop w:val="0"/>
      <w:marBottom w:val="0"/>
      <w:divBdr>
        <w:top w:val="none" w:sz="0" w:space="0" w:color="auto"/>
        <w:left w:val="none" w:sz="0" w:space="0" w:color="auto"/>
        <w:bottom w:val="none" w:sz="0" w:space="0" w:color="auto"/>
        <w:right w:val="none" w:sz="0" w:space="0" w:color="auto"/>
      </w:divBdr>
    </w:div>
    <w:div w:id="263534274">
      <w:bodyDiv w:val="1"/>
      <w:marLeft w:val="0"/>
      <w:marRight w:val="0"/>
      <w:marTop w:val="0"/>
      <w:marBottom w:val="0"/>
      <w:divBdr>
        <w:top w:val="none" w:sz="0" w:space="0" w:color="auto"/>
        <w:left w:val="none" w:sz="0" w:space="0" w:color="auto"/>
        <w:bottom w:val="none" w:sz="0" w:space="0" w:color="auto"/>
        <w:right w:val="none" w:sz="0" w:space="0" w:color="auto"/>
      </w:divBdr>
    </w:div>
    <w:div w:id="370034740">
      <w:bodyDiv w:val="1"/>
      <w:marLeft w:val="0"/>
      <w:marRight w:val="0"/>
      <w:marTop w:val="0"/>
      <w:marBottom w:val="0"/>
      <w:divBdr>
        <w:top w:val="none" w:sz="0" w:space="0" w:color="auto"/>
        <w:left w:val="none" w:sz="0" w:space="0" w:color="auto"/>
        <w:bottom w:val="none" w:sz="0" w:space="0" w:color="auto"/>
        <w:right w:val="none" w:sz="0" w:space="0" w:color="auto"/>
      </w:divBdr>
      <w:divsChild>
        <w:div w:id="1933508819">
          <w:marLeft w:val="0"/>
          <w:marRight w:val="0"/>
          <w:marTop w:val="0"/>
          <w:marBottom w:val="0"/>
          <w:divBdr>
            <w:top w:val="none" w:sz="0" w:space="0" w:color="auto"/>
            <w:left w:val="none" w:sz="0" w:space="0" w:color="auto"/>
            <w:bottom w:val="none" w:sz="0" w:space="0" w:color="auto"/>
            <w:right w:val="none" w:sz="0" w:space="0" w:color="auto"/>
          </w:divBdr>
          <w:divsChild>
            <w:div w:id="877284006">
              <w:marLeft w:val="0"/>
              <w:marRight w:val="0"/>
              <w:marTop w:val="0"/>
              <w:marBottom w:val="0"/>
              <w:divBdr>
                <w:top w:val="none" w:sz="0" w:space="0" w:color="auto"/>
                <w:left w:val="none" w:sz="0" w:space="0" w:color="auto"/>
                <w:bottom w:val="none" w:sz="0" w:space="0" w:color="auto"/>
                <w:right w:val="none" w:sz="0" w:space="0" w:color="auto"/>
              </w:divBdr>
              <w:divsChild>
                <w:div w:id="1258755759">
                  <w:marLeft w:val="0"/>
                  <w:marRight w:val="0"/>
                  <w:marTop w:val="0"/>
                  <w:marBottom w:val="0"/>
                  <w:divBdr>
                    <w:top w:val="none" w:sz="0" w:space="0" w:color="auto"/>
                    <w:left w:val="none" w:sz="0" w:space="0" w:color="auto"/>
                    <w:bottom w:val="none" w:sz="0" w:space="0" w:color="auto"/>
                    <w:right w:val="none" w:sz="0" w:space="0" w:color="auto"/>
                  </w:divBdr>
                  <w:divsChild>
                    <w:div w:id="300423659">
                      <w:marLeft w:val="0"/>
                      <w:marRight w:val="0"/>
                      <w:marTop w:val="0"/>
                      <w:marBottom w:val="0"/>
                      <w:divBdr>
                        <w:top w:val="none" w:sz="0" w:space="0" w:color="auto"/>
                        <w:left w:val="none" w:sz="0" w:space="0" w:color="auto"/>
                        <w:bottom w:val="none" w:sz="0" w:space="0" w:color="auto"/>
                        <w:right w:val="none" w:sz="0" w:space="0" w:color="auto"/>
                      </w:divBdr>
                      <w:divsChild>
                        <w:div w:id="810634786">
                          <w:marLeft w:val="0"/>
                          <w:marRight w:val="0"/>
                          <w:marTop w:val="0"/>
                          <w:marBottom w:val="0"/>
                          <w:divBdr>
                            <w:top w:val="none" w:sz="0" w:space="0" w:color="auto"/>
                            <w:left w:val="none" w:sz="0" w:space="0" w:color="auto"/>
                            <w:bottom w:val="none" w:sz="0" w:space="0" w:color="auto"/>
                            <w:right w:val="none" w:sz="0" w:space="0" w:color="auto"/>
                          </w:divBdr>
                          <w:divsChild>
                            <w:div w:id="1437139686">
                              <w:marLeft w:val="0"/>
                              <w:marRight w:val="0"/>
                              <w:marTop w:val="0"/>
                              <w:marBottom w:val="0"/>
                              <w:divBdr>
                                <w:top w:val="none" w:sz="0" w:space="0" w:color="auto"/>
                                <w:left w:val="none" w:sz="0" w:space="0" w:color="auto"/>
                                <w:bottom w:val="none" w:sz="0" w:space="0" w:color="auto"/>
                                <w:right w:val="none" w:sz="0" w:space="0" w:color="auto"/>
                              </w:divBdr>
                              <w:divsChild>
                                <w:div w:id="349720831">
                                  <w:marLeft w:val="0"/>
                                  <w:marRight w:val="0"/>
                                  <w:marTop w:val="0"/>
                                  <w:marBottom w:val="0"/>
                                  <w:divBdr>
                                    <w:top w:val="none" w:sz="0" w:space="0" w:color="auto"/>
                                    <w:left w:val="none" w:sz="0" w:space="0" w:color="auto"/>
                                    <w:bottom w:val="none" w:sz="0" w:space="0" w:color="auto"/>
                                    <w:right w:val="none" w:sz="0" w:space="0" w:color="auto"/>
                                  </w:divBdr>
                                  <w:divsChild>
                                    <w:div w:id="2625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969578">
      <w:bodyDiv w:val="1"/>
      <w:marLeft w:val="0"/>
      <w:marRight w:val="0"/>
      <w:marTop w:val="0"/>
      <w:marBottom w:val="0"/>
      <w:divBdr>
        <w:top w:val="none" w:sz="0" w:space="0" w:color="auto"/>
        <w:left w:val="none" w:sz="0" w:space="0" w:color="auto"/>
        <w:bottom w:val="none" w:sz="0" w:space="0" w:color="auto"/>
        <w:right w:val="none" w:sz="0" w:space="0" w:color="auto"/>
      </w:divBdr>
    </w:div>
    <w:div w:id="604844186">
      <w:bodyDiv w:val="1"/>
      <w:marLeft w:val="0"/>
      <w:marRight w:val="0"/>
      <w:marTop w:val="0"/>
      <w:marBottom w:val="0"/>
      <w:divBdr>
        <w:top w:val="none" w:sz="0" w:space="0" w:color="auto"/>
        <w:left w:val="none" w:sz="0" w:space="0" w:color="auto"/>
        <w:bottom w:val="none" w:sz="0" w:space="0" w:color="auto"/>
        <w:right w:val="none" w:sz="0" w:space="0" w:color="auto"/>
      </w:divBdr>
    </w:div>
    <w:div w:id="630205701">
      <w:bodyDiv w:val="1"/>
      <w:marLeft w:val="0"/>
      <w:marRight w:val="0"/>
      <w:marTop w:val="0"/>
      <w:marBottom w:val="0"/>
      <w:divBdr>
        <w:top w:val="none" w:sz="0" w:space="0" w:color="auto"/>
        <w:left w:val="none" w:sz="0" w:space="0" w:color="auto"/>
        <w:bottom w:val="none" w:sz="0" w:space="0" w:color="auto"/>
        <w:right w:val="none" w:sz="0" w:space="0" w:color="auto"/>
      </w:divBdr>
    </w:div>
    <w:div w:id="687606042">
      <w:bodyDiv w:val="1"/>
      <w:marLeft w:val="0"/>
      <w:marRight w:val="0"/>
      <w:marTop w:val="0"/>
      <w:marBottom w:val="0"/>
      <w:divBdr>
        <w:top w:val="none" w:sz="0" w:space="0" w:color="auto"/>
        <w:left w:val="none" w:sz="0" w:space="0" w:color="auto"/>
        <w:bottom w:val="none" w:sz="0" w:space="0" w:color="auto"/>
        <w:right w:val="none" w:sz="0" w:space="0" w:color="auto"/>
      </w:divBdr>
    </w:div>
    <w:div w:id="687947632">
      <w:bodyDiv w:val="1"/>
      <w:marLeft w:val="0"/>
      <w:marRight w:val="0"/>
      <w:marTop w:val="0"/>
      <w:marBottom w:val="0"/>
      <w:divBdr>
        <w:top w:val="none" w:sz="0" w:space="0" w:color="auto"/>
        <w:left w:val="none" w:sz="0" w:space="0" w:color="auto"/>
        <w:bottom w:val="none" w:sz="0" w:space="0" w:color="auto"/>
        <w:right w:val="none" w:sz="0" w:space="0" w:color="auto"/>
      </w:divBdr>
    </w:div>
    <w:div w:id="851530083">
      <w:bodyDiv w:val="1"/>
      <w:marLeft w:val="0"/>
      <w:marRight w:val="0"/>
      <w:marTop w:val="0"/>
      <w:marBottom w:val="0"/>
      <w:divBdr>
        <w:top w:val="none" w:sz="0" w:space="0" w:color="auto"/>
        <w:left w:val="none" w:sz="0" w:space="0" w:color="auto"/>
        <w:bottom w:val="none" w:sz="0" w:space="0" w:color="auto"/>
        <w:right w:val="none" w:sz="0" w:space="0" w:color="auto"/>
      </w:divBdr>
    </w:div>
    <w:div w:id="860322670">
      <w:bodyDiv w:val="1"/>
      <w:marLeft w:val="0"/>
      <w:marRight w:val="0"/>
      <w:marTop w:val="0"/>
      <w:marBottom w:val="0"/>
      <w:divBdr>
        <w:top w:val="none" w:sz="0" w:space="0" w:color="auto"/>
        <w:left w:val="none" w:sz="0" w:space="0" w:color="auto"/>
        <w:bottom w:val="none" w:sz="0" w:space="0" w:color="auto"/>
        <w:right w:val="none" w:sz="0" w:space="0" w:color="auto"/>
      </w:divBdr>
    </w:div>
    <w:div w:id="928732204">
      <w:bodyDiv w:val="1"/>
      <w:marLeft w:val="0"/>
      <w:marRight w:val="0"/>
      <w:marTop w:val="0"/>
      <w:marBottom w:val="0"/>
      <w:divBdr>
        <w:top w:val="none" w:sz="0" w:space="0" w:color="auto"/>
        <w:left w:val="none" w:sz="0" w:space="0" w:color="auto"/>
        <w:bottom w:val="none" w:sz="0" w:space="0" w:color="auto"/>
        <w:right w:val="none" w:sz="0" w:space="0" w:color="auto"/>
      </w:divBdr>
    </w:div>
    <w:div w:id="959996892">
      <w:bodyDiv w:val="1"/>
      <w:marLeft w:val="0"/>
      <w:marRight w:val="0"/>
      <w:marTop w:val="0"/>
      <w:marBottom w:val="0"/>
      <w:divBdr>
        <w:top w:val="none" w:sz="0" w:space="0" w:color="auto"/>
        <w:left w:val="none" w:sz="0" w:space="0" w:color="auto"/>
        <w:bottom w:val="none" w:sz="0" w:space="0" w:color="auto"/>
        <w:right w:val="none" w:sz="0" w:space="0" w:color="auto"/>
      </w:divBdr>
    </w:div>
    <w:div w:id="994915600">
      <w:bodyDiv w:val="1"/>
      <w:marLeft w:val="0"/>
      <w:marRight w:val="0"/>
      <w:marTop w:val="0"/>
      <w:marBottom w:val="0"/>
      <w:divBdr>
        <w:top w:val="none" w:sz="0" w:space="0" w:color="auto"/>
        <w:left w:val="none" w:sz="0" w:space="0" w:color="auto"/>
        <w:bottom w:val="none" w:sz="0" w:space="0" w:color="auto"/>
        <w:right w:val="none" w:sz="0" w:space="0" w:color="auto"/>
      </w:divBdr>
    </w:div>
    <w:div w:id="1161847493">
      <w:bodyDiv w:val="1"/>
      <w:marLeft w:val="0"/>
      <w:marRight w:val="0"/>
      <w:marTop w:val="0"/>
      <w:marBottom w:val="0"/>
      <w:divBdr>
        <w:top w:val="none" w:sz="0" w:space="0" w:color="auto"/>
        <w:left w:val="none" w:sz="0" w:space="0" w:color="auto"/>
        <w:bottom w:val="none" w:sz="0" w:space="0" w:color="auto"/>
        <w:right w:val="none" w:sz="0" w:space="0" w:color="auto"/>
      </w:divBdr>
    </w:div>
    <w:div w:id="1185286747">
      <w:bodyDiv w:val="1"/>
      <w:marLeft w:val="0"/>
      <w:marRight w:val="0"/>
      <w:marTop w:val="0"/>
      <w:marBottom w:val="0"/>
      <w:divBdr>
        <w:top w:val="none" w:sz="0" w:space="0" w:color="auto"/>
        <w:left w:val="none" w:sz="0" w:space="0" w:color="auto"/>
        <w:bottom w:val="none" w:sz="0" w:space="0" w:color="auto"/>
        <w:right w:val="none" w:sz="0" w:space="0" w:color="auto"/>
      </w:divBdr>
    </w:div>
    <w:div w:id="1254513322">
      <w:bodyDiv w:val="1"/>
      <w:marLeft w:val="0"/>
      <w:marRight w:val="0"/>
      <w:marTop w:val="0"/>
      <w:marBottom w:val="0"/>
      <w:divBdr>
        <w:top w:val="none" w:sz="0" w:space="0" w:color="auto"/>
        <w:left w:val="none" w:sz="0" w:space="0" w:color="auto"/>
        <w:bottom w:val="none" w:sz="0" w:space="0" w:color="auto"/>
        <w:right w:val="none" w:sz="0" w:space="0" w:color="auto"/>
      </w:divBdr>
    </w:div>
    <w:div w:id="1288008029">
      <w:bodyDiv w:val="1"/>
      <w:marLeft w:val="0"/>
      <w:marRight w:val="0"/>
      <w:marTop w:val="0"/>
      <w:marBottom w:val="0"/>
      <w:divBdr>
        <w:top w:val="none" w:sz="0" w:space="0" w:color="auto"/>
        <w:left w:val="none" w:sz="0" w:space="0" w:color="auto"/>
        <w:bottom w:val="none" w:sz="0" w:space="0" w:color="auto"/>
        <w:right w:val="none" w:sz="0" w:space="0" w:color="auto"/>
      </w:divBdr>
    </w:div>
    <w:div w:id="1426145539">
      <w:bodyDiv w:val="1"/>
      <w:marLeft w:val="0"/>
      <w:marRight w:val="0"/>
      <w:marTop w:val="0"/>
      <w:marBottom w:val="0"/>
      <w:divBdr>
        <w:top w:val="none" w:sz="0" w:space="0" w:color="auto"/>
        <w:left w:val="none" w:sz="0" w:space="0" w:color="auto"/>
        <w:bottom w:val="none" w:sz="0" w:space="0" w:color="auto"/>
        <w:right w:val="none" w:sz="0" w:space="0" w:color="auto"/>
      </w:divBdr>
    </w:div>
    <w:div w:id="1428232646">
      <w:bodyDiv w:val="1"/>
      <w:marLeft w:val="0"/>
      <w:marRight w:val="0"/>
      <w:marTop w:val="0"/>
      <w:marBottom w:val="0"/>
      <w:divBdr>
        <w:top w:val="none" w:sz="0" w:space="0" w:color="auto"/>
        <w:left w:val="none" w:sz="0" w:space="0" w:color="auto"/>
        <w:bottom w:val="none" w:sz="0" w:space="0" w:color="auto"/>
        <w:right w:val="none" w:sz="0" w:space="0" w:color="auto"/>
      </w:divBdr>
    </w:div>
    <w:div w:id="1466702326">
      <w:bodyDiv w:val="1"/>
      <w:marLeft w:val="0"/>
      <w:marRight w:val="0"/>
      <w:marTop w:val="0"/>
      <w:marBottom w:val="0"/>
      <w:divBdr>
        <w:top w:val="none" w:sz="0" w:space="0" w:color="auto"/>
        <w:left w:val="none" w:sz="0" w:space="0" w:color="auto"/>
        <w:bottom w:val="none" w:sz="0" w:space="0" w:color="auto"/>
        <w:right w:val="none" w:sz="0" w:space="0" w:color="auto"/>
      </w:divBdr>
    </w:div>
    <w:div w:id="1545368367">
      <w:bodyDiv w:val="1"/>
      <w:marLeft w:val="0"/>
      <w:marRight w:val="0"/>
      <w:marTop w:val="0"/>
      <w:marBottom w:val="0"/>
      <w:divBdr>
        <w:top w:val="none" w:sz="0" w:space="0" w:color="auto"/>
        <w:left w:val="none" w:sz="0" w:space="0" w:color="auto"/>
        <w:bottom w:val="none" w:sz="0" w:space="0" w:color="auto"/>
        <w:right w:val="none" w:sz="0" w:space="0" w:color="auto"/>
      </w:divBdr>
    </w:div>
    <w:div w:id="1565069948">
      <w:bodyDiv w:val="1"/>
      <w:marLeft w:val="0"/>
      <w:marRight w:val="0"/>
      <w:marTop w:val="0"/>
      <w:marBottom w:val="0"/>
      <w:divBdr>
        <w:top w:val="none" w:sz="0" w:space="0" w:color="auto"/>
        <w:left w:val="none" w:sz="0" w:space="0" w:color="auto"/>
        <w:bottom w:val="none" w:sz="0" w:space="0" w:color="auto"/>
        <w:right w:val="none" w:sz="0" w:space="0" w:color="auto"/>
      </w:divBdr>
    </w:div>
    <w:div w:id="1596785774">
      <w:bodyDiv w:val="1"/>
      <w:marLeft w:val="0"/>
      <w:marRight w:val="0"/>
      <w:marTop w:val="0"/>
      <w:marBottom w:val="0"/>
      <w:divBdr>
        <w:top w:val="none" w:sz="0" w:space="0" w:color="auto"/>
        <w:left w:val="none" w:sz="0" w:space="0" w:color="auto"/>
        <w:bottom w:val="none" w:sz="0" w:space="0" w:color="auto"/>
        <w:right w:val="none" w:sz="0" w:space="0" w:color="auto"/>
      </w:divBdr>
    </w:div>
    <w:div w:id="1639145876">
      <w:bodyDiv w:val="1"/>
      <w:marLeft w:val="0"/>
      <w:marRight w:val="0"/>
      <w:marTop w:val="0"/>
      <w:marBottom w:val="0"/>
      <w:divBdr>
        <w:top w:val="none" w:sz="0" w:space="0" w:color="auto"/>
        <w:left w:val="none" w:sz="0" w:space="0" w:color="auto"/>
        <w:bottom w:val="none" w:sz="0" w:space="0" w:color="auto"/>
        <w:right w:val="none" w:sz="0" w:space="0" w:color="auto"/>
      </w:divBdr>
    </w:div>
    <w:div w:id="1667250269">
      <w:bodyDiv w:val="1"/>
      <w:marLeft w:val="0"/>
      <w:marRight w:val="0"/>
      <w:marTop w:val="0"/>
      <w:marBottom w:val="0"/>
      <w:divBdr>
        <w:top w:val="none" w:sz="0" w:space="0" w:color="auto"/>
        <w:left w:val="none" w:sz="0" w:space="0" w:color="auto"/>
        <w:bottom w:val="none" w:sz="0" w:space="0" w:color="auto"/>
        <w:right w:val="none" w:sz="0" w:space="0" w:color="auto"/>
      </w:divBdr>
    </w:div>
    <w:div w:id="1736851481">
      <w:bodyDiv w:val="1"/>
      <w:marLeft w:val="0"/>
      <w:marRight w:val="0"/>
      <w:marTop w:val="0"/>
      <w:marBottom w:val="0"/>
      <w:divBdr>
        <w:top w:val="none" w:sz="0" w:space="0" w:color="auto"/>
        <w:left w:val="none" w:sz="0" w:space="0" w:color="auto"/>
        <w:bottom w:val="none" w:sz="0" w:space="0" w:color="auto"/>
        <w:right w:val="none" w:sz="0" w:space="0" w:color="auto"/>
      </w:divBdr>
    </w:div>
    <w:div w:id="1862041343">
      <w:bodyDiv w:val="1"/>
      <w:marLeft w:val="0"/>
      <w:marRight w:val="0"/>
      <w:marTop w:val="0"/>
      <w:marBottom w:val="0"/>
      <w:divBdr>
        <w:top w:val="none" w:sz="0" w:space="0" w:color="auto"/>
        <w:left w:val="none" w:sz="0" w:space="0" w:color="auto"/>
        <w:bottom w:val="none" w:sz="0" w:space="0" w:color="auto"/>
        <w:right w:val="none" w:sz="0" w:space="0" w:color="auto"/>
      </w:divBdr>
    </w:div>
    <w:div w:id="1945771254">
      <w:bodyDiv w:val="1"/>
      <w:marLeft w:val="0"/>
      <w:marRight w:val="0"/>
      <w:marTop w:val="0"/>
      <w:marBottom w:val="0"/>
      <w:divBdr>
        <w:top w:val="none" w:sz="0" w:space="0" w:color="auto"/>
        <w:left w:val="none" w:sz="0" w:space="0" w:color="auto"/>
        <w:bottom w:val="none" w:sz="0" w:space="0" w:color="auto"/>
        <w:right w:val="none" w:sz="0" w:space="0" w:color="auto"/>
      </w:divBdr>
    </w:div>
    <w:div w:id="1969780532">
      <w:bodyDiv w:val="1"/>
      <w:marLeft w:val="0"/>
      <w:marRight w:val="0"/>
      <w:marTop w:val="0"/>
      <w:marBottom w:val="0"/>
      <w:divBdr>
        <w:top w:val="none" w:sz="0" w:space="0" w:color="auto"/>
        <w:left w:val="none" w:sz="0" w:space="0" w:color="auto"/>
        <w:bottom w:val="none" w:sz="0" w:space="0" w:color="auto"/>
        <w:right w:val="none" w:sz="0" w:space="0" w:color="auto"/>
      </w:divBdr>
    </w:div>
    <w:div w:id="2032804870">
      <w:bodyDiv w:val="1"/>
      <w:marLeft w:val="0"/>
      <w:marRight w:val="0"/>
      <w:marTop w:val="0"/>
      <w:marBottom w:val="0"/>
      <w:divBdr>
        <w:top w:val="none" w:sz="0" w:space="0" w:color="auto"/>
        <w:left w:val="none" w:sz="0" w:space="0" w:color="auto"/>
        <w:bottom w:val="none" w:sz="0" w:space="0" w:color="auto"/>
        <w:right w:val="none" w:sz="0" w:space="0" w:color="auto"/>
      </w:divBdr>
    </w:div>
    <w:div w:id="2040159850">
      <w:bodyDiv w:val="1"/>
      <w:marLeft w:val="0"/>
      <w:marRight w:val="0"/>
      <w:marTop w:val="0"/>
      <w:marBottom w:val="0"/>
      <w:divBdr>
        <w:top w:val="none" w:sz="0" w:space="0" w:color="auto"/>
        <w:left w:val="none" w:sz="0" w:space="0" w:color="auto"/>
        <w:bottom w:val="none" w:sz="0" w:space="0" w:color="auto"/>
        <w:right w:val="none" w:sz="0" w:space="0" w:color="auto"/>
      </w:divBdr>
    </w:div>
    <w:div w:id="2058772587">
      <w:bodyDiv w:val="1"/>
      <w:marLeft w:val="0"/>
      <w:marRight w:val="0"/>
      <w:marTop w:val="0"/>
      <w:marBottom w:val="0"/>
      <w:divBdr>
        <w:top w:val="none" w:sz="0" w:space="0" w:color="auto"/>
        <w:left w:val="none" w:sz="0" w:space="0" w:color="auto"/>
        <w:bottom w:val="none" w:sz="0" w:space="0" w:color="auto"/>
        <w:right w:val="none" w:sz="0" w:space="0" w:color="auto"/>
      </w:divBdr>
    </w:div>
    <w:div w:id="2059822029">
      <w:bodyDiv w:val="1"/>
      <w:marLeft w:val="0"/>
      <w:marRight w:val="0"/>
      <w:marTop w:val="0"/>
      <w:marBottom w:val="0"/>
      <w:divBdr>
        <w:top w:val="none" w:sz="0" w:space="0" w:color="auto"/>
        <w:left w:val="none" w:sz="0" w:space="0" w:color="auto"/>
        <w:bottom w:val="none" w:sz="0" w:space="0" w:color="auto"/>
        <w:right w:val="none" w:sz="0" w:space="0" w:color="auto"/>
      </w:divBdr>
    </w:div>
    <w:div w:id="2089494502">
      <w:bodyDiv w:val="1"/>
      <w:marLeft w:val="0"/>
      <w:marRight w:val="0"/>
      <w:marTop w:val="0"/>
      <w:marBottom w:val="0"/>
      <w:divBdr>
        <w:top w:val="none" w:sz="0" w:space="0" w:color="auto"/>
        <w:left w:val="none" w:sz="0" w:space="0" w:color="auto"/>
        <w:bottom w:val="none" w:sz="0" w:space="0" w:color="auto"/>
        <w:right w:val="none" w:sz="0" w:space="0" w:color="auto"/>
      </w:divBdr>
    </w:div>
    <w:div w:id="2131852610">
      <w:bodyDiv w:val="1"/>
      <w:marLeft w:val="0"/>
      <w:marRight w:val="0"/>
      <w:marTop w:val="0"/>
      <w:marBottom w:val="0"/>
      <w:divBdr>
        <w:top w:val="none" w:sz="0" w:space="0" w:color="auto"/>
        <w:left w:val="none" w:sz="0" w:space="0" w:color="auto"/>
        <w:bottom w:val="none" w:sz="0" w:space="0" w:color="auto"/>
        <w:right w:val="none" w:sz="0" w:space="0" w:color="auto"/>
      </w:divBdr>
    </w:div>
    <w:div w:id="21359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nicor.org.uk/national-cardiac-audit-programme/" TargetMode="External"/><Relationship Id="rId18" Type="http://schemas.openxmlformats.org/officeDocument/2006/relationships/hyperlink" Target="https://www.renalreg.org/reports/2017-twentieth-annual-report/"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renalreg.org/wp-content/uploads/2018/06/20th-Annual-Report_web_book.pdf" TargetMode="External"/><Relationship Id="rId17" Type="http://schemas.openxmlformats.org/officeDocument/2006/relationships/hyperlink" Target="http://www.bcis.org.uk/wp-content/uploads/2018/11/TAVI-slide-deck-to-2017-data-15-11-2018.pdf"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longtermplan.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fn.org.uk/"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igital.nhs.uk/services/secondary-uses-service-sus" TargetMode="External"/><Relationship Id="rId23" Type="http://schemas.openxmlformats.org/officeDocument/2006/relationships/image" Target="media/image4.png"/><Relationship Id="rId28" Type="http://schemas.openxmlformats.org/officeDocument/2006/relationships/hyperlink" Target="file:///C:\Users\Timam\AppData\Roaming\Microsoft\Word\www.longtermplan.nhs.uk" TargetMode="External"/><Relationship Id="rId10" Type="http://schemas.openxmlformats.org/officeDocument/2006/relationships/hyperlink" Target="https://digital.nhs.uk/services/secondary-uses-service-sus" TargetMode="External"/><Relationship Id="rId19" Type="http://schemas.openxmlformats.org/officeDocument/2006/relationships/hyperlink" Target="file:///C:\Users\Timam\AppData\Roaming\Microsoft\Word\cancerdata.nhs.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ncin.org.uk/collecting_and_using_data/data_collection/chemotherapy"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29T10:39:27.220"/>
    </inkml:context>
    <inkml:brush xml:id="br0">
      <inkml:brushProperty name="width" value="0.04289" units="cm"/>
      <inkml:brushProperty name="height" value="0.04289" units="cm"/>
    </inkml:brush>
  </inkml:definitions>
  <inkml:trace contextRef="#ctx0" brushRef="#br0">16 31 7694,'-1'5'137,"-1"-2"1,-1 0 407,-1-1-760,2 1-9,-1-3-424,3 0 449,0 0 1,0-3 116,3 1 0,-1-2-158,3 2 1,-3 1 63,4-2 1,-5 2 175,2-2 0,1-1 0,0-4 0</inkml:trace>
  <inkml:trace contextRef="#ctx0" brushRef="#br0" timeOffset="1159">139 47 6145,'-4'0'1081,"0"0"-970,1 0 151,2 0-83,-2 0 55,3 0-574,0 0 175,0-4 1,1 1-157,1-2 1,-1 1-375,2 1 695,1 2 0,-3-6 0,2 3 0</inkml:trace>
  <inkml:trace contextRef="#ctx0" brushRef="#br0" timeOffset="1367">139 16 6243,'0'5'1086,"0"0"-651,-3-3 1,1 2-75,-3-1-125,3-2-222,-1 2-207,3-3 191,3-3 0,1 1-119,1-3 1,2 2 77,-2-2 1,-1 3-45,1 0 0,-2 1-309,2 1-206,-3-3 105,4 2 497,-1-3 0,2 1 0,1-1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D65E-9313-4B83-9D6D-86170D57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4553</Words>
  <Characters>25955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DHFT</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Towhid Imam</dc:creator>
  <cp:lastModifiedBy>Conroy, Simon (Prof.)</cp:lastModifiedBy>
  <cp:revision>3</cp:revision>
  <cp:lastPrinted>2020-01-03T09:36:00Z</cp:lastPrinted>
  <dcterms:created xsi:type="dcterms:W3CDTF">2020-06-08T15:36:00Z</dcterms:created>
  <dcterms:modified xsi:type="dcterms:W3CDTF">2020-06-08T15:36:00Z</dcterms:modified>
</cp:coreProperties>
</file>