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1F6B31" w14:textId="38AFA575" w:rsidR="00C052C9" w:rsidRPr="0054333A" w:rsidRDefault="00C052C9" w:rsidP="0054333A">
      <w:pPr>
        <w:spacing w:line="480" w:lineRule="auto"/>
        <w:rPr>
          <w:sz w:val="24"/>
          <w:szCs w:val="24"/>
        </w:rPr>
      </w:pPr>
      <w:r w:rsidRPr="008B3F15">
        <w:rPr>
          <w:b/>
          <w:sz w:val="24"/>
          <w:szCs w:val="24"/>
        </w:rPr>
        <w:t>Supplementary</w:t>
      </w:r>
      <w:r w:rsidRPr="008B3F15">
        <w:rPr>
          <w:sz w:val="24"/>
          <w:szCs w:val="24"/>
        </w:rPr>
        <w:t xml:space="preserve"> </w:t>
      </w:r>
      <w:r w:rsidRPr="008B3F15">
        <w:rPr>
          <w:b/>
          <w:sz w:val="24"/>
          <w:szCs w:val="24"/>
        </w:rPr>
        <w:t>Materials</w:t>
      </w:r>
    </w:p>
    <w:p w14:paraId="0B603E0D" w14:textId="77777777" w:rsidR="00C052C9" w:rsidRPr="008B3F15" w:rsidRDefault="00645B61" w:rsidP="0054333A">
      <w:pPr>
        <w:spacing w:line="48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08135CA9" wp14:editId="69D67D48">
            <wp:extent cx="5943600" cy="49225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NOD2 ILC Supp. Fig.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91630" w14:textId="77777777" w:rsidR="0054333A" w:rsidRDefault="0054333A" w:rsidP="0054333A">
      <w:pPr>
        <w:spacing w:line="480" w:lineRule="auto"/>
        <w:jc w:val="both"/>
        <w:rPr>
          <w:b/>
          <w:sz w:val="24"/>
          <w:szCs w:val="24"/>
        </w:rPr>
      </w:pPr>
    </w:p>
    <w:p w14:paraId="59983B40" w14:textId="289AA9E1" w:rsidR="00C052C9" w:rsidRPr="008B3F15" w:rsidRDefault="00C052C9" w:rsidP="0054333A">
      <w:pPr>
        <w:spacing w:line="480" w:lineRule="auto"/>
        <w:jc w:val="both"/>
        <w:rPr>
          <w:sz w:val="24"/>
          <w:szCs w:val="24"/>
        </w:rPr>
      </w:pPr>
      <w:r w:rsidRPr="008B3F15">
        <w:rPr>
          <w:b/>
          <w:sz w:val="24"/>
          <w:szCs w:val="24"/>
        </w:rPr>
        <w:t>Figure S1. Isolation of Skin Blister ILC2</w:t>
      </w:r>
      <w:r w:rsidRPr="008B3F15">
        <w:rPr>
          <w:sz w:val="24"/>
          <w:szCs w:val="24"/>
        </w:rPr>
        <w:t xml:space="preserve">. </w:t>
      </w:r>
      <w:r w:rsidRPr="008B3F15">
        <w:rPr>
          <w:b/>
          <w:sz w:val="24"/>
          <w:szCs w:val="24"/>
        </w:rPr>
        <w:t>A.</w:t>
      </w:r>
      <w:r w:rsidRPr="008B3F15">
        <w:rPr>
          <w:sz w:val="24"/>
          <w:szCs w:val="24"/>
        </w:rPr>
        <w:t xml:space="preserve"> Flow cytometry antibody stain for skin blister ILC2. ILC2 are CD45</w:t>
      </w:r>
      <w:r w:rsidRPr="008B3F15">
        <w:rPr>
          <w:sz w:val="24"/>
          <w:szCs w:val="24"/>
          <w:vertAlign w:val="superscript"/>
        </w:rPr>
        <w:t>+</w:t>
      </w:r>
      <w:r w:rsidRPr="008B3F15">
        <w:rPr>
          <w:sz w:val="24"/>
          <w:szCs w:val="24"/>
        </w:rPr>
        <w:t>/CD3</w:t>
      </w:r>
      <w:r w:rsidRPr="008B3F15">
        <w:rPr>
          <w:sz w:val="24"/>
          <w:szCs w:val="24"/>
          <w:vertAlign w:val="superscript"/>
        </w:rPr>
        <w:t>-</w:t>
      </w:r>
      <w:r w:rsidRPr="008B3F15">
        <w:rPr>
          <w:sz w:val="24"/>
          <w:szCs w:val="24"/>
        </w:rPr>
        <w:t>/Lineage</w:t>
      </w:r>
      <w:r w:rsidRPr="008B3F15">
        <w:rPr>
          <w:sz w:val="24"/>
          <w:szCs w:val="24"/>
          <w:vertAlign w:val="superscript"/>
        </w:rPr>
        <w:t>-</w:t>
      </w:r>
      <w:r w:rsidRPr="008B3F15">
        <w:rPr>
          <w:sz w:val="24"/>
          <w:szCs w:val="24"/>
        </w:rPr>
        <w:t>/CRTH2</w:t>
      </w:r>
      <w:r w:rsidRPr="008B3F15">
        <w:rPr>
          <w:sz w:val="24"/>
          <w:szCs w:val="24"/>
          <w:vertAlign w:val="superscript"/>
        </w:rPr>
        <w:t>+</w:t>
      </w:r>
      <w:r w:rsidRPr="008B3F15">
        <w:rPr>
          <w:sz w:val="24"/>
          <w:szCs w:val="24"/>
        </w:rPr>
        <w:t>/IL</w:t>
      </w:r>
      <w:r w:rsidR="00A93998">
        <w:rPr>
          <w:sz w:val="24"/>
          <w:szCs w:val="24"/>
        </w:rPr>
        <w:t>-</w:t>
      </w:r>
      <w:r w:rsidRPr="008B3F15">
        <w:rPr>
          <w:sz w:val="24"/>
          <w:szCs w:val="24"/>
        </w:rPr>
        <w:t>7Rα</w:t>
      </w:r>
      <w:r w:rsidRPr="008B3F15">
        <w:rPr>
          <w:sz w:val="24"/>
          <w:szCs w:val="24"/>
          <w:vertAlign w:val="superscript"/>
        </w:rPr>
        <w:t>+</w:t>
      </w:r>
      <w:r w:rsidRPr="008B3F15">
        <w:rPr>
          <w:sz w:val="24"/>
          <w:szCs w:val="24"/>
        </w:rPr>
        <w:t xml:space="preserve">.  </w:t>
      </w:r>
      <w:r w:rsidRPr="008B3F15">
        <w:rPr>
          <w:b/>
          <w:sz w:val="24"/>
          <w:szCs w:val="24"/>
        </w:rPr>
        <w:t>B.</w:t>
      </w:r>
      <w:r w:rsidRPr="008B3F15">
        <w:rPr>
          <w:sz w:val="24"/>
          <w:szCs w:val="24"/>
        </w:rPr>
        <w:t xml:space="preserve"> Full gating strategy for isolation and analysis of blood ILC2.  </w:t>
      </w:r>
      <w:r w:rsidRPr="008B3F15">
        <w:rPr>
          <w:b/>
          <w:sz w:val="24"/>
          <w:szCs w:val="24"/>
        </w:rPr>
        <w:t>C.</w:t>
      </w:r>
      <w:r w:rsidRPr="008B3F15">
        <w:rPr>
          <w:sz w:val="24"/>
          <w:szCs w:val="24"/>
        </w:rPr>
        <w:t xml:space="preserve"> Isotype controls for strategy of isolation and analysis of ILC2.  </w:t>
      </w:r>
      <w:r w:rsidRPr="008B3F15">
        <w:rPr>
          <w:b/>
          <w:sz w:val="24"/>
          <w:szCs w:val="24"/>
        </w:rPr>
        <w:t>D.</w:t>
      </w:r>
      <w:r w:rsidRPr="008B3F15">
        <w:rPr>
          <w:sz w:val="24"/>
          <w:szCs w:val="24"/>
        </w:rPr>
        <w:t xml:space="preserve"> </w:t>
      </w:r>
      <w:r w:rsidR="000C6B3C">
        <w:rPr>
          <w:sz w:val="24"/>
          <w:szCs w:val="24"/>
        </w:rPr>
        <w:t>R</w:t>
      </w:r>
      <w:r w:rsidRPr="008B3F15">
        <w:rPr>
          <w:sz w:val="24"/>
          <w:szCs w:val="24"/>
        </w:rPr>
        <w:t xml:space="preserve">epresentative flow cytometry plots for ILC2 uptake of MDP-Rhodamine. ILC2 were </w:t>
      </w:r>
      <w:r w:rsidR="00A93998">
        <w:rPr>
          <w:sz w:val="24"/>
          <w:szCs w:val="24"/>
        </w:rPr>
        <w:t>pre-</w:t>
      </w:r>
      <w:r w:rsidRPr="008B3F15">
        <w:rPr>
          <w:sz w:val="24"/>
          <w:szCs w:val="24"/>
        </w:rPr>
        <w:t>stimulated as indicated with Pam</w:t>
      </w:r>
      <w:r w:rsidRPr="008B3F15">
        <w:rPr>
          <w:sz w:val="24"/>
          <w:szCs w:val="24"/>
          <w:vertAlign w:val="subscript"/>
        </w:rPr>
        <w:t>3</w:t>
      </w:r>
      <w:r w:rsidRPr="008B3F15">
        <w:rPr>
          <w:sz w:val="24"/>
          <w:szCs w:val="24"/>
        </w:rPr>
        <w:t>CSK</w:t>
      </w:r>
      <w:r w:rsidRPr="008B3F15">
        <w:rPr>
          <w:sz w:val="24"/>
          <w:szCs w:val="24"/>
          <w:vertAlign w:val="subscript"/>
        </w:rPr>
        <w:t>4</w:t>
      </w:r>
      <w:r w:rsidR="00A93998">
        <w:rPr>
          <w:sz w:val="24"/>
          <w:szCs w:val="24"/>
          <w:vertAlign w:val="subscript"/>
        </w:rPr>
        <w:t xml:space="preserve"> </w:t>
      </w:r>
      <w:r w:rsidR="00A93998">
        <w:rPr>
          <w:sz w:val="24"/>
          <w:szCs w:val="24"/>
        </w:rPr>
        <w:t>(</w:t>
      </w:r>
      <w:r w:rsidR="00A93998" w:rsidRPr="00A93998">
        <w:rPr>
          <w:sz w:val="24"/>
          <w:szCs w:val="24"/>
        </w:rPr>
        <w:t>10µg</w:t>
      </w:r>
      <w:r w:rsidR="00A93998">
        <w:rPr>
          <w:sz w:val="24"/>
          <w:szCs w:val="24"/>
        </w:rPr>
        <w:t>/ml)</w:t>
      </w:r>
      <w:r w:rsidR="009158B2">
        <w:rPr>
          <w:sz w:val="24"/>
          <w:szCs w:val="24"/>
          <w:vertAlign w:val="subscript"/>
        </w:rPr>
        <w:t xml:space="preserve"> </w:t>
      </w:r>
      <w:r w:rsidRPr="008B3F15">
        <w:rPr>
          <w:rFonts w:eastAsia="Times New Roman"/>
          <w:sz w:val="24"/>
          <w:szCs w:val="24"/>
          <w:lang w:eastAsia="en-GB"/>
        </w:rPr>
        <w:t>or IL-33 and PGD</w:t>
      </w:r>
      <w:r w:rsidRPr="008B3F15">
        <w:rPr>
          <w:rFonts w:eastAsia="Times New Roman"/>
          <w:sz w:val="24"/>
          <w:szCs w:val="24"/>
          <w:vertAlign w:val="subscript"/>
          <w:lang w:eastAsia="en-GB"/>
        </w:rPr>
        <w:t>2</w:t>
      </w:r>
      <w:r w:rsidR="00BD16F2">
        <w:rPr>
          <w:sz w:val="24"/>
          <w:szCs w:val="24"/>
        </w:rPr>
        <w:t xml:space="preserve"> (50ng/ml and 100nM) (U</w:t>
      </w:r>
      <w:r w:rsidRPr="008B3F15">
        <w:rPr>
          <w:sz w:val="24"/>
          <w:szCs w:val="24"/>
        </w:rPr>
        <w:t>: unstimulated) for 1</w:t>
      </w:r>
      <w:r w:rsidR="009158B2">
        <w:rPr>
          <w:sz w:val="24"/>
          <w:szCs w:val="24"/>
        </w:rPr>
        <w:t xml:space="preserve"> hour prior to addition of MDP-</w:t>
      </w:r>
      <w:proofErr w:type="spellStart"/>
      <w:r w:rsidR="009158B2">
        <w:rPr>
          <w:sz w:val="24"/>
          <w:szCs w:val="24"/>
        </w:rPr>
        <w:t>r</w:t>
      </w:r>
      <w:r w:rsidRPr="008B3F15">
        <w:rPr>
          <w:sz w:val="24"/>
          <w:szCs w:val="24"/>
        </w:rPr>
        <w:t>hodamine</w:t>
      </w:r>
      <w:proofErr w:type="spellEnd"/>
      <w:r w:rsidR="00615589">
        <w:rPr>
          <w:sz w:val="24"/>
          <w:szCs w:val="24"/>
        </w:rPr>
        <w:t xml:space="preserve"> (MDP-Rho</w:t>
      </w:r>
      <w:r w:rsidR="000C6B3C">
        <w:rPr>
          <w:sz w:val="24"/>
          <w:szCs w:val="24"/>
        </w:rPr>
        <w:t xml:space="preserve">, </w:t>
      </w:r>
      <w:r w:rsidR="000C6B3C" w:rsidRPr="008B3F15">
        <w:rPr>
          <w:sz w:val="24"/>
          <w:szCs w:val="24"/>
        </w:rPr>
        <w:t>5µg/ml for 3 hours</w:t>
      </w:r>
      <w:r w:rsidR="00615589">
        <w:rPr>
          <w:sz w:val="24"/>
          <w:szCs w:val="24"/>
        </w:rPr>
        <w:t>)</w:t>
      </w:r>
      <w:r w:rsidR="00645383">
        <w:rPr>
          <w:sz w:val="24"/>
          <w:szCs w:val="24"/>
        </w:rPr>
        <w:t xml:space="preserve">, unconjugated </w:t>
      </w:r>
      <w:proofErr w:type="spellStart"/>
      <w:r w:rsidR="00645383">
        <w:rPr>
          <w:sz w:val="24"/>
          <w:szCs w:val="24"/>
        </w:rPr>
        <w:t>rhodamine</w:t>
      </w:r>
      <w:proofErr w:type="spellEnd"/>
      <w:r w:rsidRPr="008B3F15">
        <w:rPr>
          <w:sz w:val="24"/>
          <w:szCs w:val="24"/>
        </w:rPr>
        <w:t xml:space="preserve"> (</w:t>
      </w:r>
      <w:proofErr w:type="spellStart"/>
      <w:r w:rsidR="000C6B3C">
        <w:rPr>
          <w:sz w:val="24"/>
          <w:szCs w:val="24"/>
        </w:rPr>
        <w:t>rhodamine</w:t>
      </w:r>
      <w:proofErr w:type="spellEnd"/>
      <w:r w:rsidR="000C6B3C">
        <w:rPr>
          <w:sz w:val="24"/>
          <w:szCs w:val="24"/>
        </w:rPr>
        <w:t xml:space="preserve">, </w:t>
      </w:r>
      <w:r w:rsidRPr="008B3F15">
        <w:rPr>
          <w:sz w:val="24"/>
          <w:szCs w:val="24"/>
        </w:rPr>
        <w:t>5µg/ml for 3 hours)</w:t>
      </w:r>
      <w:r w:rsidR="00645383">
        <w:rPr>
          <w:sz w:val="24"/>
          <w:szCs w:val="24"/>
        </w:rPr>
        <w:t xml:space="preserve"> or media alone (- control)</w:t>
      </w:r>
      <w:r w:rsidRPr="008B3F15">
        <w:rPr>
          <w:sz w:val="24"/>
          <w:szCs w:val="24"/>
        </w:rPr>
        <w:t xml:space="preserve">. </w:t>
      </w:r>
      <w:r w:rsidRPr="008B3F15">
        <w:rPr>
          <w:sz w:val="24"/>
          <w:szCs w:val="24"/>
        </w:rPr>
        <w:br w:type="page"/>
      </w:r>
    </w:p>
    <w:p w14:paraId="0AFE0268" w14:textId="3EE519B0" w:rsidR="00C052C9" w:rsidRPr="008B3F15" w:rsidRDefault="00ED11B3" w:rsidP="0054333A">
      <w:pPr>
        <w:spacing w:line="48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09CCBBB2" wp14:editId="3CF6F3CA">
            <wp:extent cx="5943600" cy="36233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D2 ILC Supp Fig 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F0581" w14:textId="77777777" w:rsidR="00480160" w:rsidRDefault="00480160" w:rsidP="0054333A">
      <w:pPr>
        <w:spacing w:line="480" w:lineRule="auto"/>
        <w:jc w:val="both"/>
        <w:rPr>
          <w:b/>
          <w:sz w:val="24"/>
          <w:szCs w:val="24"/>
        </w:rPr>
      </w:pPr>
    </w:p>
    <w:p w14:paraId="4E7308C5" w14:textId="562EDAF1" w:rsidR="00C052C9" w:rsidRPr="008B3F15" w:rsidRDefault="00C052C9" w:rsidP="0054333A">
      <w:pPr>
        <w:spacing w:line="480" w:lineRule="auto"/>
        <w:jc w:val="both"/>
        <w:rPr>
          <w:sz w:val="24"/>
          <w:szCs w:val="24"/>
        </w:rPr>
      </w:pPr>
      <w:r w:rsidRPr="008B3F15">
        <w:rPr>
          <w:b/>
          <w:sz w:val="24"/>
          <w:szCs w:val="24"/>
        </w:rPr>
        <w:t xml:space="preserve">Figure S2. NOD2 </w:t>
      </w:r>
      <w:r w:rsidR="00376DC5">
        <w:rPr>
          <w:b/>
          <w:sz w:val="24"/>
          <w:szCs w:val="24"/>
        </w:rPr>
        <w:t>expression analysis of</w:t>
      </w:r>
      <w:r w:rsidRPr="008B3F15">
        <w:rPr>
          <w:b/>
          <w:sz w:val="24"/>
          <w:szCs w:val="24"/>
        </w:rPr>
        <w:t xml:space="preserve"> ILC2.</w:t>
      </w:r>
      <w:r w:rsidRPr="008B3F15">
        <w:rPr>
          <w:sz w:val="24"/>
          <w:szCs w:val="24"/>
        </w:rPr>
        <w:t xml:space="preserve"> </w:t>
      </w:r>
      <w:r w:rsidRPr="008B3F15">
        <w:rPr>
          <w:b/>
          <w:sz w:val="24"/>
          <w:szCs w:val="24"/>
        </w:rPr>
        <w:t xml:space="preserve">A. </w:t>
      </w:r>
      <w:r w:rsidR="00376DC5">
        <w:rPr>
          <w:sz w:val="24"/>
          <w:szCs w:val="24"/>
        </w:rPr>
        <w:t>Flow cytometry</w:t>
      </w:r>
      <w:r w:rsidR="00376DC5" w:rsidRPr="008B3F15">
        <w:rPr>
          <w:sz w:val="24"/>
          <w:szCs w:val="24"/>
        </w:rPr>
        <w:t xml:space="preserve"> analysis</w:t>
      </w:r>
      <w:r w:rsidR="00376DC5">
        <w:rPr>
          <w:sz w:val="24"/>
          <w:szCs w:val="24"/>
        </w:rPr>
        <w:t xml:space="preserve"> of NOD2 protein in ILC2 from different sources, </w:t>
      </w:r>
      <w:r w:rsidR="002F5E5B">
        <w:rPr>
          <w:sz w:val="24"/>
          <w:szCs w:val="24"/>
        </w:rPr>
        <w:t>(</w:t>
      </w:r>
      <w:r w:rsidR="00ED11B3">
        <w:rPr>
          <w:sz w:val="24"/>
          <w:szCs w:val="24"/>
        </w:rPr>
        <w:t>HC</w:t>
      </w:r>
      <w:r w:rsidR="00ED6AEE">
        <w:rPr>
          <w:sz w:val="24"/>
          <w:szCs w:val="24"/>
        </w:rPr>
        <w:t xml:space="preserve">: </w:t>
      </w:r>
      <w:r w:rsidR="00ED11B3" w:rsidRPr="00F07D2E">
        <w:rPr>
          <w:i/>
          <w:sz w:val="24"/>
          <w:szCs w:val="24"/>
        </w:rPr>
        <w:t>ex vivo</w:t>
      </w:r>
      <w:r w:rsidR="00ED11B3">
        <w:rPr>
          <w:sz w:val="24"/>
          <w:szCs w:val="24"/>
        </w:rPr>
        <w:t xml:space="preserve"> blood analysis, Skin</w:t>
      </w:r>
      <w:r w:rsidR="00ED6AEE">
        <w:rPr>
          <w:sz w:val="24"/>
          <w:szCs w:val="24"/>
        </w:rPr>
        <w:t xml:space="preserve">: </w:t>
      </w:r>
      <w:r w:rsidR="00376DC5" w:rsidRPr="00F07D2E">
        <w:rPr>
          <w:i/>
          <w:sz w:val="24"/>
          <w:szCs w:val="24"/>
        </w:rPr>
        <w:t>ex vivo</w:t>
      </w:r>
      <w:r w:rsidR="00376DC5">
        <w:rPr>
          <w:sz w:val="24"/>
          <w:szCs w:val="24"/>
        </w:rPr>
        <w:t xml:space="preserve"> skin analysis and Cultured ILC2</w:t>
      </w:r>
      <w:r w:rsidR="00ED11B3">
        <w:rPr>
          <w:sz w:val="24"/>
          <w:szCs w:val="24"/>
        </w:rPr>
        <w:t xml:space="preserve">: </w:t>
      </w:r>
      <w:r w:rsidR="00376DC5">
        <w:rPr>
          <w:sz w:val="24"/>
          <w:szCs w:val="24"/>
        </w:rPr>
        <w:t>ILC2 which have been isolated, expanded and cultured for 6-8 weeks</w:t>
      </w:r>
      <w:r w:rsidR="002F5E5B">
        <w:rPr>
          <w:sz w:val="24"/>
          <w:szCs w:val="24"/>
        </w:rPr>
        <w:t>)</w:t>
      </w:r>
      <w:r w:rsidR="00A93998">
        <w:rPr>
          <w:sz w:val="24"/>
          <w:szCs w:val="24"/>
        </w:rPr>
        <w:t>. ILC2 were st</w:t>
      </w:r>
      <w:r w:rsidR="00376DC5">
        <w:rPr>
          <w:sz w:val="24"/>
          <w:szCs w:val="24"/>
        </w:rPr>
        <w:t>imulated for 24</w:t>
      </w:r>
      <w:r w:rsidR="00A93998">
        <w:rPr>
          <w:sz w:val="24"/>
          <w:szCs w:val="24"/>
        </w:rPr>
        <w:t xml:space="preserve"> hours with </w:t>
      </w:r>
      <w:r w:rsidRPr="008B3F15">
        <w:rPr>
          <w:sz w:val="24"/>
          <w:szCs w:val="24"/>
        </w:rPr>
        <w:t>Pam</w:t>
      </w:r>
      <w:r w:rsidRPr="008B3F15">
        <w:rPr>
          <w:sz w:val="24"/>
          <w:szCs w:val="24"/>
          <w:vertAlign w:val="subscript"/>
        </w:rPr>
        <w:t>3</w:t>
      </w:r>
      <w:r w:rsidRPr="008B3F15">
        <w:rPr>
          <w:sz w:val="24"/>
          <w:szCs w:val="24"/>
        </w:rPr>
        <w:t>CSK</w:t>
      </w:r>
      <w:r w:rsidRPr="008B3F15">
        <w:rPr>
          <w:sz w:val="24"/>
          <w:szCs w:val="24"/>
          <w:vertAlign w:val="subscript"/>
        </w:rPr>
        <w:t>4</w:t>
      </w:r>
      <w:r w:rsidRPr="008B3F15">
        <w:rPr>
          <w:sz w:val="24"/>
          <w:szCs w:val="24"/>
        </w:rPr>
        <w:t xml:space="preserve"> (10</w:t>
      </w:r>
      <w:r w:rsidR="00A93998">
        <w:rPr>
          <w:sz w:val="24"/>
          <w:szCs w:val="24"/>
        </w:rPr>
        <w:t>µ</w:t>
      </w:r>
      <w:r w:rsidRPr="008B3F15">
        <w:rPr>
          <w:sz w:val="24"/>
          <w:szCs w:val="24"/>
        </w:rPr>
        <w:t>g/ml)</w:t>
      </w:r>
      <w:r w:rsidR="00A93998">
        <w:rPr>
          <w:sz w:val="24"/>
          <w:szCs w:val="24"/>
        </w:rPr>
        <w:t xml:space="preserve"> or IL-33 (50ng/ml) and PGD</w:t>
      </w:r>
      <w:r w:rsidR="00A93998" w:rsidRPr="00A93998">
        <w:rPr>
          <w:sz w:val="24"/>
          <w:szCs w:val="24"/>
          <w:vertAlign w:val="subscript"/>
        </w:rPr>
        <w:t>2</w:t>
      </w:r>
      <w:r w:rsidR="00A93998">
        <w:rPr>
          <w:sz w:val="24"/>
          <w:szCs w:val="24"/>
        </w:rPr>
        <w:t xml:space="preserve"> (100nM)</w:t>
      </w:r>
      <w:r w:rsidRPr="008B3F15">
        <w:rPr>
          <w:sz w:val="24"/>
          <w:szCs w:val="24"/>
        </w:rPr>
        <w:t xml:space="preserve"> </w:t>
      </w:r>
      <w:bookmarkStart w:id="0" w:name="OLE_LINK4"/>
      <w:r w:rsidR="00A93998">
        <w:rPr>
          <w:sz w:val="24"/>
          <w:szCs w:val="24"/>
        </w:rPr>
        <w:t>(n=7</w:t>
      </w:r>
      <w:r w:rsidRPr="008B3F15">
        <w:rPr>
          <w:sz w:val="24"/>
          <w:szCs w:val="24"/>
        </w:rPr>
        <w:t xml:space="preserve">, one-way ANOVA with Tukey’s multiple comparison test, data representative of 5 independent experiments). </w:t>
      </w:r>
      <w:bookmarkEnd w:id="0"/>
      <w:r w:rsidRPr="008B3F15">
        <w:rPr>
          <w:b/>
          <w:sz w:val="24"/>
          <w:szCs w:val="24"/>
        </w:rPr>
        <w:t>B.</w:t>
      </w:r>
      <w:r w:rsidRPr="008B3F15">
        <w:rPr>
          <w:sz w:val="24"/>
          <w:szCs w:val="24"/>
        </w:rPr>
        <w:t xml:space="preserve"> </w:t>
      </w:r>
      <w:r w:rsidR="00376DC5">
        <w:rPr>
          <w:sz w:val="24"/>
          <w:szCs w:val="24"/>
        </w:rPr>
        <w:t>Flow cytometry</w:t>
      </w:r>
      <w:r w:rsidRPr="008B3F15">
        <w:rPr>
          <w:sz w:val="24"/>
          <w:szCs w:val="24"/>
        </w:rPr>
        <w:t xml:space="preserve"> analysis</w:t>
      </w:r>
      <w:r w:rsidR="00376DC5">
        <w:rPr>
          <w:sz w:val="24"/>
          <w:szCs w:val="24"/>
        </w:rPr>
        <w:t xml:space="preserve"> of NOD2 protein in ILC subsets </w:t>
      </w:r>
      <w:r w:rsidR="00376DC5" w:rsidRPr="00376DC5">
        <w:rPr>
          <w:i/>
          <w:sz w:val="24"/>
          <w:szCs w:val="24"/>
        </w:rPr>
        <w:t>ex vivo</w:t>
      </w:r>
      <w:r w:rsidR="00376DC5">
        <w:rPr>
          <w:sz w:val="24"/>
          <w:szCs w:val="24"/>
        </w:rPr>
        <w:t xml:space="preserve"> within PBMC and skin biopsy-derived mononuclear cells. (n=4 blood donors (black) and n=3 skin donors (red)</w:t>
      </w:r>
      <w:r w:rsidRPr="008B3F15">
        <w:rPr>
          <w:sz w:val="24"/>
          <w:szCs w:val="24"/>
        </w:rPr>
        <w:t>, one-way ANOVA with Tukey’s multiple comparison test, data representative of 3 independent experiments).</w:t>
      </w:r>
    </w:p>
    <w:p w14:paraId="2E243E6A" w14:textId="77777777" w:rsidR="006570F9" w:rsidRDefault="006570F9" w:rsidP="0054333A">
      <w:pPr>
        <w:spacing w:line="480" w:lineRule="auto"/>
        <w:rPr>
          <w:sz w:val="24"/>
          <w:szCs w:val="24"/>
        </w:rPr>
      </w:pPr>
    </w:p>
    <w:p w14:paraId="3F7B41F9" w14:textId="77777777" w:rsidR="006570F9" w:rsidRDefault="006570F9" w:rsidP="0054333A">
      <w:pPr>
        <w:spacing w:line="480" w:lineRule="auto"/>
        <w:rPr>
          <w:sz w:val="24"/>
          <w:szCs w:val="24"/>
        </w:rPr>
      </w:pPr>
    </w:p>
    <w:p w14:paraId="769EC2A6" w14:textId="77777777" w:rsidR="006570F9" w:rsidRDefault="006570F9" w:rsidP="0054333A">
      <w:pPr>
        <w:spacing w:line="48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5D583E24" wp14:editId="1D54C00D">
            <wp:extent cx="5300472" cy="528523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OD2 ILC Supp Fig 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72" cy="528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E484D" w14:textId="77777777" w:rsidR="006570F9" w:rsidRDefault="006570F9" w:rsidP="0054333A">
      <w:pPr>
        <w:spacing w:line="480" w:lineRule="auto"/>
        <w:jc w:val="both"/>
        <w:rPr>
          <w:sz w:val="24"/>
          <w:szCs w:val="24"/>
        </w:rPr>
      </w:pPr>
    </w:p>
    <w:p w14:paraId="2A487E54" w14:textId="60CDCE62" w:rsidR="006570F9" w:rsidRPr="008B3F15" w:rsidRDefault="006570F9" w:rsidP="0054333A">
      <w:pPr>
        <w:spacing w:line="48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Figure S3</w:t>
      </w:r>
      <w:r w:rsidRPr="008B3F15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Imaging of MDP-rhodamine uptake by activated ILC2</w:t>
      </w:r>
      <w:r w:rsidRPr="008B3F15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Representative c</w:t>
      </w:r>
      <w:r w:rsidRPr="008B3F15">
        <w:rPr>
          <w:sz w:val="24"/>
          <w:szCs w:val="24"/>
        </w:rPr>
        <w:t xml:space="preserve">onfocal microscopy </w:t>
      </w:r>
      <w:r>
        <w:rPr>
          <w:sz w:val="24"/>
          <w:szCs w:val="24"/>
        </w:rPr>
        <w:t xml:space="preserve">images of blood-derived ILC2 </w:t>
      </w:r>
      <w:proofErr w:type="spellStart"/>
      <w:r>
        <w:rPr>
          <w:sz w:val="24"/>
          <w:szCs w:val="24"/>
        </w:rPr>
        <w:t>cytospins</w:t>
      </w:r>
      <w:proofErr w:type="spellEnd"/>
      <w:r>
        <w:rPr>
          <w:sz w:val="24"/>
          <w:szCs w:val="24"/>
        </w:rPr>
        <w:t xml:space="preserve">. ILC2 were pre-stimulated for 1 hour as indicated </w:t>
      </w:r>
      <w:r w:rsidRPr="008B3F15">
        <w:rPr>
          <w:sz w:val="24"/>
          <w:szCs w:val="24"/>
        </w:rPr>
        <w:t>with Pam</w:t>
      </w:r>
      <w:r w:rsidRPr="008B3F15">
        <w:rPr>
          <w:sz w:val="24"/>
          <w:szCs w:val="24"/>
          <w:vertAlign w:val="subscript"/>
        </w:rPr>
        <w:t>3</w:t>
      </w:r>
      <w:r w:rsidRPr="008B3F15">
        <w:rPr>
          <w:sz w:val="24"/>
          <w:szCs w:val="24"/>
        </w:rPr>
        <w:t>CSK</w:t>
      </w:r>
      <w:r w:rsidRPr="008B3F15">
        <w:rPr>
          <w:sz w:val="24"/>
          <w:szCs w:val="24"/>
          <w:vertAlign w:val="subscript"/>
        </w:rPr>
        <w:t>4</w:t>
      </w:r>
      <w:r w:rsidRPr="008B3F15">
        <w:rPr>
          <w:sz w:val="24"/>
          <w:szCs w:val="24"/>
        </w:rPr>
        <w:t xml:space="preserve"> (10</w:t>
      </w:r>
      <w:r>
        <w:rPr>
          <w:sz w:val="24"/>
          <w:szCs w:val="24"/>
        </w:rPr>
        <w:t>µ</w:t>
      </w:r>
      <w:r w:rsidRPr="008B3F15">
        <w:rPr>
          <w:sz w:val="24"/>
          <w:szCs w:val="24"/>
        </w:rPr>
        <w:t>g/ml) or IL-33 (50ng/ml)</w:t>
      </w:r>
      <w:r>
        <w:rPr>
          <w:sz w:val="24"/>
          <w:szCs w:val="24"/>
        </w:rPr>
        <w:t xml:space="preserve"> and PGD</w:t>
      </w:r>
      <w:r w:rsidRPr="00F54F0E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(100nM) and then incubated for 3 hours with </w:t>
      </w:r>
      <w:r w:rsidRPr="008B3F15">
        <w:rPr>
          <w:sz w:val="24"/>
          <w:szCs w:val="24"/>
        </w:rPr>
        <w:t>MDP-</w:t>
      </w:r>
      <w:proofErr w:type="spellStart"/>
      <w:r w:rsidRPr="008B3F15">
        <w:rPr>
          <w:sz w:val="24"/>
          <w:szCs w:val="24"/>
        </w:rPr>
        <w:t>rhodamine</w:t>
      </w:r>
      <w:proofErr w:type="spellEnd"/>
      <w:r w:rsidRPr="008B3F15">
        <w:rPr>
          <w:sz w:val="24"/>
          <w:szCs w:val="24"/>
        </w:rPr>
        <w:t xml:space="preserve"> </w:t>
      </w:r>
      <w:r>
        <w:rPr>
          <w:sz w:val="24"/>
          <w:szCs w:val="24"/>
        </w:rPr>
        <w:t>(5µ</w:t>
      </w:r>
      <w:r w:rsidRPr="008B3F15">
        <w:rPr>
          <w:sz w:val="24"/>
          <w:szCs w:val="24"/>
        </w:rPr>
        <w:t>g/ml</w:t>
      </w:r>
      <w:r>
        <w:rPr>
          <w:sz w:val="24"/>
          <w:szCs w:val="24"/>
        </w:rPr>
        <w:t>, or</w:t>
      </w:r>
      <w:r w:rsidR="00D867BC">
        <w:rPr>
          <w:sz w:val="24"/>
          <w:szCs w:val="24"/>
        </w:rPr>
        <w:t xml:space="preserve"> unconjugated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rhodamine</w:t>
      </w:r>
      <w:proofErr w:type="spellEnd"/>
      <w:r>
        <w:rPr>
          <w:sz w:val="24"/>
          <w:szCs w:val="24"/>
        </w:rPr>
        <w:t xml:space="preserve"> control).</w:t>
      </w:r>
    </w:p>
    <w:p w14:paraId="3A231384" w14:textId="77777777" w:rsidR="008128DB" w:rsidRDefault="008128DB" w:rsidP="0054333A">
      <w:pPr>
        <w:spacing w:line="480" w:lineRule="auto"/>
        <w:rPr>
          <w:sz w:val="24"/>
          <w:szCs w:val="24"/>
        </w:rPr>
      </w:pPr>
    </w:p>
    <w:p w14:paraId="6EB06EDD" w14:textId="77777777" w:rsidR="008128DB" w:rsidRDefault="008128DB" w:rsidP="0054333A">
      <w:pPr>
        <w:spacing w:line="480" w:lineRule="auto"/>
        <w:rPr>
          <w:sz w:val="24"/>
          <w:szCs w:val="24"/>
        </w:rPr>
      </w:pPr>
    </w:p>
    <w:p w14:paraId="019A122B" w14:textId="77777777" w:rsidR="008128DB" w:rsidRDefault="008128DB" w:rsidP="0054333A">
      <w:pPr>
        <w:spacing w:line="48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57586573" wp14:editId="7538C57D">
            <wp:extent cx="5943600" cy="19259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OD2 ILC Supp. Fig.4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D966A" w14:textId="77777777" w:rsidR="0054333A" w:rsidRDefault="0054333A" w:rsidP="0054333A">
      <w:pPr>
        <w:spacing w:line="480" w:lineRule="auto"/>
        <w:jc w:val="both"/>
        <w:rPr>
          <w:b/>
          <w:sz w:val="24"/>
          <w:szCs w:val="24"/>
        </w:rPr>
      </w:pPr>
    </w:p>
    <w:p w14:paraId="0EB7B518" w14:textId="76173E4A" w:rsidR="008128DB" w:rsidRPr="008B3F15" w:rsidRDefault="008128DB" w:rsidP="0054333A">
      <w:pPr>
        <w:spacing w:line="48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Figure S4</w:t>
      </w:r>
      <w:r w:rsidRPr="008B3F15">
        <w:rPr>
          <w:b/>
          <w:sz w:val="24"/>
          <w:szCs w:val="24"/>
        </w:rPr>
        <w:t xml:space="preserve">. NOD2 and TLR2 stimulation of ILC2. </w:t>
      </w:r>
      <w:r w:rsidRPr="008B3F15">
        <w:rPr>
          <w:sz w:val="24"/>
          <w:szCs w:val="24"/>
        </w:rPr>
        <w:t xml:space="preserve">Real-time PCR analysis of </w:t>
      </w:r>
      <w:r>
        <w:rPr>
          <w:b/>
          <w:sz w:val="24"/>
          <w:szCs w:val="24"/>
        </w:rPr>
        <w:t xml:space="preserve">A. </w:t>
      </w:r>
      <w:r w:rsidRPr="008B3F15">
        <w:rPr>
          <w:sz w:val="24"/>
          <w:szCs w:val="24"/>
        </w:rPr>
        <w:t xml:space="preserve">cytokine </w:t>
      </w:r>
      <w:r>
        <w:rPr>
          <w:sz w:val="24"/>
          <w:szCs w:val="24"/>
        </w:rPr>
        <w:t xml:space="preserve">or </w:t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t xml:space="preserve"> NOD2 </w:t>
      </w:r>
      <w:r w:rsidRPr="008B3F15">
        <w:rPr>
          <w:sz w:val="24"/>
          <w:szCs w:val="24"/>
        </w:rPr>
        <w:t>gene expression by ILC2 following</w:t>
      </w:r>
      <w:r>
        <w:rPr>
          <w:sz w:val="24"/>
          <w:szCs w:val="24"/>
        </w:rPr>
        <w:t xml:space="preserve"> 6 hour stimulation with MDP (1µ</w:t>
      </w:r>
      <w:r w:rsidRPr="008B3F15">
        <w:rPr>
          <w:sz w:val="24"/>
          <w:szCs w:val="24"/>
        </w:rPr>
        <w:t>g/ml) and/or Pam</w:t>
      </w:r>
      <w:r w:rsidRPr="008B3F15">
        <w:rPr>
          <w:sz w:val="24"/>
          <w:szCs w:val="24"/>
          <w:vertAlign w:val="subscript"/>
        </w:rPr>
        <w:t>3</w:t>
      </w:r>
      <w:r w:rsidRPr="008B3F15">
        <w:rPr>
          <w:sz w:val="24"/>
          <w:szCs w:val="24"/>
        </w:rPr>
        <w:t>CSK</w:t>
      </w:r>
      <w:r w:rsidRPr="008B3F15">
        <w:rPr>
          <w:sz w:val="24"/>
          <w:szCs w:val="24"/>
          <w:vertAlign w:val="subscript"/>
        </w:rPr>
        <w:t>4</w:t>
      </w:r>
      <w:r>
        <w:rPr>
          <w:sz w:val="24"/>
          <w:szCs w:val="24"/>
        </w:rPr>
        <w:t xml:space="preserve"> (10µ</w:t>
      </w:r>
      <w:r w:rsidRPr="008B3F15">
        <w:rPr>
          <w:sz w:val="24"/>
          <w:szCs w:val="24"/>
        </w:rPr>
        <w:t>g/ml). Gene expression normalized</w:t>
      </w:r>
      <w:r>
        <w:rPr>
          <w:sz w:val="24"/>
          <w:szCs w:val="24"/>
        </w:rPr>
        <w:t xml:space="preserve"> to </w:t>
      </w:r>
      <w:r w:rsidRPr="0066116B">
        <w:rPr>
          <w:i/>
          <w:sz w:val="24"/>
          <w:szCs w:val="24"/>
        </w:rPr>
        <w:t>GAPDH</w:t>
      </w:r>
      <w:r>
        <w:rPr>
          <w:sz w:val="24"/>
          <w:szCs w:val="24"/>
        </w:rPr>
        <w:t>. (n=5</w:t>
      </w:r>
      <w:r w:rsidRPr="008B3F15">
        <w:rPr>
          <w:sz w:val="24"/>
          <w:szCs w:val="24"/>
        </w:rPr>
        <w:t xml:space="preserve">-13, one-way ANOVA with Tukey’s multiple comparison test, data representative of 5 independent experiments). </w:t>
      </w:r>
    </w:p>
    <w:p w14:paraId="27BC7B7F" w14:textId="65E63603" w:rsidR="00C052C9" w:rsidRPr="008B3F15" w:rsidRDefault="00C052C9" w:rsidP="0054333A">
      <w:pPr>
        <w:spacing w:line="480" w:lineRule="auto"/>
        <w:rPr>
          <w:sz w:val="24"/>
          <w:szCs w:val="24"/>
        </w:rPr>
      </w:pPr>
      <w:r w:rsidRPr="008B3F15">
        <w:rPr>
          <w:sz w:val="24"/>
          <w:szCs w:val="24"/>
        </w:rPr>
        <w:br w:type="page"/>
      </w:r>
    </w:p>
    <w:p w14:paraId="04DA8CC9" w14:textId="77777777" w:rsidR="00C052C9" w:rsidRPr="008B3F15" w:rsidRDefault="00422BCB" w:rsidP="0054333A">
      <w:pPr>
        <w:spacing w:line="48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1DFD4F03" wp14:editId="422A00A7">
            <wp:extent cx="5466498" cy="4991100"/>
            <wp:effectExtent l="0" t="0" r="127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NOD2 ILC Supp. Fig.3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061" cy="49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79FBC" w14:textId="77777777" w:rsidR="00480160" w:rsidRDefault="00480160" w:rsidP="0054333A">
      <w:pPr>
        <w:spacing w:line="480" w:lineRule="auto"/>
        <w:jc w:val="both"/>
        <w:rPr>
          <w:b/>
          <w:sz w:val="24"/>
          <w:szCs w:val="24"/>
        </w:rPr>
      </w:pPr>
    </w:p>
    <w:p w14:paraId="584E4802" w14:textId="454BEE5B" w:rsidR="00C052C9" w:rsidRPr="008B3F15" w:rsidRDefault="008128DB" w:rsidP="0054333A">
      <w:pPr>
        <w:spacing w:line="48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Figure S5</w:t>
      </w:r>
      <w:r w:rsidR="00480160" w:rsidRPr="008B3F15">
        <w:rPr>
          <w:b/>
          <w:sz w:val="24"/>
          <w:szCs w:val="24"/>
        </w:rPr>
        <w:t>. Skin resident bacterial preparation stimulation of ILC2.</w:t>
      </w:r>
      <w:r w:rsidR="00480160" w:rsidRPr="008B3F15">
        <w:rPr>
          <w:sz w:val="24"/>
          <w:szCs w:val="24"/>
        </w:rPr>
        <w:t xml:space="preserve"> </w:t>
      </w:r>
      <w:r w:rsidR="00480160" w:rsidRPr="008B3F15">
        <w:rPr>
          <w:b/>
          <w:sz w:val="24"/>
          <w:szCs w:val="24"/>
        </w:rPr>
        <w:t>A.</w:t>
      </w:r>
      <w:r w:rsidR="00480160" w:rsidRPr="008B3F15">
        <w:rPr>
          <w:sz w:val="24"/>
          <w:szCs w:val="24"/>
        </w:rPr>
        <w:t xml:space="preserve"> Full gating strategy for analysis of skin</w:t>
      </w:r>
      <w:r w:rsidR="00480160">
        <w:rPr>
          <w:sz w:val="24"/>
          <w:szCs w:val="24"/>
        </w:rPr>
        <w:t xml:space="preserve"> biopsy</w:t>
      </w:r>
      <w:r w:rsidR="00480160" w:rsidRPr="008B3F15">
        <w:rPr>
          <w:sz w:val="24"/>
          <w:szCs w:val="24"/>
        </w:rPr>
        <w:t xml:space="preserve"> ILC2. </w:t>
      </w:r>
      <w:r w:rsidR="00480160" w:rsidRPr="008B3F15">
        <w:rPr>
          <w:b/>
          <w:sz w:val="24"/>
          <w:szCs w:val="24"/>
        </w:rPr>
        <w:t>B.</w:t>
      </w:r>
      <w:r w:rsidR="00480160" w:rsidRPr="008B3F15">
        <w:rPr>
          <w:sz w:val="24"/>
          <w:szCs w:val="24"/>
        </w:rPr>
        <w:t xml:space="preserve"> Representative </w:t>
      </w:r>
      <w:proofErr w:type="gramStart"/>
      <w:r w:rsidR="00480160" w:rsidRPr="008B3F15">
        <w:rPr>
          <w:sz w:val="24"/>
          <w:szCs w:val="24"/>
        </w:rPr>
        <w:t>flow</w:t>
      </w:r>
      <w:proofErr w:type="gramEnd"/>
      <w:r w:rsidR="00480160" w:rsidRPr="008B3F15">
        <w:rPr>
          <w:sz w:val="24"/>
          <w:szCs w:val="24"/>
        </w:rPr>
        <w:t xml:space="preserve"> cytometry plots of ILC2 cytokine protein production assessed </w:t>
      </w:r>
      <w:r w:rsidR="00480160" w:rsidRPr="008B3F15">
        <w:rPr>
          <w:i/>
          <w:sz w:val="24"/>
          <w:szCs w:val="24"/>
        </w:rPr>
        <w:t>ex vivo</w:t>
      </w:r>
      <w:r w:rsidR="00480160" w:rsidRPr="008B3F15">
        <w:rPr>
          <w:sz w:val="24"/>
          <w:szCs w:val="24"/>
        </w:rPr>
        <w:t xml:space="preserve"> by intracellular flow cytometry after 24 hour stimulation of skin</w:t>
      </w:r>
      <w:r w:rsidR="0018230C">
        <w:rPr>
          <w:sz w:val="24"/>
          <w:szCs w:val="24"/>
        </w:rPr>
        <w:t xml:space="preserve"> biopsy-</w:t>
      </w:r>
      <w:r w:rsidR="00480160">
        <w:rPr>
          <w:sz w:val="24"/>
          <w:szCs w:val="24"/>
        </w:rPr>
        <w:t>derived</w:t>
      </w:r>
      <w:r w:rsidR="00480160" w:rsidRPr="008B3F15">
        <w:rPr>
          <w:sz w:val="24"/>
          <w:szCs w:val="24"/>
        </w:rPr>
        <w:t xml:space="preserve"> mononuclear cells with </w:t>
      </w:r>
      <w:r w:rsidR="0018230C">
        <w:rPr>
          <w:sz w:val="24"/>
          <w:szCs w:val="24"/>
        </w:rPr>
        <w:t xml:space="preserve">heat-killed preparations of </w:t>
      </w:r>
      <w:r w:rsidR="0018230C" w:rsidRPr="0018230C">
        <w:rPr>
          <w:i/>
          <w:sz w:val="24"/>
          <w:szCs w:val="24"/>
        </w:rPr>
        <w:t>S. aureus</w:t>
      </w:r>
      <w:r w:rsidR="0018230C">
        <w:rPr>
          <w:sz w:val="24"/>
          <w:szCs w:val="24"/>
        </w:rPr>
        <w:t xml:space="preserve"> or </w:t>
      </w:r>
      <w:r w:rsidR="00480160" w:rsidRPr="008B3F15">
        <w:rPr>
          <w:i/>
          <w:sz w:val="24"/>
          <w:szCs w:val="24"/>
        </w:rPr>
        <w:t>S. epidermidis</w:t>
      </w:r>
      <w:r w:rsidR="0018230C">
        <w:rPr>
          <w:sz w:val="24"/>
          <w:szCs w:val="24"/>
        </w:rPr>
        <w:t>,</w:t>
      </w:r>
      <w:r w:rsidR="00B16928">
        <w:rPr>
          <w:sz w:val="24"/>
          <w:szCs w:val="24"/>
        </w:rPr>
        <w:t xml:space="preserve"> or </w:t>
      </w:r>
      <w:r w:rsidR="00B16928" w:rsidRPr="008B3F15">
        <w:rPr>
          <w:sz w:val="24"/>
          <w:szCs w:val="24"/>
        </w:rPr>
        <w:t>IL-33 (50ng/ml)</w:t>
      </w:r>
      <w:r w:rsidR="00480160" w:rsidRPr="008B3F15">
        <w:rPr>
          <w:sz w:val="24"/>
          <w:szCs w:val="24"/>
        </w:rPr>
        <w:t xml:space="preserve">. </w:t>
      </w:r>
      <w:r w:rsidR="00480160" w:rsidRPr="008B3F15">
        <w:rPr>
          <w:b/>
          <w:sz w:val="24"/>
          <w:szCs w:val="24"/>
        </w:rPr>
        <w:t>C.</w:t>
      </w:r>
      <w:r w:rsidR="00480160" w:rsidRPr="008B3F15">
        <w:rPr>
          <w:sz w:val="24"/>
          <w:szCs w:val="24"/>
        </w:rPr>
        <w:t xml:space="preserve"> Isotype FMO control and representative flow cytometry plots </w:t>
      </w:r>
      <w:r w:rsidR="00480160">
        <w:rPr>
          <w:sz w:val="24"/>
          <w:szCs w:val="24"/>
        </w:rPr>
        <w:t xml:space="preserve">of </w:t>
      </w:r>
      <w:r w:rsidR="00480160" w:rsidRPr="008B3F15">
        <w:rPr>
          <w:sz w:val="24"/>
          <w:szCs w:val="24"/>
        </w:rPr>
        <w:t xml:space="preserve">gating strategy for detection of ILC2 cytokine production following </w:t>
      </w:r>
      <w:r w:rsidR="00B16928">
        <w:rPr>
          <w:sz w:val="24"/>
          <w:szCs w:val="24"/>
        </w:rPr>
        <w:t>24 hour stimulation with MDP (1µg/ml) and/or</w:t>
      </w:r>
      <w:r w:rsidR="00480160" w:rsidRPr="008B3F15">
        <w:rPr>
          <w:sz w:val="24"/>
          <w:szCs w:val="24"/>
        </w:rPr>
        <w:t xml:space="preserve"> Pam</w:t>
      </w:r>
      <w:r w:rsidR="00480160" w:rsidRPr="008B3F15">
        <w:rPr>
          <w:sz w:val="24"/>
          <w:szCs w:val="24"/>
          <w:vertAlign w:val="subscript"/>
        </w:rPr>
        <w:t>3</w:t>
      </w:r>
      <w:r w:rsidR="00480160" w:rsidRPr="008B3F15">
        <w:rPr>
          <w:sz w:val="24"/>
          <w:szCs w:val="24"/>
        </w:rPr>
        <w:t>CSK</w:t>
      </w:r>
      <w:r w:rsidR="00480160" w:rsidRPr="008B3F15">
        <w:rPr>
          <w:sz w:val="24"/>
          <w:szCs w:val="24"/>
          <w:vertAlign w:val="subscript"/>
        </w:rPr>
        <w:t>4</w:t>
      </w:r>
      <w:r w:rsidR="00B16928">
        <w:rPr>
          <w:sz w:val="24"/>
          <w:szCs w:val="24"/>
        </w:rPr>
        <w:t xml:space="preserve"> (10µ</w:t>
      </w:r>
      <w:r w:rsidR="00480160" w:rsidRPr="008B3F15">
        <w:rPr>
          <w:sz w:val="24"/>
          <w:szCs w:val="24"/>
        </w:rPr>
        <w:t>g/ml)</w:t>
      </w:r>
      <w:r w:rsidR="0018230C">
        <w:rPr>
          <w:sz w:val="24"/>
          <w:szCs w:val="24"/>
        </w:rPr>
        <w:t xml:space="preserve"> </w:t>
      </w:r>
      <w:r w:rsidR="00480160" w:rsidRPr="008B3F15">
        <w:rPr>
          <w:sz w:val="24"/>
          <w:szCs w:val="24"/>
        </w:rPr>
        <w:t>measured by intracellular flow cytometry in PBMC</w:t>
      </w:r>
      <w:r w:rsidR="00B16928">
        <w:rPr>
          <w:sz w:val="24"/>
          <w:szCs w:val="24"/>
        </w:rPr>
        <w:t>s</w:t>
      </w:r>
      <w:r w:rsidR="00480160" w:rsidRPr="008B3F15">
        <w:rPr>
          <w:sz w:val="24"/>
          <w:szCs w:val="24"/>
        </w:rPr>
        <w:t xml:space="preserve"> from </w:t>
      </w:r>
      <w:proofErr w:type="gramStart"/>
      <w:r w:rsidR="00B16928">
        <w:rPr>
          <w:sz w:val="24"/>
          <w:szCs w:val="24"/>
        </w:rPr>
        <w:t>a</w:t>
      </w:r>
      <w:proofErr w:type="gramEnd"/>
      <w:r w:rsidR="00B16928">
        <w:rPr>
          <w:sz w:val="24"/>
          <w:szCs w:val="24"/>
        </w:rPr>
        <w:t xml:space="preserve"> healthy volunteer</w:t>
      </w:r>
      <w:r w:rsidR="00480160" w:rsidRPr="008B3F15">
        <w:rPr>
          <w:sz w:val="24"/>
          <w:szCs w:val="24"/>
        </w:rPr>
        <w:t>.</w:t>
      </w:r>
      <w:r w:rsidR="00C052C9" w:rsidRPr="008B3F15">
        <w:rPr>
          <w:sz w:val="24"/>
          <w:szCs w:val="24"/>
        </w:rPr>
        <w:br w:type="page"/>
      </w:r>
    </w:p>
    <w:p w14:paraId="4E2D6438" w14:textId="59864FA6" w:rsidR="00480160" w:rsidRDefault="00BD16F2" w:rsidP="0054333A">
      <w:pPr>
        <w:spacing w:line="48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10AA68F3" wp14:editId="0955101E">
            <wp:extent cx="5943600" cy="55537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OD2 ILC Supp. Fig.6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5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324E1" w14:textId="77777777" w:rsidR="00BD16F2" w:rsidRDefault="00BD16F2" w:rsidP="0054333A">
      <w:pPr>
        <w:spacing w:line="480" w:lineRule="auto"/>
        <w:jc w:val="both"/>
        <w:rPr>
          <w:sz w:val="24"/>
          <w:szCs w:val="24"/>
        </w:rPr>
      </w:pPr>
    </w:p>
    <w:p w14:paraId="6DD7710B" w14:textId="048A6726" w:rsidR="00BB0293" w:rsidRPr="00A2606E" w:rsidRDefault="00FF4DE2" w:rsidP="0054333A">
      <w:pPr>
        <w:spacing w:line="48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Figure S6</w:t>
      </w:r>
      <w:r w:rsidRPr="008B3F15">
        <w:rPr>
          <w:b/>
          <w:sz w:val="24"/>
          <w:szCs w:val="24"/>
        </w:rPr>
        <w:t xml:space="preserve">. </w:t>
      </w:r>
      <w:r w:rsidR="00BB0293">
        <w:rPr>
          <w:b/>
          <w:sz w:val="24"/>
          <w:szCs w:val="24"/>
        </w:rPr>
        <w:t>ILC2 NOD2 mutation analysis</w:t>
      </w:r>
      <w:r w:rsidRPr="008B3F15">
        <w:rPr>
          <w:b/>
          <w:sz w:val="24"/>
          <w:szCs w:val="24"/>
        </w:rPr>
        <w:t xml:space="preserve">. </w:t>
      </w:r>
      <w:r w:rsidR="00BB0293">
        <w:rPr>
          <w:b/>
          <w:sz w:val="24"/>
          <w:szCs w:val="24"/>
        </w:rPr>
        <w:t xml:space="preserve">A. </w:t>
      </w:r>
      <w:r w:rsidR="00BB0293">
        <w:rPr>
          <w:sz w:val="24"/>
          <w:szCs w:val="24"/>
        </w:rPr>
        <w:t xml:space="preserve">CLA ILC2 surface expression measured by flow cytometry </w:t>
      </w:r>
      <w:r w:rsidR="00BB0293" w:rsidRPr="008B3F15">
        <w:rPr>
          <w:sz w:val="24"/>
          <w:szCs w:val="24"/>
        </w:rPr>
        <w:t>following 24 hour stimulation with MDP (1</w:t>
      </w:r>
      <w:r w:rsidR="00BB0293">
        <w:rPr>
          <w:sz w:val="24"/>
          <w:szCs w:val="24"/>
        </w:rPr>
        <w:t>µ</w:t>
      </w:r>
      <w:r w:rsidR="00BB0293" w:rsidRPr="008B3F15">
        <w:rPr>
          <w:sz w:val="24"/>
          <w:szCs w:val="24"/>
        </w:rPr>
        <w:t>g/ml), Pam</w:t>
      </w:r>
      <w:r w:rsidR="00BB0293" w:rsidRPr="008B3F15">
        <w:rPr>
          <w:sz w:val="24"/>
          <w:szCs w:val="24"/>
          <w:vertAlign w:val="subscript"/>
        </w:rPr>
        <w:t>3</w:t>
      </w:r>
      <w:r w:rsidR="00BB0293" w:rsidRPr="008B3F15">
        <w:rPr>
          <w:sz w:val="24"/>
          <w:szCs w:val="24"/>
        </w:rPr>
        <w:t>CSK</w:t>
      </w:r>
      <w:r w:rsidR="00BB0293" w:rsidRPr="008B3F15">
        <w:rPr>
          <w:sz w:val="24"/>
          <w:szCs w:val="24"/>
          <w:vertAlign w:val="subscript"/>
        </w:rPr>
        <w:t>4</w:t>
      </w:r>
      <w:r w:rsidR="00BB0293" w:rsidRPr="008B3F15">
        <w:rPr>
          <w:sz w:val="24"/>
          <w:szCs w:val="24"/>
        </w:rPr>
        <w:t xml:space="preserve"> (10</w:t>
      </w:r>
      <w:r w:rsidR="00BB0293">
        <w:rPr>
          <w:sz w:val="24"/>
          <w:szCs w:val="24"/>
        </w:rPr>
        <w:t>µ</w:t>
      </w:r>
      <w:r w:rsidR="00BB0293" w:rsidRPr="008B3F15">
        <w:rPr>
          <w:sz w:val="24"/>
          <w:szCs w:val="24"/>
        </w:rPr>
        <w:t>g/ml), IL-33 (50ng/ml) or PGD</w:t>
      </w:r>
      <w:r w:rsidR="00BB0293" w:rsidRPr="00EC1930">
        <w:rPr>
          <w:sz w:val="24"/>
          <w:szCs w:val="24"/>
          <w:vertAlign w:val="subscript"/>
        </w:rPr>
        <w:t>2</w:t>
      </w:r>
      <w:r w:rsidR="00BB0293" w:rsidRPr="008B3F15">
        <w:rPr>
          <w:sz w:val="24"/>
          <w:szCs w:val="24"/>
        </w:rPr>
        <w:t xml:space="preserve"> (100nM), in </w:t>
      </w:r>
      <w:r w:rsidR="00BD16F2" w:rsidRPr="008B3F15">
        <w:rPr>
          <w:sz w:val="24"/>
          <w:szCs w:val="24"/>
        </w:rPr>
        <w:t>PBMC from healthy volunteers</w:t>
      </w:r>
      <w:r w:rsidR="00BD16F2">
        <w:rPr>
          <w:sz w:val="24"/>
          <w:szCs w:val="24"/>
        </w:rPr>
        <w:t xml:space="preserve"> with wild</w:t>
      </w:r>
      <w:r w:rsidR="00712FA7">
        <w:rPr>
          <w:sz w:val="24"/>
          <w:szCs w:val="24"/>
        </w:rPr>
        <w:t xml:space="preserve"> </w:t>
      </w:r>
      <w:r w:rsidR="00BD16F2">
        <w:rPr>
          <w:sz w:val="24"/>
          <w:szCs w:val="24"/>
        </w:rPr>
        <w:t xml:space="preserve">type </w:t>
      </w:r>
      <w:r w:rsidR="00BD16F2" w:rsidRPr="00712FA7">
        <w:rPr>
          <w:i/>
          <w:sz w:val="24"/>
          <w:szCs w:val="24"/>
        </w:rPr>
        <w:t>NOD2</w:t>
      </w:r>
      <w:r w:rsidR="00BD16F2">
        <w:rPr>
          <w:sz w:val="24"/>
          <w:szCs w:val="24"/>
        </w:rPr>
        <w:t xml:space="preserve"> gene expression</w:t>
      </w:r>
      <w:r w:rsidR="00BD16F2" w:rsidRPr="008B3F15">
        <w:rPr>
          <w:sz w:val="24"/>
          <w:szCs w:val="24"/>
        </w:rPr>
        <w:t xml:space="preserve"> (</w:t>
      </w:r>
      <w:r w:rsidR="00BD16F2">
        <w:rPr>
          <w:sz w:val="24"/>
          <w:szCs w:val="24"/>
        </w:rPr>
        <w:t xml:space="preserve">WT </w:t>
      </w:r>
      <w:r w:rsidR="00BD16F2" w:rsidRPr="00A65DE3">
        <w:rPr>
          <w:i/>
          <w:sz w:val="24"/>
          <w:szCs w:val="24"/>
        </w:rPr>
        <w:t>NOD2</w:t>
      </w:r>
      <w:r w:rsidR="00BD16F2" w:rsidRPr="008B3F15">
        <w:rPr>
          <w:sz w:val="24"/>
          <w:szCs w:val="24"/>
        </w:rPr>
        <w:t>) or patients with</w:t>
      </w:r>
      <w:r w:rsidR="00BD16F2">
        <w:rPr>
          <w:sz w:val="24"/>
          <w:szCs w:val="24"/>
        </w:rPr>
        <w:t xml:space="preserve"> loss of function</w:t>
      </w:r>
      <w:r w:rsidR="00BD16F2" w:rsidRPr="008B3F15">
        <w:rPr>
          <w:sz w:val="24"/>
          <w:szCs w:val="24"/>
        </w:rPr>
        <w:t xml:space="preserve"> </w:t>
      </w:r>
      <w:r w:rsidR="00BD16F2" w:rsidRPr="008B3F15">
        <w:rPr>
          <w:i/>
          <w:sz w:val="24"/>
          <w:szCs w:val="24"/>
        </w:rPr>
        <w:t>NOD2</w:t>
      </w:r>
      <w:r w:rsidR="00BD16F2" w:rsidRPr="008B3F15">
        <w:rPr>
          <w:sz w:val="24"/>
          <w:szCs w:val="24"/>
        </w:rPr>
        <w:t xml:space="preserve"> mutation</w:t>
      </w:r>
      <w:r w:rsidR="00BD16F2">
        <w:rPr>
          <w:sz w:val="24"/>
          <w:szCs w:val="24"/>
        </w:rPr>
        <w:t>s</w:t>
      </w:r>
      <w:r w:rsidR="00BD16F2" w:rsidRPr="008B3F15">
        <w:rPr>
          <w:sz w:val="24"/>
          <w:szCs w:val="24"/>
        </w:rPr>
        <w:t xml:space="preserve"> (</w:t>
      </w:r>
      <w:r w:rsidR="00BD16F2" w:rsidRPr="00A65DE3">
        <w:rPr>
          <w:i/>
          <w:sz w:val="24"/>
          <w:szCs w:val="24"/>
        </w:rPr>
        <w:t>NOD2</w:t>
      </w:r>
      <w:r w:rsidR="00BD16F2">
        <w:rPr>
          <w:sz w:val="24"/>
          <w:szCs w:val="24"/>
        </w:rPr>
        <w:t xml:space="preserve"> SNPs</w:t>
      </w:r>
      <w:r w:rsidR="00BD16F2" w:rsidRPr="008B3F15">
        <w:rPr>
          <w:sz w:val="24"/>
          <w:szCs w:val="24"/>
        </w:rPr>
        <w:t>)</w:t>
      </w:r>
      <w:r w:rsidR="00BD16F2">
        <w:rPr>
          <w:sz w:val="24"/>
          <w:szCs w:val="24"/>
        </w:rPr>
        <w:t>.</w:t>
      </w:r>
      <w:r w:rsidR="00BB0293">
        <w:rPr>
          <w:sz w:val="24"/>
          <w:szCs w:val="24"/>
        </w:rPr>
        <w:t xml:space="preserve"> (n=4-6, two</w:t>
      </w:r>
      <w:r w:rsidR="00BB0293" w:rsidRPr="008B3F15">
        <w:rPr>
          <w:sz w:val="24"/>
          <w:szCs w:val="24"/>
        </w:rPr>
        <w:t>-way A</w:t>
      </w:r>
      <w:r w:rsidR="00BB0293">
        <w:rPr>
          <w:sz w:val="24"/>
          <w:szCs w:val="24"/>
        </w:rPr>
        <w:t>NOVA with Dunnett</w:t>
      </w:r>
      <w:r w:rsidR="00BB0293" w:rsidRPr="008B3F15">
        <w:rPr>
          <w:sz w:val="24"/>
          <w:szCs w:val="24"/>
        </w:rPr>
        <w:t>’s multiple comparison test, data representative of at least 6 independent experiments).</w:t>
      </w:r>
      <w:r w:rsidR="00876A30">
        <w:rPr>
          <w:sz w:val="24"/>
          <w:szCs w:val="24"/>
        </w:rPr>
        <w:t xml:space="preserve"> </w:t>
      </w:r>
      <w:r w:rsidR="00A775F3">
        <w:rPr>
          <w:b/>
          <w:sz w:val="24"/>
          <w:szCs w:val="24"/>
        </w:rPr>
        <w:t>B</w:t>
      </w:r>
      <w:r w:rsidR="008C2B47" w:rsidRPr="008C2B47">
        <w:rPr>
          <w:b/>
          <w:sz w:val="24"/>
          <w:szCs w:val="24"/>
        </w:rPr>
        <w:t>.</w:t>
      </w:r>
      <w:r w:rsidR="008C2B47">
        <w:rPr>
          <w:sz w:val="24"/>
          <w:szCs w:val="24"/>
        </w:rPr>
        <w:t xml:space="preserve"> </w:t>
      </w:r>
      <w:r w:rsidR="00876A30">
        <w:rPr>
          <w:sz w:val="24"/>
          <w:szCs w:val="24"/>
        </w:rPr>
        <w:t xml:space="preserve">Allelic discrimination plots of R702W </w:t>
      </w:r>
      <w:r w:rsidR="008C2B47">
        <w:rPr>
          <w:sz w:val="24"/>
          <w:szCs w:val="24"/>
        </w:rPr>
        <w:t>mutation</w:t>
      </w:r>
      <w:r w:rsidR="00876A30">
        <w:rPr>
          <w:sz w:val="24"/>
          <w:szCs w:val="24"/>
        </w:rPr>
        <w:t xml:space="preserve"> </w:t>
      </w:r>
      <w:r w:rsidR="00876A30" w:rsidRPr="00712FA7">
        <w:rPr>
          <w:i/>
          <w:sz w:val="24"/>
          <w:szCs w:val="24"/>
        </w:rPr>
        <w:t>NOD2</w:t>
      </w:r>
      <w:r w:rsidR="00876A30">
        <w:rPr>
          <w:sz w:val="24"/>
          <w:szCs w:val="24"/>
        </w:rPr>
        <w:t xml:space="preserve"> </w:t>
      </w:r>
      <w:proofErr w:type="spellStart"/>
      <w:r w:rsidR="00876A30">
        <w:rPr>
          <w:sz w:val="24"/>
          <w:szCs w:val="24"/>
        </w:rPr>
        <w:t>Taqman</w:t>
      </w:r>
      <w:proofErr w:type="spellEnd"/>
      <w:r w:rsidR="00876A30">
        <w:rPr>
          <w:sz w:val="24"/>
          <w:szCs w:val="24"/>
        </w:rPr>
        <w:t xml:space="preserve"> </w:t>
      </w:r>
      <w:r w:rsidR="00876A30">
        <w:rPr>
          <w:sz w:val="24"/>
          <w:szCs w:val="24"/>
        </w:rPr>
        <w:lastRenderedPageBreak/>
        <w:t>genotyping assay</w:t>
      </w:r>
      <w:r w:rsidR="008C2B47">
        <w:rPr>
          <w:sz w:val="24"/>
          <w:szCs w:val="24"/>
        </w:rPr>
        <w:t xml:space="preserve"> of AD patients (</w:t>
      </w:r>
      <w:r w:rsidR="00A775F3">
        <w:rPr>
          <w:sz w:val="24"/>
          <w:szCs w:val="24"/>
        </w:rPr>
        <w:t xml:space="preserve">upper </w:t>
      </w:r>
      <w:r w:rsidR="008C2B47">
        <w:rPr>
          <w:sz w:val="24"/>
          <w:szCs w:val="24"/>
        </w:rPr>
        <w:t>plot n=11</w:t>
      </w:r>
      <w:r w:rsidR="00876A30">
        <w:rPr>
          <w:sz w:val="24"/>
          <w:szCs w:val="24"/>
        </w:rPr>
        <w:t xml:space="preserve">) and </w:t>
      </w:r>
      <w:r w:rsidR="00712FA7">
        <w:rPr>
          <w:sz w:val="24"/>
          <w:szCs w:val="24"/>
        </w:rPr>
        <w:t>total samples</w:t>
      </w:r>
      <w:r w:rsidR="008C2B47">
        <w:rPr>
          <w:sz w:val="24"/>
          <w:szCs w:val="24"/>
        </w:rPr>
        <w:t xml:space="preserve"> (</w:t>
      </w:r>
      <w:r w:rsidR="00A775F3">
        <w:rPr>
          <w:sz w:val="24"/>
          <w:szCs w:val="24"/>
        </w:rPr>
        <w:t xml:space="preserve">lower </w:t>
      </w:r>
      <w:r w:rsidR="008C2B47">
        <w:rPr>
          <w:sz w:val="24"/>
          <w:szCs w:val="24"/>
        </w:rPr>
        <w:t xml:space="preserve">plot </w:t>
      </w:r>
      <w:r w:rsidR="00876A30">
        <w:rPr>
          <w:sz w:val="24"/>
          <w:szCs w:val="24"/>
        </w:rPr>
        <w:t>n=11</w:t>
      </w:r>
      <w:r w:rsidR="008C2B47">
        <w:rPr>
          <w:sz w:val="24"/>
          <w:szCs w:val="24"/>
        </w:rPr>
        <w:t xml:space="preserve"> AD patients and n=7 healthy volunteers</w:t>
      </w:r>
      <w:r w:rsidR="00876A30">
        <w:rPr>
          <w:sz w:val="24"/>
          <w:szCs w:val="24"/>
        </w:rPr>
        <w:t>).</w:t>
      </w:r>
      <w:r w:rsidR="00A2606E">
        <w:rPr>
          <w:sz w:val="24"/>
          <w:szCs w:val="24"/>
        </w:rPr>
        <w:t xml:space="preserve"> </w:t>
      </w:r>
      <w:r w:rsidR="00A775F3">
        <w:rPr>
          <w:b/>
          <w:sz w:val="24"/>
          <w:szCs w:val="24"/>
        </w:rPr>
        <w:t xml:space="preserve">C. </w:t>
      </w:r>
      <w:r w:rsidR="00A775F3">
        <w:rPr>
          <w:sz w:val="24"/>
          <w:szCs w:val="24"/>
        </w:rPr>
        <w:t xml:space="preserve">Table of genotyping results for R702W mutation </w:t>
      </w:r>
      <w:r w:rsidR="00A775F3" w:rsidRPr="00712FA7">
        <w:rPr>
          <w:i/>
          <w:sz w:val="24"/>
          <w:szCs w:val="24"/>
        </w:rPr>
        <w:t>NOD2</w:t>
      </w:r>
      <w:r w:rsidR="00A775F3">
        <w:rPr>
          <w:sz w:val="24"/>
          <w:szCs w:val="24"/>
        </w:rPr>
        <w:t xml:space="preserve"> </w:t>
      </w:r>
      <w:proofErr w:type="spellStart"/>
      <w:r w:rsidR="00A775F3">
        <w:rPr>
          <w:sz w:val="24"/>
          <w:szCs w:val="24"/>
        </w:rPr>
        <w:t>Taqman</w:t>
      </w:r>
      <w:proofErr w:type="spellEnd"/>
      <w:r w:rsidR="00A775F3">
        <w:rPr>
          <w:sz w:val="24"/>
          <w:szCs w:val="24"/>
        </w:rPr>
        <w:t xml:space="preserve"> genotyping assay. </w:t>
      </w:r>
      <w:r w:rsidR="00A2606E">
        <w:rPr>
          <w:b/>
          <w:sz w:val="24"/>
          <w:szCs w:val="24"/>
        </w:rPr>
        <w:t>D.</w:t>
      </w:r>
      <w:r w:rsidR="00A2606E">
        <w:rPr>
          <w:sz w:val="24"/>
          <w:szCs w:val="24"/>
        </w:rPr>
        <w:t xml:space="preserve"> </w:t>
      </w:r>
      <w:r w:rsidR="00A2606E" w:rsidRPr="008B3F15">
        <w:rPr>
          <w:sz w:val="24"/>
          <w:szCs w:val="24"/>
        </w:rPr>
        <w:t xml:space="preserve">Induction of ILC2-derived IL-6 </w:t>
      </w:r>
      <w:r w:rsidR="00A2606E" w:rsidRPr="00A2606E">
        <w:rPr>
          <w:sz w:val="24"/>
          <w:szCs w:val="24"/>
        </w:rPr>
        <w:t>f</w:t>
      </w:r>
      <w:r w:rsidR="00A2606E" w:rsidRPr="008B3F15">
        <w:rPr>
          <w:sz w:val="24"/>
          <w:szCs w:val="24"/>
        </w:rPr>
        <w:t>ollowing 24 hour stimulation with MDP (1</w:t>
      </w:r>
      <w:r w:rsidR="00A2606E">
        <w:rPr>
          <w:sz w:val="24"/>
          <w:szCs w:val="24"/>
        </w:rPr>
        <w:t>µ</w:t>
      </w:r>
      <w:r w:rsidR="00A2606E" w:rsidRPr="008B3F15">
        <w:rPr>
          <w:sz w:val="24"/>
          <w:szCs w:val="24"/>
        </w:rPr>
        <w:t>g/ml), Pam</w:t>
      </w:r>
      <w:r w:rsidR="00A2606E" w:rsidRPr="008B3F15">
        <w:rPr>
          <w:sz w:val="24"/>
          <w:szCs w:val="24"/>
          <w:vertAlign w:val="subscript"/>
        </w:rPr>
        <w:t>3</w:t>
      </w:r>
      <w:r w:rsidR="00A2606E" w:rsidRPr="008B3F15">
        <w:rPr>
          <w:sz w:val="24"/>
          <w:szCs w:val="24"/>
        </w:rPr>
        <w:t>CSK</w:t>
      </w:r>
      <w:r w:rsidR="00A2606E" w:rsidRPr="008B3F15">
        <w:rPr>
          <w:sz w:val="24"/>
          <w:szCs w:val="24"/>
          <w:vertAlign w:val="subscript"/>
        </w:rPr>
        <w:t>4</w:t>
      </w:r>
      <w:r w:rsidR="00A2606E" w:rsidRPr="008B3F15">
        <w:rPr>
          <w:sz w:val="24"/>
          <w:szCs w:val="24"/>
        </w:rPr>
        <w:t xml:space="preserve"> (10</w:t>
      </w:r>
      <w:r w:rsidR="00A2606E">
        <w:rPr>
          <w:sz w:val="24"/>
          <w:szCs w:val="24"/>
        </w:rPr>
        <w:t>µg/ml),</w:t>
      </w:r>
      <w:r w:rsidR="00A2606E" w:rsidRPr="002F424D">
        <w:rPr>
          <w:sz w:val="24"/>
          <w:szCs w:val="24"/>
        </w:rPr>
        <w:t xml:space="preserve"> </w:t>
      </w:r>
      <w:r w:rsidR="00A2606E" w:rsidRPr="008B3F15">
        <w:rPr>
          <w:sz w:val="24"/>
          <w:szCs w:val="24"/>
        </w:rPr>
        <w:t>heat-killed preparations of SA (</w:t>
      </w:r>
      <w:r w:rsidR="00A2606E" w:rsidRPr="008B3F15">
        <w:rPr>
          <w:i/>
          <w:sz w:val="24"/>
          <w:szCs w:val="24"/>
        </w:rPr>
        <w:t>S. aureus</w:t>
      </w:r>
      <w:r w:rsidR="00A2606E" w:rsidRPr="008B3F15">
        <w:rPr>
          <w:sz w:val="24"/>
          <w:szCs w:val="24"/>
        </w:rPr>
        <w:t>), SE (</w:t>
      </w:r>
      <w:r w:rsidR="00A2606E" w:rsidRPr="008B3F15">
        <w:rPr>
          <w:i/>
          <w:sz w:val="24"/>
          <w:szCs w:val="24"/>
        </w:rPr>
        <w:t>S. epidermidis</w:t>
      </w:r>
      <w:r w:rsidR="00A2606E">
        <w:rPr>
          <w:sz w:val="24"/>
          <w:szCs w:val="24"/>
        </w:rPr>
        <w:t>) or IL-33 (50ng/ml) and</w:t>
      </w:r>
      <w:r w:rsidR="00A2606E" w:rsidRPr="008B3F15">
        <w:rPr>
          <w:sz w:val="24"/>
          <w:szCs w:val="24"/>
        </w:rPr>
        <w:t xml:space="preserve"> PGD</w:t>
      </w:r>
      <w:r w:rsidR="00A2606E" w:rsidRPr="00EC1930">
        <w:rPr>
          <w:sz w:val="24"/>
          <w:szCs w:val="24"/>
          <w:vertAlign w:val="subscript"/>
        </w:rPr>
        <w:t>2</w:t>
      </w:r>
      <w:r w:rsidR="00A2606E" w:rsidRPr="008B3F15">
        <w:rPr>
          <w:sz w:val="24"/>
          <w:szCs w:val="24"/>
        </w:rPr>
        <w:t xml:space="preserve"> (100nM), measured by intracellular flow cytometry in PBMC from </w:t>
      </w:r>
      <w:r w:rsidR="00A2606E">
        <w:rPr>
          <w:sz w:val="24"/>
          <w:szCs w:val="24"/>
        </w:rPr>
        <w:t>atopic dermatitis</w:t>
      </w:r>
      <w:r w:rsidR="00A2606E" w:rsidRPr="008B3F15">
        <w:rPr>
          <w:sz w:val="24"/>
          <w:szCs w:val="24"/>
        </w:rPr>
        <w:t xml:space="preserve"> </w:t>
      </w:r>
      <w:r w:rsidR="00A2606E">
        <w:rPr>
          <w:sz w:val="24"/>
          <w:szCs w:val="24"/>
        </w:rPr>
        <w:t>(AD</w:t>
      </w:r>
      <w:r w:rsidR="00A2606E" w:rsidRPr="008B3F15">
        <w:rPr>
          <w:sz w:val="24"/>
          <w:szCs w:val="24"/>
        </w:rPr>
        <w:t>)</w:t>
      </w:r>
      <w:r w:rsidR="00A2606E">
        <w:rPr>
          <w:sz w:val="24"/>
          <w:szCs w:val="24"/>
        </w:rPr>
        <w:t xml:space="preserve"> patients with heterozygous R702W mutation or wild type</w:t>
      </w:r>
      <w:r w:rsidR="00712FA7">
        <w:rPr>
          <w:sz w:val="24"/>
          <w:szCs w:val="24"/>
        </w:rPr>
        <w:t xml:space="preserve"> (WT)</w:t>
      </w:r>
      <w:r w:rsidR="00A2606E">
        <w:rPr>
          <w:sz w:val="24"/>
          <w:szCs w:val="24"/>
        </w:rPr>
        <w:t xml:space="preserve"> </w:t>
      </w:r>
      <w:r w:rsidR="00A2606E" w:rsidRPr="00712FA7">
        <w:rPr>
          <w:i/>
          <w:sz w:val="24"/>
          <w:szCs w:val="24"/>
        </w:rPr>
        <w:t>NOD2</w:t>
      </w:r>
      <w:r w:rsidR="00A2606E">
        <w:rPr>
          <w:sz w:val="24"/>
          <w:szCs w:val="24"/>
        </w:rPr>
        <w:t xml:space="preserve"> alleles</w:t>
      </w:r>
      <w:r w:rsidR="00A2606E" w:rsidRPr="008B3F15">
        <w:rPr>
          <w:sz w:val="24"/>
          <w:szCs w:val="24"/>
        </w:rPr>
        <w:t xml:space="preserve">. </w:t>
      </w:r>
      <w:r w:rsidR="00A2606E">
        <w:rPr>
          <w:sz w:val="24"/>
          <w:szCs w:val="24"/>
        </w:rPr>
        <w:t>(n=4 WT and n=3 R702W)</w:t>
      </w:r>
      <w:r w:rsidR="00A2606E" w:rsidRPr="008B3F15">
        <w:rPr>
          <w:sz w:val="24"/>
          <w:szCs w:val="24"/>
        </w:rPr>
        <w:t xml:space="preserve">, one-way ANOVA with </w:t>
      </w:r>
      <w:proofErr w:type="spellStart"/>
      <w:r w:rsidR="00A2606E" w:rsidRPr="008B3F15">
        <w:rPr>
          <w:sz w:val="24"/>
          <w:szCs w:val="24"/>
        </w:rPr>
        <w:t>Sidak’s</w:t>
      </w:r>
      <w:proofErr w:type="spellEnd"/>
      <w:r w:rsidR="00A2606E" w:rsidRPr="008B3F15">
        <w:rPr>
          <w:sz w:val="24"/>
          <w:szCs w:val="24"/>
        </w:rPr>
        <w:t xml:space="preserve"> multiple comparison test, d</w:t>
      </w:r>
      <w:r w:rsidR="00A2606E">
        <w:rPr>
          <w:sz w:val="24"/>
          <w:szCs w:val="24"/>
        </w:rPr>
        <w:t>ata representative of 2</w:t>
      </w:r>
      <w:r w:rsidR="00A2606E" w:rsidRPr="008B3F15">
        <w:rPr>
          <w:sz w:val="24"/>
          <w:szCs w:val="24"/>
        </w:rPr>
        <w:t xml:space="preserve"> independent</w:t>
      </w:r>
      <w:r w:rsidR="00A2606E">
        <w:rPr>
          <w:sz w:val="24"/>
          <w:szCs w:val="24"/>
        </w:rPr>
        <w:t xml:space="preserve"> experiments.</w:t>
      </w:r>
    </w:p>
    <w:p w14:paraId="71BD8C40" w14:textId="0D42E00B" w:rsidR="00FF4DE2" w:rsidRPr="0054333A" w:rsidRDefault="00BB0293" w:rsidP="0054333A">
      <w:pPr>
        <w:spacing w:line="480" w:lineRule="auto"/>
        <w:rPr>
          <w:sz w:val="24"/>
          <w:szCs w:val="24"/>
        </w:rPr>
      </w:pPr>
      <w:r w:rsidRPr="008B3F15">
        <w:rPr>
          <w:sz w:val="24"/>
          <w:szCs w:val="24"/>
        </w:rPr>
        <w:br w:type="page"/>
      </w:r>
    </w:p>
    <w:p w14:paraId="0FBA56D5" w14:textId="77777777" w:rsidR="00FF4DE2" w:rsidRDefault="00FF4DE2" w:rsidP="0054333A">
      <w:pPr>
        <w:spacing w:line="48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777A41E2" wp14:editId="283E62BB">
            <wp:extent cx="5943600" cy="2190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OD2 ILC Supp. Fig.7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1EC49" w14:textId="77777777" w:rsidR="00FF4DE2" w:rsidRDefault="00FF4DE2" w:rsidP="0054333A">
      <w:pPr>
        <w:spacing w:line="480" w:lineRule="auto"/>
        <w:jc w:val="both"/>
        <w:rPr>
          <w:b/>
          <w:sz w:val="24"/>
          <w:szCs w:val="24"/>
        </w:rPr>
      </w:pPr>
    </w:p>
    <w:p w14:paraId="30F2B497" w14:textId="37291AC7" w:rsidR="00C052C9" w:rsidRPr="008B3F15" w:rsidRDefault="00FF4DE2" w:rsidP="0054333A">
      <w:pPr>
        <w:spacing w:line="48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Figure S7</w:t>
      </w:r>
      <w:r w:rsidR="00C052C9" w:rsidRPr="008B3F15">
        <w:rPr>
          <w:b/>
          <w:sz w:val="24"/>
          <w:szCs w:val="24"/>
        </w:rPr>
        <w:t xml:space="preserve">. Skin and blood ILC2 may be capable of autophagy. </w:t>
      </w:r>
      <w:r w:rsidR="00C052C9" w:rsidRPr="008B3F15">
        <w:rPr>
          <w:sz w:val="24"/>
          <w:szCs w:val="24"/>
        </w:rPr>
        <w:t>Autophagy-associated gene expression of skin</w:t>
      </w:r>
      <w:r w:rsidR="00DD6CD5">
        <w:rPr>
          <w:sz w:val="24"/>
          <w:szCs w:val="24"/>
        </w:rPr>
        <w:t xml:space="preserve"> blister</w:t>
      </w:r>
      <w:r w:rsidR="00C052C9" w:rsidRPr="008B3F15">
        <w:rPr>
          <w:sz w:val="24"/>
          <w:szCs w:val="24"/>
        </w:rPr>
        <w:t xml:space="preserve"> and blood</w:t>
      </w:r>
      <w:r w:rsidR="00712FA7">
        <w:rPr>
          <w:sz w:val="24"/>
          <w:szCs w:val="24"/>
        </w:rPr>
        <w:t xml:space="preserve"> derived ILC2 determined by RNA-</w:t>
      </w:r>
      <w:proofErr w:type="spellStart"/>
      <w:r w:rsidR="00C052C9" w:rsidRPr="008B3F15">
        <w:rPr>
          <w:sz w:val="24"/>
          <w:szCs w:val="24"/>
        </w:rPr>
        <w:t>Seq</w:t>
      </w:r>
      <w:proofErr w:type="spellEnd"/>
      <w:r w:rsidR="00C052C9" w:rsidRPr="008B3F15">
        <w:rPr>
          <w:sz w:val="24"/>
          <w:szCs w:val="24"/>
        </w:rPr>
        <w:t xml:space="preserve"> and measured in RPKM following 24 hour HDM blister challenge.</w:t>
      </w:r>
    </w:p>
    <w:p w14:paraId="44A30881" w14:textId="0368FE66" w:rsidR="00C052C9" w:rsidRDefault="00C052C9" w:rsidP="0054333A">
      <w:pPr>
        <w:spacing w:line="480" w:lineRule="auto"/>
        <w:jc w:val="both"/>
        <w:rPr>
          <w:sz w:val="24"/>
          <w:szCs w:val="24"/>
        </w:rPr>
      </w:pPr>
    </w:p>
    <w:p w14:paraId="6DF42E72" w14:textId="4BA6CFBD" w:rsidR="0054333A" w:rsidRDefault="0054333A" w:rsidP="0054333A">
      <w:pPr>
        <w:spacing w:line="480" w:lineRule="auto"/>
        <w:jc w:val="both"/>
        <w:rPr>
          <w:sz w:val="24"/>
          <w:szCs w:val="24"/>
        </w:rPr>
      </w:pPr>
    </w:p>
    <w:p w14:paraId="597C571B" w14:textId="122691A9" w:rsidR="0054333A" w:rsidRDefault="0054333A" w:rsidP="0054333A">
      <w:pPr>
        <w:spacing w:line="480" w:lineRule="auto"/>
        <w:jc w:val="both"/>
        <w:rPr>
          <w:sz w:val="24"/>
          <w:szCs w:val="24"/>
        </w:rPr>
      </w:pPr>
    </w:p>
    <w:p w14:paraId="6CAEB49E" w14:textId="05540265" w:rsidR="0054333A" w:rsidRDefault="0054333A" w:rsidP="0054333A">
      <w:pPr>
        <w:spacing w:line="480" w:lineRule="auto"/>
        <w:jc w:val="both"/>
        <w:rPr>
          <w:sz w:val="24"/>
          <w:szCs w:val="24"/>
        </w:rPr>
      </w:pPr>
    </w:p>
    <w:p w14:paraId="02EC8CE0" w14:textId="47E518FC" w:rsidR="0054333A" w:rsidRDefault="0054333A" w:rsidP="0054333A">
      <w:pPr>
        <w:spacing w:line="480" w:lineRule="auto"/>
        <w:jc w:val="both"/>
        <w:rPr>
          <w:sz w:val="24"/>
          <w:szCs w:val="24"/>
        </w:rPr>
      </w:pPr>
    </w:p>
    <w:p w14:paraId="3AFC4A73" w14:textId="7BC0F285" w:rsidR="0054333A" w:rsidRDefault="0054333A" w:rsidP="0054333A">
      <w:pPr>
        <w:spacing w:line="480" w:lineRule="auto"/>
        <w:jc w:val="both"/>
        <w:rPr>
          <w:sz w:val="24"/>
          <w:szCs w:val="24"/>
        </w:rPr>
      </w:pPr>
    </w:p>
    <w:p w14:paraId="3424C2DE" w14:textId="77777777" w:rsidR="0054333A" w:rsidRPr="008B3F15" w:rsidRDefault="0054333A" w:rsidP="0054333A">
      <w:pPr>
        <w:spacing w:line="480" w:lineRule="auto"/>
        <w:jc w:val="both"/>
        <w:rPr>
          <w:sz w:val="24"/>
          <w:szCs w:val="24"/>
        </w:rPr>
      </w:pPr>
    </w:p>
    <w:p w14:paraId="3D8A167A" w14:textId="0F47C1A1" w:rsidR="00C052C9" w:rsidRPr="008B3F15" w:rsidRDefault="00BD16F2" w:rsidP="0054333A">
      <w:pPr>
        <w:spacing w:line="48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4EDBEBDE" wp14:editId="04099AA4">
            <wp:extent cx="5943600" cy="27089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OD2 ILC Supp. Fig.8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52C9" w:rsidRPr="008B3F15">
        <w:rPr>
          <w:sz w:val="24"/>
          <w:szCs w:val="24"/>
        </w:rPr>
        <w:t xml:space="preserve">  </w:t>
      </w:r>
    </w:p>
    <w:p w14:paraId="758D2973" w14:textId="010156CD" w:rsidR="00C052C9" w:rsidRPr="00463AEA" w:rsidRDefault="00FF4DE2" w:rsidP="0054333A">
      <w:pPr>
        <w:spacing w:line="48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Figure S8</w:t>
      </w:r>
      <w:r w:rsidR="00C052C9" w:rsidRPr="008B3F15">
        <w:rPr>
          <w:b/>
          <w:sz w:val="24"/>
          <w:szCs w:val="24"/>
        </w:rPr>
        <w:t>. ILC2 LC3</w:t>
      </w:r>
      <w:r w:rsidR="00A42BA6">
        <w:rPr>
          <w:b/>
          <w:sz w:val="24"/>
          <w:szCs w:val="24"/>
        </w:rPr>
        <w:t>-II</w:t>
      </w:r>
      <w:r w:rsidR="00C052C9" w:rsidRPr="008B3F15">
        <w:rPr>
          <w:b/>
          <w:sz w:val="24"/>
          <w:szCs w:val="24"/>
        </w:rPr>
        <w:t xml:space="preserve"> gating strategy. </w:t>
      </w:r>
      <w:r w:rsidR="00C052C9" w:rsidRPr="008B3F15">
        <w:rPr>
          <w:sz w:val="24"/>
          <w:szCs w:val="24"/>
        </w:rPr>
        <w:t>Isotype FMO control and representative flow cytometry plots gating strategy for detection of ILC2 LC3</w:t>
      </w:r>
      <w:r w:rsidR="00A42BA6">
        <w:rPr>
          <w:sz w:val="24"/>
          <w:szCs w:val="24"/>
        </w:rPr>
        <w:t>-II</w:t>
      </w:r>
      <w:r w:rsidR="00C052C9" w:rsidRPr="008B3F15">
        <w:rPr>
          <w:sz w:val="24"/>
          <w:szCs w:val="24"/>
        </w:rPr>
        <w:t xml:space="preserve"> following 24 hour stimulation with MDP (1</w:t>
      </w:r>
      <w:r w:rsidR="00A42BA6">
        <w:rPr>
          <w:sz w:val="24"/>
          <w:szCs w:val="24"/>
        </w:rPr>
        <w:t>µ</w:t>
      </w:r>
      <w:r w:rsidR="00C052C9" w:rsidRPr="008B3F15">
        <w:rPr>
          <w:sz w:val="24"/>
          <w:szCs w:val="24"/>
        </w:rPr>
        <w:t>g/ml), Pam</w:t>
      </w:r>
      <w:r w:rsidR="00C052C9" w:rsidRPr="008B3F15">
        <w:rPr>
          <w:sz w:val="24"/>
          <w:szCs w:val="24"/>
          <w:vertAlign w:val="subscript"/>
        </w:rPr>
        <w:t>3</w:t>
      </w:r>
      <w:r w:rsidR="00C052C9" w:rsidRPr="008B3F15">
        <w:rPr>
          <w:sz w:val="24"/>
          <w:szCs w:val="24"/>
        </w:rPr>
        <w:t>CSK</w:t>
      </w:r>
      <w:r w:rsidR="00C052C9" w:rsidRPr="008B3F15">
        <w:rPr>
          <w:sz w:val="24"/>
          <w:szCs w:val="24"/>
          <w:vertAlign w:val="subscript"/>
        </w:rPr>
        <w:t>4</w:t>
      </w:r>
      <w:r w:rsidR="00C052C9" w:rsidRPr="008B3F15">
        <w:rPr>
          <w:sz w:val="24"/>
          <w:szCs w:val="24"/>
        </w:rPr>
        <w:t xml:space="preserve"> (10</w:t>
      </w:r>
      <w:r w:rsidR="00A42BA6">
        <w:rPr>
          <w:sz w:val="24"/>
          <w:szCs w:val="24"/>
        </w:rPr>
        <w:t>µ</w:t>
      </w:r>
      <w:bookmarkStart w:id="1" w:name="_GoBack"/>
      <w:bookmarkEnd w:id="1"/>
      <w:r w:rsidR="00C052C9" w:rsidRPr="008B3F15">
        <w:rPr>
          <w:sz w:val="24"/>
          <w:szCs w:val="24"/>
        </w:rPr>
        <w:t>g/ml),</w:t>
      </w:r>
      <w:r w:rsidR="00876A30">
        <w:rPr>
          <w:sz w:val="24"/>
          <w:szCs w:val="24"/>
        </w:rPr>
        <w:t xml:space="preserve"> </w:t>
      </w:r>
      <w:r w:rsidR="00C052C9" w:rsidRPr="008B3F15">
        <w:rPr>
          <w:sz w:val="24"/>
          <w:szCs w:val="24"/>
        </w:rPr>
        <w:t>heat-killed preparations of SA (</w:t>
      </w:r>
      <w:r w:rsidR="00C052C9" w:rsidRPr="008B3F15">
        <w:rPr>
          <w:i/>
          <w:sz w:val="24"/>
          <w:szCs w:val="24"/>
        </w:rPr>
        <w:t>S. aureus</w:t>
      </w:r>
      <w:r w:rsidR="00C052C9" w:rsidRPr="008B3F15">
        <w:rPr>
          <w:sz w:val="24"/>
          <w:szCs w:val="24"/>
        </w:rPr>
        <w:t>), SE (</w:t>
      </w:r>
      <w:r w:rsidR="00C052C9" w:rsidRPr="008B3F15">
        <w:rPr>
          <w:i/>
          <w:sz w:val="24"/>
          <w:szCs w:val="24"/>
        </w:rPr>
        <w:t>S. epidermidis</w:t>
      </w:r>
      <w:r w:rsidR="00876A30">
        <w:rPr>
          <w:sz w:val="24"/>
          <w:szCs w:val="24"/>
        </w:rPr>
        <w:t>),</w:t>
      </w:r>
      <w:r w:rsidR="00C052C9" w:rsidRPr="008B3F15">
        <w:rPr>
          <w:sz w:val="24"/>
          <w:szCs w:val="24"/>
        </w:rPr>
        <w:t xml:space="preserve"> PA (</w:t>
      </w:r>
      <w:r w:rsidR="00C052C9" w:rsidRPr="008B3F15">
        <w:rPr>
          <w:i/>
          <w:sz w:val="24"/>
          <w:szCs w:val="24"/>
        </w:rPr>
        <w:t>P. aeruginosa</w:t>
      </w:r>
      <w:r w:rsidR="00C052C9" w:rsidRPr="008B3F15">
        <w:rPr>
          <w:sz w:val="24"/>
          <w:szCs w:val="24"/>
        </w:rPr>
        <w:t xml:space="preserve">) </w:t>
      </w:r>
      <w:r w:rsidR="00876A30">
        <w:rPr>
          <w:sz w:val="24"/>
          <w:szCs w:val="24"/>
        </w:rPr>
        <w:t xml:space="preserve">or IL-33 (50ng/ml) </w:t>
      </w:r>
      <w:r w:rsidR="00C052C9" w:rsidRPr="008B3F15">
        <w:rPr>
          <w:sz w:val="24"/>
          <w:szCs w:val="24"/>
        </w:rPr>
        <w:t>measured by intracellular flow cytometry in ILC2 isolated and expanded from healthy volunteer blood.</w:t>
      </w:r>
    </w:p>
    <w:p w14:paraId="437C0688" w14:textId="77777777" w:rsidR="004A10BE" w:rsidRPr="00463AEA" w:rsidRDefault="004A10BE" w:rsidP="0054333A">
      <w:pPr>
        <w:spacing w:line="480" w:lineRule="auto"/>
        <w:rPr>
          <w:sz w:val="24"/>
          <w:szCs w:val="24"/>
        </w:rPr>
      </w:pPr>
    </w:p>
    <w:sectPr w:rsidR="004A10BE" w:rsidRPr="00463AEA" w:rsidSect="004A10BE">
      <w:headerReference w:type="first" r:id="rId15"/>
      <w:pgSz w:w="12240" w:h="15840"/>
      <w:pgMar w:top="1440" w:right="1440" w:bottom="1440" w:left="1440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4BDC58" w14:textId="77777777" w:rsidR="0062473A" w:rsidRDefault="0062473A" w:rsidP="004A10BE">
      <w:r>
        <w:separator/>
      </w:r>
    </w:p>
  </w:endnote>
  <w:endnote w:type="continuationSeparator" w:id="0">
    <w:p w14:paraId="259B96C5" w14:textId="77777777" w:rsidR="0062473A" w:rsidRDefault="0062473A" w:rsidP="004A1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Lucida Grande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lissRegular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Medium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7EC6AF" w14:textId="77777777" w:rsidR="0062473A" w:rsidRDefault="0062473A" w:rsidP="004A10BE">
      <w:r>
        <w:separator/>
      </w:r>
    </w:p>
  </w:footnote>
  <w:footnote w:type="continuationSeparator" w:id="0">
    <w:p w14:paraId="27B8C9A0" w14:textId="77777777" w:rsidR="0062473A" w:rsidRDefault="0062473A" w:rsidP="004A10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7E458" w14:textId="77777777" w:rsidR="008573F1" w:rsidRDefault="0032214C" w:rsidP="004A10BE">
    <w:pPr>
      <w:pStyle w:val="Header"/>
    </w:pPr>
    <w:r>
      <w:rPr>
        <w:noProof/>
        <w:lang w:val="en-GB" w:eastAsia="en-GB"/>
      </w:rPr>
      <w:drawing>
        <wp:inline distT="0" distB="0" distL="0" distR="0" wp14:anchorId="6BB86F85" wp14:editId="1D9B336F">
          <wp:extent cx="1591519" cy="206468"/>
          <wp:effectExtent l="0" t="0" r="8890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ienceImmunology-colo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3079" cy="209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573F1">
      <w:tab/>
    </w:r>
  </w:p>
  <w:p w14:paraId="62AFC77A" w14:textId="77777777" w:rsidR="008573F1" w:rsidRDefault="008573F1" w:rsidP="004A10BE">
    <w:pPr>
      <w:pStyle w:val="Header"/>
    </w:pPr>
  </w:p>
  <w:p w14:paraId="0C84866A" w14:textId="77777777" w:rsidR="008573F1" w:rsidRPr="00204015" w:rsidRDefault="008573F1" w:rsidP="004A10BE">
    <w:pPr>
      <w:pStyle w:val="Header"/>
    </w:pPr>
    <w:r>
      <w:tab/>
    </w:r>
    <w:r w:rsidRPr="00204015">
      <w:t>Submitted Manuscript:  Confidential</w:t>
    </w:r>
    <w:r>
      <w:tab/>
    </w:r>
    <w:r w:rsidR="005341F3">
      <w:t xml:space="preserve">             </w:t>
    </w:r>
    <w:r w:rsidR="005341F3" w:rsidRPr="005341F3">
      <w:rPr>
        <w:sz w:val="16"/>
        <w:szCs w:val="16"/>
      </w:rPr>
      <w:t xml:space="preserve">template updated: </w:t>
    </w:r>
    <w:r w:rsidR="0032214C">
      <w:rPr>
        <w:sz w:val="16"/>
        <w:szCs w:val="16"/>
      </w:rPr>
      <w:t>July 5 2016</w:t>
    </w:r>
  </w:p>
  <w:p w14:paraId="532543FC" w14:textId="77777777" w:rsidR="008573F1" w:rsidRDefault="008573F1" w:rsidP="004A10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306B6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2C0A9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FF8797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7B8A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8FC955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C76FF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34C55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C068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0088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C8A39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78067D"/>
    <w:multiLevelType w:val="hybridMultilevel"/>
    <w:tmpl w:val="9FB67F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67E3791"/>
    <w:multiLevelType w:val="hybridMultilevel"/>
    <w:tmpl w:val="EB4A084C"/>
    <w:lvl w:ilvl="0" w:tplc="A0BCF00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43404BEE">
      <w:start w:val="126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374236A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A434FE8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23B438B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4620C9E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CE50593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35660D5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E0C2027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Scienc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95a9f925a0rpeesw2bpxvv0dxwp2ef0axzz&quot;&gt;ILC endnote library&lt;record-ids&gt;&lt;item&gt;3&lt;/item&gt;&lt;item&gt;8&lt;/item&gt;&lt;item&gt;18&lt;/item&gt;&lt;item&gt;22&lt;/item&gt;&lt;item&gt;23&lt;/item&gt;&lt;item&gt;25&lt;/item&gt;&lt;item&gt;26&lt;/item&gt;&lt;item&gt;27&lt;/item&gt;&lt;item&gt;29&lt;/item&gt;&lt;item&gt;37&lt;/item&gt;&lt;item&gt;43&lt;/item&gt;&lt;item&gt;46&lt;/item&gt;&lt;item&gt;55&lt;/item&gt;&lt;item&gt;56&lt;/item&gt;&lt;item&gt;60&lt;/item&gt;&lt;item&gt;61&lt;/item&gt;&lt;item&gt;67&lt;/item&gt;&lt;item&gt;68&lt;/item&gt;&lt;item&gt;73&lt;/item&gt;&lt;item&gt;78&lt;/item&gt;&lt;item&gt;79&lt;/item&gt;&lt;item&gt;80&lt;/item&gt;&lt;item&gt;82&lt;/item&gt;&lt;item&gt;83&lt;/item&gt;&lt;item&gt;84&lt;/item&gt;&lt;item&gt;85&lt;/item&gt;&lt;item&gt;86&lt;/item&gt;&lt;item&gt;87&lt;/item&gt;&lt;item&gt;88&lt;/item&gt;&lt;item&gt;91&lt;/item&gt;&lt;item&gt;93&lt;/item&gt;&lt;item&gt;94&lt;/item&gt;&lt;item&gt;95&lt;/item&gt;&lt;item&gt;96&lt;/item&gt;&lt;item&gt;97&lt;/item&gt;&lt;item&gt;99&lt;/item&gt;&lt;item&gt;102&lt;/item&gt;&lt;item&gt;103&lt;/item&gt;&lt;item&gt;104&lt;/item&gt;&lt;item&gt;105&lt;/item&gt;&lt;item&gt;106&lt;/item&gt;&lt;item&gt;107&lt;/item&gt;&lt;item&gt;108&lt;/item&gt;&lt;item&gt;109&lt;/item&gt;&lt;item&gt;110&lt;/item&gt;&lt;item&gt;111&lt;/item&gt;&lt;item&gt;112&lt;/item&gt;&lt;item&gt;113&lt;/item&gt;&lt;item&gt;114&lt;/item&gt;&lt;item&gt;115&lt;/item&gt;&lt;item&gt;116&lt;/item&gt;&lt;item&gt;117&lt;/item&gt;&lt;item&gt;118&lt;/item&gt;&lt;item&gt;119&lt;/item&gt;&lt;item&gt;120&lt;/item&gt;&lt;item&gt;121&lt;/item&gt;&lt;item&gt;122&lt;/item&gt;&lt;item&gt;124&lt;/item&gt;&lt;item&gt;125&lt;/item&gt;&lt;item&gt;126&lt;/item&gt;&lt;item&gt;127&lt;/item&gt;&lt;item&gt;128&lt;/item&gt;&lt;item&gt;129&lt;/item&gt;&lt;item&gt;130&lt;/item&gt;&lt;item&gt;131&lt;/item&gt;&lt;item&gt;132&lt;/item&gt;&lt;item&gt;133&lt;/item&gt;&lt;item&gt;134&lt;/item&gt;&lt;item&gt;135&lt;/item&gt;&lt;item&gt;136&lt;/item&gt;&lt;item&gt;137&lt;/item&gt;&lt;item&gt;139&lt;/item&gt;&lt;item&gt;142&lt;/item&gt;&lt;item&gt;143&lt;/item&gt;&lt;item&gt;144&lt;/item&gt;&lt;item&gt;145&lt;/item&gt;&lt;item&gt;146&lt;/item&gt;&lt;item&gt;147&lt;/item&gt;&lt;item&gt;148&lt;/item&gt;&lt;item&gt;149&lt;/item&gt;&lt;item&gt;150&lt;/item&gt;&lt;item&gt;151&lt;/item&gt;&lt;item&gt;152&lt;/item&gt;&lt;item&gt;153&lt;/item&gt;&lt;item&gt;154&lt;/item&gt;&lt;item&gt;155&lt;/item&gt;&lt;item&gt;156&lt;/item&gt;&lt;item&gt;157&lt;/item&gt;&lt;item&gt;158&lt;/item&gt;&lt;item&gt;159&lt;/item&gt;&lt;item&gt;160&lt;/item&gt;&lt;item&gt;161&lt;/item&gt;&lt;item&gt;162&lt;/item&gt;&lt;item&gt;165&lt;/item&gt;&lt;item&gt;166&lt;/item&gt;&lt;item&gt;167&lt;/item&gt;&lt;item&gt;170&lt;/item&gt;&lt;item&gt;172&lt;/item&gt;&lt;item&gt;174&lt;/item&gt;&lt;/record-ids&gt;&lt;/item&gt;&lt;/Libraries&gt;"/>
  </w:docVars>
  <w:rsids>
    <w:rsidRoot w:val="0064261D"/>
    <w:rsid w:val="000C6B3C"/>
    <w:rsid w:val="000C6C58"/>
    <w:rsid w:val="001643AC"/>
    <w:rsid w:val="00165D77"/>
    <w:rsid w:val="0018230C"/>
    <w:rsid w:val="001A4A6B"/>
    <w:rsid w:val="001C692E"/>
    <w:rsid w:val="0022051E"/>
    <w:rsid w:val="0023699D"/>
    <w:rsid w:val="00240A26"/>
    <w:rsid w:val="002901C5"/>
    <w:rsid w:val="002F5E5B"/>
    <w:rsid w:val="0032214C"/>
    <w:rsid w:val="00376DC5"/>
    <w:rsid w:val="00376FB8"/>
    <w:rsid w:val="003B4D51"/>
    <w:rsid w:val="003D3920"/>
    <w:rsid w:val="003F255A"/>
    <w:rsid w:val="00413888"/>
    <w:rsid w:val="00422BCB"/>
    <w:rsid w:val="00463AEA"/>
    <w:rsid w:val="00480160"/>
    <w:rsid w:val="004A10BE"/>
    <w:rsid w:val="004E6F68"/>
    <w:rsid w:val="005341F3"/>
    <w:rsid w:val="0054333A"/>
    <w:rsid w:val="005F7075"/>
    <w:rsid w:val="00615589"/>
    <w:rsid w:val="0062473A"/>
    <w:rsid w:val="0064261D"/>
    <w:rsid w:val="00645383"/>
    <w:rsid w:val="00645B61"/>
    <w:rsid w:val="006570F9"/>
    <w:rsid w:val="0066116B"/>
    <w:rsid w:val="006A23D3"/>
    <w:rsid w:val="00707CF7"/>
    <w:rsid w:val="00712FA7"/>
    <w:rsid w:val="008128DB"/>
    <w:rsid w:val="00844BC1"/>
    <w:rsid w:val="008573F1"/>
    <w:rsid w:val="008651C3"/>
    <w:rsid w:val="00876A30"/>
    <w:rsid w:val="008B3F15"/>
    <w:rsid w:val="008C0706"/>
    <w:rsid w:val="008C2B47"/>
    <w:rsid w:val="009158B2"/>
    <w:rsid w:val="00943D39"/>
    <w:rsid w:val="00952617"/>
    <w:rsid w:val="00A2606E"/>
    <w:rsid w:val="00A42BA6"/>
    <w:rsid w:val="00A44E3C"/>
    <w:rsid w:val="00A66F8D"/>
    <w:rsid w:val="00A775F3"/>
    <w:rsid w:val="00A93998"/>
    <w:rsid w:val="00AE5852"/>
    <w:rsid w:val="00B16928"/>
    <w:rsid w:val="00B87104"/>
    <w:rsid w:val="00BA584B"/>
    <w:rsid w:val="00BB0293"/>
    <w:rsid w:val="00BB47E7"/>
    <w:rsid w:val="00BD16F2"/>
    <w:rsid w:val="00BE2822"/>
    <w:rsid w:val="00C052C9"/>
    <w:rsid w:val="00C57F91"/>
    <w:rsid w:val="00C917E9"/>
    <w:rsid w:val="00CC6E92"/>
    <w:rsid w:val="00CE3B9E"/>
    <w:rsid w:val="00D63331"/>
    <w:rsid w:val="00D80F5A"/>
    <w:rsid w:val="00D867BC"/>
    <w:rsid w:val="00DD6CD5"/>
    <w:rsid w:val="00E81A31"/>
    <w:rsid w:val="00E86207"/>
    <w:rsid w:val="00EB56AE"/>
    <w:rsid w:val="00EC379F"/>
    <w:rsid w:val="00ED11B3"/>
    <w:rsid w:val="00ED6AEE"/>
    <w:rsid w:val="00F07D2E"/>
    <w:rsid w:val="00F2646C"/>
    <w:rsid w:val="00F54F0E"/>
    <w:rsid w:val="00FD4582"/>
    <w:rsid w:val="00FF4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3A24BBA"/>
  <w15:docId w15:val="{1F4B9D18-001A-489F-9012-56C8E0461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7F20"/>
  </w:style>
  <w:style w:type="paragraph" w:styleId="Heading1">
    <w:name w:val="heading 1"/>
    <w:basedOn w:val="Normal"/>
    <w:link w:val="Heading1Char"/>
    <w:uiPriority w:val="9"/>
    <w:qFormat/>
    <w:rsid w:val="00C052C9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eText">
    <w:name w:val="Base_Text"/>
    <w:rsid w:val="009A3899"/>
    <w:pPr>
      <w:spacing w:before="120"/>
    </w:pPr>
    <w:rPr>
      <w:rFonts w:eastAsia="Times New Roman"/>
      <w:sz w:val="24"/>
      <w:szCs w:val="24"/>
    </w:rPr>
  </w:style>
  <w:style w:type="paragraph" w:customStyle="1" w:styleId="1stparatext">
    <w:name w:val="1st para text"/>
    <w:basedOn w:val="BaseText"/>
    <w:rsid w:val="009A3899"/>
  </w:style>
  <w:style w:type="paragraph" w:customStyle="1" w:styleId="BaseHeading">
    <w:name w:val="Base_Heading"/>
    <w:rsid w:val="009A3899"/>
    <w:pPr>
      <w:keepNext/>
      <w:spacing w:before="240"/>
      <w:outlineLvl w:val="0"/>
    </w:pPr>
    <w:rPr>
      <w:rFonts w:eastAsia="Times New Roman"/>
      <w:kern w:val="28"/>
      <w:sz w:val="28"/>
      <w:szCs w:val="28"/>
    </w:rPr>
  </w:style>
  <w:style w:type="paragraph" w:customStyle="1" w:styleId="AbstractHead">
    <w:name w:val="Abstract Head"/>
    <w:basedOn w:val="BaseHeading"/>
    <w:rsid w:val="009A3899"/>
  </w:style>
  <w:style w:type="paragraph" w:customStyle="1" w:styleId="AbstractSummary">
    <w:name w:val="Abstract/Summary"/>
    <w:basedOn w:val="BaseText"/>
    <w:rsid w:val="009A3899"/>
  </w:style>
  <w:style w:type="paragraph" w:customStyle="1" w:styleId="Referencesandnotes">
    <w:name w:val="References and notes"/>
    <w:basedOn w:val="BaseText"/>
    <w:rsid w:val="009A3899"/>
    <w:pPr>
      <w:ind w:left="720" w:hanging="720"/>
    </w:pPr>
  </w:style>
  <w:style w:type="paragraph" w:customStyle="1" w:styleId="Acknowledgement">
    <w:name w:val="Acknowledgement"/>
    <w:basedOn w:val="Referencesandnotes"/>
    <w:rsid w:val="009A3899"/>
  </w:style>
  <w:style w:type="paragraph" w:customStyle="1" w:styleId="Subhead">
    <w:name w:val="Subhead"/>
    <w:basedOn w:val="BaseHeading"/>
    <w:rsid w:val="009A3899"/>
    <w:rPr>
      <w:b/>
      <w:bCs/>
      <w:sz w:val="24"/>
      <w:szCs w:val="24"/>
    </w:rPr>
  </w:style>
  <w:style w:type="paragraph" w:customStyle="1" w:styleId="AppendixHead">
    <w:name w:val="AppendixHead"/>
    <w:basedOn w:val="Subhead"/>
    <w:rsid w:val="009A3899"/>
  </w:style>
  <w:style w:type="paragraph" w:customStyle="1" w:styleId="AppendixSubhead">
    <w:name w:val="AppendixSubhead"/>
    <w:basedOn w:val="Subhead"/>
    <w:rsid w:val="009A3899"/>
  </w:style>
  <w:style w:type="paragraph" w:customStyle="1" w:styleId="Articletype">
    <w:name w:val="Article type"/>
    <w:basedOn w:val="BaseText"/>
    <w:rsid w:val="009A3899"/>
  </w:style>
  <w:style w:type="character" w:customStyle="1" w:styleId="aubase">
    <w:name w:val="au_base"/>
    <w:rsid w:val="009A3899"/>
    <w:rPr>
      <w:sz w:val="24"/>
    </w:rPr>
  </w:style>
  <w:style w:type="character" w:customStyle="1" w:styleId="aucollab">
    <w:name w:val="au_collab"/>
    <w:rsid w:val="009A3899"/>
    <w:rPr>
      <w:sz w:val="24"/>
      <w:bdr w:val="none" w:sz="0" w:space="0" w:color="auto"/>
      <w:shd w:val="clear" w:color="auto" w:fill="C0C0C0"/>
    </w:rPr>
  </w:style>
  <w:style w:type="character" w:customStyle="1" w:styleId="audeg">
    <w:name w:val="au_deg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aufname">
    <w:name w:val="au_fname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aurole">
    <w:name w:val="au_role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ausuffix">
    <w:name w:val="au_suffix"/>
    <w:rsid w:val="009A3899"/>
    <w:rPr>
      <w:sz w:val="24"/>
      <w:bdr w:val="none" w:sz="0" w:space="0" w:color="auto"/>
      <w:shd w:val="clear" w:color="auto" w:fill="FF00FF"/>
    </w:rPr>
  </w:style>
  <w:style w:type="character" w:customStyle="1" w:styleId="ausurname">
    <w:name w:val="au_surname"/>
    <w:rsid w:val="009A3899"/>
    <w:rPr>
      <w:sz w:val="24"/>
      <w:bdr w:val="none" w:sz="0" w:space="0" w:color="auto"/>
      <w:shd w:val="clear" w:color="auto" w:fill="00FF00"/>
    </w:rPr>
  </w:style>
  <w:style w:type="paragraph" w:customStyle="1" w:styleId="AuthorAttribute">
    <w:name w:val="Author Attribute"/>
    <w:basedOn w:val="BaseText"/>
    <w:rsid w:val="009A3899"/>
    <w:pPr>
      <w:spacing w:before="480"/>
    </w:pPr>
  </w:style>
  <w:style w:type="paragraph" w:customStyle="1" w:styleId="Footnote">
    <w:name w:val="Footnote"/>
    <w:basedOn w:val="BaseText"/>
    <w:rsid w:val="009A3899"/>
  </w:style>
  <w:style w:type="paragraph" w:customStyle="1" w:styleId="AuthorFootnote">
    <w:name w:val="AuthorFootnote"/>
    <w:basedOn w:val="Footnote"/>
    <w:rsid w:val="009A3899"/>
    <w:pPr>
      <w:autoSpaceDE w:val="0"/>
      <w:autoSpaceDN w:val="0"/>
      <w:adjustRightInd w:val="0"/>
    </w:pPr>
    <w:rPr>
      <w:lang w:bidi="he-IL"/>
    </w:rPr>
  </w:style>
  <w:style w:type="paragraph" w:customStyle="1" w:styleId="Authors">
    <w:name w:val="Authors"/>
    <w:basedOn w:val="BaseText"/>
    <w:rsid w:val="009A3899"/>
    <w:pPr>
      <w:spacing w:after="360"/>
      <w:jc w:val="center"/>
    </w:pPr>
  </w:style>
  <w:style w:type="paragraph" w:styleId="BalloonText">
    <w:name w:val="Balloon Text"/>
    <w:basedOn w:val="Normal"/>
    <w:link w:val="BalloonTextChar"/>
    <w:uiPriority w:val="99"/>
    <w:semiHidden/>
    <w:rsid w:val="009A3899"/>
    <w:rPr>
      <w:rFonts w:ascii="Lucida Grande" w:eastAsia="Times New Roman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A3899"/>
    <w:rPr>
      <w:rFonts w:ascii="Lucida Grande" w:eastAsia="Times New Roman" w:hAnsi="Lucida Grande"/>
      <w:sz w:val="18"/>
      <w:szCs w:val="18"/>
    </w:rPr>
  </w:style>
  <w:style w:type="character" w:customStyle="1" w:styleId="bibarticle">
    <w:name w:val="bib_article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bibbase">
    <w:name w:val="bib_base"/>
    <w:rsid w:val="009A3899"/>
    <w:rPr>
      <w:sz w:val="24"/>
    </w:rPr>
  </w:style>
  <w:style w:type="character" w:customStyle="1" w:styleId="bibcomment">
    <w:name w:val="bib_comment"/>
    <w:basedOn w:val="bibbase"/>
    <w:rsid w:val="009A3899"/>
    <w:rPr>
      <w:sz w:val="24"/>
    </w:rPr>
  </w:style>
  <w:style w:type="character" w:customStyle="1" w:styleId="bibdeg">
    <w:name w:val="bib_deg"/>
    <w:basedOn w:val="bibbase"/>
    <w:rsid w:val="009A3899"/>
    <w:rPr>
      <w:sz w:val="24"/>
    </w:rPr>
  </w:style>
  <w:style w:type="character" w:customStyle="1" w:styleId="bibdoi">
    <w:name w:val="bib_doi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etal">
    <w:name w:val="bib_etal"/>
    <w:rsid w:val="009A3899"/>
    <w:rPr>
      <w:sz w:val="24"/>
      <w:bdr w:val="none" w:sz="0" w:space="0" w:color="auto"/>
      <w:shd w:val="clear" w:color="auto" w:fill="008080"/>
    </w:rPr>
  </w:style>
  <w:style w:type="character" w:customStyle="1" w:styleId="bibfname">
    <w:name w:val="bib_fnam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fpage">
    <w:name w:val="bib_fpage"/>
    <w:rsid w:val="009A3899"/>
    <w:rPr>
      <w:sz w:val="24"/>
      <w:bdr w:val="none" w:sz="0" w:space="0" w:color="auto"/>
      <w:shd w:val="clear" w:color="auto" w:fill="808080"/>
    </w:rPr>
  </w:style>
  <w:style w:type="character" w:customStyle="1" w:styleId="bibissue">
    <w:name w:val="bib_issu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journal">
    <w:name w:val="bib_journal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biblpage">
    <w:name w:val="bib_lpage"/>
    <w:rsid w:val="009A3899"/>
    <w:rPr>
      <w:sz w:val="24"/>
      <w:bdr w:val="none" w:sz="0" w:space="0" w:color="auto"/>
      <w:shd w:val="clear" w:color="auto" w:fill="808080"/>
    </w:rPr>
  </w:style>
  <w:style w:type="character" w:customStyle="1" w:styleId="bibmedline">
    <w:name w:val="bib_medline"/>
    <w:basedOn w:val="bibbase"/>
    <w:rsid w:val="009A3899"/>
    <w:rPr>
      <w:sz w:val="24"/>
    </w:rPr>
  </w:style>
  <w:style w:type="character" w:customStyle="1" w:styleId="bibnumber">
    <w:name w:val="bib_number"/>
    <w:basedOn w:val="bibbase"/>
    <w:rsid w:val="009A3899"/>
    <w:rPr>
      <w:sz w:val="24"/>
    </w:rPr>
  </w:style>
  <w:style w:type="character" w:customStyle="1" w:styleId="biborganization">
    <w:name w:val="bib_organization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bibsuffix">
    <w:name w:val="bib_suffix"/>
    <w:basedOn w:val="bibbase"/>
    <w:rsid w:val="009A3899"/>
    <w:rPr>
      <w:sz w:val="24"/>
    </w:rPr>
  </w:style>
  <w:style w:type="character" w:customStyle="1" w:styleId="bibsuppl">
    <w:name w:val="bib_suppl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surname">
    <w:name w:val="bib_surnam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unpubl">
    <w:name w:val="bib_unpubl"/>
    <w:basedOn w:val="bibbase"/>
    <w:rsid w:val="009A3899"/>
    <w:rPr>
      <w:sz w:val="24"/>
    </w:rPr>
  </w:style>
  <w:style w:type="character" w:customStyle="1" w:styleId="biburl">
    <w:name w:val="bib_url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volume">
    <w:name w:val="bib_volume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year">
    <w:name w:val="bib_year"/>
    <w:rsid w:val="009A3899"/>
    <w:rPr>
      <w:sz w:val="24"/>
      <w:bdr w:val="none" w:sz="0" w:space="0" w:color="auto"/>
      <w:shd w:val="clear" w:color="auto" w:fill="FF00FF"/>
    </w:rPr>
  </w:style>
  <w:style w:type="paragraph" w:customStyle="1" w:styleId="BookorMeetingInformation">
    <w:name w:val="Book or Meeting Information"/>
    <w:basedOn w:val="BaseText"/>
    <w:rsid w:val="009A3899"/>
  </w:style>
  <w:style w:type="paragraph" w:customStyle="1" w:styleId="BookInformation">
    <w:name w:val="BookInformation"/>
    <w:basedOn w:val="BaseText"/>
    <w:rsid w:val="009A3899"/>
  </w:style>
  <w:style w:type="paragraph" w:customStyle="1" w:styleId="Level2Head">
    <w:name w:val="Level 2 Head"/>
    <w:basedOn w:val="BaseHeading"/>
    <w:rsid w:val="009A3899"/>
    <w:pPr>
      <w:outlineLvl w:val="1"/>
    </w:pPr>
    <w:rPr>
      <w:i/>
      <w:iCs/>
      <w:sz w:val="24"/>
      <w:szCs w:val="24"/>
    </w:rPr>
  </w:style>
  <w:style w:type="paragraph" w:customStyle="1" w:styleId="BoxLevel2Head">
    <w:name w:val="BoxLevel 2 Head"/>
    <w:basedOn w:val="Level2Head"/>
    <w:rsid w:val="009A3899"/>
    <w:pPr>
      <w:shd w:val="clear" w:color="auto" w:fill="E6E6E6"/>
    </w:pPr>
  </w:style>
  <w:style w:type="paragraph" w:customStyle="1" w:styleId="BoxListUnnumbered">
    <w:name w:val="BoxListUnnumbered"/>
    <w:basedOn w:val="BaseText"/>
    <w:rsid w:val="009A3899"/>
    <w:pPr>
      <w:shd w:val="clear" w:color="auto" w:fill="E6E6E6"/>
      <w:ind w:left="1080" w:hanging="360"/>
    </w:pPr>
  </w:style>
  <w:style w:type="paragraph" w:customStyle="1" w:styleId="BoxList">
    <w:name w:val="BoxList"/>
    <w:basedOn w:val="BoxListUnnumbered"/>
    <w:rsid w:val="009A3899"/>
  </w:style>
  <w:style w:type="paragraph" w:customStyle="1" w:styleId="BoxSubhead">
    <w:name w:val="BoxSubhead"/>
    <w:basedOn w:val="Subhead"/>
    <w:rsid w:val="009A3899"/>
    <w:pPr>
      <w:shd w:val="clear" w:color="auto" w:fill="E6E6E6"/>
    </w:pPr>
  </w:style>
  <w:style w:type="paragraph" w:customStyle="1" w:styleId="Paragraph">
    <w:name w:val="Paragraph"/>
    <w:basedOn w:val="BaseText"/>
    <w:rsid w:val="009A3899"/>
    <w:pPr>
      <w:ind w:firstLine="720"/>
    </w:pPr>
  </w:style>
  <w:style w:type="paragraph" w:customStyle="1" w:styleId="BoxText">
    <w:name w:val="BoxText"/>
    <w:basedOn w:val="Paragraph"/>
    <w:rsid w:val="009A3899"/>
    <w:pPr>
      <w:shd w:val="clear" w:color="auto" w:fill="E6E6E6"/>
    </w:pPr>
  </w:style>
  <w:style w:type="paragraph" w:customStyle="1" w:styleId="BoxTitle">
    <w:name w:val="BoxTitle"/>
    <w:basedOn w:val="BaseHeading"/>
    <w:rsid w:val="009A3899"/>
    <w:pPr>
      <w:shd w:val="clear" w:color="auto" w:fill="E6E6E6"/>
    </w:pPr>
    <w:rPr>
      <w:b/>
      <w:sz w:val="24"/>
      <w:szCs w:val="24"/>
    </w:rPr>
  </w:style>
  <w:style w:type="paragraph" w:customStyle="1" w:styleId="BulletedText">
    <w:name w:val="Bulleted Text"/>
    <w:basedOn w:val="BaseText"/>
    <w:rsid w:val="009A3899"/>
    <w:pPr>
      <w:ind w:left="720" w:hanging="720"/>
    </w:pPr>
  </w:style>
  <w:style w:type="paragraph" w:customStyle="1" w:styleId="career-magazine">
    <w:name w:val="career-magazine"/>
    <w:basedOn w:val="BaseText"/>
    <w:rsid w:val="009A3899"/>
    <w:pPr>
      <w:jc w:val="right"/>
    </w:pPr>
    <w:rPr>
      <w:color w:val="FF0000"/>
    </w:rPr>
  </w:style>
  <w:style w:type="paragraph" w:customStyle="1" w:styleId="career-stage">
    <w:name w:val="career-stage"/>
    <w:basedOn w:val="BaseText"/>
    <w:rsid w:val="009A3899"/>
    <w:pPr>
      <w:jc w:val="right"/>
    </w:pPr>
    <w:rPr>
      <w:color w:val="339966"/>
    </w:rPr>
  </w:style>
  <w:style w:type="character" w:customStyle="1" w:styleId="citebase">
    <w:name w:val="cite_base"/>
    <w:rsid w:val="009A3899"/>
    <w:rPr>
      <w:sz w:val="24"/>
    </w:rPr>
  </w:style>
  <w:style w:type="character" w:customStyle="1" w:styleId="citebib">
    <w:name w:val="cite_bib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citebox">
    <w:name w:val="cite_box"/>
    <w:basedOn w:val="citebase"/>
    <w:rsid w:val="009A3899"/>
    <w:rPr>
      <w:sz w:val="24"/>
    </w:rPr>
  </w:style>
  <w:style w:type="character" w:customStyle="1" w:styleId="citeen">
    <w:name w:val="cite_en"/>
    <w:rsid w:val="009A3899"/>
    <w:rPr>
      <w:sz w:val="24"/>
      <w:shd w:val="clear" w:color="auto" w:fill="FFFF00"/>
      <w:vertAlign w:val="superscript"/>
    </w:rPr>
  </w:style>
  <w:style w:type="character" w:customStyle="1" w:styleId="citeeq">
    <w:name w:val="cite_eq"/>
    <w:rsid w:val="009A3899"/>
    <w:rPr>
      <w:sz w:val="24"/>
      <w:bdr w:val="none" w:sz="0" w:space="0" w:color="auto"/>
      <w:shd w:val="clear" w:color="auto" w:fill="FF99CC"/>
    </w:rPr>
  </w:style>
  <w:style w:type="character" w:customStyle="1" w:styleId="citefig">
    <w:name w:val="cite_fig"/>
    <w:rsid w:val="009A3899"/>
    <w:rPr>
      <w:color w:val="000000"/>
      <w:sz w:val="24"/>
      <w:bdr w:val="none" w:sz="0" w:space="0" w:color="auto"/>
      <w:shd w:val="clear" w:color="auto" w:fill="00FF00"/>
    </w:rPr>
  </w:style>
  <w:style w:type="character" w:customStyle="1" w:styleId="citefn">
    <w:name w:val="cite_fn"/>
    <w:rsid w:val="009A3899"/>
    <w:rPr>
      <w:sz w:val="24"/>
      <w:bdr w:val="none" w:sz="0" w:space="0" w:color="auto"/>
      <w:shd w:val="clear" w:color="auto" w:fill="FF0000"/>
    </w:rPr>
  </w:style>
  <w:style w:type="character" w:customStyle="1" w:styleId="citetbl">
    <w:name w:val="cite_tbl"/>
    <w:rsid w:val="009A3899"/>
    <w:rPr>
      <w:color w:val="000000"/>
      <w:sz w:val="24"/>
      <w:bdr w:val="none" w:sz="0" w:space="0" w:color="auto"/>
      <w:shd w:val="clear" w:color="auto" w:fill="FF00FF"/>
    </w:rPr>
  </w:style>
  <w:style w:type="character" w:styleId="CommentReference">
    <w:name w:val="annotation reference"/>
    <w:uiPriority w:val="99"/>
    <w:rsid w:val="009A389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9A3899"/>
    <w:rPr>
      <w:rFonts w:eastAsia="Times New Roman"/>
    </w:rPr>
  </w:style>
  <w:style w:type="character" w:customStyle="1" w:styleId="CommentTextChar">
    <w:name w:val="Comment Text Char"/>
    <w:link w:val="CommentText"/>
    <w:uiPriority w:val="99"/>
    <w:semiHidden/>
    <w:rsid w:val="009A3899"/>
    <w:rPr>
      <w:rFonts w:ascii="Times New Roman" w:eastAsia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389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A3899"/>
    <w:rPr>
      <w:rFonts w:ascii="Times New Roman" w:eastAsia="Times New Roman" w:hAnsi="Times New Roman"/>
      <w:b/>
      <w:bCs/>
      <w:sz w:val="20"/>
      <w:szCs w:val="20"/>
    </w:rPr>
  </w:style>
  <w:style w:type="paragraph" w:customStyle="1" w:styleId="ContinuedParagraph">
    <w:name w:val="ContinuedParagraph"/>
    <w:basedOn w:val="Paragraph"/>
    <w:rsid w:val="009A3899"/>
    <w:pPr>
      <w:ind w:firstLine="0"/>
    </w:pPr>
  </w:style>
  <w:style w:type="character" w:customStyle="1" w:styleId="ContractNumber">
    <w:name w:val="Contract Number"/>
    <w:rsid w:val="009A3899"/>
    <w:rPr>
      <w:sz w:val="24"/>
      <w:szCs w:val="24"/>
      <w:bdr w:val="none" w:sz="0" w:space="0" w:color="auto"/>
      <w:shd w:val="clear" w:color="auto" w:fill="CCFFCC"/>
    </w:rPr>
  </w:style>
  <w:style w:type="character" w:customStyle="1" w:styleId="ContractSponsor">
    <w:name w:val="Contract Sponsor"/>
    <w:rsid w:val="009A3899"/>
    <w:rPr>
      <w:sz w:val="24"/>
      <w:szCs w:val="24"/>
      <w:bdr w:val="none" w:sz="0" w:space="0" w:color="auto"/>
      <w:shd w:val="clear" w:color="auto" w:fill="FFCC99"/>
    </w:rPr>
  </w:style>
  <w:style w:type="paragraph" w:customStyle="1" w:styleId="Correspondence">
    <w:name w:val="Correspondence"/>
    <w:basedOn w:val="BaseText"/>
    <w:rsid w:val="009A3899"/>
    <w:pPr>
      <w:spacing w:before="0" w:after="240"/>
    </w:pPr>
  </w:style>
  <w:style w:type="paragraph" w:customStyle="1" w:styleId="DateAccepted">
    <w:name w:val="Date Accepted"/>
    <w:basedOn w:val="BaseText"/>
    <w:rsid w:val="009A3899"/>
    <w:pPr>
      <w:spacing w:before="360"/>
    </w:pPr>
  </w:style>
  <w:style w:type="paragraph" w:customStyle="1" w:styleId="Deck">
    <w:name w:val="Deck"/>
    <w:basedOn w:val="BaseHeading"/>
    <w:rsid w:val="009A3899"/>
    <w:pPr>
      <w:outlineLvl w:val="1"/>
    </w:pPr>
  </w:style>
  <w:style w:type="paragraph" w:customStyle="1" w:styleId="DefTerm">
    <w:name w:val="DefTerm"/>
    <w:basedOn w:val="BaseText"/>
    <w:rsid w:val="009A3899"/>
    <w:pPr>
      <w:ind w:left="720"/>
    </w:pPr>
  </w:style>
  <w:style w:type="paragraph" w:customStyle="1" w:styleId="Definition">
    <w:name w:val="Definition"/>
    <w:basedOn w:val="DefTerm"/>
    <w:rsid w:val="009A3899"/>
    <w:pPr>
      <w:ind w:left="1080" w:hanging="360"/>
    </w:pPr>
  </w:style>
  <w:style w:type="paragraph" w:customStyle="1" w:styleId="DefListTitle">
    <w:name w:val="DefListTitle"/>
    <w:basedOn w:val="BaseHeading"/>
    <w:rsid w:val="009A3899"/>
  </w:style>
  <w:style w:type="paragraph" w:customStyle="1" w:styleId="discipline">
    <w:name w:val="discipline"/>
    <w:basedOn w:val="BaseText"/>
    <w:rsid w:val="009A3899"/>
    <w:pPr>
      <w:jc w:val="right"/>
    </w:pPr>
    <w:rPr>
      <w:color w:val="993366"/>
    </w:rPr>
  </w:style>
  <w:style w:type="paragraph" w:customStyle="1" w:styleId="Editors">
    <w:name w:val="Editors"/>
    <w:basedOn w:val="Authors"/>
    <w:rsid w:val="009A3899"/>
  </w:style>
  <w:style w:type="character" w:styleId="Emphasis">
    <w:name w:val="Emphasis"/>
    <w:uiPriority w:val="20"/>
    <w:qFormat/>
    <w:rsid w:val="009A3899"/>
    <w:rPr>
      <w:i/>
      <w:iCs/>
    </w:rPr>
  </w:style>
  <w:style w:type="character" w:styleId="EndnoteReference">
    <w:name w:val="endnote reference"/>
    <w:semiHidden/>
    <w:rsid w:val="009A3899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9A3899"/>
    <w:rPr>
      <w:rFonts w:ascii="Cambria" w:eastAsia="Cambria" w:hAnsi="Cambria"/>
    </w:rPr>
  </w:style>
  <w:style w:type="character" w:customStyle="1" w:styleId="EndnoteTextChar">
    <w:name w:val="Endnote Text Char"/>
    <w:link w:val="EndnoteText"/>
    <w:semiHidden/>
    <w:rsid w:val="009A3899"/>
    <w:rPr>
      <w:rFonts w:ascii="Cambria" w:eastAsia="Cambria" w:hAnsi="Cambria"/>
      <w:sz w:val="20"/>
      <w:szCs w:val="20"/>
    </w:rPr>
  </w:style>
  <w:style w:type="character" w:customStyle="1" w:styleId="eqno">
    <w:name w:val="eq_no"/>
    <w:basedOn w:val="citebase"/>
    <w:rsid w:val="009A3899"/>
    <w:rPr>
      <w:sz w:val="24"/>
    </w:rPr>
  </w:style>
  <w:style w:type="paragraph" w:customStyle="1" w:styleId="Equation">
    <w:name w:val="Equation"/>
    <w:basedOn w:val="BaseText"/>
    <w:rsid w:val="009A3899"/>
    <w:pPr>
      <w:jc w:val="center"/>
    </w:pPr>
  </w:style>
  <w:style w:type="paragraph" w:customStyle="1" w:styleId="FieldCodes">
    <w:name w:val="FieldCodes"/>
    <w:basedOn w:val="BaseText"/>
    <w:rsid w:val="009A3899"/>
  </w:style>
  <w:style w:type="paragraph" w:customStyle="1" w:styleId="Legend">
    <w:name w:val="Legend"/>
    <w:basedOn w:val="BaseHeading"/>
    <w:rsid w:val="009A3899"/>
    <w:rPr>
      <w:sz w:val="24"/>
      <w:szCs w:val="24"/>
    </w:rPr>
  </w:style>
  <w:style w:type="paragraph" w:customStyle="1" w:styleId="FigureCopyright">
    <w:name w:val="FigureCopyright"/>
    <w:basedOn w:val="Legend"/>
    <w:rsid w:val="009A3899"/>
    <w:pPr>
      <w:autoSpaceDE w:val="0"/>
      <w:autoSpaceDN w:val="0"/>
      <w:adjustRightInd w:val="0"/>
      <w:spacing w:before="80"/>
    </w:pPr>
    <w:rPr>
      <w:lang w:bidi="he-IL"/>
    </w:rPr>
  </w:style>
  <w:style w:type="paragraph" w:customStyle="1" w:styleId="FigureCredit">
    <w:name w:val="FigureCredit"/>
    <w:basedOn w:val="FigureCopyright"/>
    <w:rsid w:val="009A3899"/>
  </w:style>
  <w:style w:type="character" w:styleId="FollowedHyperlink">
    <w:name w:val="FollowedHyperlink"/>
    <w:uiPriority w:val="99"/>
    <w:rsid w:val="009A3899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9A3899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FooterChar">
    <w:name w:val="Footer Char"/>
    <w:link w:val="Footer"/>
    <w:uiPriority w:val="99"/>
    <w:rsid w:val="009A3899"/>
    <w:rPr>
      <w:rFonts w:ascii="Times New Roman" w:eastAsia="Times New Roman" w:hAnsi="Times New Roman"/>
      <w:sz w:val="20"/>
      <w:szCs w:val="20"/>
    </w:rPr>
  </w:style>
  <w:style w:type="character" w:styleId="FootnoteReference">
    <w:name w:val="footnote reference"/>
    <w:semiHidden/>
    <w:rsid w:val="009A3899"/>
    <w:rPr>
      <w:vertAlign w:val="superscript"/>
    </w:rPr>
  </w:style>
  <w:style w:type="paragraph" w:customStyle="1" w:styleId="Gloss">
    <w:name w:val="Gloss"/>
    <w:basedOn w:val="AbstractSummary"/>
    <w:rsid w:val="009A3899"/>
  </w:style>
  <w:style w:type="paragraph" w:customStyle="1" w:styleId="Glossary">
    <w:name w:val="Glossary"/>
    <w:basedOn w:val="BaseText"/>
    <w:rsid w:val="009A3899"/>
  </w:style>
  <w:style w:type="paragraph" w:customStyle="1" w:styleId="GlossHead">
    <w:name w:val="GlossHead"/>
    <w:basedOn w:val="AbstractHead"/>
    <w:rsid w:val="009A3899"/>
  </w:style>
  <w:style w:type="paragraph" w:customStyle="1" w:styleId="GraphicAltText">
    <w:name w:val="GraphicAltText"/>
    <w:basedOn w:val="Legend"/>
    <w:rsid w:val="009A3899"/>
    <w:pPr>
      <w:autoSpaceDE w:val="0"/>
      <w:autoSpaceDN w:val="0"/>
      <w:adjustRightInd w:val="0"/>
    </w:pPr>
  </w:style>
  <w:style w:type="paragraph" w:customStyle="1" w:styleId="GraphicCredit">
    <w:name w:val="GraphicCredit"/>
    <w:basedOn w:val="FigureCredit"/>
    <w:rsid w:val="009A3899"/>
  </w:style>
  <w:style w:type="paragraph" w:customStyle="1" w:styleId="Head">
    <w:name w:val="Head"/>
    <w:basedOn w:val="BaseHeading"/>
    <w:rsid w:val="009A3899"/>
    <w:pPr>
      <w:spacing w:before="120" w:after="120"/>
      <w:jc w:val="center"/>
    </w:pPr>
    <w:rPr>
      <w:b/>
      <w:bCs/>
    </w:rPr>
  </w:style>
  <w:style w:type="paragraph" w:styleId="Header">
    <w:name w:val="header"/>
    <w:basedOn w:val="Normal"/>
    <w:link w:val="HeaderChar"/>
    <w:uiPriority w:val="99"/>
    <w:rsid w:val="009A3899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HeaderChar">
    <w:name w:val="Header Char"/>
    <w:link w:val="Header"/>
    <w:uiPriority w:val="99"/>
    <w:rsid w:val="009A3899"/>
    <w:rPr>
      <w:rFonts w:ascii="Times New Roman" w:eastAsia="Times New Roman" w:hAnsi="Times New Roman"/>
      <w:sz w:val="20"/>
      <w:szCs w:val="20"/>
    </w:rPr>
  </w:style>
  <w:style w:type="character" w:styleId="HTMLAcronym">
    <w:name w:val="HTML Acronym"/>
    <w:basedOn w:val="DefaultParagraphFont"/>
    <w:rsid w:val="009A3899"/>
  </w:style>
  <w:style w:type="character" w:styleId="HTMLCite">
    <w:name w:val="HTML Cite"/>
    <w:rsid w:val="009A3899"/>
    <w:rPr>
      <w:i/>
      <w:iCs/>
    </w:rPr>
  </w:style>
  <w:style w:type="character" w:styleId="HTMLCode">
    <w:name w:val="HTML Code"/>
    <w:rsid w:val="009A3899"/>
    <w:rPr>
      <w:rFonts w:ascii="Courier New" w:hAnsi="Courier New" w:cs="Courier New"/>
      <w:sz w:val="20"/>
      <w:szCs w:val="20"/>
    </w:rPr>
  </w:style>
  <w:style w:type="character" w:styleId="HTMLDefinition">
    <w:name w:val="HTML Definition"/>
    <w:rsid w:val="009A3899"/>
    <w:rPr>
      <w:i/>
      <w:iCs/>
    </w:rPr>
  </w:style>
  <w:style w:type="character" w:styleId="HTMLKeyboard">
    <w:name w:val="HTML Keyboard"/>
    <w:rsid w:val="009A3899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9A3899"/>
    <w:rPr>
      <w:rFonts w:ascii="Consolas" w:eastAsia="Times New Roman" w:hAnsi="Consolas"/>
    </w:rPr>
  </w:style>
  <w:style w:type="character" w:customStyle="1" w:styleId="HTMLPreformattedChar">
    <w:name w:val="HTML Preformatted Char"/>
    <w:link w:val="HTMLPreformatted"/>
    <w:rsid w:val="009A3899"/>
    <w:rPr>
      <w:rFonts w:ascii="Consolas" w:eastAsia="Times New Roman" w:hAnsi="Consolas"/>
      <w:sz w:val="20"/>
      <w:szCs w:val="20"/>
    </w:rPr>
  </w:style>
  <w:style w:type="character" w:styleId="HTMLSample">
    <w:name w:val="HTML Sample"/>
    <w:rsid w:val="009A3899"/>
    <w:rPr>
      <w:rFonts w:ascii="Courier New" w:hAnsi="Courier New" w:cs="Courier New"/>
    </w:rPr>
  </w:style>
  <w:style w:type="character" w:styleId="HTMLTypewriter">
    <w:name w:val="HTML Typewriter"/>
    <w:rsid w:val="009A3899"/>
    <w:rPr>
      <w:rFonts w:ascii="Courier New" w:hAnsi="Courier New" w:cs="Courier New"/>
      <w:sz w:val="20"/>
      <w:szCs w:val="20"/>
    </w:rPr>
  </w:style>
  <w:style w:type="character" w:styleId="HTMLVariable">
    <w:name w:val="HTML Variable"/>
    <w:rsid w:val="009A3899"/>
    <w:rPr>
      <w:i/>
      <w:iCs/>
    </w:rPr>
  </w:style>
  <w:style w:type="character" w:styleId="Hyperlink">
    <w:name w:val="Hyperlink"/>
    <w:uiPriority w:val="99"/>
    <w:rsid w:val="009A3899"/>
    <w:rPr>
      <w:color w:val="0000FF"/>
      <w:u w:val="single"/>
    </w:rPr>
  </w:style>
  <w:style w:type="paragraph" w:customStyle="1" w:styleId="InstructionsText">
    <w:name w:val="Instructions Text"/>
    <w:basedOn w:val="BaseText"/>
    <w:rsid w:val="009A3899"/>
  </w:style>
  <w:style w:type="paragraph" w:customStyle="1" w:styleId="Overline">
    <w:name w:val="Overline"/>
    <w:basedOn w:val="BaseText"/>
    <w:rsid w:val="009A3899"/>
  </w:style>
  <w:style w:type="paragraph" w:customStyle="1" w:styleId="IssueName">
    <w:name w:val="IssueName"/>
    <w:basedOn w:val="Overline"/>
    <w:rsid w:val="009A3899"/>
  </w:style>
  <w:style w:type="paragraph" w:customStyle="1" w:styleId="Keywords">
    <w:name w:val="Keywords"/>
    <w:basedOn w:val="BaseText"/>
    <w:rsid w:val="009A3899"/>
  </w:style>
  <w:style w:type="paragraph" w:customStyle="1" w:styleId="Level3Head">
    <w:name w:val="Level 3 Head"/>
    <w:basedOn w:val="BaseHeading"/>
    <w:rsid w:val="009A3899"/>
    <w:pPr>
      <w:outlineLvl w:val="2"/>
    </w:pPr>
    <w:rPr>
      <w:sz w:val="24"/>
      <w:szCs w:val="24"/>
      <w:u w:val="single"/>
    </w:rPr>
  </w:style>
  <w:style w:type="paragraph" w:customStyle="1" w:styleId="Level4Head">
    <w:name w:val="Level 4 Head"/>
    <w:basedOn w:val="BaseHeading"/>
    <w:rsid w:val="009A3899"/>
    <w:pPr>
      <w:ind w:left="346"/>
    </w:pPr>
    <w:rPr>
      <w:sz w:val="24"/>
      <w:szCs w:val="24"/>
    </w:rPr>
  </w:style>
  <w:style w:type="character" w:styleId="LineNumber">
    <w:name w:val="line number"/>
    <w:basedOn w:val="DefaultParagraphFont"/>
    <w:uiPriority w:val="99"/>
    <w:rsid w:val="009A3899"/>
  </w:style>
  <w:style w:type="paragraph" w:customStyle="1" w:styleId="Literaryquote">
    <w:name w:val="Literary quote"/>
    <w:basedOn w:val="BaseText"/>
    <w:rsid w:val="009A3899"/>
    <w:pPr>
      <w:ind w:left="1440" w:right="1440"/>
    </w:pPr>
  </w:style>
  <w:style w:type="paragraph" w:customStyle="1" w:styleId="MaterialsText">
    <w:name w:val="Materials Text"/>
    <w:basedOn w:val="BaseText"/>
    <w:rsid w:val="009A3899"/>
  </w:style>
  <w:style w:type="paragraph" w:customStyle="1" w:styleId="NoteInProof">
    <w:name w:val="NoteInProof"/>
    <w:basedOn w:val="BaseText"/>
    <w:rsid w:val="009A3899"/>
  </w:style>
  <w:style w:type="paragraph" w:customStyle="1" w:styleId="Notes">
    <w:name w:val="Notes"/>
    <w:basedOn w:val="BaseText"/>
    <w:rsid w:val="009A3899"/>
    <w:rPr>
      <w:i/>
    </w:rPr>
  </w:style>
  <w:style w:type="paragraph" w:customStyle="1" w:styleId="Notes-Helvetica">
    <w:name w:val="Notes-Helvetica"/>
    <w:basedOn w:val="BaseText"/>
    <w:rsid w:val="009A3899"/>
    <w:rPr>
      <w:i/>
    </w:rPr>
  </w:style>
  <w:style w:type="paragraph" w:customStyle="1" w:styleId="NumberedInstructions">
    <w:name w:val="Numbered Instructions"/>
    <w:basedOn w:val="BaseText"/>
    <w:rsid w:val="009A3899"/>
  </w:style>
  <w:style w:type="paragraph" w:customStyle="1" w:styleId="OutlineLevel1">
    <w:name w:val="OutlineLevel1"/>
    <w:basedOn w:val="BaseHeading"/>
    <w:rsid w:val="009A3899"/>
    <w:rPr>
      <w:b/>
      <w:bCs/>
    </w:rPr>
  </w:style>
  <w:style w:type="paragraph" w:customStyle="1" w:styleId="OutlineLevel2">
    <w:name w:val="OutlineLevel2"/>
    <w:basedOn w:val="BaseHeading"/>
    <w:rsid w:val="009A3899"/>
    <w:pPr>
      <w:ind w:left="360"/>
      <w:outlineLvl w:val="1"/>
    </w:pPr>
    <w:rPr>
      <w:b/>
      <w:bCs/>
      <w:sz w:val="24"/>
      <w:szCs w:val="24"/>
    </w:rPr>
  </w:style>
  <w:style w:type="paragraph" w:customStyle="1" w:styleId="OutlineLevel3">
    <w:name w:val="OutlineLevel3"/>
    <w:basedOn w:val="BaseHeading"/>
    <w:rsid w:val="009A3899"/>
    <w:pPr>
      <w:ind w:left="720"/>
      <w:outlineLvl w:val="2"/>
    </w:pPr>
    <w:rPr>
      <w:b/>
      <w:bCs/>
      <w:sz w:val="24"/>
      <w:szCs w:val="24"/>
    </w:rPr>
  </w:style>
  <w:style w:type="character" w:styleId="PageNumber">
    <w:name w:val="page number"/>
    <w:basedOn w:val="DefaultParagraphFont"/>
    <w:rsid w:val="009A3899"/>
  </w:style>
  <w:style w:type="paragraph" w:customStyle="1" w:styleId="Preformat">
    <w:name w:val="Preformat"/>
    <w:basedOn w:val="BaseText"/>
    <w:rsid w:val="009A3899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ourier New" w:hAnsi="Courier New" w:cs="Courier New"/>
    </w:rPr>
  </w:style>
  <w:style w:type="paragraph" w:customStyle="1" w:styleId="ProductAuthors">
    <w:name w:val="ProductAuthors"/>
    <w:basedOn w:val="BaseText"/>
    <w:rsid w:val="009A3899"/>
  </w:style>
  <w:style w:type="paragraph" w:customStyle="1" w:styleId="ProductInformation">
    <w:name w:val="ProductInformation"/>
    <w:basedOn w:val="BaseText"/>
    <w:rsid w:val="009A3899"/>
  </w:style>
  <w:style w:type="paragraph" w:customStyle="1" w:styleId="ProductTitle">
    <w:name w:val="ProductTitle"/>
    <w:basedOn w:val="BaseText"/>
    <w:rsid w:val="009A3899"/>
    <w:rPr>
      <w:b/>
      <w:bCs/>
    </w:rPr>
  </w:style>
  <w:style w:type="paragraph" w:customStyle="1" w:styleId="PublishedOnline">
    <w:name w:val="Published Online"/>
    <w:basedOn w:val="DateAccepted"/>
    <w:rsid w:val="009A3899"/>
  </w:style>
  <w:style w:type="paragraph" w:customStyle="1" w:styleId="RecipeMaterials">
    <w:name w:val="Recipe Materials"/>
    <w:basedOn w:val="BaseText"/>
    <w:rsid w:val="009A3899"/>
  </w:style>
  <w:style w:type="paragraph" w:customStyle="1" w:styleId="Refhead">
    <w:name w:val="Ref head"/>
    <w:basedOn w:val="BaseHeading"/>
    <w:rsid w:val="009A3899"/>
    <w:pPr>
      <w:spacing w:before="120" w:after="120"/>
    </w:pPr>
    <w:rPr>
      <w:b/>
      <w:bCs/>
      <w:sz w:val="24"/>
      <w:szCs w:val="24"/>
    </w:rPr>
  </w:style>
  <w:style w:type="paragraph" w:customStyle="1" w:styleId="ReferenceNote">
    <w:name w:val="Reference Note"/>
    <w:basedOn w:val="Referencesandnotes"/>
    <w:rsid w:val="009A3899"/>
  </w:style>
  <w:style w:type="paragraph" w:customStyle="1" w:styleId="ReferencesandnotesLong">
    <w:name w:val="References and notes Long"/>
    <w:basedOn w:val="BaseText"/>
    <w:rsid w:val="009A3899"/>
    <w:pPr>
      <w:ind w:left="720" w:hanging="720"/>
    </w:pPr>
  </w:style>
  <w:style w:type="paragraph" w:customStyle="1" w:styleId="region">
    <w:name w:val="region"/>
    <w:basedOn w:val="BaseText"/>
    <w:rsid w:val="009A3899"/>
    <w:pPr>
      <w:jc w:val="right"/>
    </w:pPr>
    <w:rPr>
      <w:color w:val="0000FF"/>
    </w:rPr>
  </w:style>
  <w:style w:type="paragraph" w:customStyle="1" w:styleId="RelatedArticle">
    <w:name w:val="RelatedArticle"/>
    <w:basedOn w:val="Referencesandnotes"/>
    <w:rsid w:val="009A3899"/>
  </w:style>
  <w:style w:type="paragraph" w:customStyle="1" w:styleId="RunHead">
    <w:name w:val="RunHead"/>
    <w:basedOn w:val="BaseText"/>
    <w:rsid w:val="009A3899"/>
  </w:style>
  <w:style w:type="paragraph" w:customStyle="1" w:styleId="SOMContent">
    <w:name w:val="SOMContent"/>
    <w:basedOn w:val="1stparatext"/>
    <w:rsid w:val="009A3899"/>
  </w:style>
  <w:style w:type="paragraph" w:customStyle="1" w:styleId="SOMHead">
    <w:name w:val="SOMHead"/>
    <w:basedOn w:val="BaseHeading"/>
    <w:rsid w:val="009A3899"/>
    <w:rPr>
      <w:b/>
      <w:sz w:val="24"/>
      <w:szCs w:val="24"/>
    </w:rPr>
  </w:style>
  <w:style w:type="paragraph" w:customStyle="1" w:styleId="Speaker">
    <w:name w:val="Speaker"/>
    <w:basedOn w:val="Paragraph"/>
    <w:rsid w:val="009A3899"/>
    <w:pPr>
      <w:autoSpaceDE w:val="0"/>
      <w:autoSpaceDN w:val="0"/>
      <w:adjustRightInd w:val="0"/>
    </w:pPr>
    <w:rPr>
      <w:b/>
      <w:lang w:bidi="he-IL"/>
    </w:rPr>
  </w:style>
  <w:style w:type="paragraph" w:customStyle="1" w:styleId="Speech">
    <w:name w:val="Speech"/>
    <w:basedOn w:val="Paragraph"/>
    <w:rsid w:val="009A3899"/>
    <w:pPr>
      <w:autoSpaceDE w:val="0"/>
      <w:autoSpaceDN w:val="0"/>
      <w:adjustRightInd w:val="0"/>
    </w:pPr>
    <w:rPr>
      <w:lang w:bidi="he-IL"/>
    </w:rPr>
  </w:style>
  <w:style w:type="character" w:styleId="Strong">
    <w:name w:val="Strong"/>
    <w:uiPriority w:val="22"/>
    <w:qFormat/>
    <w:rsid w:val="009A3899"/>
    <w:rPr>
      <w:b/>
      <w:bCs/>
    </w:rPr>
  </w:style>
  <w:style w:type="paragraph" w:customStyle="1" w:styleId="SX-Abstract">
    <w:name w:val="SX-Abstract"/>
    <w:basedOn w:val="Normal"/>
    <w:qFormat/>
    <w:rsid w:val="009A3899"/>
    <w:pPr>
      <w:widowControl w:val="0"/>
      <w:spacing w:before="120" w:after="240" w:line="210" w:lineRule="exact"/>
      <w:ind w:left="700" w:right="700"/>
      <w:jc w:val="both"/>
    </w:pPr>
    <w:rPr>
      <w:rFonts w:ascii="BlissRegular" w:eastAsia="Times New Roman" w:hAnsi="BlissRegular"/>
      <w:b/>
    </w:rPr>
  </w:style>
  <w:style w:type="paragraph" w:customStyle="1" w:styleId="SX-Affiliation">
    <w:name w:val="SX-Affiliation"/>
    <w:basedOn w:val="Normal"/>
    <w:next w:val="Normal"/>
    <w:qFormat/>
    <w:rsid w:val="009A3899"/>
    <w:pPr>
      <w:spacing w:after="160" w:line="190" w:lineRule="exact"/>
    </w:pPr>
    <w:rPr>
      <w:rFonts w:ascii="BlissRegular" w:eastAsia="Times New Roman" w:hAnsi="BlissRegular"/>
      <w:sz w:val="16"/>
    </w:rPr>
  </w:style>
  <w:style w:type="paragraph" w:customStyle="1" w:styleId="SX-Articlehead">
    <w:name w:val="SX-Article head"/>
    <w:basedOn w:val="Normal"/>
    <w:qFormat/>
    <w:rsid w:val="009A3899"/>
    <w:pPr>
      <w:spacing w:before="210" w:line="210" w:lineRule="exact"/>
      <w:ind w:firstLine="288"/>
      <w:jc w:val="both"/>
    </w:pPr>
    <w:rPr>
      <w:rFonts w:eastAsia="Times New Roman"/>
      <w:b/>
      <w:sz w:val="18"/>
    </w:rPr>
  </w:style>
  <w:style w:type="paragraph" w:customStyle="1" w:styleId="SX-Authornames">
    <w:name w:val="SX-Author names"/>
    <w:basedOn w:val="Normal"/>
    <w:rsid w:val="009A3899"/>
    <w:pPr>
      <w:spacing w:after="120" w:line="210" w:lineRule="exact"/>
    </w:pPr>
    <w:rPr>
      <w:rFonts w:ascii="BlissMedium" w:eastAsia="Times New Roman" w:hAnsi="BlissMedium"/>
    </w:rPr>
  </w:style>
  <w:style w:type="paragraph" w:customStyle="1" w:styleId="SX-Bodytext">
    <w:name w:val="SX-Body text"/>
    <w:basedOn w:val="Normal"/>
    <w:next w:val="Normal"/>
    <w:rsid w:val="009A3899"/>
    <w:pPr>
      <w:spacing w:line="210" w:lineRule="exact"/>
      <w:ind w:firstLine="288"/>
      <w:jc w:val="both"/>
    </w:pPr>
    <w:rPr>
      <w:rFonts w:eastAsia="Times New Roman"/>
      <w:sz w:val="18"/>
    </w:rPr>
  </w:style>
  <w:style w:type="paragraph" w:customStyle="1" w:styleId="SX-Bodytextflush">
    <w:name w:val="SX-Body text flush"/>
    <w:basedOn w:val="SX-Bodytext"/>
    <w:next w:val="SX-Bodytext"/>
    <w:rsid w:val="009A3899"/>
    <w:pPr>
      <w:ind w:firstLine="0"/>
    </w:pPr>
  </w:style>
  <w:style w:type="paragraph" w:customStyle="1" w:styleId="SX-Correspondence">
    <w:name w:val="SX-Correspondence"/>
    <w:basedOn w:val="SX-Affiliation"/>
    <w:qFormat/>
    <w:rsid w:val="009A3899"/>
    <w:pPr>
      <w:spacing w:after="80"/>
    </w:pPr>
  </w:style>
  <w:style w:type="paragraph" w:customStyle="1" w:styleId="SX-Date">
    <w:name w:val="SX-Date"/>
    <w:basedOn w:val="Normal"/>
    <w:qFormat/>
    <w:rsid w:val="009A3899"/>
    <w:pPr>
      <w:spacing w:before="180"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Equation">
    <w:name w:val="SX-Equation"/>
    <w:basedOn w:val="SX-Bodytextflush"/>
    <w:next w:val="SX-Bodytext"/>
    <w:rsid w:val="009A3899"/>
    <w:pPr>
      <w:autoSpaceDE w:val="0"/>
      <w:autoSpaceDN w:val="0"/>
      <w:adjustRightInd w:val="0"/>
      <w:spacing w:line="240" w:lineRule="auto"/>
      <w:jc w:val="center"/>
    </w:pPr>
  </w:style>
  <w:style w:type="paragraph" w:customStyle="1" w:styleId="SX-Legend">
    <w:name w:val="SX-Legend"/>
    <w:basedOn w:val="SX-Authornames"/>
    <w:rsid w:val="009A3899"/>
    <w:pPr>
      <w:jc w:val="both"/>
    </w:pPr>
    <w:rPr>
      <w:sz w:val="18"/>
    </w:rPr>
  </w:style>
  <w:style w:type="paragraph" w:customStyle="1" w:styleId="SX-References">
    <w:name w:val="SX-References"/>
    <w:basedOn w:val="Normal"/>
    <w:rsid w:val="009A3899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RefHead">
    <w:name w:val="SX-RefHead"/>
    <w:basedOn w:val="Normal"/>
    <w:rsid w:val="009A3899"/>
    <w:pPr>
      <w:spacing w:before="200" w:line="190" w:lineRule="exact"/>
    </w:pPr>
    <w:rPr>
      <w:rFonts w:eastAsia="Times New Roman"/>
      <w:b/>
      <w:sz w:val="16"/>
    </w:rPr>
  </w:style>
  <w:style w:type="character" w:customStyle="1" w:styleId="SX-reflink">
    <w:name w:val="SX-reflink"/>
    <w:uiPriority w:val="1"/>
    <w:qFormat/>
    <w:rsid w:val="009A3899"/>
    <w:rPr>
      <w:color w:val="0000FF"/>
      <w:sz w:val="16"/>
      <w:u w:val="words"/>
      <w:bdr w:val="none" w:sz="0" w:space="0" w:color="auto"/>
      <w:shd w:val="clear" w:color="auto" w:fill="FFFFFF"/>
    </w:rPr>
  </w:style>
  <w:style w:type="paragraph" w:customStyle="1" w:styleId="SX-SOMHead">
    <w:name w:val="SX-SOMHead"/>
    <w:basedOn w:val="SX-RefHead"/>
    <w:rsid w:val="009A3899"/>
  </w:style>
  <w:style w:type="paragraph" w:customStyle="1" w:styleId="SX-Tablehead">
    <w:name w:val="SX-Tablehead"/>
    <w:basedOn w:val="Normal"/>
    <w:qFormat/>
    <w:rsid w:val="009A3899"/>
    <w:rPr>
      <w:rFonts w:eastAsia="Times New Roman"/>
      <w:szCs w:val="24"/>
    </w:rPr>
  </w:style>
  <w:style w:type="paragraph" w:customStyle="1" w:styleId="SX-Tablelegend">
    <w:name w:val="SX-Tablelegend"/>
    <w:basedOn w:val="Normal"/>
    <w:qFormat/>
    <w:rsid w:val="009A3899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Tabletext">
    <w:name w:val="SX-Tabletext"/>
    <w:basedOn w:val="Normal"/>
    <w:qFormat/>
    <w:rsid w:val="009A3899"/>
    <w:pPr>
      <w:spacing w:line="210" w:lineRule="exact"/>
      <w:jc w:val="center"/>
    </w:pPr>
    <w:rPr>
      <w:rFonts w:eastAsia="Times New Roman"/>
      <w:sz w:val="18"/>
    </w:rPr>
  </w:style>
  <w:style w:type="paragraph" w:customStyle="1" w:styleId="SX-Tabletitle">
    <w:name w:val="SX-Tabletitle"/>
    <w:basedOn w:val="Normal"/>
    <w:qFormat/>
    <w:rsid w:val="009A3899"/>
    <w:pPr>
      <w:spacing w:after="120" w:line="210" w:lineRule="exact"/>
      <w:jc w:val="both"/>
    </w:pPr>
    <w:rPr>
      <w:rFonts w:ascii="BlissMedium" w:eastAsia="Times New Roman" w:hAnsi="BlissMedium"/>
      <w:sz w:val="18"/>
    </w:rPr>
  </w:style>
  <w:style w:type="paragraph" w:customStyle="1" w:styleId="SX-Title">
    <w:name w:val="SX-Title"/>
    <w:basedOn w:val="Normal"/>
    <w:rsid w:val="009A3899"/>
    <w:pPr>
      <w:spacing w:after="240" w:line="500" w:lineRule="exact"/>
    </w:pPr>
    <w:rPr>
      <w:rFonts w:ascii="BlissBold" w:eastAsia="Times New Roman" w:hAnsi="BlissBold"/>
      <w:b/>
      <w:sz w:val="44"/>
    </w:rPr>
  </w:style>
  <w:style w:type="paragraph" w:customStyle="1" w:styleId="Tablecolumnhead">
    <w:name w:val="Table column head"/>
    <w:basedOn w:val="BaseText"/>
    <w:rsid w:val="009A3899"/>
    <w:pPr>
      <w:spacing w:before="0"/>
    </w:pPr>
  </w:style>
  <w:style w:type="paragraph" w:customStyle="1" w:styleId="Tabletext">
    <w:name w:val="Table text"/>
    <w:basedOn w:val="BaseText"/>
    <w:rsid w:val="009A3899"/>
    <w:pPr>
      <w:spacing w:before="0"/>
    </w:pPr>
  </w:style>
  <w:style w:type="paragraph" w:customStyle="1" w:styleId="TableLegend">
    <w:name w:val="TableLegend"/>
    <w:basedOn w:val="BaseText"/>
    <w:rsid w:val="009A3899"/>
    <w:pPr>
      <w:spacing w:before="0"/>
    </w:pPr>
  </w:style>
  <w:style w:type="paragraph" w:customStyle="1" w:styleId="TableTitle">
    <w:name w:val="TableTitle"/>
    <w:basedOn w:val="BaseHeading"/>
    <w:rsid w:val="009A3899"/>
  </w:style>
  <w:style w:type="paragraph" w:customStyle="1" w:styleId="Teaser">
    <w:name w:val="Teaser"/>
    <w:basedOn w:val="BaseText"/>
    <w:rsid w:val="009A3899"/>
  </w:style>
  <w:style w:type="paragraph" w:customStyle="1" w:styleId="TWIS">
    <w:name w:val="TWIS"/>
    <w:basedOn w:val="AbstractSummary"/>
    <w:rsid w:val="009A3899"/>
    <w:pPr>
      <w:autoSpaceDE w:val="0"/>
      <w:autoSpaceDN w:val="0"/>
      <w:adjustRightInd w:val="0"/>
    </w:pPr>
  </w:style>
  <w:style w:type="paragraph" w:customStyle="1" w:styleId="TWISorEC">
    <w:name w:val="TWIS or EC"/>
    <w:basedOn w:val="Normal"/>
    <w:rsid w:val="009A3899"/>
    <w:pPr>
      <w:spacing w:line="210" w:lineRule="exact"/>
    </w:pPr>
    <w:rPr>
      <w:rFonts w:ascii="BlissRegular" w:eastAsia="Times New Roman" w:hAnsi="BlissRegular"/>
      <w:sz w:val="19"/>
    </w:rPr>
  </w:style>
  <w:style w:type="paragraph" w:customStyle="1" w:styleId="work-sector">
    <w:name w:val="work-sector"/>
    <w:basedOn w:val="BaseText"/>
    <w:rsid w:val="009A3899"/>
    <w:pPr>
      <w:jc w:val="right"/>
    </w:pPr>
    <w:rPr>
      <w:color w:val="003300"/>
    </w:rPr>
  </w:style>
  <w:style w:type="paragraph" w:customStyle="1" w:styleId="DOI">
    <w:name w:val="DOI"/>
    <w:basedOn w:val="DateAccepted"/>
    <w:qFormat/>
    <w:rsid w:val="009A7F20"/>
  </w:style>
  <w:style w:type="character" w:customStyle="1" w:styleId="custom-cit-author">
    <w:name w:val="custom-cit-author"/>
    <w:basedOn w:val="DefaultParagraphFont"/>
    <w:rsid w:val="00943D39"/>
  </w:style>
  <w:style w:type="character" w:customStyle="1" w:styleId="custom-cit-title">
    <w:name w:val="custom-cit-title"/>
    <w:basedOn w:val="DefaultParagraphFont"/>
    <w:rsid w:val="00943D39"/>
  </w:style>
  <w:style w:type="character" w:customStyle="1" w:styleId="custom-cit-jour-title">
    <w:name w:val="custom-cit-jour-title"/>
    <w:basedOn w:val="DefaultParagraphFont"/>
    <w:rsid w:val="00943D39"/>
  </w:style>
  <w:style w:type="character" w:customStyle="1" w:styleId="custom-cit-volume">
    <w:name w:val="custom-cit-volume"/>
    <w:basedOn w:val="DefaultParagraphFont"/>
    <w:rsid w:val="00943D39"/>
  </w:style>
  <w:style w:type="character" w:customStyle="1" w:styleId="custom-cit-volume-sep">
    <w:name w:val="custom-cit-volume-sep"/>
    <w:basedOn w:val="DefaultParagraphFont"/>
    <w:rsid w:val="00943D39"/>
  </w:style>
  <w:style w:type="character" w:customStyle="1" w:styleId="custom-cit-fpage">
    <w:name w:val="custom-cit-fpage"/>
    <w:basedOn w:val="DefaultParagraphFont"/>
    <w:rsid w:val="00943D39"/>
  </w:style>
  <w:style w:type="character" w:customStyle="1" w:styleId="custom-cit-date">
    <w:name w:val="custom-cit-date"/>
    <w:basedOn w:val="DefaultParagraphFont"/>
    <w:rsid w:val="00943D39"/>
  </w:style>
  <w:style w:type="character" w:customStyle="1" w:styleId="Heading1Char">
    <w:name w:val="Heading 1 Char"/>
    <w:basedOn w:val="DefaultParagraphFont"/>
    <w:link w:val="Heading1"/>
    <w:uiPriority w:val="9"/>
    <w:rsid w:val="00C052C9"/>
    <w:rPr>
      <w:rFonts w:eastAsia="Times New Roman"/>
      <w:b/>
      <w:bCs/>
      <w:kern w:val="36"/>
      <w:sz w:val="48"/>
      <w:szCs w:val="48"/>
      <w:lang w:val="en-GB" w:eastAsia="en-GB"/>
    </w:rPr>
  </w:style>
  <w:style w:type="paragraph" w:customStyle="1" w:styleId="EndNoteBibliographyTitle">
    <w:name w:val="EndNote Bibliography Title"/>
    <w:basedOn w:val="Normal"/>
    <w:link w:val="EndNoteBibliographyTitleChar"/>
    <w:rsid w:val="00C052C9"/>
    <w:pPr>
      <w:spacing w:line="259" w:lineRule="auto"/>
      <w:jc w:val="center"/>
    </w:pPr>
    <w:rPr>
      <w:rFonts w:ascii="Calibri" w:eastAsiaTheme="minorHAnsi" w:hAnsi="Calibri" w:cs="Calibri"/>
      <w:noProof/>
      <w:sz w:val="22"/>
      <w:szCs w:val="22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C052C9"/>
    <w:rPr>
      <w:rFonts w:ascii="Calibri" w:eastAsiaTheme="minorHAnsi" w:hAnsi="Calibri" w:cs="Calibri"/>
      <w:noProof/>
      <w:sz w:val="22"/>
      <w:szCs w:val="22"/>
    </w:rPr>
  </w:style>
  <w:style w:type="paragraph" w:customStyle="1" w:styleId="EndNoteBibliography">
    <w:name w:val="EndNote Bibliography"/>
    <w:basedOn w:val="Normal"/>
    <w:link w:val="EndNoteBibliographyChar"/>
    <w:rsid w:val="00C052C9"/>
    <w:pPr>
      <w:spacing w:after="160"/>
    </w:pPr>
    <w:rPr>
      <w:rFonts w:ascii="Calibri" w:eastAsiaTheme="minorHAnsi" w:hAnsi="Calibri" w:cs="Calibri"/>
      <w:noProof/>
      <w:sz w:val="22"/>
      <w:szCs w:val="22"/>
    </w:rPr>
  </w:style>
  <w:style w:type="character" w:customStyle="1" w:styleId="EndNoteBibliographyChar">
    <w:name w:val="EndNote Bibliography Char"/>
    <w:basedOn w:val="DefaultParagraphFont"/>
    <w:link w:val="EndNoteBibliography"/>
    <w:rsid w:val="00C052C9"/>
    <w:rPr>
      <w:rFonts w:ascii="Calibri" w:eastAsiaTheme="minorHAnsi" w:hAnsi="Calibri" w:cs="Calibri"/>
      <w:noProof/>
      <w:sz w:val="22"/>
      <w:szCs w:val="22"/>
    </w:rPr>
  </w:style>
  <w:style w:type="paragraph" w:styleId="ListParagraph">
    <w:name w:val="List Paragraph"/>
    <w:basedOn w:val="Normal"/>
    <w:uiPriority w:val="34"/>
    <w:qFormat/>
    <w:rsid w:val="00C052C9"/>
    <w:pPr>
      <w:ind w:left="720"/>
      <w:contextualSpacing/>
    </w:pPr>
    <w:rPr>
      <w:rFonts w:eastAsia="Times New Roman"/>
      <w:sz w:val="24"/>
      <w:szCs w:val="24"/>
      <w:lang w:val="en-GB" w:eastAsia="en-GB"/>
    </w:rPr>
  </w:style>
  <w:style w:type="paragraph" w:customStyle="1" w:styleId="Default">
    <w:name w:val="Default"/>
    <w:rsid w:val="00C052C9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val="en-GB"/>
    </w:rPr>
  </w:style>
  <w:style w:type="paragraph" w:styleId="NormalWeb">
    <w:name w:val="Normal (Web)"/>
    <w:basedOn w:val="Normal"/>
    <w:link w:val="NormalWebChar"/>
    <w:uiPriority w:val="99"/>
    <w:unhideWhenUsed/>
    <w:rsid w:val="00C052C9"/>
    <w:pPr>
      <w:spacing w:before="100" w:beforeAutospacing="1" w:after="100" w:afterAutospacing="1"/>
    </w:pPr>
    <w:rPr>
      <w:rFonts w:eastAsia="Times New Roman"/>
      <w:sz w:val="24"/>
      <w:szCs w:val="24"/>
      <w:lang w:val="en-GB" w:eastAsia="en-GB"/>
    </w:rPr>
  </w:style>
  <w:style w:type="character" w:customStyle="1" w:styleId="NormalWebChar">
    <w:name w:val="Normal (Web) Char"/>
    <w:basedOn w:val="DefaultParagraphFont"/>
    <w:link w:val="NormalWeb"/>
    <w:uiPriority w:val="99"/>
    <w:rsid w:val="00C052C9"/>
    <w:rPr>
      <w:rFonts w:eastAsia="Times New Roman"/>
      <w:sz w:val="24"/>
      <w:szCs w:val="24"/>
      <w:lang w:val="en-GB" w:eastAsia="en-GB"/>
    </w:rPr>
  </w:style>
  <w:style w:type="paragraph" w:customStyle="1" w:styleId="p">
    <w:name w:val="p"/>
    <w:basedOn w:val="Normal"/>
    <w:rsid w:val="00C052C9"/>
    <w:pPr>
      <w:spacing w:before="100" w:beforeAutospacing="1" w:after="100" w:afterAutospacing="1"/>
    </w:pPr>
    <w:rPr>
      <w:rFonts w:eastAsia="Times New Roman"/>
      <w:sz w:val="24"/>
      <w:szCs w:val="24"/>
      <w:lang w:val="en-GB" w:eastAsia="en-GB"/>
    </w:rPr>
  </w:style>
  <w:style w:type="character" w:customStyle="1" w:styleId="highlight">
    <w:name w:val="highlight"/>
    <w:basedOn w:val="DefaultParagraphFont"/>
    <w:rsid w:val="00C052C9"/>
  </w:style>
  <w:style w:type="table" w:styleId="TableGrid">
    <w:name w:val="Table Grid"/>
    <w:basedOn w:val="TableNormal"/>
    <w:uiPriority w:val="39"/>
    <w:rsid w:val="00C052C9"/>
    <w:rPr>
      <w:rFonts w:asciiTheme="minorHAnsi" w:eastAsiaTheme="minorHAnsi" w:hAnsiTheme="minorHAnsi" w:cstheme="minorBid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line-ad-replaced">
    <w:name w:val="inline-ad-replaced"/>
    <w:basedOn w:val="DefaultParagraphFont"/>
    <w:rsid w:val="00C052C9"/>
  </w:style>
  <w:style w:type="paragraph" w:styleId="Revision">
    <w:name w:val="Revision"/>
    <w:hidden/>
    <w:uiPriority w:val="99"/>
    <w:semiHidden/>
    <w:rsid w:val="00C052C9"/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bibref">
    <w:name w:val="bibref"/>
    <w:basedOn w:val="DefaultParagraphFont"/>
    <w:rsid w:val="00C052C9"/>
  </w:style>
  <w:style w:type="character" w:customStyle="1" w:styleId="markwpmvkqyws">
    <w:name w:val="markwpmvkqyws"/>
    <w:basedOn w:val="DefaultParagraphFont"/>
    <w:rsid w:val="00C052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695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Science Manuscript Template</vt:lpstr>
    </vt:vector>
  </TitlesOfParts>
  <Company>Microsoft</Company>
  <LinksUpToDate>false</LinksUpToDate>
  <CharactersWithSpaces>4648</CharactersWithSpaces>
  <SharedDoc>false</SharedDoc>
  <HLinks>
    <vt:vector size="12" baseType="variant">
      <vt:variant>
        <vt:i4>3538996</vt:i4>
      </vt:variant>
      <vt:variant>
        <vt:i4>3</vt:i4>
      </vt:variant>
      <vt:variant>
        <vt:i4>0</vt:i4>
      </vt:variant>
      <vt:variant>
        <vt:i4>5</vt:i4>
      </vt:variant>
      <vt:variant>
        <vt:lpwstr>http://stm.sciencemag.org/</vt:lpwstr>
      </vt:variant>
      <vt:variant>
        <vt:lpwstr/>
      </vt:variant>
      <vt:variant>
        <vt:i4>2883708</vt:i4>
      </vt:variant>
      <vt:variant>
        <vt:i4>0</vt:i4>
      </vt:variant>
      <vt:variant>
        <vt:i4>0</vt:i4>
      </vt:variant>
      <vt:variant>
        <vt:i4>5</vt:i4>
      </vt:variant>
      <vt:variant>
        <vt:lpwstr>https://cts.sciencemag.org/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Science Manuscript Template</dc:title>
  <dc:creator>bhanson</dc:creator>
  <cp:lastModifiedBy>Clare Hardman</cp:lastModifiedBy>
  <cp:revision>13</cp:revision>
  <cp:lastPrinted>2012-01-29T18:20:00Z</cp:lastPrinted>
  <dcterms:created xsi:type="dcterms:W3CDTF">2021-02-23T09:04:00Z</dcterms:created>
  <dcterms:modified xsi:type="dcterms:W3CDTF">2021-02-25T12:19:00Z</dcterms:modified>
</cp:coreProperties>
</file>