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F6BD" w14:textId="77777777" w:rsidR="00CA1874" w:rsidRDefault="00FE6712" w:rsidP="00CE035D">
      <w:pPr>
        <w:spacing w:line="360" w:lineRule="auto"/>
        <w:rPr>
          <w:b/>
        </w:rPr>
      </w:pPr>
      <w:r>
        <w:rPr>
          <w:b/>
        </w:rPr>
        <w:t>Title:</w:t>
      </w:r>
    </w:p>
    <w:p w14:paraId="79848434" w14:textId="62B79E7A" w:rsidR="00CA1874" w:rsidRDefault="008735EE" w:rsidP="00CE035D">
      <w:pPr>
        <w:spacing w:line="360" w:lineRule="auto"/>
      </w:pPr>
      <w:r>
        <w:t xml:space="preserve">Raising the bar for using </w:t>
      </w:r>
      <w:r w:rsidR="00FE6712">
        <w:t>surrogate endpoints in drug regulation and health technology assessment</w:t>
      </w:r>
    </w:p>
    <w:p w14:paraId="3126467D" w14:textId="77777777" w:rsidR="009A6605" w:rsidRDefault="009A6605" w:rsidP="00CE035D">
      <w:pPr>
        <w:spacing w:line="360" w:lineRule="auto"/>
        <w:rPr>
          <w:b/>
        </w:rPr>
      </w:pPr>
    </w:p>
    <w:p w14:paraId="6BD0AD08" w14:textId="402A4859" w:rsidR="00CA1874" w:rsidRDefault="00FE6712" w:rsidP="00CE035D">
      <w:pPr>
        <w:spacing w:line="360" w:lineRule="auto"/>
        <w:rPr>
          <w:b/>
        </w:rPr>
      </w:pPr>
      <w:r>
        <w:rPr>
          <w:b/>
        </w:rPr>
        <w:t>Authors</w:t>
      </w:r>
      <w:r w:rsidR="009A6605">
        <w:rPr>
          <w:b/>
        </w:rPr>
        <w:t>:</w:t>
      </w:r>
    </w:p>
    <w:p w14:paraId="3F8B0CB5" w14:textId="5100B9F1" w:rsidR="00CA1874" w:rsidRPr="00CE035D" w:rsidRDefault="00FE6712" w:rsidP="00CE035D">
      <w:pPr>
        <w:spacing w:line="360" w:lineRule="auto"/>
      </w:pPr>
      <w:r w:rsidRPr="00CE035D">
        <w:t>Dalia Dawoud</w:t>
      </w:r>
      <w:r w:rsidRPr="00CE035D">
        <w:rPr>
          <w:vertAlign w:val="superscript"/>
        </w:rPr>
        <w:t>1</w:t>
      </w:r>
      <w:r w:rsidRPr="00CE035D">
        <w:t xml:space="preserve">, </w:t>
      </w:r>
      <w:proofErr w:type="spellStart"/>
      <w:r w:rsidRPr="00CE035D">
        <w:t>Huseyin</w:t>
      </w:r>
      <w:proofErr w:type="spellEnd"/>
      <w:r w:rsidRPr="00CE035D">
        <w:t xml:space="preserve"> Naci</w:t>
      </w:r>
      <w:r w:rsidRPr="00CE035D">
        <w:rPr>
          <w:vertAlign w:val="superscript"/>
        </w:rPr>
        <w:t>2</w:t>
      </w:r>
      <w:r w:rsidR="008B793F" w:rsidRPr="00CE035D">
        <w:rPr>
          <w:vertAlign w:val="superscript"/>
        </w:rPr>
        <w:t>*</w:t>
      </w:r>
      <w:r w:rsidRPr="00CE035D">
        <w:t>, Oriana Ciani</w:t>
      </w:r>
      <w:r w:rsidRPr="00CE035D">
        <w:rPr>
          <w:vertAlign w:val="superscript"/>
        </w:rPr>
        <w:t>3</w:t>
      </w:r>
      <w:r w:rsidR="008B793F" w:rsidRPr="00CE035D">
        <w:rPr>
          <w:vertAlign w:val="superscript"/>
        </w:rPr>
        <w:t>,4</w:t>
      </w:r>
      <w:r w:rsidR="00B76FF2" w:rsidRPr="00CE035D">
        <w:t>,</w:t>
      </w:r>
      <w:r w:rsidRPr="00CE035D">
        <w:t xml:space="preserve"> </w:t>
      </w:r>
      <w:proofErr w:type="spellStart"/>
      <w:r w:rsidRPr="00CE035D">
        <w:t>Sylwia</w:t>
      </w:r>
      <w:proofErr w:type="spellEnd"/>
      <w:r w:rsidRPr="00CE035D">
        <w:t xml:space="preserve"> </w:t>
      </w:r>
      <w:r w:rsidR="00B30987" w:rsidRPr="00CE035D">
        <w:t>Bujkiewicz</w:t>
      </w:r>
      <w:r w:rsidR="008B793F" w:rsidRPr="00CE035D">
        <w:rPr>
          <w:vertAlign w:val="superscript"/>
        </w:rPr>
        <w:t>5</w:t>
      </w:r>
    </w:p>
    <w:p w14:paraId="54735EE2" w14:textId="77777777" w:rsidR="00CA1874" w:rsidRPr="00CE035D" w:rsidRDefault="00CA1874" w:rsidP="00CE035D">
      <w:pPr>
        <w:spacing w:line="360" w:lineRule="auto"/>
      </w:pPr>
    </w:p>
    <w:p w14:paraId="690BE9DA" w14:textId="787F34A1" w:rsidR="00CA1874" w:rsidRDefault="00FE6712" w:rsidP="00CE035D">
      <w:pPr>
        <w:spacing w:line="360" w:lineRule="auto"/>
      </w:pPr>
      <w:r>
        <w:rPr>
          <w:vertAlign w:val="superscript"/>
        </w:rPr>
        <w:t>1</w:t>
      </w:r>
      <w:r w:rsidR="001D6B61" w:rsidRPr="001D6B61">
        <w:t>Senior</w:t>
      </w:r>
      <w:r w:rsidR="001D6B61">
        <w:t xml:space="preserve"> </w:t>
      </w:r>
      <w:r>
        <w:t>Scientific Adviser, Science, Evidence and Analytics Directorate, Science Policy and Research Programme, National Institute for Health and Care Excellence (NICE), London, United Kingdom</w:t>
      </w:r>
    </w:p>
    <w:p w14:paraId="091743AA" w14:textId="2EA7CEEC" w:rsidR="00CA1874" w:rsidRPr="008B793F" w:rsidRDefault="00FE6712" w:rsidP="00CE035D">
      <w:pPr>
        <w:spacing w:line="360" w:lineRule="auto"/>
      </w:pPr>
      <w:r>
        <w:rPr>
          <w:vertAlign w:val="superscript"/>
        </w:rPr>
        <w:t>2</w:t>
      </w:r>
      <w:r w:rsidR="008B793F">
        <w:t xml:space="preserve"> </w:t>
      </w:r>
      <w:r w:rsidR="008B793F" w:rsidRPr="008B793F">
        <w:t>Associate Professor of Health Policy</w:t>
      </w:r>
      <w:r w:rsidR="008B793F">
        <w:t xml:space="preserve">, </w:t>
      </w:r>
      <w:r w:rsidR="008B793F" w:rsidRPr="008B793F">
        <w:t>Department of Health Policy</w:t>
      </w:r>
      <w:r w:rsidR="008B793F">
        <w:t xml:space="preserve">, </w:t>
      </w:r>
      <w:r w:rsidR="00626F51" w:rsidRPr="00626F51">
        <w:t>London School of Economics and Political Science</w:t>
      </w:r>
      <w:r w:rsidR="008B793F">
        <w:t>, London, United Kingdom</w:t>
      </w:r>
    </w:p>
    <w:p w14:paraId="29511D13" w14:textId="77777777" w:rsidR="008B793F" w:rsidRPr="00F31C99" w:rsidRDefault="008B793F" w:rsidP="00CE035D">
      <w:pPr>
        <w:spacing w:line="360" w:lineRule="auto"/>
      </w:pPr>
      <w:r>
        <w:rPr>
          <w:vertAlign w:val="superscript"/>
        </w:rPr>
        <w:t xml:space="preserve">3 </w:t>
      </w:r>
      <w:r w:rsidRPr="00F31C99">
        <w:t xml:space="preserve">Associate Professor </w:t>
      </w:r>
      <w:r>
        <w:t xml:space="preserve">of Practice, </w:t>
      </w:r>
      <w:r w:rsidRPr="00F31C99">
        <w:t>Centre for Research on Health</w:t>
      </w:r>
      <w:r>
        <w:t xml:space="preserve"> </w:t>
      </w:r>
      <w:r w:rsidRPr="00F31C99">
        <w:t>and Social Care Management (CERGAS)</w:t>
      </w:r>
      <w:r>
        <w:t xml:space="preserve">, </w:t>
      </w:r>
      <w:r w:rsidRPr="00F31C99">
        <w:t>SDA Bocconi</w:t>
      </w:r>
      <w:r>
        <w:t>, Milan, Italy</w:t>
      </w:r>
    </w:p>
    <w:p w14:paraId="27D53274" w14:textId="5D45F387" w:rsidR="008B793F" w:rsidRDefault="008B793F" w:rsidP="00CE035D">
      <w:pPr>
        <w:spacing w:line="360" w:lineRule="auto"/>
      </w:pPr>
      <w:r>
        <w:rPr>
          <w:vertAlign w:val="superscript"/>
        </w:rPr>
        <w:t xml:space="preserve">4 </w:t>
      </w:r>
      <w:r w:rsidRPr="00B76FF2">
        <w:t>College of Medicine and Health</w:t>
      </w:r>
      <w:r>
        <w:t>, University of Exeter, Exeter, United Kingdom</w:t>
      </w:r>
    </w:p>
    <w:p w14:paraId="663A7E83" w14:textId="689A0D0E" w:rsidR="008B793F" w:rsidRDefault="008B793F" w:rsidP="00CE035D">
      <w:pPr>
        <w:autoSpaceDE w:val="0"/>
        <w:autoSpaceDN w:val="0"/>
        <w:adjustRightInd w:val="0"/>
        <w:spacing w:line="360" w:lineRule="auto"/>
      </w:pPr>
      <w:r>
        <w:rPr>
          <w:vertAlign w:val="superscript"/>
        </w:rPr>
        <w:t xml:space="preserve">5 </w:t>
      </w:r>
      <w:r w:rsidR="00C7360D">
        <w:t>Professor</w:t>
      </w:r>
      <w:r w:rsidR="00A603B7">
        <w:t xml:space="preserve"> of Biostatistics</w:t>
      </w:r>
      <w:r w:rsidR="00C7360D">
        <w:t>, B</w:t>
      </w:r>
      <w:r w:rsidRPr="001873EB">
        <w:t>iostatistics Research Group</w:t>
      </w:r>
      <w:r>
        <w:t xml:space="preserve">, </w:t>
      </w:r>
      <w:r w:rsidRPr="00737D09">
        <w:t xml:space="preserve">Department of Health Sciences, University of Leicester, Leicester, </w:t>
      </w:r>
      <w:r w:rsidR="00A603B7">
        <w:t>United Kingdom</w:t>
      </w:r>
    </w:p>
    <w:p w14:paraId="5C8B80B6" w14:textId="77777777" w:rsidR="00CA1874" w:rsidRDefault="00CA1874" w:rsidP="00CE035D">
      <w:pPr>
        <w:spacing w:line="360" w:lineRule="auto"/>
        <w:rPr>
          <w:vertAlign w:val="superscript"/>
        </w:rPr>
      </w:pPr>
    </w:p>
    <w:p w14:paraId="56A6F764" w14:textId="77777777" w:rsidR="00CA1874" w:rsidRDefault="00FE6712" w:rsidP="00CE035D">
      <w:pPr>
        <w:spacing w:line="360" w:lineRule="auto"/>
        <w:rPr>
          <w:b/>
        </w:rPr>
      </w:pPr>
      <w:r>
        <w:rPr>
          <w:b/>
        </w:rPr>
        <w:t>Corresponding Author:</w:t>
      </w:r>
    </w:p>
    <w:p w14:paraId="5E6D9D14" w14:textId="58D6367E" w:rsidR="00CA1874" w:rsidRDefault="008B793F" w:rsidP="00CE035D">
      <w:pPr>
        <w:spacing w:line="360" w:lineRule="auto"/>
      </w:pPr>
      <w:proofErr w:type="spellStart"/>
      <w:r>
        <w:t>Huseyin</w:t>
      </w:r>
      <w:proofErr w:type="spellEnd"/>
      <w:r>
        <w:t xml:space="preserve"> Naci</w:t>
      </w:r>
      <w:r w:rsidR="00341855">
        <w:t xml:space="preserve">, </w:t>
      </w:r>
      <w:r w:rsidR="00FE6712">
        <w:t>PhD</w:t>
      </w:r>
    </w:p>
    <w:p w14:paraId="5C40377D" w14:textId="2CF57663" w:rsidR="008B793F" w:rsidRDefault="008B793F" w:rsidP="00CE035D">
      <w:pPr>
        <w:spacing w:line="360" w:lineRule="auto"/>
      </w:pPr>
      <w:r w:rsidRPr="008B793F">
        <w:t xml:space="preserve">Associate Professor of Health Policy </w:t>
      </w:r>
    </w:p>
    <w:p w14:paraId="0F28D62D" w14:textId="5FCB7C0B" w:rsidR="00CA1874" w:rsidRDefault="008B793F" w:rsidP="00CE035D">
      <w:pPr>
        <w:spacing w:line="360" w:lineRule="auto"/>
      </w:pPr>
      <w:r w:rsidRPr="008B793F">
        <w:t>Department of Health Policy</w:t>
      </w:r>
    </w:p>
    <w:p w14:paraId="5D8369A3" w14:textId="77777777" w:rsidR="008B793F" w:rsidRDefault="008B793F" w:rsidP="00CE035D">
      <w:pPr>
        <w:spacing w:line="360" w:lineRule="auto"/>
      </w:pPr>
      <w:r>
        <w:t>London School of Economics and Political Science</w:t>
      </w:r>
    </w:p>
    <w:p w14:paraId="48BEFC48" w14:textId="77777777" w:rsidR="008B793F" w:rsidRDefault="008B793F" w:rsidP="00CE035D">
      <w:pPr>
        <w:spacing w:line="360" w:lineRule="auto"/>
      </w:pPr>
      <w:r>
        <w:t>Houghton Street</w:t>
      </w:r>
    </w:p>
    <w:p w14:paraId="15117164" w14:textId="39478F94" w:rsidR="008B793F" w:rsidRDefault="008B793F" w:rsidP="00CE035D">
      <w:pPr>
        <w:spacing w:line="360" w:lineRule="auto"/>
      </w:pPr>
      <w:r>
        <w:t>London</w:t>
      </w:r>
      <w:r w:rsidR="008735EE">
        <w:t xml:space="preserve">, </w:t>
      </w:r>
      <w:r>
        <w:t>WC2A 2AE</w:t>
      </w:r>
    </w:p>
    <w:p w14:paraId="2CAD2808" w14:textId="77777777" w:rsidR="00CA1874" w:rsidRDefault="00FE6712" w:rsidP="00CE035D">
      <w:pPr>
        <w:spacing w:line="360" w:lineRule="auto"/>
      </w:pPr>
      <w:r>
        <w:t>United Kingdom</w:t>
      </w:r>
    </w:p>
    <w:p w14:paraId="09E590C7" w14:textId="12F6F4CC" w:rsidR="00CA1874" w:rsidRDefault="008B793F" w:rsidP="00CE035D">
      <w:pPr>
        <w:spacing w:line="360" w:lineRule="auto"/>
      </w:pPr>
      <w:r>
        <w:t>Phone</w:t>
      </w:r>
      <w:r w:rsidR="00FE6712">
        <w:t>: +44</w:t>
      </w:r>
      <w:r w:rsidRPr="008B793F">
        <w:t xml:space="preserve"> </w:t>
      </w:r>
      <w:r>
        <w:t>(</w:t>
      </w:r>
      <w:r w:rsidRPr="008B793F">
        <w:t>0</w:t>
      </w:r>
      <w:r>
        <w:t xml:space="preserve">) </w:t>
      </w:r>
      <w:r w:rsidRPr="008B793F">
        <w:t>20 7955 6874</w:t>
      </w:r>
    </w:p>
    <w:p w14:paraId="46EFDBEA" w14:textId="4B67E964" w:rsidR="00CA1874" w:rsidRDefault="00FE6712" w:rsidP="00CE035D">
      <w:pPr>
        <w:spacing w:line="360" w:lineRule="auto"/>
      </w:pPr>
      <w:r>
        <w:t xml:space="preserve">Email: </w:t>
      </w:r>
      <w:hyperlink r:id="rId8" w:history="1">
        <w:r w:rsidR="00626F51" w:rsidRPr="00296FF9">
          <w:rPr>
            <w:rStyle w:val="Hyperlink"/>
          </w:rPr>
          <w:t>H.Naci@lse.ac.uk</w:t>
        </w:r>
      </w:hyperlink>
      <w:r w:rsidR="00626F51">
        <w:t xml:space="preserve"> </w:t>
      </w:r>
    </w:p>
    <w:p w14:paraId="7AD46DA1" w14:textId="77777777" w:rsidR="00CA1874" w:rsidRDefault="00CA1874" w:rsidP="00CE035D">
      <w:pPr>
        <w:spacing w:line="360" w:lineRule="auto"/>
      </w:pPr>
    </w:p>
    <w:p w14:paraId="75736F0F" w14:textId="77777777" w:rsidR="00C7360D" w:rsidRDefault="00FE6712" w:rsidP="00CE035D">
      <w:pPr>
        <w:spacing w:line="360" w:lineRule="auto"/>
      </w:pPr>
      <w:r w:rsidRPr="00FA7D9C">
        <w:t>ORCID ID:</w:t>
      </w:r>
      <w:r>
        <w:t xml:space="preserve"> </w:t>
      </w:r>
      <w:r w:rsidR="00C7360D" w:rsidRPr="00FA7D9C">
        <w:t>https://orcid.org/0000-0002-7192-5751</w:t>
      </w:r>
    </w:p>
    <w:p w14:paraId="427EC096" w14:textId="68787ABF" w:rsidR="00CA1874" w:rsidRDefault="00CA1874"/>
    <w:p w14:paraId="13AF0127" w14:textId="77777777" w:rsidR="00CA1874" w:rsidRDefault="00CA1874"/>
    <w:p w14:paraId="7239D559" w14:textId="324993E4" w:rsidR="00CA1874" w:rsidRDefault="00FE6712">
      <w:pPr>
        <w:spacing w:line="480" w:lineRule="auto"/>
        <w:rPr>
          <w:b/>
        </w:rPr>
      </w:pPr>
      <w:r>
        <w:br w:type="page"/>
      </w:r>
    </w:p>
    <w:p w14:paraId="2FBABCA1" w14:textId="4BBB5CC2" w:rsidR="00CA1874" w:rsidRPr="00BB697E" w:rsidRDefault="00FE6712" w:rsidP="00CE035D">
      <w:pPr>
        <w:spacing w:line="360" w:lineRule="auto"/>
        <w:rPr>
          <w:b/>
        </w:rPr>
      </w:pPr>
      <w:r w:rsidRPr="00BB697E">
        <w:rPr>
          <w:b/>
        </w:rPr>
        <w:lastRenderedPageBreak/>
        <w:t xml:space="preserve">Standfirst </w:t>
      </w:r>
    </w:p>
    <w:p w14:paraId="1B49E55B" w14:textId="0D1AE34B" w:rsidR="009A6605" w:rsidRPr="00BB697E" w:rsidRDefault="00687998" w:rsidP="009A6605">
      <w:pPr>
        <w:spacing w:line="360" w:lineRule="auto"/>
        <w:rPr>
          <w:bCs/>
          <w:i/>
          <w:iCs/>
        </w:rPr>
      </w:pPr>
      <w:r w:rsidRPr="00BB697E">
        <w:rPr>
          <w:bCs/>
          <w:i/>
          <w:iCs/>
        </w:rPr>
        <w:t>The p</w:t>
      </w:r>
      <w:r w:rsidR="00C7360D" w:rsidRPr="00BB697E">
        <w:rPr>
          <w:bCs/>
          <w:i/>
          <w:iCs/>
        </w:rPr>
        <w:t xml:space="preserve">roliferation </w:t>
      </w:r>
      <w:r w:rsidR="00B70531" w:rsidRPr="00BB697E">
        <w:rPr>
          <w:bCs/>
          <w:i/>
          <w:iCs/>
        </w:rPr>
        <w:t xml:space="preserve">of </w:t>
      </w:r>
      <w:r w:rsidR="00C7360D" w:rsidRPr="00BB697E">
        <w:rPr>
          <w:bCs/>
          <w:i/>
          <w:iCs/>
        </w:rPr>
        <w:t xml:space="preserve">surrogate endpoints for regulatory approval of </w:t>
      </w:r>
      <w:r w:rsidR="00586BA9" w:rsidRPr="00BB697E">
        <w:rPr>
          <w:bCs/>
          <w:i/>
          <w:iCs/>
        </w:rPr>
        <w:t>new</w:t>
      </w:r>
      <w:r w:rsidR="00C7360D" w:rsidRPr="00BB697E">
        <w:rPr>
          <w:bCs/>
          <w:i/>
          <w:iCs/>
        </w:rPr>
        <w:t xml:space="preserve"> drugs </w:t>
      </w:r>
      <w:r w:rsidR="00B97961" w:rsidRPr="00BB697E">
        <w:rPr>
          <w:bCs/>
          <w:i/>
          <w:iCs/>
        </w:rPr>
        <w:t>poses</w:t>
      </w:r>
      <w:r w:rsidR="00C7360D" w:rsidRPr="00BB697E">
        <w:rPr>
          <w:bCs/>
          <w:i/>
          <w:iCs/>
        </w:rPr>
        <w:t xml:space="preserve"> </w:t>
      </w:r>
      <w:r w:rsidR="00D6246E">
        <w:rPr>
          <w:bCs/>
          <w:i/>
          <w:iCs/>
        </w:rPr>
        <w:t xml:space="preserve">major </w:t>
      </w:r>
      <w:r w:rsidR="00C7360D" w:rsidRPr="00BB697E">
        <w:rPr>
          <w:bCs/>
          <w:i/>
          <w:iCs/>
        </w:rPr>
        <w:t xml:space="preserve">challenges </w:t>
      </w:r>
      <w:r w:rsidR="00FE6712" w:rsidRPr="00BB697E">
        <w:rPr>
          <w:bCs/>
          <w:i/>
          <w:iCs/>
        </w:rPr>
        <w:t>for</w:t>
      </w:r>
      <w:r w:rsidR="004C0196" w:rsidRPr="00BB697E">
        <w:rPr>
          <w:bCs/>
          <w:i/>
          <w:iCs/>
        </w:rPr>
        <w:t xml:space="preserve"> patients, clinicia</w:t>
      </w:r>
      <w:r w:rsidR="00B70531" w:rsidRPr="00BB697E">
        <w:rPr>
          <w:bCs/>
          <w:i/>
          <w:iCs/>
        </w:rPr>
        <w:t xml:space="preserve">ns, </w:t>
      </w:r>
      <w:r w:rsidR="00FE6712" w:rsidRPr="00BB697E">
        <w:rPr>
          <w:bCs/>
          <w:i/>
          <w:iCs/>
        </w:rPr>
        <w:t>health technology assessment bodies</w:t>
      </w:r>
      <w:r w:rsidR="00586BA9" w:rsidRPr="00BB697E">
        <w:rPr>
          <w:bCs/>
          <w:i/>
          <w:iCs/>
        </w:rPr>
        <w:t xml:space="preserve"> and the wider evidence ecosystem</w:t>
      </w:r>
      <w:r w:rsidR="00FE6712" w:rsidRPr="00BB697E">
        <w:rPr>
          <w:bCs/>
          <w:i/>
          <w:iCs/>
        </w:rPr>
        <w:t xml:space="preserve">. </w:t>
      </w:r>
      <w:r w:rsidR="00C7360D" w:rsidRPr="00BB697E">
        <w:rPr>
          <w:bCs/>
          <w:i/>
          <w:iCs/>
        </w:rPr>
        <w:t xml:space="preserve">Dalia </w:t>
      </w:r>
      <w:proofErr w:type="spellStart"/>
      <w:r w:rsidR="00C7360D" w:rsidRPr="00BB697E">
        <w:rPr>
          <w:bCs/>
          <w:i/>
          <w:iCs/>
        </w:rPr>
        <w:t>Dawoud</w:t>
      </w:r>
      <w:proofErr w:type="spellEnd"/>
      <w:r w:rsidR="00C7360D" w:rsidRPr="00BB697E">
        <w:rPr>
          <w:bCs/>
          <w:i/>
          <w:iCs/>
        </w:rPr>
        <w:t xml:space="preserve"> and colleagues </w:t>
      </w:r>
      <w:r w:rsidR="009A6605" w:rsidRPr="00BB697E">
        <w:rPr>
          <w:bCs/>
          <w:i/>
          <w:iCs/>
        </w:rPr>
        <w:t>argue for</w:t>
      </w:r>
      <w:r w:rsidR="008735EE" w:rsidRPr="008C6B57">
        <w:rPr>
          <w:bCs/>
          <w:i/>
          <w:iCs/>
        </w:rPr>
        <w:t xml:space="preserve"> </w:t>
      </w:r>
      <w:r w:rsidR="009A6605" w:rsidRPr="00BB697E">
        <w:rPr>
          <w:bCs/>
          <w:i/>
          <w:iCs/>
        </w:rPr>
        <w:t>raising</w:t>
      </w:r>
      <w:r w:rsidR="009A6605" w:rsidRPr="008C6B57">
        <w:rPr>
          <w:bCs/>
          <w:i/>
          <w:iCs/>
        </w:rPr>
        <w:t xml:space="preserve"> the </w:t>
      </w:r>
      <w:r w:rsidR="009A6605" w:rsidRPr="00BB697E">
        <w:rPr>
          <w:bCs/>
          <w:i/>
          <w:iCs/>
        </w:rPr>
        <w:t xml:space="preserve">evidence </w:t>
      </w:r>
      <w:r w:rsidR="009A6605" w:rsidRPr="008C6B57">
        <w:rPr>
          <w:bCs/>
          <w:i/>
          <w:iCs/>
        </w:rPr>
        <w:t>standards for</w:t>
      </w:r>
      <w:r w:rsidR="00DC3F65">
        <w:rPr>
          <w:bCs/>
          <w:i/>
          <w:iCs/>
        </w:rPr>
        <w:t xml:space="preserve"> </w:t>
      </w:r>
      <w:r w:rsidR="009A6605" w:rsidRPr="008C6B57">
        <w:rPr>
          <w:bCs/>
          <w:i/>
          <w:iCs/>
        </w:rPr>
        <w:t>using surrogate endpoints</w:t>
      </w:r>
      <w:r w:rsidR="009A6605" w:rsidRPr="00BB697E">
        <w:rPr>
          <w:bCs/>
          <w:i/>
          <w:iCs/>
        </w:rPr>
        <w:t xml:space="preserve"> by regulatory agencies and health technology assessment bodies</w:t>
      </w:r>
      <w:r w:rsidR="0023216F" w:rsidRPr="00BB697E">
        <w:rPr>
          <w:bCs/>
          <w:i/>
          <w:iCs/>
        </w:rPr>
        <w:t>.</w:t>
      </w:r>
    </w:p>
    <w:p w14:paraId="386D6FF7" w14:textId="0E534ED0" w:rsidR="00B70531" w:rsidRPr="00BB697E" w:rsidRDefault="0023216F" w:rsidP="009A6605">
      <w:pPr>
        <w:spacing w:line="360" w:lineRule="auto"/>
        <w:rPr>
          <w:bCs/>
          <w:i/>
          <w:iCs/>
        </w:rPr>
      </w:pPr>
      <w:r w:rsidRPr="00BB697E">
        <w:rPr>
          <w:bCs/>
          <w:i/>
          <w:iCs/>
        </w:rPr>
        <w:t xml:space="preserve"> </w:t>
      </w:r>
      <w:r w:rsidR="00B70531" w:rsidRPr="00BB697E">
        <w:rPr>
          <w:bCs/>
          <w:i/>
          <w:iCs/>
        </w:rPr>
        <w:t xml:space="preserve"> </w:t>
      </w:r>
    </w:p>
    <w:p w14:paraId="39A36791" w14:textId="5C366A5C" w:rsidR="00836F1F" w:rsidRPr="00BB697E" w:rsidRDefault="00DC5E42" w:rsidP="009A6605">
      <w:pPr>
        <w:spacing w:line="360" w:lineRule="auto"/>
      </w:pPr>
      <w:r>
        <w:rPr>
          <w:bCs/>
        </w:rPr>
        <w:t>On 7 June</w:t>
      </w:r>
      <w:r w:rsidR="00CB7F6F">
        <w:rPr>
          <w:bCs/>
        </w:rPr>
        <w:t xml:space="preserve"> 2021, the</w:t>
      </w:r>
      <w:r w:rsidR="008735EE" w:rsidRPr="00BB697E">
        <w:rPr>
          <w:bCs/>
        </w:rPr>
        <w:t xml:space="preserve"> </w:t>
      </w:r>
      <w:r w:rsidR="00CB7F6F" w:rsidRPr="00BB697E">
        <w:rPr>
          <w:bCs/>
        </w:rPr>
        <w:t xml:space="preserve">US Food and Drug Administration (FDA) </w:t>
      </w:r>
      <w:r w:rsidR="00CB7F6F">
        <w:rPr>
          <w:bCs/>
        </w:rPr>
        <w:t xml:space="preserve">granted accelerated approval to </w:t>
      </w:r>
      <w:r w:rsidR="008735EE" w:rsidRPr="00BB697E">
        <w:rPr>
          <w:bCs/>
        </w:rPr>
        <w:t xml:space="preserve">aducanumab </w:t>
      </w:r>
      <w:r w:rsidR="00D27A6C" w:rsidRPr="00BB697E">
        <w:rPr>
          <w:bCs/>
        </w:rPr>
        <w:t>for the treatment of Alzheimer’s Disease</w:t>
      </w:r>
      <w:r>
        <w:rPr>
          <w:bCs/>
        </w:rPr>
        <w:t xml:space="preserve">. </w:t>
      </w:r>
      <w:r w:rsidR="003D7499" w:rsidRPr="00BB697E">
        <w:rPr>
          <w:bCs/>
        </w:rPr>
        <w:t xml:space="preserve">The </w:t>
      </w:r>
      <w:r>
        <w:rPr>
          <w:bCs/>
        </w:rPr>
        <w:t>FDA based its decision</w:t>
      </w:r>
      <w:r w:rsidR="00A93651" w:rsidRPr="00BB697E">
        <w:rPr>
          <w:bCs/>
        </w:rPr>
        <w:t xml:space="preserve"> </w:t>
      </w:r>
      <w:r w:rsidR="003D7499" w:rsidRPr="00BB697E">
        <w:rPr>
          <w:bCs/>
        </w:rPr>
        <w:t xml:space="preserve">on </w:t>
      </w:r>
      <w:r w:rsidR="00C3457A" w:rsidRPr="00BB697E">
        <w:rPr>
          <w:bCs/>
        </w:rPr>
        <w:t>the drug’s</w:t>
      </w:r>
      <w:r w:rsidR="003D7499" w:rsidRPr="00BB697E">
        <w:rPr>
          <w:bCs/>
        </w:rPr>
        <w:t xml:space="preserve"> </w:t>
      </w:r>
      <w:r w:rsidR="00CB7F6F">
        <w:rPr>
          <w:bCs/>
        </w:rPr>
        <w:t>amyloid-reducing effects</w:t>
      </w:r>
      <w:r w:rsidR="00C47748" w:rsidRPr="00BB697E">
        <w:rPr>
          <w:bCs/>
        </w:rPr>
        <w:t xml:space="preserve"> </w:t>
      </w:r>
      <w:r w:rsidR="000533CE" w:rsidRPr="00BB697E">
        <w:rPr>
          <w:bCs/>
        </w:rPr>
        <w:t>des</w:t>
      </w:r>
      <w:r>
        <w:rPr>
          <w:bCs/>
        </w:rPr>
        <w:t>pite</w:t>
      </w:r>
      <w:r w:rsidR="003D7499" w:rsidRPr="00BB697E">
        <w:rPr>
          <w:bCs/>
        </w:rPr>
        <w:t xml:space="preserve"> evidence </w:t>
      </w:r>
      <w:r w:rsidR="008B4F24" w:rsidRPr="00BB697E">
        <w:rPr>
          <w:bCs/>
        </w:rPr>
        <w:t xml:space="preserve">from several earlier studies </w:t>
      </w:r>
      <w:r w:rsidR="003D7499" w:rsidRPr="00BB697E">
        <w:rPr>
          <w:bCs/>
        </w:rPr>
        <w:t xml:space="preserve">that </w:t>
      </w:r>
      <w:r w:rsidR="000533CE" w:rsidRPr="00BB697E">
        <w:rPr>
          <w:bCs/>
        </w:rPr>
        <w:t>shrinkage of beta-amyloid protein</w:t>
      </w:r>
      <w:r w:rsidR="003D7499" w:rsidRPr="00BB697E">
        <w:rPr>
          <w:bCs/>
        </w:rPr>
        <w:t xml:space="preserve"> </w:t>
      </w:r>
      <w:r w:rsidR="008B4F24" w:rsidRPr="00BB697E">
        <w:rPr>
          <w:bCs/>
        </w:rPr>
        <w:t>plaques does</w:t>
      </w:r>
      <w:r w:rsidR="003D7499" w:rsidRPr="00BB697E">
        <w:rPr>
          <w:bCs/>
        </w:rPr>
        <w:t xml:space="preserve"> </w:t>
      </w:r>
      <w:r w:rsidR="008B4F24" w:rsidRPr="00BB697E">
        <w:rPr>
          <w:bCs/>
        </w:rPr>
        <w:t xml:space="preserve">not </w:t>
      </w:r>
      <w:r w:rsidR="00C3457A" w:rsidRPr="00BB697E">
        <w:rPr>
          <w:bCs/>
        </w:rPr>
        <w:t xml:space="preserve">predictably </w:t>
      </w:r>
      <w:r w:rsidR="00A93651" w:rsidRPr="00BB697E">
        <w:rPr>
          <w:bCs/>
        </w:rPr>
        <w:t>delay</w:t>
      </w:r>
      <w:r w:rsidR="003D7499" w:rsidRPr="00BB697E">
        <w:rPr>
          <w:bCs/>
        </w:rPr>
        <w:t xml:space="preserve"> cognitive </w:t>
      </w:r>
      <w:r w:rsidR="00A93651" w:rsidRPr="00BB697E">
        <w:rPr>
          <w:bCs/>
        </w:rPr>
        <w:t>impairment</w:t>
      </w:r>
      <w:r w:rsidR="003D7499" w:rsidRPr="00BB697E">
        <w:rPr>
          <w:bCs/>
        </w:rPr>
        <w:t xml:space="preserve"> </w:t>
      </w:r>
      <w:r w:rsidR="00E32E82">
        <w:rPr>
          <w:bCs/>
        </w:rPr>
        <w:t>in patients</w:t>
      </w:r>
      <w:r w:rsidR="003D7499" w:rsidRPr="00BB697E">
        <w:rPr>
          <w:bCs/>
        </w:rPr>
        <w:t>.</w:t>
      </w:r>
      <w:r w:rsidR="008C6B57">
        <w:rPr>
          <w:bCs/>
        </w:rPr>
        <w:fldChar w:fldCharType="begin"/>
      </w:r>
      <w:r w:rsidR="008C6B57">
        <w:rPr>
          <w:bCs/>
        </w:rPr>
        <w:instrText xml:space="preserve"> ADDIN ZOTERO_ITEM CSL_CITATION {"citationID":"KTAT6aHG","properties":{"formattedCitation":"[1]","plainCitation":"[1]","noteIndex":0},"citationItems":[{"id":161,"uris":["http://zotero.org/users/local/XzHhEqW9/items/5L9ERENU"],"uri":["http://zotero.org/users/local/XzHhEqW9/items/5L9ERENU"],"itemData":{"id":161,"type":"article-journal","abstract":"OBJECTIVE: To evaluate trials of drugs that target amyloid to determine whether reductions in amyloid levels are likely to improve cognition. DESIGN: Instrumental  variable meta-analysis. SETTING: 14 randomized controlled trials of drugs for the  prevention or treatment of Alzheimer's disease that targeted an amyloid mechanism,  identified from ClinicalTrials.gov. POPULATION: Adults enrolled in randomized  controlled trials of amyloid targeting drugs. Inclusion criteria for trials vary,  but typically include adults aged 50 years or older with a diagnosis of mild  cognitive impairment or Alzheimer's disease, and amyloid positivity at baseline.  MAIN OUTCOME MEASURES: Analyses included trials for which information could be  obtained on both change in brain amyloid levels measured with amyloid positron  emission tomography and change in at least one cognitive test score reported for  each randomization arm. RESULTS: Pooled results from the 14 randomized controlled  trials were more precise than estimates from any single trial. The pooled estimate  for the effect of reducing amyloid levels by 0.1 standardized uptake value ratio  units was an improvement in the mini-mental state examination score of 0.03 (95%  confidence interval -0.06 to 0.1) points. This study provides a web application that  allows for the re-estimation of the results when new data become available and  illustrates the magnitude of the new evidence that would be necessary to achieve a  pooled estimate supporting the benefit of reducing amyloid levels. CONCLUSIONS:  Pooled evidence from available trials reporting both reduction in amyloid levels and  change in cognition suggests that amyloid reduction strategies do not substantially  improve cognition.","container-title":"BMJ (Clinical research ed.)","DOI":"10.1136/bmj.n156","ISSN":"1756-1833 0959-8138","journalAbbreviation":"BMJ","language":"eng","note":"PMID: 33632704 \nPMCID: PMC7905687","page":"n156","title":"Effect of reductions in amyloid levels on cognitive change in randomized trials: instrumental variable meta-analysis.","volume":"372","author":[{"family":"Ackley","given":"Sarah F."},{"family":"Zimmerman","given":"Scott C."},{"family":"Brenowitz","given":"Willa D."},{"family":"Tchetgen Tchetgen","given":"Eric J."},{"family":"Gold","given":"Audra L."},{"family":"Manly","given":"Jennifer J."},{"family":"Mayeda","given":"Elizabeth Rose"},{"family":"Filshtein","given":"Teresa J."},{"family":"Power","given":"Melinda C."},{"family":"Elahi","given":"Fanny M."},{"family":"Brickman","given":"Adam M."},{"family":"Glymour","given":"M. Maria"}],"issued":{"date-parts":[["2021",2,25]]}}}],"schema":"https://github.com/citation-style-language/schema/raw/master/csl-citation.json"} </w:instrText>
      </w:r>
      <w:r w:rsidR="008C6B57">
        <w:rPr>
          <w:bCs/>
        </w:rPr>
        <w:fldChar w:fldCharType="separate"/>
      </w:r>
      <w:r w:rsidR="008C6B57" w:rsidRPr="008C6B57">
        <w:t>[1]</w:t>
      </w:r>
      <w:r w:rsidR="008C6B57">
        <w:rPr>
          <w:bCs/>
        </w:rPr>
        <w:fldChar w:fldCharType="end"/>
      </w:r>
      <w:r w:rsidR="006E0EAE">
        <w:rPr>
          <w:bCs/>
        </w:rPr>
        <w:t xml:space="preserve"> </w:t>
      </w:r>
      <w:r>
        <w:rPr>
          <w:bCs/>
        </w:rPr>
        <w:t xml:space="preserve">The decision </w:t>
      </w:r>
      <w:r w:rsidR="00CB7F6F" w:rsidRPr="00A944A3">
        <w:rPr>
          <w:bCs/>
        </w:rPr>
        <w:t xml:space="preserve">has drawn </w:t>
      </w:r>
      <w:r w:rsidR="00CB7F6F" w:rsidRPr="00BB697E">
        <w:rPr>
          <w:bCs/>
        </w:rPr>
        <w:t xml:space="preserve">significant </w:t>
      </w:r>
      <w:r w:rsidR="00CB7F6F" w:rsidRPr="00A944A3">
        <w:rPr>
          <w:bCs/>
        </w:rPr>
        <w:t xml:space="preserve">attention </w:t>
      </w:r>
      <w:r w:rsidR="00CB7F6F" w:rsidRPr="00BB697E">
        <w:rPr>
          <w:bCs/>
        </w:rPr>
        <w:t>to</w:t>
      </w:r>
      <w:r w:rsidR="00CB7F6F" w:rsidRPr="00A944A3">
        <w:rPr>
          <w:bCs/>
        </w:rPr>
        <w:t xml:space="preserve"> the use of surrogate endpoints </w:t>
      </w:r>
      <w:r w:rsidR="00CB7F6F" w:rsidRPr="00BB697E">
        <w:t>—laboratory values, radiographic images, or other physical measures that may serve as indicators of clinical outcomes such as symptom control or mortality—</w:t>
      </w:r>
      <w:r w:rsidR="00CB7F6F" w:rsidRPr="00BB697E">
        <w:rPr>
          <w:bCs/>
        </w:rPr>
        <w:t xml:space="preserve"> </w:t>
      </w:r>
      <w:r w:rsidR="00CB7F6F" w:rsidRPr="00A944A3">
        <w:rPr>
          <w:bCs/>
        </w:rPr>
        <w:t>in clinical trials of new drugs</w:t>
      </w:r>
      <w:r w:rsidRPr="00A944A3">
        <w:rPr>
          <w:bCs/>
        </w:rPr>
        <w:t>.</w:t>
      </w:r>
      <w:r w:rsidR="008C6B57">
        <w:rPr>
          <w:bCs/>
        </w:rPr>
        <w:fldChar w:fldCharType="begin"/>
      </w:r>
      <w:r w:rsidR="008C6B57">
        <w:rPr>
          <w:bCs/>
        </w:rPr>
        <w:instrText xml:space="preserve"> ADDIN ZOTERO_ITEM CSL_CITATION {"citationID":"lQuefjhi","properties":{"formattedCitation":"[2]","plainCitation":"[2]","noteIndex":0},"citationItems":[{"id":162,"uris":["http://zotero.org/users/local/XzHhEqW9/items/7S2QYG96"],"uri":["http://zotero.org/users/local/XzHhEqW9/items/7S2QYG96"],"itemData":{"id":162,"type":"article-journal","container-title":"JAMA","DOI":"10.1001/jama.2021.3854","ISSN":"1538-3598 0098-7484","issue":"17","journalAbbreviation":"JAMA","language":"eng","note":"publisher-place: United States\nPMID: 33783469","page":"1717-1718","title":"Evaluation of Aducanumab for Alzheimer Disease: Scientific Evidence and Regulatory Review Involving Efficacy, Safety, and Futility.","volume":"325","author":[{"family":"Alexander","given":"G. Caleb"},{"family":"Emerson","given":"Scott"},{"family":"Kesselheim","given":"Aaron S."}],"issued":{"date-parts":[["2021",5,4]]}}}],"schema":"https://github.com/citation-style-language/schema/raw/master/csl-citation.json"} </w:instrText>
      </w:r>
      <w:r w:rsidR="008C6B57">
        <w:rPr>
          <w:bCs/>
        </w:rPr>
        <w:fldChar w:fldCharType="separate"/>
      </w:r>
      <w:r w:rsidR="008C6B57" w:rsidRPr="008C6B57">
        <w:t>[2]</w:t>
      </w:r>
      <w:r w:rsidR="008C6B57">
        <w:rPr>
          <w:bCs/>
        </w:rPr>
        <w:fldChar w:fldCharType="end"/>
      </w:r>
      <w:r w:rsidR="00732526">
        <w:rPr>
          <w:bCs/>
        </w:rPr>
        <w:t xml:space="preserve"> </w:t>
      </w:r>
      <w:r w:rsidR="00E32E82">
        <w:rPr>
          <w:bCs/>
        </w:rPr>
        <w:t>In fact, t</w:t>
      </w:r>
      <w:r w:rsidR="00BB697E">
        <w:rPr>
          <w:bCs/>
        </w:rPr>
        <w:t>he approval of aducanumab</w:t>
      </w:r>
      <w:r w:rsidR="00836F1F" w:rsidRPr="00BB697E">
        <w:rPr>
          <w:bCs/>
        </w:rPr>
        <w:t xml:space="preserve"> is</w:t>
      </w:r>
      <w:r w:rsidR="009A6605" w:rsidRPr="00BB697E">
        <w:rPr>
          <w:bCs/>
        </w:rPr>
        <w:t xml:space="preserve"> only the latest example of </w:t>
      </w:r>
      <w:r w:rsidR="00836F1F" w:rsidRPr="00BB697E">
        <w:rPr>
          <w:bCs/>
        </w:rPr>
        <w:t xml:space="preserve">growing </w:t>
      </w:r>
      <w:r w:rsidR="009A6605" w:rsidRPr="00BB697E">
        <w:rPr>
          <w:bCs/>
        </w:rPr>
        <w:t>regulatory reliance on surrogate endpoints</w:t>
      </w:r>
      <w:r>
        <w:rPr>
          <w:bCs/>
        </w:rPr>
        <w:t>.</w:t>
      </w:r>
      <w:r w:rsidR="00C47748" w:rsidRPr="00BB697E">
        <w:rPr>
          <w:bCs/>
        </w:rPr>
        <w:t xml:space="preserve"> </w:t>
      </w:r>
      <w:r w:rsidR="00FD1905" w:rsidRPr="00BB697E">
        <w:t xml:space="preserve"> </w:t>
      </w:r>
    </w:p>
    <w:p w14:paraId="1E1C5930" w14:textId="77777777" w:rsidR="00D6246E" w:rsidRDefault="00D6246E" w:rsidP="008C6B57">
      <w:pPr>
        <w:spacing w:line="360" w:lineRule="auto"/>
      </w:pPr>
    </w:p>
    <w:p w14:paraId="3FAD7283" w14:textId="1F26E25D" w:rsidR="00AF6014" w:rsidRDefault="006E0EAE" w:rsidP="006E0EAE">
      <w:pPr>
        <w:spacing w:line="360" w:lineRule="auto"/>
        <w:rPr>
          <w:bCs/>
        </w:rPr>
      </w:pPr>
      <w:r>
        <w:t>U</w:t>
      </w:r>
      <w:r w:rsidRPr="00BB697E">
        <w:t xml:space="preserve">sing surrogate endpoints </w:t>
      </w:r>
      <w:r w:rsidR="008B184B">
        <w:t xml:space="preserve">to measure whether a new drug works </w:t>
      </w:r>
      <w:r w:rsidRPr="00BB697E">
        <w:t xml:space="preserve">can </w:t>
      </w:r>
      <w:r>
        <w:t>reduce the duration, cost, and complexity of clinical trials prior to regulatory assessment,</w:t>
      </w:r>
      <w:r w:rsidRPr="00BB697E">
        <w:t xml:space="preserve"> and facilitate faster patient access to new therapies</w:t>
      </w:r>
      <w:r w:rsidR="00D6246E">
        <w:t>, especially in chronic disease settings</w:t>
      </w:r>
      <w:r w:rsidRPr="00BB697E">
        <w:t>.</w:t>
      </w:r>
      <w:r w:rsidRPr="00BB697E">
        <w:fldChar w:fldCharType="begin"/>
      </w:r>
      <w:r w:rsidR="00FF35AB">
        <w:instrText xml:space="preserve"> ADDIN ZOTERO_ITEM CSL_CITATION {"citationID":"rG4TcHHA","properties":{"formattedCitation":"[3]","plainCitation":"[3]","noteIndex":0},"citationItems":[{"id":35,"uris":["http://zotero.org/users/local/XzHhEqW9/items/CAZVWAAH"],"uri":["http://zotero.org/users/local/XzHhEqW9/items/CAZVWAAH"],"itemData":{"id":35,"type":"article-journal","abstract":"IMPORTANCE: Surrogate end points in oncology trade the advantage of reducing the  time needed to conduct clinical trials for the disadvantage of greater uncertainty  regarding the treatment effect on patient-centered end points, such as overall  survival (OS) and quality of life. OBJECTIVE: To quantify the amount of time saved  through the acceptance of surrogate end points, including response rate (RR) and  progression-free survival (PFS). DESIGN, SETTING, AND PARTICIPANTS: This  retrospective study of US Food and Drug Administration (FDA) oncology approvals and  their drug registration trials based on actual publication analyzed the original and  updated clinical trials data that led to FDA-approved drug indications in oncology  from 2006 to 2017 by using existing publications, conference abstracts, and package  inserts from the FDA. Data related to cancer type, line of therapy (first-line,  second-line, and third- or later-line treatment of advanced or metastatic disease),  FDA approval type, end point basis for approval (RR, PFS, or OS/quality of life),  sample size, accrual rate, and drug RR were extracted by March 23, 2018. All data  were analyzed by July 13, 2018. MAIN OUTCOMES AND MEASURES: The main outcome was the  study duration needed to complete the primary end point analysis used for each drug  indication approval. This was estimated from reported enrollment dates, analysis  cutoff dates, time to response, median duration of response, median PFS, and median  OS. RESULTS: In total, 188 distinct indications among 107 cancer drugs were  identified. The RR was more often used for FDA approval in subsequent lines of  therapy (17 of 71 drug indications [24%] in first-line therapy vs 34 of 77 drug  indications [44%] in second-line therapy vs 19 of 24 drug indications [79%] in  third- or later-line therapy, P &lt; .001). Study duration for PFS (median, 31 [range,  10-104] months) was similar to that for OS (median, 33 [range, 12-117] months;  P = .31), whereas study duration for RR (median, 25 [range, 11-54] months) was  shorter than that for OS (P = .001). In multivariate analysis, compared with using  OS, use of PFS as the end point was associated with study durations that were  shorter by a mean of 11 months (95% CI, 5-17 months), and the use of RR as the end  point was associated with study durations that were shorter by a mean of 19 months  (95% CI, 13-25 months). CONCLUSIONS AND RELEVANCE: From the findings of this study,  an estimated 11 months appeared to be needed (ie, approximately 12% longer in the  drug development cycle) to assess the OS benefit of a cancer drug. This study's  findings suggest that this must be weighed against the downside of increased  uncertainty of clinical benefit arising from using surrogate end points.","container-title":"JAMA internal medicine","DOI":"10.1001/jamainternmed.2018.8351","ISSN":"2168-6114 2168-6106 2168-6106","issue":"5","journalAbbreviation":"JAMA Intern Med","language":"eng","note":"PMID: 30933235 \nPMCID: PMC6503556","page":"642-647","title":"Estimation of Study Time Reduction Using Surrogate End Points Rather Than Overall  Survival in Oncology Clinical Trials.","volume":"179","author":[{"family":"Chen","given":"Emerson Y."},{"family":"Joshi","given":"Sunil K."},{"family":"Tran","given":"Audrey"},{"family":"Prasad","given":"Vinay"}],"issued":{"date-parts":[["2019",5,1]]}}}],"schema":"https://github.com/citation-style-language/schema/raw/master/csl-citation.json"} </w:instrText>
      </w:r>
      <w:r w:rsidRPr="00BB697E">
        <w:fldChar w:fldCharType="separate"/>
      </w:r>
      <w:r w:rsidR="00FF35AB" w:rsidRPr="00FF35AB">
        <w:t>[3]</w:t>
      </w:r>
      <w:r w:rsidRPr="00BB697E">
        <w:fldChar w:fldCharType="end"/>
      </w:r>
      <w:r w:rsidRPr="00BB697E">
        <w:t xml:space="preserve"> </w:t>
      </w:r>
      <w:r w:rsidR="00AE76C3" w:rsidRPr="00BB697E">
        <w:t xml:space="preserve">For example, in early-stage gastric cancer, clinical outcomes like overall survival—how long patients live after receiving treatment—are of primary interest to patients whilst surrogate endpoints such as disease-free survival potentially can be used to measure </w:t>
      </w:r>
      <w:r w:rsidR="00AE76C3">
        <w:t>drug effects</w:t>
      </w:r>
      <w:r w:rsidR="00AE76C3" w:rsidRPr="00BB697E">
        <w:t xml:space="preserve"> earlier.</w:t>
      </w:r>
      <w:r w:rsidR="00AE76C3">
        <w:fldChar w:fldCharType="begin"/>
      </w:r>
      <w:r w:rsidR="00251F2F">
        <w:instrText xml:space="preserve"> ADDIN ZOTERO_ITEM CSL_CITATION {"citationID":"flrB2xRJ","properties":{"formattedCitation":"[4]","plainCitation":"[4]","noteIndex":0},"citationItems":[{"id":163,"uris":["http://zotero.org/users/local/XzHhEqW9/items/ZJCFE3MD"],"uri":["http://zotero.org/users/local/XzHhEqW9/items/ZJCFE3MD"],"itemData":{"id":163,"type":"article-journal","abstract":"BACKGROUND: In investigations of the effectiveness of surgery and adjuvant chemotherapy for gastric cancers, overall survival (OS) is considered the gold  standard endpoint. However, the disadvantage of using OS as the endpoint is that it  requires an extended follow-up period. We sought to investigate whether disease-free  survival (DFS) is a valid surrogate for OS in trials of adjuvant chemotherapy for  gastric cancer. METHODS: The GASTRIC group initiated a meta-analysis of individual  patient data collected in randomized clinical trials comparing adjuvant chemotherapy  vs surgery alone for patients with curatively resected gastric cancer. Surrogacy of  DFS was assessed through the correlation between the endpoints as well as through  the correlation between the treatment effects on the endpoints. External validation  of the prediction based on DFS was also evaluated. RESULTS: Individual patient data  from 14 randomized clinical trials that included a total of 3288 patients were  analyzed. The rank correlation coefficient between DFS and OS was 0.974 (95%  confidence interval [CI] = 0.971 to 0.976). The coefficient of determination between  the treatment effects on DFS and on OS was as high as 0.964 (95% CI = 0.926 to  1.000), and the surrogate threshold effect based on adjusted regression analysis was  0.92. In external validation, the six hazard ratios for OS predicted according to  DFS were in very good agreement with those actually observed for OS. CONCLUSIONS:  DFS is an acceptable surrogate for OS in trials of cytotoxic agents for gastric  cancer in the adjuvant setting.","container-title":"Journal of the National Cancer Institute","DOI":"10.1093/jnci/djt270","ISSN":"1460-2105 0027-8874","issue":"21","journalAbbreviation":"J Natl Cancer Inst","language":"eng","note":"PMID: 24108812 \nPMCID: PMC4202244","page":"1600-1607","title":"Disease-free survival as a surrogate for overall survival in adjuvant trials of gastric cancer: a meta-analysis.","volume":"105","author":[{"family":"Oba","given":"Koji"},{"family":"Paoletti","given":"Xavier"},{"family":"Alberts","given":"Steven"},{"family":"Bang","given":"Yung-Jue"},{"family":"Benedetti","given":"Jacqueline"},{"family":"Bleiberg","given":"Harry"},{"family":"Catalano","given":"Paul"},{"family":"Lordick","given":"Florian"},{"family":"Michiels","given":"Stefan"},{"family":"Morita","given":"Satoshi"},{"family":"Ohashi","given":"Yasuo"},{"family":"Pignon","given":"Jean-Pierre"},{"family":"Rougier","given":"Philippe"},{"family":"Sasako","given":"Mitsuru"},{"family":"Sakamoto","given":"Junichi"},{"family":"Sargent","given":"Daniel"},{"family":"Shitara","given":"Kohei"},{"family":"Cutsem","given":"Eric Van"},{"family":"Buyse","given":"Marc"},{"family":"Burzykowski","given":"Tomasz"}],"issued":{"date-parts":[["2013",11,6]]}}}],"schema":"https://github.com/citation-style-language/schema/raw/master/csl-citation.json"} </w:instrText>
      </w:r>
      <w:r w:rsidR="00AE76C3">
        <w:fldChar w:fldCharType="separate"/>
      </w:r>
      <w:r w:rsidR="00251F2F" w:rsidRPr="00251F2F">
        <w:t>[4]</w:t>
      </w:r>
      <w:r w:rsidR="00AE76C3">
        <w:fldChar w:fldCharType="end"/>
      </w:r>
      <w:r w:rsidR="00AE76C3">
        <w:rPr>
          <w:bCs/>
        </w:rPr>
        <w:t xml:space="preserve"> </w:t>
      </w:r>
      <w:r w:rsidR="00133F73">
        <w:rPr>
          <w:bCs/>
        </w:rPr>
        <w:t xml:space="preserve">In a recent evaluation, using surrogate endpoints in cancer drug trials reduced clinical development time by approximately 11 months compared with measuring overall survival. </w:t>
      </w:r>
      <w:r w:rsidR="00251F2F">
        <w:rPr>
          <w:bCs/>
        </w:rPr>
        <w:fldChar w:fldCharType="begin"/>
      </w:r>
      <w:r w:rsidR="00251F2F">
        <w:rPr>
          <w:bCs/>
        </w:rPr>
        <w:instrText xml:space="preserve"> ADDIN ZOTERO_ITEM CSL_CITATION {"citationID":"rTAt7Eby","properties":{"formattedCitation":"[3]","plainCitation":"[3]","noteIndex":0},"citationItems":[{"id":35,"uris":["http://zotero.org/users/local/XzHhEqW9/items/CAZVWAAH"],"uri":["http://zotero.org/users/local/XzHhEqW9/items/CAZVWAAH"],"itemData":{"id":35,"type":"article-journal","abstract":"IMPORTANCE: Surrogate end points in oncology trade the advantage of reducing the  time needed to conduct clinical trials for the disadvantage of greater uncertainty  regarding the treatment effect on patient-centered end points, such as overall  survival (OS) and quality of life. OBJECTIVE: To quantify the amount of time saved  through the acceptance of surrogate end points, including response rate (RR) and  progression-free survival (PFS). DESIGN, SETTING, AND PARTICIPANTS: This  retrospective study of US Food and Drug Administration (FDA) oncology approvals and  their drug registration trials based on actual publication analyzed the original and  updated clinical trials data that led to FDA-approved drug indications in oncology  from 2006 to 2017 by using existing publications, conference abstracts, and package  inserts from the FDA. Data related to cancer type, line of therapy (first-line,  second-line, and third- or later-line treatment of advanced or metastatic disease),  FDA approval type, end point basis for approval (RR, PFS, or OS/quality of life),  sample size, accrual rate, and drug RR were extracted by March 23, 2018. All data  were analyzed by July 13, 2018. MAIN OUTCOMES AND MEASURES: The main outcome was the  study duration needed to complete the primary end point analysis used for each drug  indication approval. This was estimated from reported enrollment dates, analysis  cutoff dates, time to response, median duration of response, median PFS, and median  OS. RESULTS: In total, 188 distinct indications among 107 cancer drugs were  identified. The RR was more often used for FDA approval in subsequent lines of  therapy (17 of 71 drug indications [24%] in first-line therapy vs 34 of 77 drug  indications [44%] in second-line therapy vs 19 of 24 drug indications [79%] in  third- or later-line therapy, P &lt; .001). Study duration for PFS (median, 31 [range,  10-104] months) was similar to that for OS (median, 33 [range, 12-117] months;  P = .31), whereas study duration for RR (median, 25 [range, 11-54] months) was  shorter than that for OS (P = .001). In multivariate analysis, compared with using  OS, use of PFS as the end point was associated with study durations that were  shorter by a mean of 11 months (95% CI, 5-17 months), and the use of RR as the end  point was associated with study durations that were shorter by a mean of 19 months  (95% CI, 13-25 months). CONCLUSIONS AND RELEVANCE: From the findings of this study,  an estimated 11 months appeared to be needed (ie, approximately 12% longer in the  drug development cycle) to assess the OS benefit of a cancer drug. This study's  findings suggest that this must be weighed against the downside of increased  uncertainty of clinical benefit arising from using surrogate end points.","container-title":"JAMA internal medicine","DOI":"10.1001/jamainternmed.2018.8351","ISSN":"2168-6114 2168-6106 2168-6106","issue":"5","journalAbbreviation":"JAMA Intern Med","language":"eng","note":"PMID: 30933235 \nPMCID: PMC6503556","page":"642-647","title":"Estimation of Study Time Reduction Using Surrogate End Points Rather Than Overall  Survival in Oncology Clinical Trials.","volume":"179","author":[{"family":"Chen","given":"Emerson Y."},{"family":"Joshi","given":"Sunil K."},{"family":"Tran","given":"Audrey"},{"family":"Prasad","given":"Vinay"}],"issued":{"date-parts":[["2019",5,1]]}}}],"schema":"https://github.com/citation-style-language/schema/raw/master/csl-citation.json"} </w:instrText>
      </w:r>
      <w:r w:rsidR="00251F2F">
        <w:rPr>
          <w:bCs/>
        </w:rPr>
        <w:fldChar w:fldCharType="separate"/>
      </w:r>
      <w:r w:rsidR="00251F2F" w:rsidRPr="00251F2F">
        <w:t>[3]</w:t>
      </w:r>
      <w:r w:rsidR="00251F2F">
        <w:rPr>
          <w:bCs/>
        </w:rPr>
        <w:fldChar w:fldCharType="end"/>
      </w:r>
      <w:r w:rsidR="00990089">
        <w:rPr>
          <w:bCs/>
        </w:rPr>
        <w:t xml:space="preserve"> </w:t>
      </w:r>
      <w:r>
        <w:rPr>
          <w:bCs/>
        </w:rPr>
        <w:t>However</w:t>
      </w:r>
      <w:r w:rsidRPr="00BB697E">
        <w:rPr>
          <w:bCs/>
        </w:rPr>
        <w:t xml:space="preserve">, </w:t>
      </w:r>
      <w:r w:rsidR="00251F2F">
        <w:rPr>
          <w:bCs/>
        </w:rPr>
        <w:t xml:space="preserve">the use of </w:t>
      </w:r>
      <w:r w:rsidRPr="00BB697E">
        <w:rPr>
          <w:bCs/>
        </w:rPr>
        <w:t xml:space="preserve">such endpoints can also have </w:t>
      </w:r>
      <w:r w:rsidR="00683B84">
        <w:rPr>
          <w:bCs/>
        </w:rPr>
        <w:t>negative</w:t>
      </w:r>
      <w:r w:rsidR="00683B84" w:rsidRPr="00BB697E">
        <w:rPr>
          <w:bCs/>
        </w:rPr>
        <w:t xml:space="preserve"> </w:t>
      </w:r>
      <w:r w:rsidRPr="00BB697E">
        <w:rPr>
          <w:bCs/>
        </w:rPr>
        <w:t xml:space="preserve">implications. </w:t>
      </w:r>
    </w:p>
    <w:p w14:paraId="5FB13986" w14:textId="2DD884DD" w:rsidR="00AF6014" w:rsidRDefault="00AF6014" w:rsidP="006E0EAE">
      <w:pPr>
        <w:spacing w:line="360" w:lineRule="auto"/>
        <w:rPr>
          <w:bCs/>
        </w:rPr>
      </w:pPr>
    </w:p>
    <w:p w14:paraId="401E452F" w14:textId="367E466D" w:rsidR="00251F2F" w:rsidRDefault="00251F2F" w:rsidP="00251F2F">
      <w:pPr>
        <w:spacing w:line="360" w:lineRule="auto"/>
        <w:rPr>
          <w:bCs/>
        </w:rPr>
      </w:pPr>
      <w:r>
        <w:rPr>
          <w:bCs/>
        </w:rPr>
        <w:t xml:space="preserve">Regulatory reliance on </w:t>
      </w:r>
      <w:r w:rsidRPr="00BB697E">
        <w:t xml:space="preserve">surrogate endpoints </w:t>
      </w:r>
      <w:r>
        <w:rPr>
          <w:bCs/>
        </w:rPr>
        <w:t>makes it challenging for</w:t>
      </w:r>
      <w:r w:rsidRPr="00BB697E">
        <w:rPr>
          <w:bCs/>
        </w:rPr>
        <w:t xml:space="preserve"> HTA bodies, such as the National Institute for Health and Care Excellence (NICE)</w:t>
      </w:r>
      <w:r>
        <w:rPr>
          <w:bCs/>
        </w:rPr>
        <w:t>, to make their decisions</w:t>
      </w:r>
      <w:r w:rsidRPr="00BB697E">
        <w:rPr>
          <w:bCs/>
        </w:rPr>
        <w:t>. The assessments conducted by HTA bodie</w:t>
      </w:r>
      <w:r>
        <w:rPr>
          <w:bCs/>
        </w:rPr>
        <w:t xml:space="preserve">s </w:t>
      </w:r>
      <w:r w:rsidRPr="00BB697E">
        <w:rPr>
          <w:bCs/>
        </w:rPr>
        <w:t xml:space="preserve">typically include comparative clinical and cost-effectiveness considerations. When new drugs receive regulatory approval based on </w:t>
      </w:r>
      <w:r w:rsidRPr="00BB697E">
        <w:t xml:space="preserve">surrogate endpoints </w:t>
      </w:r>
      <w:r w:rsidRPr="00BB697E">
        <w:rPr>
          <w:bCs/>
        </w:rPr>
        <w:t xml:space="preserve">alone, </w:t>
      </w:r>
      <w:r>
        <w:rPr>
          <w:bCs/>
        </w:rPr>
        <w:t xml:space="preserve">assessing how well they work in terms of impact on patient-relevant </w:t>
      </w:r>
      <w:r w:rsidR="007C29B7">
        <w:rPr>
          <w:bCs/>
        </w:rPr>
        <w:t xml:space="preserve">clinical </w:t>
      </w:r>
      <w:r>
        <w:rPr>
          <w:bCs/>
        </w:rPr>
        <w:t>outcomes</w:t>
      </w:r>
      <w:r w:rsidR="00DE4B82">
        <w:rPr>
          <w:bCs/>
        </w:rPr>
        <w:t>, such as</w:t>
      </w:r>
      <w:r w:rsidR="00DE4B82" w:rsidRPr="00BB697E">
        <w:rPr>
          <w:bCs/>
        </w:rPr>
        <w:t xml:space="preserve"> health-related quality of life </w:t>
      </w:r>
      <w:r w:rsidR="00DE4B82">
        <w:rPr>
          <w:bCs/>
        </w:rPr>
        <w:t>and</w:t>
      </w:r>
      <w:r w:rsidR="00DE4B82" w:rsidRPr="00BB697E">
        <w:rPr>
          <w:bCs/>
        </w:rPr>
        <w:t xml:space="preserve"> survival</w:t>
      </w:r>
      <w:r w:rsidR="00DE4B82">
        <w:rPr>
          <w:bCs/>
        </w:rPr>
        <w:t>,</w:t>
      </w:r>
      <w:r>
        <w:rPr>
          <w:bCs/>
        </w:rPr>
        <w:t xml:space="preserve"> in the short and long term </w:t>
      </w:r>
      <w:r w:rsidRPr="00BB697E">
        <w:rPr>
          <w:bCs/>
        </w:rPr>
        <w:t xml:space="preserve">are </w:t>
      </w:r>
      <w:r>
        <w:rPr>
          <w:bCs/>
        </w:rPr>
        <w:t>fraught</w:t>
      </w:r>
      <w:r w:rsidRPr="00BB697E">
        <w:rPr>
          <w:bCs/>
        </w:rPr>
        <w:t xml:space="preserve"> with </w:t>
      </w:r>
      <w:r>
        <w:rPr>
          <w:bCs/>
        </w:rPr>
        <w:t>considerable</w:t>
      </w:r>
      <w:r w:rsidRPr="00BB697E">
        <w:rPr>
          <w:bCs/>
        </w:rPr>
        <w:t xml:space="preserve"> uncertainty. </w:t>
      </w:r>
    </w:p>
    <w:p w14:paraId="666DE527" w14:textId="77777777" w:rsidR="00AE76C3" w:rsidRDefault="00AE76C3" w:rsidP="006E0EAE">
      <w:pPr>
        <w:spacing w:line="360" w:lineRule="auto"/>
        <w:rPr>
          <w:bCs/>
        </w:rPr>
      </w:pPr>
    </w:p>
    <w:p w14:paraId="3B3EE1AE" w14:textId="1A744918" w:rsidR="005561F5" w:rsidRDefault="00314E41" w:rsidP="00AF6014">
      <w:pPr>
        <w:spacing w:line="360" w:lineRule="auto"/>
      </w:pPr>
      <w:r>
        <w:rPr>
          <w:bCs/>
        </w:rPr>
        <w:t>For</w:t>
      </w:r>
      <w:r w:rsidR="006E0EAE" w:rsidRPr="00BB697E">
        <w:rPr>
          <w:bCs/>
        </w:rPr>
        <w:t xml:space="preserve"> patients and clinicians, </w:t>
      </w:r>
      <w:r w:rsidR="006E0EAE" w:rsidRPr="00BB697E">
        <w:t xml:space="preserve">surrogate endpoints </w:t>
      </w:r>
      <w:r w:rsidR="006E0EAE" w:rsidRPr="00BB697E">
        <w:rPr>
          <w:bCs/>
        </w:rPr>
        <w:t>can complicate treatment decisions</w:t>
      </w:r>
      <w:r w:rsidR="007E379C">
        <w:rPr>
          <w:bCs/>
        </w:rPr>
        <w:t>.</w:t>
      </w:r>
      <w:r w:rsidR="006E0EAE" w:rsidRPr="00BB697E">
        <w:rPr>
          <w:bCs/>
        </w:rPr>
        <w:fldChar w:fldCharType="begin"/>
      </w:r>
      <w:r w:rsidR="00251F2F">
        <w:rPr>
          <w:bCs/>
        </w:rPr>
        <w:instrText xml:space="preserve"> ADDIN ZOTERO_ITEM CSL_CITATION {"citationID":"BIaAsPZ1","properties":{"formattedCitation":"[5]","plainCitation":"[5]","noteIndex":0},"citationItems":[{"id":37,"uris":["http://zotero.org/users/local/XzHhEqW9/items/DLSMM43E"],"uri":["http://zotero.org/users/local/XzHhEqW9/items/DLSMM43E"],"itemData":{"id":37,"type":"article-journal","abstract":"Easier to measure surrogate outcomes are often used instead of patient important outcomes such as death, quality of life, or functional capacity when assessing treatments. John Yudkin, Kasia Lipska, and Victor Montori argue that our obsession with surrogates is damaging patient care Diabetes care is largely driven by surrogates. The US Institute of Medicine defines surrogates as “biomarker[s] intended to substitute for a clinical endpoint [and] expected to predict clinical beneﬁt (or harm . . .) based on epidemiologic, therapeutic, pathophysiologic, or other scientiﬁc evidence.”1 In diabetes, concentrations of glycated haemoglobin (HbA1c) are used as a surrogate marker for outcomes that are important to patients, such as blindness or amputation. Other surrogates such as blood pressure, lipids, albumin excretion rates, and C reactive protein have been used to predict outcomes of cardiovascular disease and to guide clinical practice in people with or without diabetes. Much of the evidence for clinical interventions is based on their effect on surrogate outcomes rather than those that matter to patients such as quality of life or avoidance of vision loss or renal failure. Moreover, because these “hard” end points generally show much smaller responses to interventions than surrogate markers, many of the widely accepted strategies for diabetes may be based on artificially inflated expectations.Recent studies have challenged the assumption that reliance on surrogates can accurately predict the effect of treatment on hard outcomes. There are the oral hypoglycaemic drugs that reduce HbA1c but increase the risk of cardiovascular events,2 antihypertensive drugs that do not reduce the risk of stroke,3 and drugs that improve cholesterol profiles but do not reduce cardiovascular events.4 Explanations for such phenomena include unwanted effects of the drug or an incomplete understanding of the pathophysiology of the disease.5 But why have …","container-title":"BMJ","DOI":"10.1136/bmj.d7995","journalAbbreviation":"BMJ","page":"d7995","title":"The idolatry of the surrogate","volume":"343","author":[{"family":"Yudkin","given":"John S"},{"family":"Lipska","given":"Kasia J"},{"family":"Montori","given":"Victor M"}],"issued":{"date-parts":[["2011",12,28]]}}}],"schema":"https://github.com/citation-style-language/schema/raw/master/csl-citation.json"} </w:instrText>
      </w:r>
      <w:r w:rsidR="006E0EAE" w:rsidRPr="00BB697E">
        <w:rPr>
          <w:bCs/>
        </w:rPr>
        <w:fldChar w:fldCharType="separate"/>
      </w:r>
      <w:r w:rsidR="00251F2F" w:rsidRPr="00251F2F">
        <w:t>[5]</w:t>
      </w:r>
      <w:r w:rsidR="006E0EAE" w:rsidRPr="00BB697E">
        <w:rPr>
          <w:bCs/>
        </w:rPr>
        <w:fldChar w:fldCharType="end"/>
      </w:r>
      <w:r w:rsidR="006E0EAE" w:rsidRPr="00BB697E">
        <w:rPr>
          <w:bCs/>
        </w:rPr>
        <w:t xml:space="preserve"> </w:t>
      </w:r>
      <w:r w:rsidR="007E379C">
        <w:rPr>
          <w:bCs/>
        </w:rPr>
        <w:t xml:space="preserve">Surrogate endpoints </w:t>
      </w:r>
      <w:r w:rsidR="006E0EAE" w:rsidRPr="00BB697E">
        <w:t>are not inherently meaningful on their own</w:t>
      </w:r>
      <w:r w:rsidR="00AE76C3">
        <w:t>,</w:t>
      </w:r>
      <w:r w:rsidR="007E379C">
        <w:t xml:space="preserve"> and</w:t>
      </w:r>
      <w:r w:rsidR="006E0EAE" w:rsidRPr="00BB697E">
        <w:t xml:space="preserve"> </w:t>
      </w:r>
      <w:r w:rsidR="00AE76C3">
        <w:t xml:space="preserve">clinicians and </w:t>
      </w:r>
      <w:r w:rsidR="007E379C">
        <w:t>p</w:t>
      </w:r>
      <w:r w:rsidR="00361D6D">
        <w:t xml:space="preserve">atients may misinterpret </w:t>
      </w:r>
      <w:r w:rsidR="00361D6D">
        <w:lastRenderedPageBreak/>
        <w:t>drug effects on surrogate endpoints as clinically meaningful improvements.</w:t>
      </w:r>
      <w:r w:rsidR="00FF35AB">
        <w:fldChar w:fldCharType="begin"/>
      </w:r>
      <w:r w:rsidR="00251F2F">
        <w:instrText xml:space="preserve"> ADDIN ZOTERO_ITEM CSL_CITATION {"citationID":"y0W2rzO9","properties":{"formattedCitation":"[6]","plainCitation":"[6]","noteIndex":0},"citationItems":[{"id":173,"uris":["http://zotero.org/users/local/XzHhEqW9/items/JPXWF37M"],"uri":["http://zotero.org/users/local/XzHhEqW9/items/JPXWF37M"],"itemData":{"id":173,"type":"article-journal","abstract":"IMPORTANCE: It is unclear whether patients with advanced cancer value surrogate end points, particularly progression-free survival (PFS). Despite this uncertainty,  surrogate end points form the basis of regulatory approval for the majority of new  cancer treatments. OBJECTIVE: To summarize and qualitatively assess studies  evaluating whether patients with advanced cancer understand and value PFS. EVIDENCE  REVIEW: MEDLINE, Embase, the Cochrane Database of Systematic Reviews, the Cochrane  Central Register of Controlled Trials, and the Cumulative Index to Nursing and  Allied Health Literature databases were searched from database inception to November  12, 2018. Articles eligible for inclusion investigated patient understanding,  preference, or perceived value of disease progression or PFS in the setting of  advanced cancer. Three authors independently reviewed and extracted data from all  studies eligible for inclusion. FINDINGS: In total, 17 studies representing 3646  patients were included. Of these studies, 15 specifically aimed to assess patients'  values toward, and their willingness to trade off toxic effects for gains or losses  in the end point of PFS. All studies examined used widely disparate definitions when  attempting to describe the meaning of PFS to patients. Ten studies specifically  presented patients with the term progression-free survival as an attribute choice.  In the words used to define the attribute of PFS, 6 studies used the term survival.  Five studies clarified that PFS may not translate into better overall survival, and  5 studies explained that improvements in PFS may not reflect how well the patient  may feel. No study clarified that a PFS event could represent either progression or  death, and no study defined for the patient what constituted progression. The  studies assessed herein underrepresented ethnic and racial minorities (mean  percentage of white patients, 88%; range, 77%-96%). Values and preferences may vary  across cultural backgrounds given that different relative preferences were assigned  to cost and efficacy outcomes in North American vs Asian studies, although only a  few studies were evaluated. CONCLUSIONS AND RELEVANCE: The existing literature  evaluating patients' understanding, preferences, and values toward the end point of  PFS was severely limited by the heterogeneity of methods, attribute selection, and  descriptions used to define PFS to patients. High-quality studies are needed that  clearly define PFS for patients and that systematically document their understanding  of the term. Only then can it be assessed whether PFS is an end point of value to  patients with advanced cancer.","container-title":"JAMA oncology","DOI":"10.1001/jamaoncol.2019.3338","ISSN":"2374-2445 2374-2437","issue":"12","journalAbbreviation":"JAMA Oncol","language":"eng","note":"publisher-place: United States\nPMID: 31556921","page":"1779-1789","title":"The Value of Progression-Free Survival as a Treatment End Point Among Patients With Advanced Cancer: A Systematic Review and Qualitative Assessment of the Literature.","volume":"5","author":[{"family":"Raphael","given":"Michael J."},{"family":"Robinson","given":"Andrew"},{"family":"Booth","given":"Christopher M."},{"family":"O'Donnell","given":"Jennifer"},{"family":"Palmer","given":"Michael"},{"family":"Eisenhauer","given":"Elizabeth"},{"family":"Brundage","given":"Michael"}],"issued":{"date-parts":[["2019",12,1]]}}}],"schema":"https://github.com/citation-style-language/schema/raw/master/csl-citation.json"} </w:instrText>
      </w:r>
      <w:r w:rsidR="00FF35AB">
        <w:fldChar w:fldCharType="separate"/>
      </w:r>
      <w:r w:rsidR="00251F2F" w:rsidRPr="00251F2F">
        <w:t>[6]</w:t>
      </w:r>
      <w:r w:rsidR="00FF35AB">
        <w:fldChar w:fldCharType="end"/>
      </w:r>
      <w:r w:rsidR="00361D6D">
        <w:t xml:space="preserve"> This matters</w:t>
      </w:r>
      <w:r w:rsidR="00E41B0A">
        <w:t>,</w:t>
      </w:r>
      <w:r w:rsidR="00361D6D">
        <w:t xml:space="preserve"> because</w:t>
      </w:r>
      <w:r w:rsidR="00FB540D">
        <w:t xml:space="preserve"> d</w:t>
      </w:r>
      <w:r w:rsidR="006E0EAE" w:rsidRPr="00BB697E">
        <w:rPr>
          <w:bCs/>
        </w:rPr>
        <w:t xml:space="preserve">rugs approved on the basis of </w:t>
      </w:r>
      <w:r w:rsidR="006E0EAE" w:rsidRPr="00BB697E">
        <w:t xml:space="preserve">surrogate endpoints </w:t>
      </w:r>
      <w:r w:rsidR="006E0EAE" w:rsidRPr="00BB697E">
        <w:rPr>
          <w:bCs/>
        </w:rPr>
        <w:t xml:space="preserve">may not ultimately influence patient-relevant clinical outcomes. </w:t>
      </w:r>
      <w:r w:rsidR="006E0EAE" w:rsidRPr="00BB697E">
        <w:t xml:space="preserve">In cancer, for example, most </w:t>
      </w:r>
      <w:r w:rsidR="00FD544E">
        <w:t xml:space="preserve">approved </w:t>
      </w:r>
      <w:r w:rsidR="00580319">
        <w:t>drugs with effects on surrogate endpoints</w:t>
      </w:r>
      <w:r w:rsidR="00D41BDE">
        <w:t xml:space="preserve"> such as </w:t>
      </w:r>
      <w:r w:rsidR="00820C46">
        <w:t xml:space="preserve">response rates and </w:t>
      </w:r>
      <w:r w:rsidR="00AE76C3">
        <w:t>progression-free survival</w:t>
      </w:r>
      <w:r w:rsidR="00FD544E">
        <w:t xml:space="preserve"> (that were imagined to be predictive of patient-relevant benefit)</w:t>
      </w:r>
      <w:r w:rsidR="00580319">
        <w:t xml:space="preserve"> do not</w:t>
      </w:r>
      <w:r w:rsidR="00FD544E">
        <w:t>, in fact,</w:t>
      </w:r>
      <w:r w:rsidR="00580319">
        <w:t xml:space="preserve"> improve </w:t>
      </w:r>
      <w:r w:rsidR="00D6246E">
        <w:t>quality of life</w:t>
      </w:r>
      <w:r w:rsidR="008B184B">
        <w:t xml:space="preserve"> or </w:t>
      </w:r>
      <w:r w:rsidR="00580319">
        <w:t xml:space="preserve">prolong </w:t>
      </w:r>
      <w:r w:rsidR="008B184B">
        <w:t>survival</w:t>
      </w:r>
      <w:r w:rsidR="006E0EAE" w:rsidRPr="00BB697E">
        <w:t>.</w:t>
      </w:r>
      <w:r w:rsidR="006E0EAE" w:rsidRPr="00BB697E">
        <w:fldChar w:fldCharType="begin"/>
      </w:r>
      <w:r w:rsidR="00251F2F">
        <w:instrText xml:space="preserve"> ADDIN ZOTERO_ITEM CSL_CITATION {"citationID":"aXaNt11t","properties":{"formattedCitation":"[7\\uc0\\u8211{}9]","plainCitation":"[7–9]","noteIndex":0},"citationItems":[{"id":38,"uris":["http://zotero.org/users/local/XzHhEqW9/items/YQLWK844"],"uri":["http://zotero.org/users/local/XzHhEqW9/items/YQLWK844"],"itemData":{"id":38,"type":"article-journal","abstract":"The strength of association between surrogate end points and survival in oncology is important to understand because surrogate end points are frequently used in oncology clinical trials, supporting US Food and Drug Administration approvals and National Comprehensive Cancer Network guideline recommendations.To identify and evaluate trial-level meta-analyses of randomized clinical trials quantifying the association between a surrogate end point and overall survival in medical oncology. Trial-level correlations test whether treatments that improve the surrogate end point also improve the final end point and are widely considered the strongest evidence to validate a surrogate end point.Our literature search was built on earlier reported data sets and updated with Google Scholar and MEDLINE searches conducted on December 26, 2014. For MEDLINE, search terms included (“regression” or “correlation”) and “surrogate” and “end point [or endpoint]” and (“oncology” or “cancer”). For Google scholar, search terms included (“regression” or “correlation”) and “surrogate end point [or endpoint]” and “overall survival” and “trial level.” A total of 108 abstracts were retrieved, and 62 articles were read in full in addition to articles identified through prior reviews.We found 36 articles in which 65 specific correlations between a surrogate end point and survival were identified. Surrogate end points were studied in the neoadjuvant, adjuvant, locally advanced, and metastatic settings. The most common sources for trials included in the 36 articles were systematic reviews of the published literature (10 of 36; 28%), and published literature and meeting abstracts (14 of 36; 39%). Four meta-analyses (11%) used a convenience sample, and only 5 studies (14%) attempted to include unpublished trials by surveying clinical trial registries. Among these 5 studies, only 352 of 684 eligible trials (51.1%) were included in the analyses. More than half of reported correlations (34 of 65; 52%) were of low strength (r ≤ 0.7). Approximately a quarter (16 of 65; 25%) were of medium strength (r &amp;gt; 0.7 to r &amp;lt; 0.85), and 15 of 65 (23%) were highly correlated (r ≥ 0.85) with survival.Most trial-level validation studies of surrogate end points in oncology find low correlations with survival. All validation studies use only a subset of available trials. The evidence supporting the use of surrogate end points in oncology is limited.","container-title":"JAMA Internal Medicine","DOI":"10.1001/jamainternmed.2015.2829","ISSN":"2168-6106","issue":"8","journalAbbreviation":"JAMA Internal Medicine","page":"1389-1398","title":"The Strength of Association Between Surrogate End Points and Survival in Oncology: A Systematic Review of Trial-Level Meta-analyses","volume":"175","author":[{"family":"Prasad","given":"Vinay"},{"family":"Kim","given":"Chul"},{"family":"Burotto","given":"Mauricio"},{"family":"Vandross","given":"Andrae"}],"issued":{"date-parts":[["2015",8,1]]}},"label":"page"},{"id":39,"uris":["http://zotero.org/users/local/XzHhEqW9/items/75J3IRSR"],"uri":["http://zotero.org/users/local/XzHhEqW9/items/75J3IRSR"],"itemData":{"id":39,"type":"article-journal","abstract":"Quality of life outcomes provide essential information for patients and physicians in oncology care. However, the validity of progression-free survival (PFS) as a surrogate for quality of life, and the inclusion and reporting of quality of life endpoints in clinical trials, is unclear. We performed a retrospective study of phase III clinical trials of drugs for advanced or metastatic solid tumors published between 2010 and 2015. Correlation coefficient (r) and area under the ROC curve (AUC) for association between PFS and positive quality of life were evaluated. Of the 352 Phase 3 trials included, 190 (54%) included a quality of life endpoint, of which 23% did not report pre-specified quality of life outcomes; a total of 125,962 patients were enrolled in studies lacking, or not reporting, quality of life outcomes. Among the 147 trials that reported quality of life outcomes, 99 (67%) reported no effect, 38 (26%) reported a positive effect and 10 (7%) reported a negative effect of treatment on patients? global quality of life. The association between PFS and improvement in global quality of life was weak (r = 0.34; AUC = 0.72), as was the association between PFS and improvement in any domain of quality of life. In conclusion, PFS benefit was not strongly correlated with improvements in patients? quality of life, and, despite the palliative intent of treatments in the advanced/metastatic setting, the availability of quality of life data from clinical trials of cancer drugs was poor.","container-title":"International Journal of Cancer","DOI":"10.1002/ijc.31957","ISSN":"0020-7136","issue":"7","journalAbbreviation":"International Journal of Cancer","note":"publisher: John Wiley &amp; Sons, Ltd","page":"1746-1751","title":"Association between progression-free survival and patients’ quality of life in cancer clinical trials","volume":"144","author":[{"family":"Hwang","given":"Thomas J."},{"family":"Gyawali","given":"Bishal"}],"issued":{"date-parts":[["2019",4,1]]}},"label":"page"},{"id":41,"uris":["http://zotero.org/users/local/XzHhEqW9/items/XTK9SVNC"],"uri":["http://zotero.org/users/local/XzHhEqW9/items/XTK9SVNC"],"itemData":{"id":41,"type":"article-journal","abstract":"Progression-free survival (PFS) has become a commonly used outcome to assess the efficacy of new cancer drugs. However, it is not clear if delay in progression leads to improved quality of life with or without overall survival benefit.To evaluate the association between PFS and health-related quality of life (HRQoL) in oncology through a systematic review and quantitative analysis of published randomized clinical trials. Eligible trials addressed oral, intravenous, intraperitoneal, or intrapleural chemotherapy or biological treatments, and reported PFS or health-related quality of life.For this systematic review and quantitative analysis of randomized clinical trials of patients with cancer, we searched Medline, Embase, and the Cochrane Central Register of Controlled Trials from January 1, 2000, through May 4, 2016.Paired reviewers independently screened citations, extracted data, and assessed risk of bias of included studies.We examined the association of difference in median PFS duration (in months) between treatment groups with difference in global, physical, and emotional HRQoL scores between groups (standardized to a range of 0-100, with higher scores representing better HRQoL) using weighted simple regressions.The association between PFS duration and HRQoL.Of 35 960 records screened, 52 articles reporting on 38 randomized clinical trials involving 13 979 patients across 12 cancer types using 6 different HRQoL instruments were included. The mean (SD) difference in median PFS between the intervention and the control arms was 1.91 (3.35) months. The mean (SD) differences in change of HRQoL adjusted to per-month values were −0.39 (3.59) for the global domain, 0.26 (5.56) for the physical domain, and 1.08 (3.49) for the emotional domain. The slope of the association between the difference in median PFS and the difference in change for global HRQoL (n = 30 trials) was 0.12 (95% CI, −0.27 to 0.52); for physical HRQoL (n = 20 trials) it was −0.20 (95% CI, −0.62 to 0.23); and for emotional HRQoL (n = 13 trials) it was 0.78 (95% CI, −0.05 to 1.60).We failed to find a significant association between PFS and HRQoL in cancer clinical trials. These findings raise questions regarding the assumption that interventions prolonging PFS also improve HRQoL in patients with cancer. Therefore, to ensure that patients are truly obtaining important benefit from cancer therapies, clinical trial investigators should measure HRQoL directly and accurately, ensuring adequate duration and follow-up.","container-title":"JAMA Internal Medicine","DOI":"10.1001/jamainternmed.2018.4710","ISSN":"2168-6106","issue":"12","journalAbbreviation":"JAMA Internal Medicine","page":"1586-1596","title":"Evaluating Progression-Free Survival as a Surrogate Outcome for Health-Related Quality of Life in Oncology: A Systematic Review and Quantitative Analysis","volume":"178","author":[{"family":"Kovic","given":"Bruno"},{"family":"Jin","given":"Xuejing"},{"family":"Kennedy","given":"Sean Alexander"},{"family":"Hylands","given":"Mathieu"},{"family":"Pędziwiatr","given":"Michał"},{"family":"Kuriyama","given":"Akira"},{"family":"Gomaa","given":"Huda"},{"family":"Lee","given":"Yung"},{"family":"Katsura","given":"Morihiro"},{"family":"Tada","given":"Masafumi"},{"family":"Hong","given":"Brian Y."},{"family":"Cho","given":"Sung Min"},{"family":"Hong","given":"Patrick Jiho"},{"family":"Yu","given":"Ashley M."},{"family":"Sivji","given":"Yasmin"},{"family":"Toma","given":"Augustin"},{"family":"Xie","given":"Li"},{"family":"Tsoi","given":"Ludwig"},{"family":"Waligora","given":"Marcin"},{"family":"Prasad","given":"Manya"},{"family":"Bhatnagar","given":"Neera"},{"family":"Thabane","given":"Lehana"},{"family":"Brundage","given":"Michael"},{"family":"Guyatt","given":"Gordon"},{"family":"Xie","given":"Feng"}],"issued":{"date-parts":[["2018",12,1]]}},"label":"page"}],"schema":"https://github.com/citation-style-language/schema/raw/master/csl-citation.json"} </w:instrText>
      </w:r>
      <w:r w:rsidR="006E0EAE" w:rsidRPr="00BB697E">
        <w:fldChar w:fldCharType="separate"/>
      </w:r>
      <w:r w:rsidR="00251F2F" w:rsidRPr="00251F2F">
        <w:t>[7–9]</w:t>
      </w:r>
      <w:r w:rsidR="006E0EAE" w:rsidRPr="00BB697E">
        <w:fldChar w:fldCharType="end"/>
      </w:r>
      <w:r w:rsidR="006E0EAE" w:rsidRPr="00BB697E">
        <w:t xml:space="preserve"> </w:t>
      </w:r>
    </w:p>
    <w:p w14:paraId="0A42E93C" w14:textId="77777777" w:rsidR="005561F5" w:rsidRDefault="005561F5" w:rsidP="00AF6014">
      <w:pPr>
        <w:spacing w:line="360" w:lineRule="auto"/>
      </w:pPr>
    </w:p>
    <w:p w14:paraId="3C11ECAF" w14:textId="3C660A94" w:rsidR="00820C46" w:rsidRDefault="005E0CE8" w:rsidP="00580319">
      <w:pPr>
        <w:spacing w:line="360" w:lineRule="auto"/>
      </w:pPr>
      <w:r>
        <w:t>T</w:t>
      </w:r>
      <w:r w:rsidR="00AF6014" w:rsidRPr="00BB697E">
        <w:t xml:space="preserve">here is a long </w:t>
      </w:r>
      <w:r w:rsidR="00D974B0">
        <w:t>history</w:t>
      </w:r>
      <w:r w:rsidR="00AF6014" w:rsidRPr="00BB697E">
        <w:t xml:space="preserve"> of drugs that were originally approved on the basis of surrogate endpoints and for which </w:t>
      </w:r>
      <w:r w:rsidR="005561F5">
        <w:t>later</w:t>
      </w:r>
      <w:r w:rsidR="00AF6014" w:rsidRPr="00BB697E">
        <w:t xml:space="preserve"> studies failed to show evidence of clinical benefit</w:t>
      </w:r>
      <w:r w:rsidR="00AF6014">
        <w:t>.</w:t>
      </w:r>
      <w:r w:rsidR="00AF6014">
        <w:fldChar w:fldCharType="begin"/>
      </w:r>
      <w:r w:rsidR="00251F2F">
        <w:instrText xml:space="preserve"> ADDIN ZOTERO_ITEM CSL_CITATION {"citationID":"9M8zxvce","properties":{"formattedCitation":"[10]","plainCitation":"[10]","noteIndex":0},"citationItems":[{"id":166,"uris":["http://zotero.org/users/local/XzHhEqW9/items/UWAXP2BL"],"uri":["http://zotero.org/users/local/XzHhEqW9/items/UWAXP2BL"],"itemData":{"id":166,"type":"article-journal","container-title":"JAMA internal medicine","DOI":"10.1001/jamainternmed.2013.3037","ISSN":"2168-6114 2168-6106","issue":"8","journalAbbreviation":"JAMA Intern Med","language":"eng","note":"publisher-place: United States\nPMID: 23529157","page":"611-612","title":"Surrogate outcomes in clinical trials: a cautionary tale.","volume":"173","author":[{"family":"Svensson","given":"Staffan"},{"family":"Menkes","given":"David B."},{"family":"Lexchin","given":"Joel"}],"issued":{"date-parts":[["2013",4,22]]}}}],"schema":"https://github.com/citation-style-language/schema/raw/master/csl-citation.json"} </w:instrText>
      </w:r>
      <w:r w:rsidR="00AF6014">
        <w:fldChar w:fldCharType="separate"/>
      </w:r>
      <w:r w:rsidR="00251F2F" w:rsidRPr="00251F2F">
        <w:t>[10]</w:t>
      </w:r>
      <w:r w:rsidR="00AF6014">
        <w:fldChar w:fldCharType="end"/>
      </w:r>
      <w:r w:rsidR="00AF6014">
        <w:t xml:space="preserve"> </w:t>
      </w:r>
      <w:r w:rsidR="00F206C4">
        <w:t xml:space="preserve">An oft-cited example is bevacizumab </w:t>
      </w:r>
      <w:r w:rsidR="008D1941">
        <w:t>for</w:t>
      </w:r>
      <w:r w:rsidR="00F206C4">
        <w:t xml:space="preserve"> metastatic breast cancer.</w:t>
      </w:r>
      <w:r w:rsidR="00B315B4">
        <w:fldChar w:fldCharType="begin"/>
      </w:r>
      <w:r w:rsidR="00251F2F">
        <w:instrText xml:space="preserve"> ADDIN ZOTERO_ITEM CSL_CITATION {"citationID":"2OXJztF4","properties":{"formattedCitation":"[11]","plainCitation":"[11]","noteIndex":0},"citationItems":[{"id":192,"uris":["http://zotero.org/users/local/XzHhEqW9/items/AJWUAWDR"],"uri":["http://zotero.org/users/local/XzHhEqW9/items/AJWUAWDR"],"itemData":{"id":192,"type":"article-journal","container-title":"The New England journal of medicine","DOI":"10.1056/NEJMp1107201","ISSN":"1533-4406 0028-4793","issue":"2","journalAbbreviation":"N Engl J Med","language":"eng","note":"publisher-place: United States\nPMID: 21707383","page":"e3","title":"Reputation and precedent in the bevacizumab decision.","volume":"365","author":[{"family":"Carpenter","given":"Daniel"},{"family":"Kesselheim","given":"Aaron S."},{"family":"Joffe","given":"Steven"}],"issued":{"date-parts":[["2011",7,14]]}}}],"schema":"https://github.com/citation-style-language/schema/raw/master/csl-citation.json"} </w:instrText>
      </w:r>
      <w:r w:rsidR="00B315B4">
        <w:fldChar w:fldCharType="separate"/>
      </w:r>
      <w:r w:rsidR="00251F2F" w:rsidRPr="00251F2F">
        <w:t>[11]</w:t>
      </w:r>
      <w:r w:rsidR="00B315B4">
        <w:fldChar w:fldCharType="end"/>
      </w:r>
      <w:r w:rsidR="00F206C4">
        <w:t xml:space="preserve"> I</w:t>
      </w:r>
      <w:r w:rsidR="00F206C4" w:rsidRPr="00FF35AB">
        <w:t>n 200</w:t>
      </w:r>
      <w:r w:rsidR="0021784C">
        <w:t>8</w:t>
      </w:r>
      <w:r w:rsidR="00F206C4">
        <w:t>, FDA</w:t>
      </w:r>
      <w:r w:rsidR="00F206C4" w:rsidRPr="00FF35AB">
        <w:t xml:space="preserve"> granted accelerated approval to bevacizumab for the treatment of metastatic breast cancer based on its early effects on a surrogate endpoint, progression-free survival. </w:t>
      </w:r>
      <w:r w:rsidR="002845DA">
        <w:t>In 201</w:t>
      </w:r>
      <w:r w:rsidR="0021784C">
        <w:t>1</w:t>
      </w:r>
      <w:r w:rsidR="00F206C4" w:rsidRPr="00FF35AB">
        <w:t xml:space="preserve">, FDA </w:t>
      </w:r>
      <w:r w:rsidR="002845DA">
        <w:t>revoked</w:t>
      </w:r>
      <w:r w:rsidR="00F206C4" w:rsidRPr="00FF35AB">
        <w:t xml:space="preserve"> its approval for bevacizumab’s metastatic breast cancer indication when clinical trials failed to show that patients receiving bevacizumab lived longer than those receiving control treatment. </w:t>
      </w:r>
    </w:p>
    <w:p w14:paraId="08178991" w14:textId="77777777" w:rsidR="00820C46" w:rsidRDefault="00820C46" w:rsidP="00580319">
      <w:pPr>
        <w:spacing w:line="360" w:lineRule="auto"/>
      </w:pPr>
    </w:p>
    <w:p w14:paraId="537F5F46" w14:textId="1205B574" w:rsidR="00580319" w:rsidRDefault="00F206C4" w:rsidP="00580319">
      <w:pPr>
        <w:spacing w:line="360" w:lineRule="auto"/>
      </w:pPr>
      <w:r>
        <w:t>Other e</w:t>
      </w:r>
      <w:r w:rsidR="000D437B">
        <w:t>xamples include</w:t>
      </w:r>
      <w:r w:rsidR="00AF6014" w:rsidRPr="00BB697E">
        <w:t xml:space="preserve"> </w:t>
      </w:r>
      <w:proofErr w:type="spellStart"/>
      <w:r w:rsidR="00AF6014" w:rsidRPr="00BB697E">
        <w:t>olaratumab</w:t>
      </w:r>
      <w:proofErr w:type="spellEnd"/>
      <w:r w:rsidR="00683B84">
        <w:t>, which</w:t>
      </w:r>
      <w:r w:rsidR="00820C46">
        <w:t xml:space="preserve"> extend</w:t>
      </w:r>
      <w:r w:rsidR="00A929BA">
        <w:t>ed</w:t>
      </w:r>
      <w:r w:rsidR="00820C46">
        <w:t xml:space="preserve"> </w:t>
      </w:r>
      <w:r w:rsidR="006E4929">
        <w:t xml:space="preserve">progression-free survival </w:t>
      </w:r>
      <w:r w:rsidR="00820C46">
        <w:t xml:space="preserve">but </w:t>
      </w:r>
      <w:r w:rsidR="00A929BA">
        <w:t>did</w:t>
      </w:r>
      <w:r w:rsidR="00683B84">
        <w:t xml:space="preserve"> not prolong survival </w:t>
      </w:r>
      <w:r w:rsidR="00683B84" w:rsidRPr="00BB697E">
        <w:t xml:space="preserve">for </w:t>
      </w:r>
      <w:r w:rsidR="00683B84">
        <w:t xml:space="preserve">patients with </w:t>
      </w:r>
      <w:r w:rsidR="00683B84" w:rsidRPr="00BB697E">
        <w:t>soft-tissue sarcoma</w:t>
      </w:r>
      <w:r w:rsidR="00580319">
        <w:t>,</w:t>
      </w:r>
      <w:r w:rsidR="00AF6014" w:rsidRPr="00BB697E">
        <w:fldChar w:fldCharType="begin"/>
      </w:r>
      <w:r w:rsidR="00251F2F">
        <w:instrText xml:space="preserve"> ADDIN ZOTERO_ITEM CSL_CITATION {"citationID":"ISmo59Uj","properties":{"formattedCitation":"[12]","plainCitation":"[12]","noteIndex":0},"citationItems":[{"id":47,"uris":["http://zotero.org/users/local/XzHhEqW9/items/RT4S4LR5"],"uri":["http://zotero.org/users/local/XzHhEqW9/items/RT4S4LR5"],"itemData":{"id":47,"type":"article-journal","abstract":"Patients with advanced soft tissue sarcoma (STS) have a median overall survival of less than 2 years. In a phase 2 study, an overall survival benefit in this population was observed with the addition of olaratumab to doxorubicin over doxorubicin alone.To determine the efficacy of doxorubicin plus olaratumab in patients with advanced/metastatic STS.ANNOUNCE was a confirmatory, phase 3, double-blind, randomized trial conducted at 110 sites in 25 countries from September 2015 to December 2018; the final date of follow-up was December 5, 2018. Eligible patients were anthracycline-naive adults with unresectable locally advanced or metastatic STS, an Eastern Cooperative Oncology Group performance status of 0 to 1, and cardiac ejection fraction of 50% or greater.Patients were randomized 1:1 to receive doxorubicin, 75 mg/m2 (day 1), combined with olaratumab (n = 258), 20 mg/kg in cycle 1 and 15 mg/kg in subsequent cycles, or placebo (n = 251) on days 1 and 8 for up to 8 21-day cycles, followed by olaratumab/placebo monotherapy.Dual primary end points were overall survival with doxorubicin plus olaratumab vs doxorubicin plus placebo in total STS and leiomyosarcoma (LMS) populations.Among the 509 patients randomized (mean age, 56.9 years; 58.2% women; 46.0% with LMS), all were included in the primary analysis and had a median length of follow-up of 31 months. No statistically significant difference in overall survival was observed between the doxorubicin plus olaratumab group vs the doxorubicin plus placebo group in either population (total STS: hazard ratio, 1.05 [95% CI, 0.84-1.30], P = .69, median overall survival, 20.4 months vs 19.7 months; LMS: hazard ratio, 0.95 [95% CI, 0.69-1.31], P = .76, median overall survival, 21.6 months vs 21.9 months). Adverse events of grade 3 or greater reported in 15% or more of total patients with STS were neutropenia (46.3% vs 49.0%), leukopenia (23.3% vs 23.7%), and febrile neutropenia (17.5% vs 16.5%).In this phase 3 clinical trial of patients with advanced STS, treatment with doxorubicin plus olaratumab vs doxorubicin plus placebo resulted in no significant difference in overall survival. The findings did not confirm the overall survival benefit observed in the phase 2 trial.ClinicalTrials.gov Identifier: NCT02451943","container-title":"JAMA","DOI":"10.1001/jama.2020.1707","ISSN":"0098-7484","issue":"13","journalAbbreviation":"JAMA","page":"1266-1276","title":"Effect of Doxorubicin Plus Olaratumab vs Doxorubicin Plus Placebo on Survival in Patients With Advanced Soft Tissue Sarcomas: The ANNOUNCE Randomized Clinical Trial","volume":"323","author":[{"family":"Tap","given":"William D."},{"family":"Wagner","given":"Andrew J."},{"family":"Schöffski","given":"Patrick"},{"family":"Martin-Broto","given":"Javier"},{"family":"Krarup-Hansen","given":"Anders"},{"family":"Ganjoo","given":"Kristen N."},{"family":"Yen","given":"Chueh-Chuan"},{"family":"Abdul Razak","given":"Albiruni R."},{"family":"Spira","given":"Alexander"},{"family":"Kawai","given":"Akira"},{"family":"Le Cesne","given":"Axel"},{"family":"Van Tine","given":"Brian A."},{"family":"Naito","given":"Yoichi"},{"family":"Park","given":"Se Hoon"},{"family":"Fedenko","given":"Alexander"},{"family":"Pápai","given":"Zsuzsanna"},{"family":"Soldatenkova","given":"Victoria"},{"family":"Shahir","given":"Ashwin"},{"family":"Mo","given":"Gary"},{"family":"Wright","given":"Jennifer"},{"family":"Jones","given":"Robin L."},{"literal":"for the ANNOUNCE Investigators"}],"issued":{"date-parts":[["2020",4,7]]}}}],"schema":"https://github.com/citation-style-language/schema/raw/master/csl-citation.json"} </w:instrText>
      </w:r>
      <w:r w:rsidR="00AF6014" w:rsidRPr="00BB697E">
        <w:fldChar w:fldCharType="separate"/>
      </w:r>
      <w:r w:rsidR="00251F2F" w:rsidRPr="00251F2F">
        <w:t>[12]</w:t>
      </w:r>
      <w:r w:rsidR="00AF6014" w:rsidRPr="00BB697E">
        <w:fldChar w:fldCharType="end"/>
      </w:r>
      <w:r w:rsidR="00AF6014" w:rsidRPr="00BB697E">
        <w:t xml:space="preserve"> hydroxyprogesterone caproate</w:t>
      </w:r>
      <w:r w:rsidR="00683B84">
        <w:t>,</w:t>
      </w:r>
      <w:r w:rsidR="00AF6014" w:rsidRPr="00BB697E">
        <w:t xml:space="preserve"> </w:t>
      </w:r>
      <w:r w:rsidR="00683B84">
        <w:t xml:space="preserve">which effectively </w:t>
      </w:r>
      <w:r w:rsidR="00820C46">
        <w:t>reduce</w:t>
      </w:r>
      <w:r w:rsidR="00A929BA">
        <w:t>d</w:t>
      </w:r>
      <w:r w:rsidR="00820C46">
        <w:t xml:space="preserve"> the risk of recurrent births but </w:t>
      </w:r>
      <w:r w:rsidR="00A929BA">
        <w:t>did</w:t>
      </w:r>
      <w:r w:rsidR="00820C46">
        <w:t xml:space="preserve"> not improve neonatal outcomes</w:t>
      </w:r>
      <w:r w:rsidR="00AF6014" w:rsidRPr="00BB697E">
        <w:t>,</w:t>
      </w:r>
      <w:r w:rsidR="00AF6014" w:rsidRPr="00BB697E">
        <w:fldChar w:fldCharType="begin"/>
      </w:r>
      <w:r w:rsidR="00251F2F">
        <w:instrText xml:space="preserve"> ADDIN ZOTERO_ITEM CSL_CITATION {"citationID":"URGsV6NH","properties":{"formattedCitation":"[13]","plainCitation":"[13]","noteIndex":0},"citationItems":[{"id":48,"uris":["http://zotero.org/users/local/XzHhEqW9/items/EK3P2LL5"],"uri":["http://zotero.org/users/local/XzHhEqW9/items/EK3P2LL5"],"itemData":{"id":48,"type":"article-journal","container-title":"New England Journal of Medicine","DOI":"10.1056/NEJMp2031055","ISSN":"0028-4793","issue":"24","journalAbbreviation":"N Engl J Med","note":"publisher: Massachusetts Medical Society","page":"e131","title":"Withdrawing Approval of Makena — A Proposal from the FDA Center for Drug Evaluation and Research","volume":"383","author":[{"family":"Chang","given":"Christina Y."},{"family":"Nguyen","given":"Christine P."},{"family":"Wesley","given":"Barbara"},{"family":"Guo","given":"Jia"},{"family":"Johnson","given":"Laura Lee"},{"family":"Joffe","given":"Hylton V."}],"issued":{"date-parts":[["2020",11,3]]}}}],"schema":"https://github.com/citation-style-language/schema/raw/master/csl-citation.json"} </w:instrText>
      </w:r>
      <w:r w:rsidR="00AF6014" w:rsidRPr="00BB697E">
        <w:fldChar w:fldCharType="separate"/>
      </w:r>
      <w:r w:rsidR="00251F2F" w:rsidRPr="00251F2F">
        <w:t>[13]</w:t>
      </w:r>
      <w:r w:rsidR="00AF6014" w:rsidRPr="00BB697E">
        <w:fldChar w:fldCharType="end"/>
      </w:r>
      <w:r w:rsidR="00AF6014" w:rsidRPr="00BB697E">
        <w:t xml:space="preserve"> </w:t>
      </w:r>
      <w:r w:rsidR="00820C46">
        <w:t xml:space="preserve">and </w:t>
      </w:r>
      <w:r w:rsidR="000D437B">
        <w:t>atezolizumab</w:t>
      </w:r>
      <w:r w:rsidR="00683B84">
        <w:t>,</w:t>
      </w:r>
      <w:r w:rsidR="000D437B">
        <w:t xml:space="preserve"> </w:t>
      </w:r>
      <w:r w:rsidR="00683B84">
        <w:t>which achieve</w:t>
      </w:r>
      <w:r w:rsidR="00A929BA">
        <w:t>d</w:t>
      </w:r>
      <w:r w:rsidR="00683B84">
        <w:t xml:space="preserve"> a higher response rate</w:t>
      </w:r>
      <w:r w:rsidR="006E4929">
        <w:t xml:space="preserve"> </w:t>
      </w:r>
      <w:r w:rsidR="00683B84">
        <w:t xml:space="preserve">compared to control </w:t>
      </w:r>
      <w:r w:rsidR="00820C46">
        <w:t xml:space="preserve">but </w:t>
      </w:r>
      <w:r w:rsidR="00A929BA">
        <w:t>did</w:t>
      </w:r>
      <w:r w:rsidR="00820C46">
        <w:t xml:space="preserve"> not extend</w:t>
      </w:r>
      <w:r w:rsidR="006E4929">
        <w:t xml:space="preserve"> overall survival</w:t>
      </w:r>
      <w:r w:rsidR="00683B84">
        <w:t xml:space="preserve"> in patients with urothelial carcinoma</w:t>
      </w:r>
      <w:r w:rsidR="000D437B">
        <w:t xml:space="preserve"> </w:t>
      </w:r>
      <w:r w:rsidR="00AF6014" w:rsidRPr="00BB697E">
        <w:t>.</w:t>
      </w:r>
      <w:r w:rsidR="00DE4B82">
        <w:fldChar w:fldCharType="begin"/>
      </w:r>
      <w:r w:rsidR="00DE4B82">
        <w:instrText xml:space="preserve"> ADDIN ZOTERO_ITEM CSL_CITATION {"citationID":"g9yaUZYA","properties":{"formattedCitation":"[14]","plainCitation":"[14]","noteIndex":0},"citationItems":[{"id":199,"uris":["http://zotero.org/users/local/XzHhEqW9/items/FAKNK97B"],"uri":["http://zotero.org/users/local/XzHhEqW9/items/FAKNK97B"],"itemData":{"id":199,"type":"article-journal","abstract":"BACKGROUND: Few options exist for patients with locally advanced or metastatic urothelial carcinoma after progression with platinum-based chemotherapy. We aimed to  assess the safety and efficacy of atezolizumab (anti-programmed death-ligand 1  [PD-L1]) versus chemotherapy in this patient population. METHODS: We conducted this  multicentre, open-label, phase 3 randomised controlled trial (IMvigor211) at 217  academic medical centres and community oncology practices mainly in Europe, North  America, and the Asia-Pacific region. Patients (aged ≥18 years) with metastatic  urothelial carcinoma who had progressed after platinum-based chemotherapy were  randomly assigned (1:1), via an interactive voice and web response system with a  permuted block design (block size of four), to receive atezolizumab 1200 mg or  chemotherapy (physician's choice: vinflunine 320 mg/m(2), paclitaxel 175 mg/m(2), or  75 mg/m(2) docetaxel) intravenously every 3 weeks. Randomisation was stratified by  PD-L1 expression (expression on &lt;1% [IC0] or 1% to &lt;5% [IC1] of tumour-infiltrating  immune cells vs ≥5% of tumour-infiltrating immune cells [IC2/3]), chemotherapy type  (vinflunine vs taxanes), liver metastases (yes vs no), and number of prognostic  factors (none vs one, two, or three). Patients and investigators were aware of group  allocation. Patients, investigators, and the sponsor were masked to PD-L1 expression  status. The primary endpoint of overall survival was tested hierarchically in  prespecified populations: IC2/3, followed by IC1/2/3, followed by the  intention-to-treat population. This study, which is ongoing but not recruiting  participants, is registered with ClinicalTrials.gov, number NCT02302807. FINDINGS:  Between Jan 13, 2015, and Feb 15, 2016, we randomly assigned 931 patients from 198  sites to receive atezolizumab (n=467) or chemotherapy (n=464). In the IC2/3  population (n=234), overall survival did not differ significantly between patients  in the atezolizumab group and those in the chemotherapy group (median 11·1 months  [95% CI 8·6-15·5; n=116] vs 10·6 months [8·4-12·2; n=118]; stratified hazard ratio  [HR] 0·87, 95% CI 0·63-1·21; p=0·41), thus precluding further formal statistical  analysis. Confirmed objective response rates were similar between treatment groups  in the IC2/3 population: 26 (23%) of 113 evaluable patients had an objective  response in the atezolizumab group compared with 25 (22%) of 116 patients in the  chemotherapy group. Duration of response was numerically longer in the atezolizumab  group than in the chemotherapy group (median 15·9 months [95% CI 10·4 to not  estimable] vs 8·3 months [5·6-13·2]; HR 0·57, 95% CI 0·26-1·26). In the  intention-to-treat population, patients receiving atezolizumab had fewer grade 3-4  treatment-related adverse events than did those receiving chemotherapy (91 [20%] of  459 vs 189 [43%] of 443 patients), and fewer adverse events leading to treatment  discontinuation (34 [7%] vs 78 [18%] patients). INTERPRETATION: Atezolizumab was not  associated with significantly longer overall survival than chemotherapy in patients  with platinum-refractory metastatic urothelial carcinoma overexpressing PD-L1  (IC2/3). However, the safety profile for atezolizumab was favourable compared with  chemotherapy, Exploratory analysis of the intention-to-treat population showed  well-tolerated, durable responses in line with previous phase 2 data for  atezolizumab in this setting. FUNDING: F Hoffmann-La Roche, Genentech.","container-title":"Lancet (London, England)","DOI":"10.1016/S0140-6736(17)33297-X","ISSN":"1474-547X 0140-6736","issue":"10122","journalAbbreviation":"Lancet","language":"eng","note":"publisher-place: England\nPMID: 29268948","page":"748-757","title":"Atezolizumab versus chemotherapy in patients with platinum-treated locally advanced or metastatic urothelial carcinoma (IMvigor211): a multicentre, open-label, phase 3  randomised controlled trial.","volume":"391","author":[{"family":"Powles","given":"Thomas"},{"family":"Durán","given":"Ignacio"},{"family":"Heijden","given":"Michiel S.","non-dropping-particle":"van der"},{"family":"Loriot","given":"Yohann"},{"family":"Vogelzang","given":"Nicholas J."},{"family":"De Giorgi","given":"Ugo"},{"family":"Oudard","given":"Stéphane"},{"family":"Retz","given":"Margitta M."},{"family":"Castellano","given":"Daniel"},{"family":"Bamias","given":"Aristotelis"},{"family":"Fléchon","given":"Aude"},{"family":"Gravis","given":"Gwenaëlle"},{"family":"Hussain","given":"Syed"},{"family":"Takano","given":"Toshimi"},{"family":"Leng","given":"Ning"},{"family":"Kadel","given":"Edward E. 3rd"},{"family":"Banchereau","given":"Romain"},{"family":"Hegde","given":"Priti S."},{"family":"Mariathasan","given":"Sanjeev"},{"family":"Cui","given":"Na"},{"family":"Shen","given":"Xiaodong"},{"family":"Derleth","given":"Christina L."},{"family":"Green","given":"Marjorie C."},{"family":"Ravaud","given":"Alain"}],"issued":{"date-parts":[["2018",2,24]]}}}],"schema":"https://github.com/citation-style-language/schema/raw/master/csl-citation.json"} </w:instrText>
      </w:r>
      <w:r w:rsidR="00DE4B82">
        <w:fldChar w:fldCharType="separate"/>
      </w:r>
      <w:r w:rsidR="00DE4B82" w:rsidRPr="00DE4B82">
        <w:t>[14]</w:t>
      </w:r>
      <w:r w:rsidR="00DE4B82">
        <w:fldChar w:fldCharType="end"/>
      </w:r>
      <w:r w:rsidR="00AF6014" w:rsidRPr="00BB697E">
        <w:t xml:space="preserve"> In some cases, drugs initially approved on the basis of surrogate endpoints were later found to be harmful</w:t>
      </w:r>
      <w:r w:rsidR="006E4929">
        <w:t>. For example,</w:t>
      </w:r>
      <w:r w:rsidR="00AF6014" w:rsidRPr="00BB697E">
        <w:t xml:space="preserve"> </w:t>
      </w:r>
      <w:r w:rsidR="006E4929">
        <w:t xml:space="preserve">patients with multiple myeloma who received </w:t>
      </w:r>
      <w:proofErr w:type="spellStart"/>
      <w:r w:rsidR="00AF6014" w:rsidRPr="00BB697E">
        <w:t>venetoclax</w:t>
      </w:r>
      <w:proofErr w:type="spellEnd"/>
      <w:r w:rsidR="00AF6014" w:rsidRPr="00BB697E">
        <w:t xml:space="preserve"> </w:t>
      </w:r>
      <w:r w:rsidR="006E4929">
        <w:t xml:space="preserve">had shorter survival than those who </w:t>
      </w:r>
      <w:r w:rsidR="00CB220F">
        <w:t>received a control treatment,</w:t>
      </w:r>
      <w:r w:rsidR="006E4929">
        <w:t xml:space="preserve"> despite evidence suggesting that </w:t>
      </w:r>
      <w:proofErr w:type="spellStart"/>
      <w:r w:rsidR="006E4929">
        <w:t>venetoclax</w:t>
      </w:r>
      <w:proofErr w:type="spellEnd"/>
      <w:r w:rsidR="006E4929">
        <w:t xml:space="preserve"> was more effective than control on the basis of progression-free survival</w:t>
      </w:r>
      <w:r w:rsidR="00AF6014" w:rsidRPr="00BB697E">
        <w:t>).</w:t>
      </w:r>
      <w:r w:rsidR="00AF6014" w:rsidRPr="00BB697E">
        <w:fldChar w:fldCharType="begin"/>
      </w:r>
      <w:r w:rsidR="00DE4B82">
        <w:instrText xml:space="preserve"> ADDIN ZOTERO_ITEM CSL_CITATION {"citationID":"kHEnRhmC","properties":{"formattedCitation":"[15]","plainCitation":"[15]","noteIndex":0},"citationItems":[{"id":50,"uris":["http://zotero.org/users/local/XzHhEqW9/items/876NNYZB"],"uri":["http://zotero.org/users/local/XzHhEqW9/items/876NNYZB"],"itemData":{"id":50,"type":"article-journal","container-title":"The Lancet","DOI":"10.1016/S0140-6736(19)31711-8","ISSN":"0140-6736","issue":"10195","note":"publisher: Elsevier","page":"281-283","title":"Surrogate endpoints in randomised controlled trials: a reality check","volume":"394","author":[{"family":"Kumar","given":"Shaji"},{"family":"Rajkumar","given":"S Vincent"}],"issued":{"date-parts":[["2019",7,27]]}}}],"schema":"https://github.com/citation-style-language/schema/raw/master/csl-citation.json"} </w:instrText>
      </w:r>
      <w:r w:rsidR="00AF6014" w:rsidRPr="00BB697E">
        <w:fldChar w:fldCharType="separate"/>
      </w:r>
      <w:r w:rsidR="00DE4B82" w:rsidRPr="00DE4B82">
        <w:t>[15]</w:t>
      </w:r>
      <w:r w:rsidR="00AF6014" w:rsidRPr="00BB697E">
        <w:fldChar w:fldCharType="end"/>
      </w:r>
      <w:r w:rsidR="00580319">
        <w:t xml:space="preserve"> </w:t>
      </w:r>
    </w:p>
    <w:p w14:paraId="1388AAE7" w14:textId="77777777" w:rsidR="00580319" w:rsidRDefault="00580319" w:rsidP="00580319">
      <w:pPr>
        <w:spacing w:line="360" w:lineRule="auto"/>
      </w:pPr>
    </w:p>
    <w:p w14:paraId="0D82C98A" w14:textId="22E09FEA" w:rsidR="00D6246E" w:rsidRDefault="00135CD1" w:rsidP="00FF35AB">
      <w:pPr>
        <w:spacing w:line="360" w:lineRule="auto"/>
      </w:pPr>
      <w:r>
        <w:t>In this article, w</w:t>
      </w:r>
      <w:r w:rsidR="00D974B0" w:rsidRPr="00723C67">
        <w:t xml:space="preserve">e </w:t>
      </w:r>
      <w:r w:rsidR="00723C67">
        <w:t xml:space="preserve">argue for </w:t>
      </w:r>
      <w:r w:rsidR="009C53E3" w:rsidRPr="00116FFD">
        <w:t>more selective</w:t>
      </w:r>
      <w:r w:rsidR="00436393">
        <w:t xml:space="preserve"> </w:t>
      </w:r>
      <w:r w:rsidR="00723C67">
        <w:t>use of surrogate endpoints when evaluating new drugs.</w:t>
      </w:r>
      <w:r w:rsidR="00D6246E">
        <w:t xml:space="preserve"> </w:t>
      </w:r>
      <w:r w:rsidR="00723C67">
        <w:t xml:space="preserve">Surrogate endpoints should only be used </w:t>
      </w:r>
      <w:r w:rsidR="008B184B">
        <w:t>in</w:t>
      </w:r>
      <w:r w:rsidR="00D6246E">
        <w:t xml:space="preserve"> </w:t>
      </w:r>
      <w:r>
        <w:t xml:space="preserve">chronic </w:t>
      </w:r>
      <w:r w:rsidR="00AF6014">
        <w:t xml:space="preserve">disease </w:t>
      </w:r>
      <w:r>
        <w:t>settings</w:t>
      </w:r>
      <w:r w:rsidR="00D6246E">
        <w:t xml:space="preserve">, especially when collecting data on </w:t>
      </w:r>
      <w:r w:rsidR="00CB220F">
        <w:t xml:space="preserve">patient-relevant </w:t>
      </w:r>
      <w:r w:rsidR="00D6246E">
        <w:t xml:space="preserve">clinical outcomes requires trials with </w:t>
      </w:r>
      <w:r w:rsidR="00CB220F">
        <w:t xml:space="preserve">unattainably </w:t>
      </w:r>
      <w:r w:rsidR="00D6246E">
        <w:t xml:space="preserve">long follow up durations. When generating </w:t>
      </w:r>
      <w:r w:rsidR="00B4780D">
        <w:t xml:space="preserve">direct </w:t>
      </w:r>
      <w:r w:rsidR="00D6246E">
        <w:t xml:space="preserve">evidence on </w:t>
      </w:r>
      <w:r w:rsidR="00CB220F">
        <w:t xml:space="preserve">patient-relevant </w:t>
      </w:r>
      <w:r w:rsidR="00D6246E">
        <w:t xml:space="preserve">clinical outcomes is not </w:t>
      </w:r>
      <w:r w:rsidR="000D437B">
        <w:t>possible</w:t>
      </w:r>
      <w:r w:rsidR="00D6246E">
        <w:t xml:space="preserve">, </w:t>
      </w:r>
      <w:r w:rsidR="00723C67">
        <w:t>decision-makers</w:t>
      </w:r>
      <w:r w:rsidR="00D6246E">
        <w:t xml:space="preserve"> should </w:t>
      </w:r>
      <w:r>
        <w:t>systematically</w:t>
      </w:r>
      <w:r w:rsidR="00D6246E">
        <w:t xml:space="preserve"> evaluate the </w:t>
      </w:r>
      <w:r>
        <w:t>relationship between surrogate endpoints and clinical outcomes</w:t>
      </w:r>
      <w:r w:rsidR="00D6246E">
        <w:t xml:space="preserve">. </w:t>
      </w:r>
    </w:p>
    <w:p w14:paraId="21EF842C" w14:textId="77777777" w:rsidR="006E0EAE" w:rsidRPr="00BB697E" w:rsidRDefault="006E0EAE" w:rsidP="008C6B57">
      <w:pPr>
        <w:spacing w:line="360" w:lineRule="auto"/>
      </w:pPr>
    </w:p>
    <w:p w14:paraId="4AA26B21" w14:textId="656BADF7" w:rsidR="009D5C9B" w:rsidRPr="00BB697E" w:rsidRDefault="006E6F65" w:rsidP="009D5C9B">
      <w:pPr>
        <w:spacing w:line="360" w:lineRule="auto"/>
        <w:rPr>
          <w:b/>
        </w:rPr>
      </w:pPr>
      <w:r>
        <w:rPr>
          <w:b/>
        </w:rPr>
        <w:t>Regulatory enthusiasm for surrogate endpoints</w:t>
      </w:r>
    </w:p>
    <w:p w14:paraId="6A84D789" w14:textId="6B545196" w:rsidR="00F206C4" w:rsidRDefault="00F206C4" w:rsidP="00F206C4">
      <w:pPr>
        <w:spacing w:line="360" w:lineRule="auto"/>
      </w:pPr>
      <w:r w:rsidRPr="00BB697E">
        <w:t xml:space="preserve">Over the past 3 decades, the proportion of clinical studies </w:t>
      </w:r>
      <w:r>
        <w:t xml:space="preserve">measuring </w:t>
      </w:r>
      <w:r w:rsidR="00B4780D">
        <w:t xml:space="preserve">the efficacy of </w:t>
      </w:r>
      <w:r>
        <w:t xml:space="preserve">new drugs </w:t>
      </w:r>
      <w:r w:rsidR="00B4780D">
        <w:t xml:space="preserve">via </w:t>
      </w:r>
      <w:r w:rsidRPr="00BB697E">
        <w:t xml:space="preserve">surrogate endpoints </w:t>
      </w:r>
      <w:r>
        <w:t xml:space="preserve">alone </w:t>
      </w:r>
      <w:r w:rsidRPr="00BB697E">
        <w:t xml:space="preserve">has increased, rising from fewer than one half in the mid-90s to </w:t>
      </w:r>
      <w:r w:rsidRPr="00BB697E">
        <w:lastRenderedPageBreak/>
        <w:t>approximately 60% in 2015-2017.</w:t>
      </w:r>
      <w:r w:rsidRPr="00BB697E">
        <w:fldChar w:fldCharType="begin"/>
      </w:r>
      <w:r w:rsidR="00DE4B82">
        <w:instrText xml:space="preserve"> ADDIN ZOTERO_ITEM CSL_CITATION {"citationID":"c5oGkHgI","properties":{"formattedCitation":"[16]","plainCitation":"[16]","noteIndex":0},"citationItems":[{"id":32,"uris":["http://zotero.org/users/local/XzHhEqW9/items/HR3IF3AE"],"uri":["http://zotero.org/users/local/XzHhEqW9/items/HR3IF3AE"],"itemData":{"id":32,"type":"article-journal","abstract":"IMPORTANCE: Since the introduction of the Fast Track designation in 1988, the number  of special regulatory programs available for the approval of new drugs and biologics  by the US Food and Drug Administration (FDA) has increased, offering the agency  flexibility with respect to evidentiary requirements. OBJECTIVE: To characterize  pivotal efficacy trials supporting the approval of new drugs and biologics during  the past 3 decades. DESIGN, SETTING, AND PARTICIPANTS: This cross-sectional study  included 273 new drugs and biologics approved by the FDA for 339 indications from  1995 to 1997, from 2005 to 2007, and from 2015 to 2017. MAIN OUTCOMES AND MEASURES:  Therapeutics were classified by product type and therapeutic area as well as orphan  designation and use of special regulatory programs, such as Priority Review and  Accelerated Approval. Pivotal trials were characterized by use of randomization,  blinding, types of comparators, primary end points, number of treated patients, and  trial duration, both individually and aggregated by each indication approval.  RESULTS: A total of 273 new drugs and biologics were approved by the FDA in these 3  periods (107 [39.2%] in 1995-1997; 57 [20.9%] in 2005-2007; and 109 [39.9%] in  2015-2017), representing 339 indications (157 [46.3%], 64 [18.9%], and 118 [34.8%],  respectively). The proportion of therapeutic approvals using at least 1 special  regulatory program increased (37 [34.6%] in 1995-1997; 33 [57.9%] in 2005-2007; and  70 [64.2%] in 2015-2017), as did indication approvals receiving an orphan  designation (20 [12.7%] in 1995-1997; 17 [26.6%] in 2005-2007, and 45 [38.1%] in  2015-2017). The most common therapeutic areas differed over time (infectious  disease, 53 [33.8%] in 1995-1997 vs cancer, 32 [27.1%] in 2015-2017). When  considering the aggregate pivotal trials supporting each indication approval, the  proportion of indications supported by at least 2 pivotal trials decreased (80.6%  [95% CI, 72.6%-87.2%] in 1995-1997; 60.3% [95% CI, 47.2%-72.4%] in 2005-2007; and  52.8% [95% CI, 42.9%-62.6%] in 2015-2017; P &lt; .001). The proportion of indications  supported by only single-group pivotal trials increased (4.0% [95% CI, 1.3%-9.2%] in  1995-1997; 12.7% [95% CI, 5.6%-23.5%] in 2005-2007; and 17.0% [95% CI, 10.4%-25.5%]  in 2015-2017; P = .001), whereas the proportion supported by at least 1 pivotal  trial of 6 months' duration increased (25.8% [95% CI, 18.4%-34.4%] in 1995-1997;  34.9% [95% CI, 23.3%-48.0%] in 2005-2007; and 46.2% [95% CI, 36.5%-56.2%] in  2015-2017; P = .001). CONCLUSIONS AND RELEVANCE: In this study, more recent FDA  approvals of new drugs and biologics were based on fewer pivotal trials, which, when  aggregated by indication, had less rigorous designs but longer trial durations,  suggesting an ongoing need for continued evaluation of therapeutic safety and  efficacy after approval.","container-title":"JAMA network open","DOI":"10.1001/jamanetworkopen.2020.3284","ISSN":"2574-3805 2574-3805","issue":"4","journalAbbreviation":"JAMA Netw Open","language":"eng","note":"PMID: 32315070 \nPMCID: PMC7175081","page":"e203284","title":"Assessment of Clinical Trials Supporting US Food and Drug Administration Approval of  Novel Therapeutic Agents, 1995-2017.","volume":"3","author":[{"family":"Zhang","given":"Audrey D."},{"family":"Puthumana","given":"Jeremy"},{"family":"Downing","given":"Nicholas S."},{"family":"Shah","given":"Nilay D."},{"family":"Krumholz","given":"Harlan M."},{"family":"Ross","given":"Joseph S."}],"issued":{"date-parts":[["2020",4,1]]}}}],"schema":"https://github.com/citation-style-language/schema/raw/master/csl-citation.json"} </w:instrText>
      </w:r>
      <w:r w:rsidRPr="00BB697E">
        <w:fldChar w:fldCharType="separate"/>
      </w:r>
      <w:r w:rsidR="00DE4B82" w:rsidRPr="00DE4B82">
        <w:t>[16]</w:t>
      </w:r>
      <w:r w:rsidRPr="00BB697E">
        <w:fldChar w:fldCharType="end"/>
      </w:r>
      <w:r w:rsidRPr="00BB697E">
        <w:t xml:space="preserve"> In some therapeutic areas such as cancer, surrogate endpoints account for almost 80% of all </w:t>
      </w:r>
      <w:r>
        <w:t>clinical</w:t>
      </w:r>
      <w:r w:rsidRPr="00BB697E">
        <w:t xml:space="preserve"> studies</w:t>
      </w:r>
      <w:r>
        <w:t xml:space="preserve"> supporting regulatory approvals</w:t>
      </w:r>
      <w:r w:rsidRPr="00BB697E">
        <w:t>.</w:t>
      </w:r>
      <w:r w:rsidRPr="00BB697E">
        <w:fldChar w:fldCharType="begin"/>
      </w:r>
      <w:r w:rsidR="00DE4B82">
        <w:instrText xml:space="preserve"> ADDIN ZOTERO_ITEM CSL_CITATION {"citationID":"08xz4abQ","properties":{"formattedCitation":"[17]","plainCitation":"[17]","noteIndex":0},"citationItems":[{"id":52,"uris":["http://zotero.org/users/local/XzHhEqW9/items/6KM845CE"],"uri":["http://zotero.org/users/local/XzHhEqW9/items/6KM845CE"],"itemData":{"id":52,"type":"article-journal","abstract":"IMPORTANCE: Many patients and physicians assume that the safety and effectiveness of  newly approved therapeutic agents is well understood; however, the strength of the  clinical trial evidence supporting approval decisions by the US Food and Drug  Administration (FDA) has not been evaluated. OBJECTIVES: To characterize pivotal  efficacy trials (clinical trials that serve as the basis of FDA approval) for newly  approved novel therapeutic agents. DESIGN AND SETTING: Cross-sectional analysis  using publicly available FDA documents for all novel therapeutic agents approved  between 2005 and 2012. MAIN OUTCOMES AND MEASURES: Pivotal efficacy trials were  classified according to the following design features: randomization, blinding,  comparator, and trial end point. Surrogate outcomes were defined as any end point  using a biomarker expected to predict clinical benefit. The number of patients,  trial duration, and trial completion rates were also determined. RESULTS: Between  2005 and 2012, the FDA approved 188 novel therapeutic agents for 206 indications on  the basis of 448 pivotal efficacy trials. The median number of pivotal trials per  indication was 2 (interquartile range, 1-2.5), although 74 indications (36.8%) were  approved on the basis of a single pivotal trial. Nearly all trials were randomized  (89.3% [95% CI, 86.4%-92.2%]), double-blinded (79.5% [95% CI, 75.7%-83.2%]), and  used either an active or placebo comparator (87.1% [95% CI, 83.9%-90.2%]). The  median number of patients enrolled per indication among all pivotal trials was 760  (interquartile range, 270-1550). At least 1 pivotal trial with a duration of 6  months or greater supported the approval of 68 indications (33.8% [95% CI,  27.2%-40.4%]). Pivotal trials using surrogate end points as their primary outcome  formed the exclusive basis of approval for 91 indications (45.3% [95% CI,  38.3%-52.2%]), clinical outcomes for 67 (33.3% [95% CI, 26.8%-39.9%]), and clinical  scales for 36 (17.9% [95% CI, 12.6%-23.3%]). Trial features differed by therapeutic  and indication characteristics, such as therapeutic area, expected length of  treatment, orphan status, and accelerated approval. CONCLUSIONS AND RELEVANCE: The  quality of clinical trial evidence used by the FDA as the basis for recent approvals  of novel therapeutic agents varied widely across indications. This variation has  important implications for patients and physicians as they make decisions about the  use of newly approved therapeutic agents.","container-title":"JAMA","DOI":"10.1001/jama.2013.282034","ISSN":"1538-3598 0098-7484 0098-7484","issue":"4","journalAbbreviation":"JAMA","language":"eng","note":"PMID: 24449315 \nPMCID: PMC4144867","page":"368-377","title":"Clinical trial evidence supporting FDA approval of novel therapeutic agents,  2005-2012.","volume":"311","author":[{"family":"Downing","given":"Nicholas S."},{"family":"Aminawung","given":"Jenerius A."},{"family":"Shah","given":"Nilay D."},{"family":"Krumholz","given":"Harlan M."},{"family":"Ross","given":"Joseph S."}],"issued":{"date-parts":[["2014",1,22]]}}}],"schema":"https://github.com/citation-style-language/schema/raw/master/csl-citation.json"} </w:instrText>
      </w:r>
      <w:r w:rsidRPr="00BB697E">
        <w:fldChar w:fldCharType="separate"/>
      </w:r>
      <w:r w:rsidR="00DE4B82" w:rsidRPr="00DE4B82">
        <w:t>[17]</w:t>
      </w:r>
      <w:r w:rsidRPr="00BB697E">
        <w:fldChar w:fldCharType="end"/>
      </w:r>
      <w:r>
        <w:t xml:space="preserve"> This means that </w:t>
      </w:r>
      <w:r w:rsidR="009C53E3">
        <w:t xml:space="preserve">in some therapeutic areas, </w:t>
      </w:r>
      <w:r>
        <w:t>only a minority of new drugs are now approved on the basis of evidence that they improve how patients feel or function, or how long they live.</w:t>
      </w:r>
    </w:p>
    <w:p w14:paraId="275E6306" w14:textId="77777777" w:rsidR="00F206C4" w:rsidRDefault="00F206C4" w:rsidP="009D5C9B">
      <w:pPr>
        <w:spacing w:line="360" w:lineRule="auto"/>
      </w:pPr>
    </w:p>
    <w:p w14:paraId="53F4AA74" w14:textId="6EC4EB00" w:rsidR="009D5C9B" w:rsidRPr="00BB697E" w:rsidRDefault="009D5C9B" w:rsidP="009D5C9B">
      <w:pPr>
        <w:spacing w:line="360" w:lineRule="auto"/>
      </w:pPr>
      <w:r w:rsidRPr="00BB697E">
        <w:t>The recent proliferation of surrogate endpoints is partly due to the increase in the use of ‘expedited’ regulatory programs that are aimed at speeding up the development, review, and approval of drugs.</w:t>
      </w:r>
      <w:r w:rsidRPr="00BB697E">
        <w:fldChar w:fldCharType="begin"/>
      </w:r>
      <w:r w:rsidR="00DE4B82">
        <w:instrText xml:space="preserve"> ADDIN ZOTERO_ITEM CSL_CITATION {"citationID":"KZ2Wwxnz","properties":{"formattedCitation":"[18]","plainCitation":"[18]","noteIndex":0},"citationItems":[{"id":53,"uris":["http://zotero.org/users/local/XzHhEqW9/items/NSBXFJQR"],"uri":["http://zotero.org/users/local/XzHhEqW9/items/NSBXFJQR"],"itemData":{"id":53,"type":"article-journal","abstract":"The US Food and Drug Administration has several regulatory programs and pathways to  expedite the development and approval of therapeutic agents aimed at treating  serious or life-debilitating conditions. A common feature of these programs is the  regulatory flexibility, which allows for a customized approval approach that enables  market authorization on the basis of less rigorous evidence, in exchange for  requiring postmarket evidence generation. An increasing share of therapeutic agents  approved by the Food and Drug Administration in recent years are associated with  expedited programs. In this article, we provide an overview of the evidentiary  standards required by the Food and Drug Administration's expedited development and  review programs, summarize the findings of the recent academic literature  demonstrating some of the limitations of these programs, and outline potential  opportunities to address these limitations. Recent evidence suggests that  therapeutic agents in the Food and Drug Administration's expedited programs are  approved on the basis of fewer and smaller studies that may lack comparator groups  and random allocation, and rather than focusing on clinical outcomes for study  endpoints, rely instead on surrogate markers of disease. Once on the market, agents  receiving expedited approvals are often quickly incorporated into clinical practice,  and evidence generated in the postmarket period may not necessarily address the  evidentiary limitations at the time of market entry. Furthermore, not all pathways  require additional postmarket studies. Evidence suggests that drugs in expedited  approval programs are associated with a greater likelihood that the Food and Drug  Administration will take a safety action following market entry. There are several  opportunities to improve the timeliness, information value, and validity of the pre-  and postmarket studies of therapeutic agents receiving expedited approvals. When use  of nonrandomized and uncontrolled studies cannot be avoided prior to market entry,  randomized trials should be mandatory in the postmarket period, unless there are  strong justifications for not carrying out such studies. In the premarket period,  validity of the surrogate markers can be improved by more rigorously evaluating  their correlation with patient-relevant clinical outcomes. Opportunities to reduce  the duration, complexity, and cost of postmarket randomized trials should not  compromise their validity and instead incorporate pragmatic \"real-world\" design  elements. Despite recent enthusiasm for widely using real-world evidence, adaptive  designs, and pragmatic trials in the regulatory setting, caution is warranted until  large-scale empirical evaluations demonstrate their validity compared to more  traditional trial designs.","container-title":"Clinical trials (London, England)","DOI":"10.1177/1740774518770648","ISSN":"1740-7753 1740-7745","issue":"3","journalAbbreviation":"Clin Trials","language":"eng","note":"publisher-place: England\nPMID: 29871509","page":"219-229","title":"The US Food and Drug Administration's expedited approval programs: Evidentiary  standards, regulatory trade-offs, and potential improvements.","volume":"15","author":[{"family":"Wallach","given":"Joshua D."},{"family":"Ross","given":"Joseph S."},{"family":"Naci","given":"Huseyin"}],"issued":{"date-parts":[["2018",6]]}}}],"schema":"https://github.com/citation-style-language/schema/raw/master/csl-citation.json"} </w:instrText>
      </w:r>
      <w:r w:rsidRPr="00BB697E">
        <w:fldChar w:fldCharType="separate"/>
      </w:r>
      <w:r w:rsidR="00DE4B82" w:rsidRPr="00DE4B82">
        <w:t>[18]</w:t>
      </w:r>
      <w:r w:rsidRPr="00BB697E">
        <w:fldChar w:fldCharType="end"/>
      </w:r>
      <w:r w:rsidRPr="00BB697E">
        <w:t xml:space="preserve"> Over the past quarter century, lobbying by pharmaceutical companies has put pressure on policymakers to establish several expedited programs in Europe and the United States.</w:t>
      </w:r>
      <w:r w:rsidRPr="00BB697E">
        <w:fldChar w:fldCharType="begin"/>
      </w:r>
      <w:r w:rsidR="00DE4B82">
        <w:instrText xml:space="preserve"> ADDIN ZOTERO_ITEM CSL_CITATION {"citationID":"ze6R7t3q","properties":{"formattedCitation":"[19]","plainCitation":"[19]","noteIndex":0},"citationItems":[{"id":54,"uris":["http://zotero.org/users/local/XzHhEqW9/items/Z48VDA2T"],"uri":["http://zotero.org/users/local/XzHhEqW9/items/Z48VDA2T"],"itemData":{"id":54,"type":"article-journal","abstract":"IMPORTANCE: US law requires testing of new drugs before approval to ensure that they  provide a well-defined benefit that is commensurate with their risks. A major  challenge for the US Food and Drug Administration (FDA) is to achieve an appropriate  balance between rigorous testing and the need for timely approval of drugs that have  benefits that outweigh their risks. OBJECTIVE: To describe the evolution of laws and  standards affecting drug testing, the use of new approval programs and standards,  expansions of the role and authority of the FDA, and changes in the number of drugs  approved from the 1980s to 2018. EVIDENCE: Sources of evidence included principal  federal laws and FDA regulations (1962-2018) and FDA databases of approved new drugs  (1984-2018), generic drugs (1970-2018), biologics (1984-2018), and vaccines  (1998-2018); special development and approval programs (Orphan drug [1984-2018],  Fast-Track [1988-2018], Priority Review and its predecessors [1984-2018],  Accelerated Approval [1992-2018], and Breakthrough Therapy [2012-2018]); expanded  access (2010-2017) and Risk Evaluation and Mitigation Strategies (2008-2018); and  user fees paid to the FDA by industry (1993-2018). FINDINGS: From 1983 to 2018,  legislation and regulatory initiatives have substantially changed drug approval at  the FDA. The mean annual number of new drug approvals, including biologics, was 34  from 1990-1999, 25 from 2000-2009, and 41 from 2010-2018. New biologic product  approvals increased from a median of 2.5 from 1990-1999, to 5 from 2000-2013, to 12  from 2014-2018. The median annual number of generic drugs approved was 136 from 1970  to the enactment of the Hatch-Waxman Act in 1984; 284 from 1985 to the enactment of  the Generic Drug User Fee Act in 2012; and 588 from 2013-2018. Prescription drug  user fee funding expanded from new drugs and biologics in 1992 to generic and  biosimilar drugs in 2012. The amount of Prescription Drug User Fee Act fees  collected from industry increased from an annual mean of $66 million in 1993-1997 to  $820 million in 2013-2017, and in 2018, user fees accounted for approximately 80% of  the salaries of review personnel responsible for the approval of new drugs. The  proportion of drugs approved with an Orphan Drug Act designation increased from 18%  (55/304) in 1984-1995, to 22% (82/379) in 1996-2007, to 41% (154/380) in 2008-2018.  Use of Accelerated Approval, Fast-Track, and Priority Review for new drugs has  increased over time, with 81% (48/59) of new drugs benefiting from at least 1 such  expedited program in 2018. The proportion of new approvals supported by at least 2  pivotal trials decreased from 80.6% in 1995-1997 to 52.8% in 2015-2017, based on 124  and 106 approvals, respectively, while the median number of patients studied did not  change significantly (774 vs 816). FDA drug review times declined from more than 3  years in 1983 to less than 1 year in 2017, but total time from the authorization of  clinical testing to approval has remained at approximately 8 years over that period.  CONCLUSIONS AND RELEVANCE: Over the last 4 decades, the approval and regulation  processes for pharmaceutical agents have evolved and increased in complexity as  special programs have been added and as the use of surrogate measures has been  encouraged. The FDA funding needed to implement and manage these programs has been  addressed by expanding industry-paid user fees. The FDA has increasingly accepted  less data and more surrogate measures, and has shortened its review times.","container-title":"JAMA","DOI":"10.1001/jama.2019.20288","ISSN":"1538-3598 0098-7484","issue":"2","journalAbbreviation":"JAMA","language":"eng","note":"publisher-place: United States\nPMID: 31935033","page":"164-176","title":"FDA Approval and Regulation of Pharmaceuticals, 1983-2018.","volume":"323","author":[{"family":"Darrow","given":"Jonathan J."},{"family":"Avorn","given":"Jerry"},{"family":"Kesselheim","given":"Aaron S."}],"issued":{"date-parts":[["2020",1,14]]}}}],"schema":"https://github.com/citation-style-language/schema/raw/master/csl-citation.json"} </w:instrText>
      </w:r>
      <w:r w:rsidRPr="00BB697E">
        <w:fldChar w:fldCharType="separate"/>
      </w:r>
      <w:r w:rsidR="00DE4B82" w:rsidRPr="00DE4B82">
        <w:t>[19]</w:t>
      </w:r>
      <w:r w:rsidRPr="00BB697E">
        <w:fldChar w:fldCharType="end"/>
      </w:r>
      <w:r w:rsidRPr="00BB697E">
        <w:t xml:space="preserve"> </w:t>
      </w:r>
      <w:r>
        <w:t>These</w:t>
      </w:r>
      <w:r w:rsidRPr="00BB697E">
        <w:t xml:space="preserve"> programs also meet perceived patient demand for faster access to potentially effective therapies</w:t>
      </w:r>
      <w:r>
        <w:t xml:space="preserve"> in therapeutic areas with significant unmet needs</w:t>
      </w:r>
      <w:r w:rsidRPr="00BB697E">
        <w:t xml:space="preserve">. </w:t>
      </w:r>
      <w:r>
        <w:t xml:space="preserve">In the US, the </w:t>
      </w:r>
      <w:r w:rsidR="006E6F65">
        <w:t xml:space="preserve">FDA </w:t>
      </w:r>
      <w:r w:rsidR="00B4780D">
        <w:t>“</w:t>
      </w:r>
      <w:r>
        <w:t>accelerated approval</w:t>
      </w:r>
      <w:r w:rsidR="00B4780D">
        <w:t>”</w:t>
      </w:r>
      <w:r>
        <w:t xml:space="preserve"> pathway was established at the height of the HIV/AIDS crisis in the early 1990s. Other e</w:t>
      </w:r>
      <w:r w:rsidRPr="00BB697E">
        <w:t xml:space="preserve">xamples </w:t>
      </w:r>
      <w:r>
        <w:t xml:space="preserve">of expedited programs </w:t>
      </w:r>
      <w:r w:rsidRPr="00BB697E">
        <w:t xml:space="preserve">in the US include the </w:t>
      </w:r>
      <w:r w:rsidR="00B4780D">
        <w:t>“</w:t>
      </w:r>
      <w:r w:rsidRPr="00BB697E">
        <w:t>breakthrough therapy</w:t>
      </w:r>
      <w:r w:rsidR="00B4780D">
        <w:t>,” “priority review,”</w:t>
      </w:r>
      <w:r w:rsidRPr="00BB697E">
        <w:t xml:space="preserve"> </w:t>
      </w:r>
      <w:r w:rsidR="000D437B">
        <w:t xml:space="preserve">and </w:t>
      </w:r>
      <w:r w:rsidR="00B4780D">
        <w:t>“</w:t>
      </w:r>
      <w:r w:rsidR="000D437B">
        <w:t>fast track</w:t>
      </w:r>
      <w:r w:rsidR="00B4780D">
        <w:t>”</w:t>
      </w:r>
      <w:r w:rsidR="000D437B">
        <w:t xml:space="preserve"> </w:t>
      </w:r>
      <w:r w:rsidRPr="00BB697E">
        <w:t>designation</w:t>
      </w:r>
      <w:r w:rsidR="000D437B">
        <w:t>s</w:t>
      </w:r>
      <w:r w:rsidRPr="00BB697E">
        <w:t xml:space="preserve">. Programs in Europe include the European Medicines Agency’s (EMA) </w:t>
      </w:r>
      <w:r w:rsidR="00B4780D">
        <w:t>“</w:t>
      </w:r>
      <w:r w:rsidRPr="00BB697E">
        <w:t>accelerated assessment</w:t>
      </w:r>
      <w:r w:rsidR="00B4780D">
        <w:t>”</w:t>
      </w:r>
      <w:r w:rsidRPr="00BB697E">
        <w:t xml:space="preserve"> and </w:t>
      </w:r>
      <w:r w:rsidR="00B4780D">
        <w:t>“</w:t>
      </w:r>
      <w:r w:rsidRPr="00BB697E">
        <w:t>Priority Medicines</w:t>
      </w:r>
      <w:r w:rsidR="00B4780D">
        <w:t>”</w:t>
      </w:r>
      <w:r w:rsidRPr="00BB697E">
        <w:t xml:space="preserve"> schemes.</w:t>
      </w:r>
      <w:r w:rsidRPr="00BB697E">
        <w:fldChar w:fldCharType="begin"/>
      </w:r>
      <w:r w:rsidR="00DE4B82">
        <w:instrText xml:space="preserve"> ADDIN ZOTERO_ITEM CSL_CITATION {"citationID":"4i7vINXO","properties":{"formattedCitation":"[20]","plainCitation":"[20]","noteIndex":0},"citationItems":[{"id":55,"uris":["http://zotero.org/users/local/XzHhEqW9/items/XE79PY3C"],"uri":["http://zotero.org/users/local/XzHhEqW9/items/XE79PY3C"],"itemData":{"id":55,"type":"article-journal","abstract":"The Priority Medicines (PRIME) scheme was launched by the European Medicines Agency (EMA) in 2016 to expedite the development and approval of promising products targeting conditions with high unmet medical need. Manufacturers of PRIME drugs receive extensive regulatory advice on their trial designs. Until June 2018, the EMA granted PRIME status to 39 agents, evaluated in 138 studies (102 initiated before and 36 after PRIME eligibility). A third of the studies forming the basis of PRIME designation were randomized controlled trials, and a quarter of the studies were blinded. There was no statistically significant difference between trials initiated before and after PRIME designation in terms of randomized design and use of blinding. However, significantly more efficacy studies included a clinical end point after PRIME designation than before, and significantly fewer included surrogate measures alone. There were no statistically significant differences between the trial designs of PRIME and non-PRIME-designated products.","container-title":"Clinical Pharmacology &amp; Therapeutics","DOI":"10.1002/cpt.1669","ISSN":"0009-9236","issue":"3","journalAbbreviation":"Clinical Pharmacology &amp; Therapeutics","note":"publisher: John Wiley &amp; Sons, Ltd","page":"541-552","title":"European Medicines Agency’s Priority Medicines Scheme at 2 Years: An Evaluation of Clinical Studies Supporting Eligible Drugs","volume":"107","author":[{"family":"Neez","given":"Emilie"},{"family":"Hwang","given":"Thomas J."},{"family":"Sahoo","given":"Samali Anova"},{"family":"Naci","given":"Huseyin"}],"issued":{"date-parts":[["2020",3,1]]}}}],"schema":"https://github.com/citation-style-language/schema/raw/master/csl-citation.json"} </w:instrText>
      </w:r>
      <w:r w:rsidRPr="00BB697E">
        <w:fldChar w:fldCharType="separate"/>
      </w:r>
      <w:r w:rsidR="00DE4B82" w:rsidRPr="00DE4B82">
        <w:t>[20]</w:t>
      </w:r>
      <w:r w:rsidRPr="00BB697E">
        <w:fldChar w:fldCharType="end"/>
      </w:r>
      <w:r w:rsidRPr="00BB697E">
        <w:t xml:space="preserve"> </w:t>
      </w:r>
    </w:p>
    <w:p w14:paraId="4BA8A0BA" w14:textId="77777777" w:rsidR="009D5C9B" w:rsidRPr="00BB697E" w:rsidRDefault="009D5C9B" w:rsidP="009D5C9B">
      <w:pPr>
        <w:spacing w:line="360" w:lineRule="auto"/>
      </w:pPr>
    </w:p>
    <w:p w14:paraId="53BEF642" w14:textId="06596A16" w:rsidR="00CA1874" w:rsidRPr="0093332C" w:rsidRDefault="009D5C9B" w:rsidP="009A6605">
      <w:pPr>
        <w:spacing w:line="360" w:lineRule="auto"/>
      </w:pPr>
      <w:r w:rsidRPr="002845DA">
        <w:t xml:space="preserve">The use of surrogate endpoints </w:t>
      </w:r>
      <w:r w:rsidRPr="00E62D34">
        <w:t xml:space="preserve">in certain expedited regulatory </w:t>
      </w:r>
      <w:r w:rsidRPr="001A5D69">
        <w:t>programs like the FDA’s accelerated approval pathway is linked to “conditional” approvals where drug manufacturers are legally mandated to conduct additional trials to demonstrate the clinical benefit of their products.</w:t>
      </w:r>
      <w:r w:rsidR="00135CD1" w:rsidRPr="00FF35AB">
        <w:t xml:space="preserve"> </w:t>
      </w:r>
      <w:r w:rsidR="00F206C4" w:rsidRPr="00BB697E">
        <w:t xml:space="preserve">Even </w:t>
      </w:r>
      <w:r w:rsidR="00F206C4">
        <w:t>when post-approval studies are required</w:t>
      </w:r>
      <w:r w:rsidR="00F206C4" w:rsidRPr="00BB697E">
        <w:t xml:space="preserve">, </w:t>
      </w:r>
      <w:r w:rsidR="00B4780D">
        <w:t xml:space="preserve">however, </w:t>
      </w:r>
      <w:r w:rsidR="00F206C4" w:rsidRPr="00BB697E">
        <w:t>clinical efficacy of drugs initially approved on the basis of surrogate endpoints is often subsequently “confirmed” on the basis of other surrogate endpoints.</w:t>
      </w:r>
      <w:r w:rsidR="00F206C4" w:rsidRPr="00BB697E">
        <w:fldChar w:fldCharType="begin"/>
      </w:r>
      <w:r w:rsidR="00DE4B82">
        <w:instrText xml:space="preserve"> ADDIN ZOTERO_ITEM CSL_CITATION {"citationID":"Jn589Wv1","properties":{"formattedCitation":"[21,22]","plainCitation":"[21,22]","noteIndex":0},"citationItems":[{"id":60,"uris":["http://zotero.org/users/local/XzHhEqW9/items/2LXFWGRL"],"uri":["http://zotero.org/users/local/XzHhEqW9/items/2LXFWGRL"],"itemData":{"id":60,"type":"article-journal","abstract":"Drugs treating serious or life-threatening conditions can receive US Food and Drug Administration (FDA) accelerated approval based on showing an effect in surrogate measures that are only reasonably likely to predict clinical benefit. Confirmatory trials are then required to determine whether these effects translate to clinical improvements.To characterize preapproval and confirmatory clinical trials of drugs granted accelerated approval.Publicly available FDA documents were reviewed to identify the preapproval trials leading to accelerated approval between 2009 and 2013. Information on the status and findings of required confirmatory studies was extracted from the FDA’s database of postmarketing requirements and commitments, ClinicalTrials.gov, and matched peer-reviewed publications. Follow-up ended on April 7, 2017.Granting of accelerated approval.Characteristics of preapproval and confirmatory studies were compared in terms of study design features (randomization, blinding, comparator, primary end point). Subsequent regulatory decisions and estimated time between accelerated approval and fulfillment of regulatory requirements were summarized.The FDA granted accelerated approval to 22 drugs for 24 indications (19 for indications involving cancer treatment) between 2009 and 2013. A total of 30 preapproval studies supported the 24 indications. The median number of participants enrolled in the preapproval studies was 132 (interquartile range, 89-224). Eight studies (27%) included fewer than 100 participants and 20 (67%) included fewer than 200. At a minimum 3 years of follow-up, 19 of 38 (50%) required confirmatory studies were completed, including 18 published reports. Twenty-five of the 38 (66%) examined clinical efficacy, 7 (18%) evaluated longer follow-up, and 6 (16%) focused on safety The proportion of studies with randomized designs did not differ before and after accelerated approval (12/30 [40%] vs 10/18 [56%]; difference, 16%; 95% CI, −15% to 46%; P = .31). Postapproval requirements were completed and demonstrated efficacy in 10 of 24 indications (42%) on the basis of trials that evaluated surrogate measures. Among the 14 of 24 indications (58%) that had not yet completed all requirements, at least 1 of the confirmatory studies failed to demonstrate clinical benefit in 2 (8%), were terminated in 2 (8%), and were delayed by more than 1 year in 3 (13%). Studies were progressing according to target timelines for the remaining 7 indications (29%). Clinical benefit had not yet been confirmed for 8 indications that had been initially approved 5 or more years prior.Among 22 drugs with 24 indications granted accelerated approval by the FDA in 2009-2013, efficacy was often confirmed in postapproval trials a minimum of 3 years after approval, although confirmatory trials and preapproval trials had similar design elements, including reliance on surrogate measures as outcomes.","container-title":"JAMA","DOI":"10.1001/jama.2017.9415","ISSN":"0098-7484","issue":"7","journalAbbreviation":"JAMA","page":"626-636","title":"Characteristics of Preapproval and Postapproval Studies for Drugs Granted Accelerated Approval by the US Food and Drug Administration","volume":"318","author":[{"family":"Naci","given":"Huseyin"},{"family":"Smalley","given":"Katelyn R."},{"family":"Kesselheim","given":"Aaron S."}],"issued":{"date-parts":[["2017",8,15]]}},"label":"page"},{"id":185,"uris":["http://zotero.org/users/local/XzHhEqW9/items/8WC6NGTW"],"uri":["http://zotero.org/users/local/XzHhEqW9/items/8WC6NGTW"],"itemData":{"id":185,"type":"article-journal","abstract":"IMPORTANCE: The US Food and Drug Administration's (FDA's) accelerated approval pathway allows investigational cancer drugs to be approved by demonstrating a  beneficial effect on a surrogate measure (eg, progression-free survival) that is  expected to predict a real clinical benefit (eg, overall survival). However, these  drugs must undergo postapproval confirmatory studies to evaluate their actual  clinical benefits. In an assessment of the accelerated approval pathway published in  2018, the FDA concluded that this pathway was successful because only 5 (5%) of 93  accelerated drug approvals had been withdrawn or revoked over the last 25 years.  OBJECTIVE: To compare the end points used in preapproval trials leading to  accelerated approval with the end points used in the required confirmatory trials  that verified clinical benefit and to update the outcomes of accelerated approvals  with confirmatory trials that were ongoing at the time of FDA's review. DESIGN,  SETTING, AND PARTICIPANTS: A review of the literature on end points used in  preapproval and confirmatory trials of cancer drugs that received accelerated  approval and a review of the FDA's database of postmarketing requirements and  commitments focused on the outcomes of confirmatory trials that were ongoing at the  time of FDA's review of cancer drug approvals published in 2018. MAIN OUTCOMES AND  MEASURES: End points used as confirmation of clinical benefit in cancer drugs that  received accelerated approval, updated status of the confirmatory trials, and  regulatory outcomes for cancer drugs that did not meet expectations in the  confirmatory trials. RESULTS: The FDA published a review of 93 cancer drug  indications for which accelerated approval was granted from December 11, 1992,  through May 31, 2017. Of these approvals, the FDA reported that clinical benefit was  adequately confirmed in 51 and confirmatory trials for 15 of these indications (16%  of the main sample) accelerated approvals reported improvement in overall survival.  For 19 approvals (37%), the confirmatory trials used surrogate measures that were  the same as those used in the preapproval trials. In this updated review,  confirmatory trials for 19 of 93 (20%) cancer drug approvals reported an improvement  in overall survival, 19 (20%) reported improvement in the same surrogate used in the  preapproval trial, and 20 (21%) reported improvement in a different surrogate. Five  confirmatory trials were delayed, 10 were pending, and 9 were ongoing. For 3 recent  approvals, the primary end points were not met in the confirmatory trials; however,  1 cancer drug indication still received full approval. CONCLUSIONS AND RELEVANCE:  Confirmatory trials for one-fifth (n = 19 of 93) of cancer drug indications approved  via the FDA's accelerated approval pathway demonstrated improvements in overall  patient survival. Reassessment of the requirements for confirmatory trials may be  necessary to obtain more clinically meaningful information.","container-title":"JAMA internal medicine","DOI":"10.1001/jamainternmed.2019.0462","ISSN":"2168-6114 2168-6106","issue":"7","journalAbbreviation":"JAMA Intern Med","language":"eng","note":"PMID: 31135808 \nPMCID: PMC6547118","page":"906-913","title":"Assessment of the Clinical Benefit of Cancer Drugs Receiving Accelerated Approval.","volume":"179","author":[{"family":"Gyawali","given":"Bishal"},{"family":"Hey","given":"Spencer Phillips"},{"family":"Kesselheim","given":"Aaron S."}],"issued":{"date-parts":[["2019",7,1]]}},"label":"page"}],"schema":"https://github.com/citation-style-language/schema/raw/master/csl-citation.json"} </w:instrText>
      </w:r>
      <w:r w:rsidR="00F206C4" w:rsidRPr="00BB697E">
        <w:fldChar w:fldCharType="separate"/>
      </w:r>
      <w:r w:rsidR="00DE4B82" w:rsidRPr="00DE4B82">
        <w:t>[21,22]</w:t>
      </w:r>
      <w:r w:rsidR="00F206C4" w:rsidRPr="00BB697E">
        <w:fldChar w:fldCharType="end"/>
      </w:r>
      <w:r w:rsidR="00B4780D">
        <w:t xml:space="preserve"> </w:t>
      </w:r>
      <w:r w:rsidR="005E330A">
        <w:t xml:space="preserve">For example, </w:t>
      </w:r>
      <w:r w:rsidR="00171478">
        <w:t>both pre-approval and mandated post-approval studies supporting FDA’s accelerated approval of lapatinib (for the treatment of postmenopausal women with HER2-positive metastatic breast cancer) tested surrogate endpoints.</w:t>
      </w:r>
      <w:r w:rsidR="001D2160">
        <w:fldChar w:fldCharType="begin"/>
      </w:r>
      <w:r w:rsidR="001D2160">
        <w:instrText xml:space="preserve"> ADDIN ZOTERO_ITEM CSL_CITATION {"citationID":"sA6Bl5Cw","properties":{"formattedCitation":"[21]","plainCitation":"[21]","noteIndex":0},"citationItems":[{"id":60,"uris":["http://zotero.org/users/local/XzHhEqW9/items/2LXFWGRL"],"uri":["http://zotero.org/users/local/XzHhEqW9/items/2LXFWGRL"],"itemData":{"id":60,"type":"article-journal","abstract":"Drugs treating serious or life-threatening conditions can receive US Food and Drug Administration (FDA) accelerated approval based on showing an effect in surrogate measures that are only reasonably likely to predict clinical benefit. Confirmatory trials are then required to determine whether these effects translate to clinical improvements.To characterize preapproval and confirmatory clinical trials of drugs granted accelerated approval.Publicly available FDA documents were reviewed to identify the preapproval trials leading to accelerated approval between 2009 and 2013. Information on the status and findings of required confirmatory studies was extracted from the FDA’s database of postmarketing requirements and commitments, ClinicalTrials.gov, and matched peer-reviewed publications. Follow-up ended on April 7, 2017.Granting of accelerated approval.Characteristics of preapproval and confirmatory studies were compared in terms of study design features (randomization, blinding, comparator, primary end point). Subsequent regulatory decisions and estimated time between accelerated approval and fulfillment of regulatory requirements were summarized.The FDA granted accelerated approval to 22 drugs for 24 indications (19 for indications involving cancer treatment) between 2009 and 2013. A total of 30 preapproval studies supported the 24 indications. The median number of participants enrolled in the preapproval studies was 132 (interquartile range, 89-224). Eight studies (27%) included fewer than 100 participants and 20 (67%) included fewer than 200. At a minimum 3 years of follow-up, 19 of 38 (50%) required confirmatory studies were completed, including 18 published reports. Twenty-five of the 38 (66%) examined clinical efficacy, 7 (18%) evaluated longer follow-up, and 6 (16%) focused on safety The proportion of studies with randomized designs did not differ before and after accelerated approval (12/30 [40%] vs 10/18 [56%]; difference, 16%; 95% CI, −15% to 46%; P = .31). Postapproval requirements were completed and demonstrated efficacy in 10 of 24 indications (42%) on the basis of trials that evaluated surrogate measures. Among the 14 of 24 indications (58%) that had not yet completed all requirements, at least 1 of the confirmatory studies failed to demonstrate clinical benefit in 2 (8%), were terminated in 2 (8%), and were delayed by more than 1 year in 3 (13%). Studies were progressing according to target timelines for the remaining 7 indications (29%). Clinical benefit had not yet been confirmed for 8 indications that had been initially approved 5 or more years prior.Among 22 drugs with 24 indications granted accelerated approval by the FDA in 2009-2013, efficacy was often confirmed in postapproval trials a minimum of 3 years after approval, although confirmatory trials and preapproval trials had similar design elements, including reliance on surrogate measures as outcomes.","container-title":"JAMA","DOI":"10.1001/jama.2017.9415","ISSN":"0098-7484","issue":"7","journalAbbreviation":"JAMA","page":"626-636","title":"Characteristics of Preapproval and Postapproval Studies for Drugs Granted Accelerated Approval by the US Food and Drug Administration","volume":"318","author":[{"family":"Naci","given":"Huseyin"},{"family":"Smalley","given":"Katelyn R."},{"family":"Kesselheim","given":"Aaron S."}],"issued":{"date-parts":[["2017",8,15]]}}}],"schema":"https://github.com/citation-style-language/schema/raw/master/csl-citation.json"} </w:instrText>
      </w:r>
      <w:r w:rsidR="001D2160">
        <w:fldChar w:fldCharType="separate"/>
      </w:r>
      <w:r w:rsidR="001D2160" w:rsidRPr="001D2160">
        <w:t>[21]</w:t>
      </w:r>
      <w:r w:rsidR="001D2160">
        <w:fldChar w:fldCharType="end"/>
      </w:r>
      <w:r w:rsidR="00171478">
        <w:t xml:space="preserve"> </w:t>
      </w:r>
      <w:r w:rsidR="00B4780D">
        <w:t xml:space="preserve">This practice may meet regulators’ expectations but falls far short of reliable evidence of patient benefit. </w:t>
      </w:r>
      <w:bookmarkStart w:id="0" w:name="_Hlk76474254"/>
    </w:p>
    <w:bookmarkEnd w:id="0"/>
    <w:p w14:paraId="6667E70D" w14:textId="77777777" w:rsidR="00F06F25" w:rsidRPr="00057756" w:rsidRDefault="00F06F25" w:rsidP="00057756">
      <w:pPr>
        <w:spacing w:line="360" w:lineRule="auto"/>
      </w:pPr>
    </w:p>
    <w:p w14:paraId="066B3C85" w14:textId="368F41C5" w:rsidR="00341855" w:rsidRPr="00BB697E" w:rsidRDefault="005E07AC" w:rsidP="00057756">
      <w:pPr>
        <w:spacing w:line="360" w:lineRule="auto"/>
        <w:rPr>
          <w:b/>
        </w:rPr>
      </w:pPr>
      <w:r>
        <w:rPr>
          <w:b/>
        </w:rPr>
        <w:t>Limited guidance from regulators and HTA bodies</w:t>
      </w:r>
    </w:p>
    <w:p w14:paraId="4B7BEC93" w14:textId="00892C2D" w:rsidR="00D6246E" w:rsidRPr="0093332C" w:rsidRDefault="001A5D69" w:rsidP="000E3F33">
      <w:pPr>
        <w:spacing w:line="360" w:lineRule="auto"/>
      </w:pPr>
      <w:r>
        <w:t>T</w:t>
      </w:r>
      <w:r w:rsidR="008829FE">
        <w:t xml:space="preserve">here is little consensus </w:t>
      </w:r>
      <w:r w:rsidR="00F576A4">
        <w:t>for</w:t>
      </w:r>
      <w:r w:rsidR="002A35E0">
        <w:t xml:space="preserve"> defining</w:t>
      </w:r>
      <w:r w:rsidR="00F576A4">
        <w:t xml:space="preserve"> </w:t>
      </w:r>
      <w:r w:rsidR="008829FE">
        <w:t>a “valid” surrogate</w:t>
      </w:r>
      <w:r w:rsidR="000E3F33">
        <w:t xml:space="preserve">, as it </w:t>
      </w:r>
      <w:r w:rsidR="000E3F33" w:rsidRPr="000E3F33">
        <w:t xml:space="preserve">is difficult to </w:t>
      </w:r>
      <w:r w:rsidR="000E3F33">
        <w:t xml:space="preserve">set </w:t>
      </w:r>
      <w:r w:rsidR="000E3F33" w:rsidRPr="00B315B4">
        <w:t>specific thresholds to grade the strength of </w:t>
      </w:r>
      <w:r w:rsidR="000E3F33">
        <w:t>association</w:t>
      </w:r>
      <w:r w:rsidR="000E3F33" w:rsidRPr="00B315B4">
        <w:t xml:space="preserve"> with the final clinical outcome. </w:t>
      </w:r>
      <w:r w:rsidR="000E3F33">
        <w:t>Yet</w:t>
      </w:r>
      <w:r w:rsidR="00FC3128">
        <w:t>, s</w:t>
      </w:r>
      <w:r w:rsidR="008829FE" w:rsidRPr="00BB697E">
        <w:t xml:space="preserve">ome </w:t>
      </w:r>
      <w:r w:rsidR="00CD47E1">
        <w:t>organisations</w:t>
      </w:r>
      <w:r w:rsidR="008829FE" w:rsidRPr="00BB697E">
        <w:t xml:space="preserve"> such as the German Institute for Quality and Efficiency in Health Care (</w:t>
      </w:r>
      <w:proofErr w:type="spellStart"/>
      <w:r w:rsidR="008829FE" w:rsidRPr="00BB697E">
        <w:t>IQWiG</w:t>
      </w:r>
      <w:proofErr w:type="spellEnd"/>
      <w:r w:rsidR="008829FE" w:rsidRPr="00BB697E">
        <w:t xml:space="preserve">) have prescriptive criteria for </w:t>
      </w:r>
      <w:r w:rsidR="008829FE">
        <w:t>accepting</w:t>
      </w:r>
      <w:r w:rsidR="008829FE" w:rsidRPr="00BB697E">
        <w:t xml:space="preserve"> surrogate endpoints. </w:t>
      </w:r>
      <w:proofErr w:type="spellStart"/>
      <w:r w:rsidR="008829FE" w:rsidRPr="00BB697E">
        <w:t>IQWiG</w:t>
      </w:r>
      <w:proofErr w:type="spellEnd"/>
      <w:r w:rsidR="008829FE" w:rsidRPr="00BB697E">
        <w:t xml:space="preserve"> sets a threshold for the lower bound of the confidence interval on the correlation coefficient (R ≥ 0.85) to conclude a high correlation exists between the surrogate </w:t>
      </w:r>
      <w:r w:rsidR="008829FE" w:rsidRPr="0093332C">
        <w:t>and final clinical outcome.</w:t>
      </w:r>
      <w:r w:rsidR="008829FE" w:rsidRPr="0093332C">
        <w:fldChar w:fldCharType="begin"/>
      </w:r>
      <w:r w:rsidR="00DE4B82" w:rsidRPr="0093332C">
        <w:instrText xml:space="preserve"> ADDIN ZOTERO_ITEM CSL_CITATION {"citationID":"0aoJYduz","properties":{"formattedCitation":"[23]","plainCitation":"[23]","noteIndex":0},"citationItems":[{"id":65,"uris":["http://zotero.org/users/local/XzHhEqW9/items/HRRPRLNA"],"uri":["http://zotero.org/users/local/XzHhEqW9/items/HRRPRLNA"],"itemData":{"id":65,"type":"report","collection-title":"IQWiG-Berichte","event-place":"Cologne","number":"80","publisher-place":"Cologne","title":"Validity of surrogate parameters in oncology (Rapid report)","author":[{"literal":"Institut für Qualität und Wirtschaftlichkeit im Gesundheitswesen"},{"literal":"(IQWiG). Aussagekraft von surrogatendpunkten in der onkologie."},{"family":"Institut fuer Qualitaet und Wirtschaftlichkeit im Gesundheitswesen (IQWiG).","given":""}],"issued":{"date-parts":[["2011"]]}}}],"schema":"https://github.com/citation-style-language/schema/raw/master/csl-citation.json"} </w:instrText>
      </w:r>
      <w:r w:rsidR="008829FE" w:rsidRPr="0093332C">
        <w:fldChar w:fldCharType="separate"/>
      </w:r>
      <w:r w:rsidR="00DE4B82" w:rsidRPr="0093332C">
        <w:t>[23]</w:t>
      </w:r>
      <w:r w:rsidR="008829FE" w:rsidRPr="0093332C">
        <w:fldChar w:fldCharType="end"/>
      </w:r>
      <w:r w:rsidR="00F576A4" w:rsidRPr="0093332C">
        <w:t xml:space="preserve"> </w:t>
      </w:r>
      <w:r w:rsidR="00FF35AB" w:rsidRPr="0093332C">
        <w:t>Most o</w:t>
      </w:r>
      <w:r w:rsidR="00E62D34" w:rsidRPr="0093332C">
        <w:t>ther</w:t>
      </w:r>
      <w:r w:rsidRPr="0093332C">
        <w:t xml:space="preserve"> agencies</w:t>
      </w:r>
      <w:r w:rsidR="00E62D34" w:rsidRPr="0093332C">
        <w:t xml:space="preserve"> have no </w:t>
      </w:r>
      <w:r w:rsidRPr="0093332C">
        <w:t>similar</w:t>
      </w:r>
      <w:r w:rsidR="00E62D34" w:rsidRPr="0093332C">
        <w:t xml:space="preserve"> cut-offs for accepting surrogate endpoints. </w:t>
      </w:r>
    </w:p>
    <w:p w14:paraId="0A1E5E9D" w14:textId="77777777" w:rsidR="00D6246E" w:rsidRPr="0093332C" w:rsidRDefault="00D6246E" w:rsidP="00057756">
      <w:pPr>
        <w:spacing w:line="360" w:lineRule="auto"/>
      </w:pPr>
    </w:p>
    <w:p w14:paraId="5AFD7FEC" w14:textId="6B01F301" w:rsidR="00341855" w:rsidRPr="0093332C" w:rsidRDefault="001B007D" w:rsidP="003F10EA">
      <w:pPr>
        <w:spacing w:line="360" w:lineRule="auto"/>
      </w:pPr>
      <w:r w:rsidRPr="0093332C">
        <w:t>T</w:t>
      </w:r>
      <w:r w:rsidR="003F10EA" w:rsidRPr="0093332C">
        <w:t>he</w:t>
      </w:r>
      <w:r w:rsidRPr="0093332C">
        <w:t>re is actually a</w:t>
      </w:r>
      <w:r w:rsidR="00E62D34" w:rsidRPr="0093332C">
        <w:t xml:space="preserve"> long history of methodological efforts for </w:t>
      </w:r>
      <w:r w:rsidR="00CD47E1" w:rsidRPr="0093332C">
        <w:t>evaluating</w:t>
      </w:r>
      <w:r w:rsidR="00E62D34" w:rsidRPr="0093332C">
        <w:t xml:space="preserve"> surrogate endpoints. </w:t>
      </w:r>
      <w:r w:rsidR="00314E41" w:rsidRPr="0093332C">
        <w:t>In 2009,</w:t>
      </w:r>
      <w:r w:rsidR="00200EEE" w:rsidRPr="0093332C">
        <w:t xml:space="preserve"> </w:t>
      </w:r>
      <w:r w:rsidR="00341855" w:rsidRPr="0093332C">
        <w:t xml:space="preserve">Taylor and </w:t>
      </w:r>
      <w:proofErr w:type="spellStart"/>
      <w:r w:rsidR="00341855" w:rsidRPr="0093332C">
        <w:t>Elston</w:t>
      </w:r>
      <w:proofErr w:type="spellEnd"/>
      <w:r w:rsidR="00A55732" w:rsidRPr="0093332C">
        <w:t xml:space="preserve"> </w:t>
      </w:r>
      <w:r w:rsidR="00E836D5" w:rsidRPr="0093332C">
        <w:fldChar w:fldCharType="begin"/>
      </w:r>
      <w:r w:rsidR="00DE4B82" w:rsidRPr="0093332C">
        <w:instrText xml:space="preserve"> ADDIN ZOTERO_ITEM CSL_CITATION {"citationID":"l1YJHFgq","properties":{"formattedCitation":"[24]","plainCitation":"[24]","noteIndex":0},"citationItems":[{"id":134,"uris":["http://zotero.org/users/local/XzHhEqW9/items/A9IFZADK"],"uri":["http://zotero.org/users/local/XzHhEqW9/items/A9IFZADK"],"itemData":{"id":134,"type":"article-journal","container-title":"Health Technol Assess","DOI":"10.3310/hta13080","journalAbbreviation":"Health Technol Assess","page":"8","title":"The use of surrogate outcomes in model-based cost-effectiveness analyses: a survey of UK Health Technology Assessment reports","volume":"13","author":[{"family":"Taylor","given":"RS"},{"family":"Elston","given":"J"}],"issued":{"date-parts":[["2009"]]}}}],"schema":"https://github.com/citation-style-language/schema/raw/master/csl-citation.json"} </w:instrText>
      </w:r>
      <w:r w:rsidR="00E836D5" w:rsidRPr="0093332C">
        <w:fldChar w:fldCharType="separate"/>
      </w:r>
      <w:r w:rsidR="00DE4B82" w:rsidRPr="0093332C">
        <w:t>[24]</w:t>
      </w:r>
      <w:r w:rsidR="00E836D5" w:rsidRPr="0093332C">
        <w:fldChar w:fldCharType="end"/>
      </w:r>
      <w:r w:rsidR="00341855" w:rsidRPr="0093332C">
        <w:t xml:space="preserve"> </w:t>
      </w:r>
      <w:r w:rsidR="00314E41" w:rsidRPr="0093332C">
        <w:t xml:space="preserve">recommended </w:t>
      </w:r>
      <w:r w:rsidR="00341855" w:rsidRPr="0093332C">
        <w:t>a three-step framework</w:t>
      </w:r>
      <w:r w:rsidR="005B3C5D" w:rsidRPr="0093332C">
        <w:t>,</w:t>
      </w:r>
      <w:r w:rsidR="00341855" w:rsidRPr="0093332C">
        <w:t xml:space="preserve"> based on (</w:t>
      </w:r>
      <w:proofErr w:type="spellStart"/>
      <w:r w:rsidR="00341855" w:rsidRPr="0093332C">
        <w:t>i</w:t>
      </w:r>
      <w:proofErr w:type="spellEnd"/>
      <w:r w:rsidR="00341855" w:rsidRPr="0093332C">
        <w:t>) biological plausibility</w:t>
      </w:r>
      <w:r w:rsidR="00CF4C84" w:rsidRPr="0093332C">
        <w:t xml:space="preserve"> alone</w:t>
      </w:r>
      <w:r w:rsidR="00341855" w:rsidRPr="0093332C">
        <w:t xml:space="preserve">, (ii) </w:t>
      </w:r>
      <w:r w:rsidR="00CF4C84" w:rsidRPr="0093332C">
        <w:t xml:space="preserve">evidence of an observational </w:t>
      </w:r>
      <w:r w:rsidR="00341855" w:rsidRPr="0093332C">
        <w:t xml:space="preserve">association between the surrogate and the </w:t>
      </w:r>
      <w:r w:rsidR="00263DCC" w:rsidRPr="0093332C">
        <w:t xml:space="preserve">clinical </w:t>
      </w:r>
      <w:r w:rsidR="00341855" w:rsidRPr="0093332C">
        <w:t xml:space="preserve">endpoint at the individual patient level and (iii) evidence </w:t>
      </w:r>
      <w:r w:rsidR="00CF4C84" w:rsidRPr="0093332C">
        <w:t xml:space="preserve">from </w:t>
      </w:r>
      <w:r w:rsidR="00FD3390" w:rsidRPr="0093332C">
        <w:t>multiple</w:t>
      </w:r>
      <w:r w:rsidR="00CF4C84" w:rsidRPr="0093332C">
        <w:t xml:space="preserve"> randomised trials </w:t>
      </w:r>
      <w:r w:rsidR="00341855" w:rsidRPr="0093332C">
        <w:t>showing that drugs improving the treatment effect on the surrogate also improve treatment effect on the final clinical outcome.</w:t>
      </w:r>
      <w:r w:rsidR="005B3C5D" w:rsidRPr="0093332C">
        <w:t xml:space="preserve"> This framework was further extended to </w:t>
      </w:r>
      <w:r w:rsidR="00EA3958" w:rsidRPr="0093332C">
        <w:t>quantify</w:t>
      </w:r>
      <w:r w:rsidR="005B3C5D" w:rsidRPr="0093332C">
        <w:t xml:space="preserve"> the expected </w:t>
      </w:r>
      <w:r w:rsidR="00CF4C84" w:rsidRPr="0093332C">
        <w:t xml:space="preserve">treatment </w:t>
      </w:r>
      <w:r w:rsidR="005B3C5D" w:rsidRPr="0093332C">
        <w:t xml:space="preserve">effect on the final </w:t>
      </w:r>
      <w:r w:rsidR="00EA3958" w:rsidRPr="0093332C">
        <w:t>clinical outcome</w:t>
      </w:r>
      <w:r w:rsidR="00CF4C84" w:rsidRPr="0093332C">
        <w:t xml:space="preserve"> based on the surrogate</w:t>
      </w:r>
      <w:r w:rsidR="005B3C5D" w:rsidRPr="0093332C">
        <w:t>.</w:t>
      </w:r>
      <w:r w:rsidR="00EA72C7" w:rsidRPr="0093332C">
        <w:fldChar w:fldCharType="begin"/>
      </w:r>
      <w:r w:rsidR="00DE4B82" w:rsidRPr="0093332C">
        <w:instrText xml:space="preserve"> ADDIN ZOTERO_ITEM CSL_CITATION {"citationID":"4swrUP0I","properties":{"formattedCitation":"[25]","plainCitation":"[25]","noteIndex":0},"citationItems":[{"id":159,"uris":["http://zotero.org/users/local/XzHhEqW9/items/4BCEIBYI"],"uri":["http://zotero.org/users/local/XzHhEqW9/items/4BCEIBYI"],"itemData":{"id":159,"type":"article-journal","container-title":"Nature Reviews Drug Discovery","DOI":"10.1038/nrd.2016.81","ISSN":"1474-1784","issue":"7","journalAbbreviation":"Nature Reviews Drug Discovery","page":"516-516","title":"Use of surrogate end points in healthcare policy: a proposal for adoption of a validation framework","volume":"15","author":[{"family":"Ciani","given":"Oriana"},{"family":"Buyse","given":"Marc"},{"family":"Drummond","given":"Mike"},{"family":"Rasi","given":"Guido"},{"family":"Saad","given":"Everardo D."},{"family":"Taylor","given":"Rod S."}],"issued":{"date-parts":[["2016",7,1]]}}}],"schema":"https://github.com/citation-style-language/schema/raw/master/csl-citation.json"} </w:instrText>
      </w:r>
      <w:r w:rsidR="00EA72C7" w:rsidRPr="0093332C">
        <w:fldChar w:fldCharType="separate"/>
      </w:r>
      <w:r w:rsidR="00DE4B82" w:rsidRPr="0093332C">
        <w:t>[25]</w:t>
      </w:r>
      <w:r w:rsidR="00EA72C7" w:rsidRPr="0093332C">
        <w:fldChar w:fldCharType="end"/>
      </w:r>
      <w:r w:rsidR="005B3C5D" w:rsidRPr="0093332C">
        <w:t xml:space="preserve"> </w:t>
      </w:r>
    </w:p>
    <w:p w14:paraId="1A652468" w14:textId="60FA01ED" w:rsidR="00F06F25" w:rsidRPr="0093332C" w:rsidRDefault="00F06F25" w:rsidP="00057756">
      <w:pPr>
        <w:autoSpaceDE w:val="0"/>
        <w:autoSpaceDN w:val="0"/>
        <w:adjustRightInd w:val="0"/>
        <w:spacing w:line="360" w:lineRule="auto"/>
      </w:pPr>
    </w:p>
    <w:p w14:paraId="1DEAA693" w14:textId="0A14F6F9" w:rsidR="00654BFB" w:rsidRPr="0093332C" w:rsidRDefault="00654BFB" w:rsidP="00654BFB">
      <w:pPr>
        <w:spacing w:line="360" w:lineRule="auto"/>
      </w:pPr>
      <w:r w:rsidRPr="0093332C">
        <w:t>However</w:t>
      </w:r>
      <w:r w:rsidR="00C525D6" w:rsidRPr="0093332C">
        <w:t xml:space="preserve">, </w:t>
      </w:r>
      <w:r w:rsidRPr="0093332C">
        <w:rPr>
          <w:color w:val="000000"/>
        </w:rPr>
        <w:t xml:space="preserve">this framework is rarely used by regulatory agencies. </w:t>
      </w:r>
      <w:r w:rsidRPr="0093332C">
        <w:t>In 2018, FDA published a table listing all surrogate endpoints that it has used in its assessments without disclosing any information about their usefulness in predicting clinical benefit.</w:t>
      </w:r>
      <w:r w:rsidRPr="0093332C">
        <w:fldChar w:fldCharType="begin"/>
      </w:r>
      <w:r w:rsidR="00DE4B82" w:rsidRPr="0093332C">
        <w:instrText xml:space="preserve"> ADDIN ZOTERO_ITEM CSL_CITATION {"citationID":"V29tjUX6","properties":{"formattedCitation":"[26]","plainCitation":"[26]","noteIndex":0},"citationItems":[{"id":193,"uris":["http://zotero.org/users/local/XzHhEqW9/items/YVY7S46G"],"uri":["http://zotero.org/users/local/XzHhEqW9/items/YVY7S46G"],"itemData":{"id":193,"type":"webpage","title":"Table of Surrogate Endpoints That Were the Basis of Drug Approval or Licensure","URL":"https://www.fda.gov/drugs/development-resources/table-surrogate-endpoints-were-basis-drug-approval-or-licensure","author":[{"family":"US Food &amp; Drug Administration","given":""}],"accessed":{"date-parts":[["2021",8,19]]}}}],"schema":"https://github.com/citation-style-language/schema/raw/master/csl-citation.json"} </w:instrText>
      </w:r>
      <w:r w:rsidRPr="0093332C">
        <w:fldChar w:fldCharType="separate"/>
      </w:r>
      <w:r w:rsidR="00DE4B82" w:rsidRPr="0093332C">
        <w:t>[26]</w:t>
      </w:r>
      <w:r w:rsidRPr="0093332C">
        <w:fldChar w:fldCharType="end"/>
      </w:r>
      <w:r w:rsidRPr="0093332C">
        <w:t xml:space="preserve"> Academic researchers are increasingly filling this evidence gap and examining the strength of the association between surrogate endpoints that are commonly used by regulators and patient-relevant clinical outcomes. </w:t>
      </w:r>
      <w:r w:rsidR="001D2160" w:rsidRPr="0093332C">
        <w:fldChar w:fldCharType="begin"/>
      </w:r>
      <w:r w:rsidR="00357E42" w:rsidRPr="0093332C">
        <w:instrText xml:space="preserve"> ADDIN ZOTERO_ITEM CSL_CITATION {"citationID":"sf4DCByU","properties":{"formattedCitation":"[27,28]","plainCitation":"[27,28]","noteIndex":0},"citationItems":[{"id":201,"uris":["http://zotero.org/users/local/XzHhEqW9/items/CGJXF3V2"],"uri":["http://zotero.org/users/local/XzHhEqW9/items/CGJXF3V2"],"itemData":{"id":201,"type":"article-journal","abstract":"OBJECTIVE: To determine the strength of the surrogate-survival correlation for cancer drug approvals based on a surrogate. PARTICIPANTS AND METHODS: We performed a  retrospective study of the US Food and Drug Administration (FDA) database, with  focused searches of MEDLINE and Google Scholar. Among cancer drugs approved based on  a surrogate end point, we examined previous publications assessing the strength of  the surrogate-survival correlation. Specifically, we identified the percentage of  surrogate approvals lacking any formal analysis of the strength of the  surrogate-survival correlation, and when conducted, the strength of such  correlations. RESULTS: Between January 1, 2009, and December 31, 2014, the FDA  approved marketing applications for 55 indications based on a surrogate, of which 25  were accelerated approvals and 30 were traditional approvals. We could not find any  formal analyses of the strength of the surrogate-survival correlation in 14 out of  25 accelerated approvals (56%) and 11 out of 30 traditional approvals (37%). For  accelerated approvals, just 4 approvals (16%) were made where a level 1 analysis  (the most robust way to validate a surrogate) had been performed, with all 4 studies  reporting low correlation (r≤0.7). For traditional approvals, a level 1 analysis had  been performed for 15 approvals (50%): 8 (53%) reported low correlation (r≤0.7), 4  (27%) medium correlation (r&gt;0.7 to r&lt;0.85), and 3 (20%) high correlation (r≥0.85)  with survival. CONCLUSIONS: The use of surrogate end points for drug approval often  lacks formal empirical verification of the strength of the surrogate-survival  association.","container-title":"Mayo Clinic proceedings","DOI":"10.1016/j.mayocp.2016.02.012","ISSN":"1942-5546 0025-6196","journalAbbreviation":"Mayo Clin Proc","language":"eng","note":"PMID: 27236424 \nPMCID: PMC5104665","title":"Strength of Validation for Surrogate End Points Used in the US Food and Drug Administration's Approval of Oncology Drugs.","author":[{"family":"Kim","given":"Chul"},{"family":"Prasad","given":"Vinay"}],"issued":{"date-parts":[["2016",5,10]]}},"label":"page"},{"id":202,"uris":["http://zotero.org/users/local/XzHhEqW9/items/65R563JJ"],"uri":["http://zotero.org/users/local/XzHhEqW9/items/65R563JJ"],"itemData":{"id":202,"type":"article-journal","abstract":"BACKGROUND: Surrogates are frequently used in cancer medicine as the end-point of clinical trials and as the basis of United States Food and Drug  Administration approvals, but they do not always represent outcomes that are  important for patients. We aim to build upon previous umbrella reviews of surrogate  validation studies by identifying and examining all meta-analyses of randomised  controlled trials that evaluate the strength of correlation between overall survival  (OS) and surrogate markers. METHODS: Google Scholar and PubMed were searched by two  independent reviewers for all eligible meta-analyses of randomised controlled trials  examining the correlation between a surrogate end-point and OS in medical oncology.  Included studies were trial-level (level-1) meta-analyses of randomised controlled  trials in cancer. Data abstracted include date of publication, tumour type, setting,  trial set, number of studies included in the analysis, dates of included  publications, correlation coefficients and method to determine the correlation  coefficient. RESULTS: Seventy-eight articles met the inclusion criteria and reported  correlations in 89 settings. Eleven (12%) of these validation studies found only  high correlation(s), while nine (10%) settings showed a moderate-only correlation.  Thirty-four (38%) reported only low correlation(s). Thirty-five (39%) reported  correlations of different strengths, depending on surrogate marker used and test of  correlation. CONCLUSIONS: In this large, umbrella analysis of surrogate validation  studies, we found most surrogates in oncology had low or modest correlation with OS,  which suggests that caution should be used when making conclusions based on  surrogate markers.","container-title":"European journal of cancer (Oxford, England : 1990)","DOI":"10.1016/j.ejca.2018.11.012","ISSN":"1879-0852 0959-8049","journalAbbreviation":"Eur J Cancer","language":"eng","note":"publisher-place: England\nPMID: 30528804","page":"196-211","title":"A systematic review of trial-level meta-analyses measuring the strength of association between surrogate end-points and overall survival in oncology.","volume":"106","author":[{"family":"Haslam","given":"Alyson"},{"family":"Hey","given":"Spencer P."},{"family":"Gill","given":"Jennifer"},{"family":"Prasad","given":"Vinay"}],"issued":{"date-parts":[["2019",1]]}},"label":"page"}],"schema":"https://github.com/citation-style-language/schema/raw/master/csl-citation.json"} </w:instrText>
      </w:r>
      <w:r w:rsidR="001D2160" w:rsidRPr="0093332C">
        <w:fldChar w:fldCharType="separate"/>
      </w:r>
      <w:r w:rsidR="00357E42" w:rsidRPr="0093332C">
        <w:t>[27,28]</w:t>
      </w:r>
      <w:r w:rsidR="001D2160" w:rsidRPr="0093332C">
        <w:fldChar w:fldCharType="end"/>
      </w:r>
      <w:r w:rsidR="001D2160" w:rsidRPr="0093332C">
        <w:t xml:space="preserve"> In a recent study, researchers found only weak or missing correlations between surrogate endpoints and survival in breast cancer using the Taylor and </w:t>
      </w:r>
      <w:proofErr w:type="spellStart"/>
      <w:r w:rsidR="001D2160" w:rsidRPr="0093332C">
        <w:t>Elston</w:t>
      </w:r>
      <w:proofErr w:type="spellEnd"/>
      <w:r w:rsidR="001D2160" w:rsidRPr="0093332C">
        <w:t xml:space="preserve"> framework.</w:t>
      </w:r>
      <w:r w:rsidR="001D2160" w:rsidRPr="0093332C">
        <w:fldChar w:fldCharType="begin"/>
      </w:r>
      <w:r w:rsidR="00357E42" w:rsidRPr="0093332C">
        <w:instrText xml:space="preserve"> ADDIN ZOTERO_ITEM CSL_CITATION {"citationID":"5BXokqg5","properties":{"formattedCitation":"[29]","plainCitation":"[29]","noteIndex":0},"citationItems":[{"id":61,"uris":["http://zotero.org/users/local/XzHhEqW9/items/EV3A4RIT"],"uri":["http://zotero.org/users/local/XzHhEqW9/items/EV3A4RIT"],"itemData":{"id":61,"type":"article-journal","abstract":"BackgroundIn July 2018, the FDA first published a table listing all surrogate measures that it has used, and may accept for future use, in regulatory approval. However, the strength of surrogacy for those measures was not formally assessed. Using the case example of breast cancer, we aimed to evaluate the strength of correlation of surrogate measures listed in the FDA's Table with overall survival.","archive_location":"100332","container-title":"EClinicalMedicine","DOI":"10.1016/j.eclinm.2020.100332","ISSN":"2589-5370","note":"publisher: Elsevier","title":"Evaluating the evidence behind the surrogate measures included in the FDA's table of surrogate endpoints as supporting approval of cancer drugs","URL":"https://doi.org/10.1016/j.eclinm.2020.100332","volume":"21","author":[{"family":"Gyawali","given":"Bishal"},{"family":"Hey","given":"Spencer P."},{"family":"Kesselheim","given":"Aaron S."}],"accessed":{"date-parts":[["2021",1,13]]},"issued":{"date-parts":[["2020",4,1]]}}}],"schema":"https://github.com/citation-style-language/schema/raw/master/csl-citation.json"} </w:instrText>
      </w:r>
      <w:r w:rsidR="001D2160" w:rsidRPr="0093332C">
        <w:fldChar w:fldCharType="separate"/>
      </w:r>
      <w:r w:rsidR="00357E42" w:rsidRPr="0093332C">
        <w:t>[29]</w:t>
      </w:r>
      <w:r w:rsidR="001D2160" w:rsidRPr="0093332C">
        <w:fldChar w:fldCharType="end"/>
      </w:r>
      <w:r w:rsidR="001D2160" w:rsidRPr="0093332C">
        <w:t xml:space="preserve"> In another analysis, researche</w:t>
      </w:r>
      <w:r w:rsidRPr="0093332C">
        <w:t>rs found that none of the surrogate endpoints used in EMA expedited approvals were evaluated in independent studies.</w:t>
      </w:r>
      <w:r w:rsidRPr="0093332C">
        <w:fldChar w:fldCharType="begin"/>
      </w:r>
      <w:r w:rsidR="001D2160" w:rsidRPr="0093332C">
        <w:instrText xml:space="preserve"> ADDIN ZOTERO_ITEM CSL_CITATION {"citationID":"fooshCsK","properties":{"formattedCitation":"[30]","plainCitation":"[30]","noteIndex":0},"citationItems":[{"id":63,"uris":["http://zotero.org/users/local/XzHhEqW9/items/68VS8FEX"],"uri":["http://zotero.org/users/local/XzHhEqW9/items/68VS8FEX"],"itemData":{"id":63,"type":"article-journal","abstract":"Author summary  Why was this study done?  The approval of new pharmaceutical products addressing an unmet need or of public interest may be speeded up if medicines regulators agree to assess them through expedited assessment pathways. Pharmaceutical product development may be speeded up by using surrogate (substitute) endpoints (for example, based on a blood test or a radiological change) to measure benefit in the pivotal (main) trials assessed by regulators rather than waiting on the intended clinical outcome (benefits in how patients feel, function, or how long they survive). It is not known how often regulatory approval is based on a surrogate endpoint instead of a clinical outcome. It is not known how accurately the surrogate endpoints used in pivotal trials correspond to improvement in clinical outcomes.    What did the researchers do and find?  We examined endpoints supporting regulatory approval of products assessed through 2 expedited assessment pathways, conditional marketing authorisation (CMA; 26 products) and accelerated assessment (AA; 25 products) by the European Medicines Agency (EMA) between 2011 and 2018. Where surrogate endpoints were used, we searched the academic literature for studies demonstrating that the surrogate reliably reflected a clinical outcome. Most of the expedited approvals studied (46/51; 90%) were based on surrogate endpoints, and none of these has (yet) been shown to reliably predict clinical outcomes. The information provided by the regulator for prescribers and patients did not consistently explain that the approval for the product was based on trials that reported surrogate endpoints rather than clinical outcomes.    What do these findings mean?  For the majority of the products studied, we do not know whether they will provide their intended clinical benefit for patients. When nonvalidated surrogate endpoints are used in pivotal trials, a requirement for additional studies confirming the clinical benefit to patients needs to be imposed by the regulator on the manufacturing authorisation holder responsible for the product. It would be of great help for patients and doctors if the product information provided by the regulator clearly stated whether surrogate endpoints or actual clinical outcomes were reported in the pivotal trial/s for the product, the validity of a surrogate endpoint (when used) as a reflection of the intended clinical outcome, and whether follow-up studies demonstrating clinical benefit were required for products approved on the basis of surrogate endpoints in the pivotal trials. A limitation of our study is that it applies to products approved through 2 expedited pathways; we do not know to what extent other types of regulatory approval are based on surrogate endpoints.","container-title":"PLOS Medicine","DOI":"10.1371/journal.pmed.1002873","issue":"9","journalAbbreviation":"PLOS Medicine","note":"publisher: Public Library of Science","page":"e1002873","title":"The use of validated and nonvalidated surrogate endpoints in two European Medicines Agency expedited approval pathways: A cross-sectional study of products authorised 2011–2018","volume":"16","author":[{"family":"Schuster Bruce","given":"Catherine"},{"family":"Brhlikova","given":"Petra"},{"family":"Heath","given":"Joseph"},{"family":"McGettigan","given":"Patricia"}],"issued":{"date-parts":[["2019",9,10]]}}}],"schema":"https://github.com/citation-style-language/schema/raw/master/csl-citation.json"} </w:instrText>
      </w:r>
      <w:r w:rsidRPr="0093332C">
        <w:fldChar w:fldCharType="separate"/>
      </w:r>
      <w:r w:rsidR="001D2160" w:rsidRPr="0093332C">
        <w:t>[30]</w:t>
      </w:r>
      <w:r w:rsidRPr="0093332C">
        <w:fldChar w:fldCharType="end"/>
      </w:r>
    </w:p>
    <w:p w14:paraId="57B3D33F" w14:textId="77777777" w:rsidR="00654BFB" w:rsidRPr="0093332C" w:rsidRDefault="00654BFB" w:rsidP="00654BFB">
      <w:pPr>
        <w:spacing w:line="360" w:lineRule="auto"/>
        <w:rPr>
          <w:b/>
        </w:rPr>
      </w:pPr>
    </w:p>
    <w:p w14:paraId="28BBEB82" w14:textId="167ED68C" w:rsidR="00654BFB" w:rsidRPr="0093332C" w:rsidRDefault="005E07AC" w:rsidP="00654BFB">
      <w:pPr>
        <w:spacing w:line="360" w:lineRule="auto"/>
      </w:pPr>
      <w:r w:rsidRPr="0093332C">
        <w:t xml:space="preserve">Similarly, </w:t>
      </w:r>
      <w:r w:rsidR="00654BFB" w:rsidRPr="0093332C">
        <w:t xml:space="preserve">HTA bodies </w:t>
      </w:r>
      <w:r w:rsidR="006256FC" w:rsidRPr="0093332C">
        <w:t xml:space="preserve">rarely use this framework to evaluate </w:t>
      </w:r>
      <w:r w:rsidR="00654BFB" w:rsidRPr="0093332C">
        <w:t>surrogate endpoints,</w:t>
      </w:r>
      <w:r w:rsidR="00654BFB" w:rsidRPr="0093332C">
        <w:fldChar w:fldCharType="begin"/>
      </w:r>
      <w:r w:rsidR="001D2160" w:rsidRPr="0093332C">
        <w:instrText xml:space="preserve"> ADDIN ZOTERO_ITEM CSL_CITATION {"citationID":"C8jjQt5t","properties":{"formattedCitation":"[31]","plainCitation":"[31]","noteIndex":0},"citationItems":[{"id":160,"uris":["http://zotero.org/users/local/XzHhEqW9/items/DNRUEEWU"],"uri":["http://zotero.org/users/local/XzHhEqW9/items/DNRUEEWU"],"itemData":{"id":160,"type":"article-journal","container-title":"Medical Decision Making","journalAbbreviation":"Med Decis Making","title":"Validity of surrogate endpoints and their impact on coverage recommendations. A retrospective analysis across international health technology assessment agencies","volume":"(In press)","author":[{"family":"Ciani","given":"Oriana"},{"family":"Grigore","given":"B"},{"family":"Blommestein","given":"H"},{"family":"Groot","given":"S","non-dropping-particle":"de"},{"family":"Möllenkamp","given":"M"},{"family":"Rabbe","given":"S"},{"family":"Daubner-Bendes","given":"R"},{"family":"Taylor","given":"RS"}],"issued":{"date-parts":[["2021"]]}}}],"schema":"https://github.com/citation-style-language/schema/raw/master/csl-citation.json"} </w:instrText>
      </w:r>
      <w:r w:rsidR="00654BFB" w:rsidRPr="0093332C">
        <w:fldChar w:fldCharType="separate"/>
      </w:r>
      <w:r w:rsidR="001D2160" w:rsidRPr="0093332C">
        <w:t>[31]</w:t>
      </w:r>
      <w:r w:rsidR="00654BFB" w:rsidRPr="0093332C">
        <w:fldChar w:fldCharType="end"/>
      </w:r>
      <w:r w:rsidR="00654BFB" w:rsidRPr="0093332C">
        <w:t xml:space="preserve"> </w:t>
      </w:r>
      <w:r w:rsidR="001117B7" w:rsidRPr="0093332C">
        <w:t xml:space="preserve">Indeed, </w:t>
      </w:r>
      <w:r w:rsidR="00654BFB" w:rsidRPr="0093332C">
        <w:t xml:space="preserve">HTA guidance on the use of surrogate endpoints has been highly variable </w:t>
      </w:r>
      <w:r w:rsidR="00654BFB" w:rsidRPr="0093332C">
        <w:fldChar w:fldCharType="begin"/>
      </w:r>
      <w:r w:rsidR="001D2160" w:rsidRPr="0093332C">
        <w:instrText xml:space="preserve"> ADDIN ZOTERO_ITEM CSL_CITATION {"citationID":"YnxUiZx5","properties":{"formattedCitation":"[32]","plainCitation":"[32]","noteIndex":0},"citationItems":[{"id":66,"uris":["http://zotero.org/users/local/XzHhEqW9/items/776LRXL2"],"uri":["http://zotero.org/users/local/XzHhEqW9/items/776LRXL2"],"itemData":{"id":66,"type":"article-journal","abstract":"Objectives: Our aim was to review the recommendations given by health technology assessment (HTA) institutions in their methodological guidelines concerning the use of surrogate outcomes in their assessments. In a second step, we aimed at quantifying the role surrogate parameters take in assessment reports.Methods: We analyzed methodological papers and guidelines from HTA agencies with International Network of Agencies for Health Technology Assessment membership as well as from institutions related to pharmaceutical regulation (i.e., reimbursement, pricing). We analyzed the use of surrogate outcomes in a sample of HTA reports randomly drawn from the HTA database. We checked methods, results (including evidence tables), and conclusions sections and extracted the outcomes reported. We report descriptive statistics on the presence of surrogate outcomes in the reports.Results: We identified thirty-four methodological guidelines, twenty of them addressing the issue of outcome parameter choice and the problematic of surrogate outcomes. Overall HTA agencies call on caution regarding the reliance on surrogate outcomes. None of the agencies has provided a list or catalog of acceptable and validated surrogate outcomes. We extracted the outcome parameter of 140 HTA reports. Only around half of the reports determined the outcomes for the assessment prospectively. Surrogate outcomes had been used in 62 percent of the reports. However, only 3.6 percent were based upon surrogate outcomes exclusively. All of them assessed diagnostic or screening technologies and the surrogate outcomes were predominantly test characteristics.Conclusions: HTA institutions seem to agree on a cautious approach to the use of surrogate outcomes in technology assessment. Thorough assessment of health technologies should not rely exclusively on surrogate outcomes.","archive":"Cambridge Core","container-title":"International Journal of Technology Assessment in Health Care","DOI":"10.1017/S0266462309990213","ISSN":"0266-4623","issue":"3","note":"edition: 2009/07/21\npublisher: Cambridge University Press","page":"315-322","source":"Cambridge University Press","title":"Surrogate outcomes in health technology assessment: An international comparison","volume":"25","author":[{"family":"Garrido","given":"Marcial Velasco"},{"family":"Mangiapane","given":"Sandra"}],"issued":{"date-parts":[["2009"]]}}}],"schema":"https://github.com/citation-style-language/schema/raw/master/csl-citation.json"} </w:instrText>
      </w:r>
      <w:r w:rsidR="00654BFB" w:rsidRPr="0093332C">
        <w:fldChar w:fldCharType="separate"/>
      </w:r>
      <w:r w:rsidR="001D2160" w:rsidRPr="0093332C">
        <w:t>[32]</w:t>
      </w:r>
      <w:r w:rsidR="00654BFB" w:rsidRPr="0093332C">
        <w:fldChar w:fldCharType="end"/>
      </w:r>
      <w:r w:rsidR="00654BFB" w:rsidRPr="0093332C">
        <w:t xml:space="preserve">. In a recent survey of methodological guidance by 73 </w:t>
      </w:r>
      <w:r w:rsidR="001117B7" w:rsidRPr="0093332C">
        <w:t>organisations</w:t>
      </w:r>
      <w:r w:rsidR="00654BFB" w:rsidRPr="0093332C">
        <w:t>, only 40% gave specific consideration to using surrogates.</w:t>
      </w:r>
      <w:r w:rsidR="00654BFB" w:rsidRPr="0093332C">
        <w:fldChar w:fldCharType="begin"/>
      </w:r>
      <w:r w:rsidR="001D2160" w:rsidRPr="0093332C">
        <w:instrText xml:space="preserve"> ADDIN ZOTERO_ITEM CSL_CITATION {"citationID":"h1xI91Bd","properties":{"formattedCitation":"[33]","plainCitation":"[33]","noteIndex":0},"citationItems":[{"id":64,"uris":["http://zotero.org/users/local/XzHhEqW9/items/VTYSRYB3"],"uri":["http://zotero.org/users/local/XzHhEqW9/items/VTYSRYB3"],"itemData":{"id":64,"type":"article-journal","abstract":"In the drive towards faster patient access to treatments, health technology assessment (HTA) agencies are increasingly faced with reliance on evidence from surrogate endpoints, leading to increased decision uncertainty. This study undertook an updated survey of methodological guidance for using surrogate endpoints across international HTA agencies. We reviewed HTA and economic evaluation methods guidance from European, Australian and Canadian HTA agencies. We considered how guidelines addressed the methods for handling surrogate endpoints, including (1) level of evidence, (2) methods of validation, and (3) thresholds of acceptability. Across the 73 HTA agencies surveyed, 29 (40%) had methodological guidelines that made specific reference to consideration of surrogate outcomes. Of the 45 methods documents analysed, the majority [27 (60%)] were non-technology specific, 15 (33%) focused on pharmaceuticals and three (7%) on medical devices. The principles of the European network for Health Technology Assessment (EUnetHTA) guidelines published in 2015 on the handling of surrogate endpoints appear to have been adopted by many European HTA agencies, i.e. preference for final patient-relevant outcomes and reliance on surrogate endpoints with biological plausibility and epidemiological evidence of the association between the surrogate and final endpoint. Only a small number of HTA agencies (UK National Institute for Care and Excellence; the German Institute for Medical Documentation and Information and Institute for Quality and Efficiency in Health Care; the Australian Pharmaceutical Benefits Advisory Committee; and the Canadian Agency for Drugs and Technologies in Health) have developed more detailed prescriptive criteria for the acceptance of surrogate endpoints, e.g. meta-analyses of randomised controlled trials showing strong association between the treatment effect on the surrogate and final outcomes. As the decision uncertainty associated with reliance on surrogate endpoints carries a risk to patients and society, there is a need for HTA agencies to develop more detailed methodological guidance for consistent selection and evaluation of health technologies that lack definitive final patient-relevant outcome evidence at the time of the assessment.","container-title":"PharmacoEconomics","DOI":"10.1007/s40273-020-00935-1","ISSN":"1179-2027","issue":"10","journalAbbreviation":"PharmacoEconomics","page":"1055-1070","title":"Surrogate Endpoints in Health Technology Assessment: An International Review of Methodological Guidelines","volume":"38","author":[{"family":"Grigore","given":"Bogdan"},{"family":"Ciani","given":"Oriana"},{"family":"Dams","given":"Florian"},{"family":"Federici","given":"Carlo"},{"family":"Groot","given":"Saskia","non-dropping-particle":"de"},{"family":"Möllenkamp","given":"Meilin"},{"family":"Rabbe","given":"Stefan"},{"family":"Shatrov","given":"Kosta"},{"family":"Zemplenyi","given":"Antal"},{"family":"Taylor","given":"Rod S."}],"issued":{"date-parts":[["2020",10,1]]}}}],"schema":"https://github.com/citation-style-language/schema/raw/master/csl-citation.json"} </w:instrText>
      </w:r>
      <w:r w:rsidR="00654BFB" w:rsidRPr="0093332C">
        <w:fldChar w:fldCharType="separate"/>
      </w:r>
      <w:r w:rsidR="001D2160" w:rsidRPr="0093332C">
        <w:t>[33]</w:t>
      </w:r>
      <w:r w:rsidR="00654BFB" w:rsidRPr="0093332C">
        <w:fldChar w:fldCharType="end"/>
      </w:r>
      <w:r w:rsidR="00654BFB" w:rsidRPr="0093332C">
        <w:t xml:space="preserve"> Such variation across HTA bodies yields heterogenous conclusions about the relevance of the same putative surrogate endpoints across different settings.</w:t>
      </w:r>
      <w:r w:rsidR="00654BFB" w:rsidRPr="0093332C">
        <w:fldChar w:fldCharType="begin"/>
      </w:r>
      <w:r w:rsidR="001D2160" w:rsidRPr="0093332C">
        <w:instrText xml:space="preserve"> ADDIN ZOTERO_ITEM CSL_CITATION {"citationID":"ZDBtWN7v","properties":{"formattedCitation":"[34]","plainCitation":"[34]","noteIndex":0},"citationItems":[{"id":67,"uris":["http://zotero.org/users/local/XzHhEqW9/items/Z7Z78PQL"],"uri":["http://zotero.org/users/local/XzHhEqW9/items/Z7Z78PQL"],"itemData":{"id":67,"type":"article-journal","abstract":"OBJECTIVES: Licensing of, and coverage decisions on, new therapies should rely on  evidence from patient-relevant endpoints such as overall survival (OS).  Nevertheless, evidence from surrogate endpoints may also be useful, as it may not  only expedite the regulatory approval of new therapies but also inform coverage  decisions. It is, therefore, essential that candidate surrogate endpoints be  properly validated. However, there is no consensus on statistical methods for such  validation and on how the evidence thus derived should be applied by policy makers.  METHODS: We review current statistical approaches to surrogate-endpoint validation  based on meta-analysis in various advanced-tumor settings. We assessed the  suitability of two surrogates (progression-free survival [PFS] and  time-to-progression [TTP]) using three current validation frameworks: Elston and  Taylor's framework, the German Institute of Quality and Efficiency in Health Care's  (IQWiG) framework and the Biomarker-Surrogacy Evaluation Schema (BSES3). RESULTS: A  wide variety of statistical methods have been used to assess surrogacy. The strength  of the association between the two surrogates and OS was generally low. The level of  evidence (observation-level versus treatment-level) available varied considerably by  cancer type, by evaluation tools and was not always consistent even within one  specific cancer type. CONCLUSIONS: Not in all solid tumors the treatment-level  association between PFS or TTP and OS has been investigated. According to IQWiG's  framework, only PFS achieved acceptable evidence of surrogacy in metastatic  colorectal and ovarian cancer treated with cytotoxic agents. Our study emphasizes  the challenges of surrogate-endpoint validation and the importance of building  consensus on the development of evaluation frameworks.","container-title":"International journal of technology assessment in health care","DOI":"10.1017/S0266462314000300","ISSN":"1471-6348 0266-4623","issue":"3","journalAbbreviation":"Int J Technol Assess Health Care","language":"eng","note":"publisher-place: England\nPMID: 25308694","page":"312-324","title":"Validation of surrogate endpoints in advanced solid tumors: systematic review of  statistical methods, results, and implications for policy makers.","volume":"30","author":[{"family":"Ciani","given":"Oriana"},{"family":"Davis","given":"Sarah"},{"family":"Tappenden","given":"Paul"},{"family":"Garside","given":"Ruth"},{"family":"Stein","given":"Ken"},{"family":"Cantrell","given":"Anna"},{"family":"Saad","given":"Everardo D."},{"family":"Buyse","given":"Marc"},{"family":"Taylor","given":"Rod S."}],"issued":{"date-parts":[["2014",7]]}}}],"schema":"https://github.com/citation-style-language/schema/raw/master/csl-citation.json"} </w:instrText>
      </w:r>
      <w:r w:rsidR="00654BFB" w:rsidRPr="0093332C">
        <w:fldChar w:fldCharType="separate"/>
      </w:r>
      <w:r w:rsidR="001D2160" w:rsidRPr="0093332C">
        <w:t>[34]</w:t>
      </w:r>
      <w:r w:rsidR="00654BFB" w:rsidRPr="0093332C">
        <w:fldChar w:fldCharType="end"/>
      </w:r>
      <w:r w:rsidR="00654BFB" w:rsidRPr="0093332C">
        <w:t xml:space="preserve"> </w:t>
      </w:r>
    </w:p>
    <w:p w14:paraId="7025302C" w14:textId="77777777" w:rsidR="00C525D6" w:rsidRPr="0093332C" w:rsidRDefault="00C525D6" w:rsidP="00057756">
      <w:pPr>
        <w:autoSpaceDE w:val="0"/>
        <w:autoSpaceDN w:val="0"/>
        <w:adjustRightInd w:val="0"/>
        <w:spacing w:line="360" w:lineRule="auto"/>
      </w:pPr>
    </w:p>
    <w:p w14:paraId="66261A26" w14:textId="0AD3D07D" w:rsidR="00654BFB" w:rsidRPr="0093332C" w:rsidRDefault="00654BFB" w:rsidP="00057756">
      <w:pPr>
        <w:autoSpaceDE w:val="0"/>
        <w:autoSpaceDN w:val="0"/>
        <w:adjustRightInd w:val="0"/>
        <w:spacing w:line="360" w:lineRule="auto"/>
        <w:rPr>
          <w:b/>
          <w:bCs/>
        </w:rPr>
      </w:pPr>
      <w:r w:rsidRPr="0093332C">
        <w:rPr>
          <w:b/>
          <w:bCs/>
        </w:rPr>
        <w:t>Evaluating surrogate endpoints</w:t>
      </w:r>
    </w:p>
    <w:p w14:paraId="2D01B8EC" w14:textId="06588FD3" w:rsidR="00F576A4" w:rsidRPr="0093332C" w:rsidRDefault="00C525D6" w:rsidP="00057756">
      <w:pPr>
        <w:autoSpaceDE w:val="0"/>
        <w:autoSpaceDN w:val="0"/>
        <w:adjustRightInd w:val="0"/>
        <w:spacing w:line="360" w:lineRule="auto"/>
      </w:pPr>
      <w:r w:rsidRPr="0093332C">
        <w:t>M</w:t>
      </w:r>
      <w:r w:rsidR="00453A3A" w:rsidRPr="0093332C">
        <w:t>ethodologists</w:t>
      </w:r>
      <w:r w:rsidR="009D67F3" w:rsidRPr="0093332C">
        <w:t xml:space="preserve"> stress that e</w:t>
      </w:r>
      <w:r w:rsidR="00D23437" w:rsidRPr="0093332C">
        <w:t xml:space="preserve">vidence </w:t>
      </w:r>
      <w:r w:rsidR="00F94D83" w:rsidRPr="0093332C">
        <w:t>at the individual</w:t>
      </w:r>
      <w:r w:rsidR="00D23437" w:rsidRPr="0093332C">
        <w:t xml:space="preserve"> </w:t>
      </w:r>
      <w:r w:rsidR="00263DCC" w:rsidRPr="0093332C">
        <w:t xml:space="preserve">patient </w:t>
      </w:r>
      <w:r w:rsidR="00D23437" w:rsidRPr="0093332C">
        <w:t xml:space="preserve">level </w:t>
      </w:r>
      <w:r w:rsidR="00F94D83" w:rsidRPr="0093332C">
        <w:t>alone</w:t>
      </w:r>
      <w:r w:rsidR="00D23437" w:rsidRPr="0093332C">
        <w:t xml:space="preserve"> is insufficient</w:t>
      </w:r>
      <w:r w:rsidR="00263DCC" w:rsidRPr="0093332C">
        <w:t xml:space="preserve"> to evaluate surrogate endpoints</w:t>
      </w:r>
      <w:r w:rsidR="00D23437" w:rsidRPr="0093332C">
        <w:t xml:space="preserve"> </w:t>
      </w:r>
      <w:r w:rsidR="00263DCC" w:rsidRPr="0093332C">
        <w:t>especially</w:t>
      </w:r>
      <w:r w:rsidR="00D23437" w:rsidRPr="0093332C">
        <w:t xml:space="preserve"> when </w:t>
      </w:r>
      <w:r w:rsidR="00EE3695" w:rsidRPr="0093332C">
        <w:t>such evidence is obtained from</w:t>
      </w:r>
      <w:r w:rsidR="00263DCC" w:rsidRPr="0093332C">
        <w:t xml:space="preserve"> a</w:t>
      </w:r>
      <w:r w:rsidR="00D23437" w:rsidRPr="0093332C">
        <w:t xml:space="preserve"> single trial</w:t>
      </w:r>
      <w:r w:rsidR="0062423D" w:rsidRPr="0093332C">
        <w:t>.</w:t>
      </w:r>
      <w:r w:rsidR="00D23437" w:rsidRPr="0093332C">
        <w:fldChar w:fldCharType="begin"/>
      </w:r>
      <w:r w:rsidR="001D2160" w:rsidRPr="0093332C">
        <w:instrText xml:space="preserve"> ADDIN ZOTERO_ITEM CSL_CITATION {"citationID":"D6KB9soO","properties":{"formattedCitation":"[35]","plainCitation":"[35]","noteIndex":0},"citationItems":[{"id":75,"uris":["http://zotero.org/users/local/XzHhEqW9/items/2Q8EQ4DQ"],"uri":["http://zotero.org/users/local/XzHhEqW9/items/2Q8EQ4DQ"],"itemData":{"id":75,"type":"article-journal","container-title":"Ann Intern Med","journalAbbreviation":"Ann Intern Med","page":"605-613","title":"Surrogate end points in clinical trials: are we being misled?","volume":"125","author":[{"family":"Fleming","given":"TR"},{"family":"DeMets","given":"DL"}],"issued":{"date-parts":[["1996"]]}}}],"schema":"https://github.com/citation-style-language/schema/raw/master/csl-citation.json"} </w:instrText>
      </w:r>
      <w:r w:rsidR="00D23437" w:rsidRPr="0093332C">
        <w:fldChar w:fldCharType="separate"/>
      </w:r>
      <w:r w:rsidR="001D2160" w:rsidRPr="0093332C">
        <w:t>[35]</w:t>
      </w:r>
      <w:r w:rsidR="00D23437" w:rsidRPr="0093332C">
        <w:fldChar w:fldCharType="end"/>
      </w:r>
      <w:r w:rsidR="00D23437" w:rsidRPr="0093332C">
        <w:t xml:space="preserve"> </w:t>
      </w:r>
      <w:r w:rsidR="0062423D" w:rsidRPr="0093332C">
        <w:t>This is because</w:t>
      </w:r>
      <w:r w:rsidR="00D23437" w:rsidRPr="0093332C">
        <w:t xml:space="preserve"> the </w:t>
      </w:r>
      <w:r w:rsidR="0062423D" w:rsidRPr="0093332C">
        <w:t xml:space="preserve">observed </w:t>
      </w:r>
      <w:r w:rsidR="00263DCC" w:rsidRPr="0093332C">
        <w:t xml:space="preserve">surrogate-to-clinical outcome relationship </w:t>
      </w:r>
      <w:r w:rsidR="00D23437" w:rsidRPr="0093332C">
        <w:t xml:space="preserve">for one drug may not hold for </w:t>
      </w:r>
      <w:r w:rsidR="00263DCC" w:rsidRPr="0093332C">
        <w:t>another</w:t>
      </w:r>
      <w:r w:rsidR="00CF4C84" w:rsidRPr="0093332C">
        <w:t>, as it depends on the treatment’s mechanism of action</w:t>
      </w:r>
      <w:r w:rsidR="00D64942" w:rsidRPr="0093332C">
        <w:t>.</w:t>
      </w:r>
      <w:r w:rsidR="00057756" w:rsidRPr="0093332C">
        <w:fldChar w:fldCharType="begin"/>
      </w:r>
      <w:r w:rsidR="001D2160" w:rsidRPr="0093332C">
        <w:instrText xml:space="preserve"> ADDIN ZOTERO_ITEM CSL_CITATION {"citationID":"JUoCsDfq","properties":{"formattedCitation":"[35]","plainCitation":"[35]","noteIndex":0},"citationItems":[{"id":75,"uris":["http://zotero.org/users/local/XzHhEqW9/items/2Q8EQ4DQ"],"uri":["http://zotero.org/users/local/XzHhEqW9/items/2Q8EQ4DQ"],"itemData":{"id":75,"type":"article-journal","container-title":"Ann Intern Med","journalAbbreviation":"Ann Intern Med","page":"605-613","title":"Surrogate end points in clinical trials: are we being misled?","volume":"125","author":[{"family":"Fleming","given":"TR"},{"family":"DeMets","given":"DL"}],"issued":{"date-parts":[["1996"]]}}}],"schema":"https://github.com/citation-style-language/schema/raw/master/csl-citation.json"} </w:instrText>
      </w:r>
      <w:r w:rsidR="00057756" w:rsidRPr="0093332C">
        <w:fldChar w:fldCharType="separate"/>
      </w:r>
      <w:r w:rsidR="001D2160" w:rsidRPr="0093332C">
        <w:t>[35]</w:t>
      </w:r>
      <w:r w:rsidR="00057756" w:rsidRPr="0093332C">
        <w:fldChar w:fldCharType="end"/>
      </w:r>
      <w:r w:rsidR="00D23437" w:rsidRPr="0093332C">
        <w:t xml:space="preserve"> </w:t>
      </w:r>
      <w:r w:rsidR="00F576A4" w:rsidRPr="0093332C">
        <w:t>For example, progression-free survival was previously shown to be a good surrogate for overall survival in advanced colorectal cancer based on evidence from</w:t>
      </w:r>
      <w:r w:rsidR="009E30A2" w:rsidRPr="0093332C">
        <w:t xml:space="preserve"> trials of</w:t>
      </w:r>
      <w:r w:rsidR="00F576A4" w:rsidRPr="0093332C">
        <w:t xml:space="preserve"> traditional chemotherapy</w:t>
      </w:r>
      <w:r w:rsidR="00FF35AB" w:rsidRPr="0093332C">
        <w:t>.</w:t>
      </w:r>
      <w:r w:rsidR="00FF35AB" w:rsidRPr="0093332C">
        <w:fldChar w:fldCharType="begin"/>
      </w:r>
      <w:r w:rsidR="001D2160" w:rsidRPr="0093332C">
        <w:instrText xml:space="preserve"> ADDIN ZOTERO_ITEM CSL_CITATION {"citationID":"DfALZZmB","properties":{"formattedCitation":"[36]","plainCitation":"[36]","noteIndex":0},"citationItems":[{"id":187,"uris":["http://zotero.org/users/local/XzHhEqW9/items/ERM6PSCN"],"uri":["http://zotero.org/users/local/XzHhEqW9/items/ERM6PSCN"],"itemData":{"id":187,"type":"article-journal","abstract":"PURPOSE: Overall survival (OS) can be observed only after prolonged follow-up, and any potential effect of first-line therapies on OS may be confounded by the effects  of subsequent therapy. We investigated whether tumor response, disease control,  progression-free survival (PFS), or time to progression (TTP) could be considered a  valid surrogate for OS to assess the benefits of first-line therapies for patients  with metastatic breast cancer. PATIENTS AND METHODS: Individual patient data were  collected on 3,953 patients in 11 randomized trials that compared an anthracycline  (alone or in combination) with a taxane (alone or in combination with an  anthracycline). Surrogacy was assessed through the correlation between the end  points as well as through the correlation between the treatment effects on the end  points. RESULTS: Tumor response (survival odds ratio [OR], 6.2; 95% CI, 5.3 to 7.0)  and disease control (survival OR, 5.5; 95% CI, 4.8 to 6.3) were strongly associated  with OS. PFS (rank correlation coefficient, 0.688; 95% CI, 0.686 to 0.690) and TTP  (rank correlation coefficient, 0.682; 95% CI, 0.680 to 0.684) were moderately  associated with OS. Response log ORs were strongly correlated with PFS log hazard  ratios (linear coefficient [rho], 0.96; 95% CI, 0.73 to 1.19). Response and disease  control log ORs and PFS and TTP log hazard ratios were poorly correlated with log  hazard ratios for OS, but the confidence limits of rho were too wide to be  informative. CONCLUSION: No end point could be demonstrated as a good surrogate for  OS in these trials. Tumor response may be an acceptable surrogate for PFS.","container-title":"Journal of clinical oncology : official journal of the American Society of Clinical Oncology","DOI":"10.1200/JCO.2007.10.8407","ISSN":"1527-7755 0732-183X","issue":"12","journalAbbreviation":"J Clin Oncol","language":"eng","note":"publisher-place: United States\nPMID: 18421050","page":"1987-1992","title":"Evaluation of tumor response, disease control, progression-free survival, and time to progression as potential surrogate end points in metastatic breast cancer.","volume":"26","author":[{"family":"Burzykowski","given":"Tomasz"},{"family":"Buyse","given":"Marc"},{"family":"Piccart-Gebhart","given":"Martine J."},{"family":"Sledge","given":"George"},{"family":"Carmichael","given":"James"},{"family":"Lück","given":"Hans-Joachim"},{"family":"Mackey","given":"John R."},{"family":"Nabholtz","given":"Jean-Marc"},{"family":"Paridaens","given":"Robert"},{"family":"Biganzoli","given":"Laura"},{"family":"Jassem","given":"Jacek"},{"family":"Bontenbal","given":"Marijke"},{"family":"Bonneterre","given":"Jacques"},{"family":"Chan","given":"Stephen"},{"family":"Basaran","given":"Gul Atalay"},{"family":"Therasse","given":"Patrick"}],"issued":{"date-parts":[["2008",4,20]]}}}],"schema":"https://github.com/citation-style-language/schema/raw/master/csl-citation.json"} </w:instrText>
      </w:r>
      <w:r w:rsidR="00FF35AB" w:rsidRPr="0093332C">
        <w:fldChar w:fldCharType="separate"/>
      </w:r>
      <w:r w:rsidR="001D2160" w:rsidRPr="0093332C">
        <w:t>[36]</w:t>
      </w:r>
      <w:r w:rsidR="00FF35AB" w:rsidRPr="0093332C">
        <w:fldChar w:fldCharType="end"/>
      </w:r>
      <w:r w:rsidR="00FF35AB" w:rsidRPr="0093332C">
        <w:t xml:space="preserve"> </w:t>
      </w:r>
      <w:r w:rsidR="00F576A4" w:rsidRPr="0093332C">
        <w:t xml:space="preserve">However, </w:t>
      </w:r>
      <w:proofErr w:type="spellStart"/>
      <w:r w:rsidR="00F576A4" w:rsidRPr="0093332C">
        <w:t>Ciani</w:t>
      </w:r>
      <w:proofErr w:type="spellEnd"/>
      <w:r w:rsidR="00F576A4" w:rsidRPr="0093332C">
        <w:t xml:space="preserve"> et al. recently </w:t>
      </w:r>
      <w:r w:rsidR="00FD3390" w:rsidRPr="0093332C">
        <w:t>observed</w:t>
      </w:r>
      <w:r w:rsidR="00F576A4" w:rsidRPr="0093332C">
        <w:t xml:space="preserve"> a weaker relationship between </w:t>
      </w:r>
      <w:r w:rsidR="00FC3128" w:rsidRPr="0093332C">
        <w:t>these endpoints</w:t>
      </w:r>
      <w:r w:rsidR="00F576A4" w:rsidRPr="0093332C">
        <w:t xml:space="preserve"> </w:t>
      </w:r>
      <w:r w:rsidR="00FD3390" w:rsidRPr="0093332C">
        <w:t xml:space="preserve">in this setting </w:t>
      </w:r>
      <w:r w:rsidR="001A5D69" w:rsidRPr="0093332C">
        <w:t>for</w:t>
      </w:r>
      <w:r w:rsidR="00F576A4" w:rsidRPr="0093332C">
        <w:t xml:space="preserve"> modern therapies with different mechanisms of action.</w:t>
      </w:r>
      <w:r w:rsidR="00FF35AB" w:rsidRPr="0093332C">
        <w:fldChar w:fldCharType="begin"/>
      </w:r>
      <w:r w:rsidR="001D2160" w:rsidRPr="0093332C">
        <w:instrText xml:space="preserve"> ADDIN ZOTERO_ITEM CSL_CITATION {"citationID":"y68HKMBh","properties":{"formattedCitation":"[37]","plainCitation":"[37]","noteIndex":0},"citationItems":[{"id":188,"uris":["http://zotero.org/users/local/XzHhEqW9/items/J5X36NDX"],"uri":["http://zotero.org/users/local/XzHhEqW9/items/J5X36NDX"],"itemData":{"id":188,"type":"article-journal","abstract":"OBJECTIVES: To quantify and compare the treatment effects on three surrogate end points, progression-free survival (PFS), time to progression (TTP), and tumor  response rate (TR) vs. overall survival (OS) based on a meta-analysis of randomized  controlled trials (RCTs) of drug interventions in advanced colorectal cancer (aCRC).  STUDY DESIGN AND SETTING: We systematically searched for RCTs of pharmacologic  therapies in aCRC between 2003 and 2013. Trial characteristics, risk of bias, and  outcomes were recorded based on a predefined form. Univariate and multivariate  random-effects meta-analyses were used to estimate pooled summary treatment effects.  The ratio of hazard ratios (HRs)/odds ratios (ORs) and difference in medians were  used to quantify the degree of difference in treatment effects on the surrogate end  points and OS. Spearman ρ, surrogate threshold effect (STE), and R(2) were also  estimated across predefined trial-level covariates. RESULTS: We included 101 RCTs.  In univariate and multivariate meta-analyses, we found larger treatment effects for  the surrogates than for OS. Compared with OS, treatment effects were on average 13%  higher when HRs were measured and 3% to 45% higher when ORs were considered;  differences in median PFS/TTP were higher than on OS by an average of 0.5 month.  Spearman ρ ranged from 0.39 to 0.80, mean R(2) from 0.06 to 0.65, and STE was 0.8  for HRPFS, 0.64 for HRTTP, or 0.28 for ORTR. The stratified analyses revealed high  variability across all strata. CONCLUSION: None of the end points in this study were  found to achieve the level of evidence (ie, mean R(2)trial &gt; 0.60) that has been set  to select high or excellent correlation levels by common surrogate evaluation tools.  Previous surrogacy relationships observed between PFS and TTP vs. OS in selected  settings may not apply across other classes or lines of therapy.","container-title":"Journal of clinical epidemiology","DOI":"10.1016/j.jclinepi.2015.02.016","ISSN":"1878-5921 0895-4356","issue":"7","journalAbbreviation":"J Clin Epidemiol","language":"eng","note":"publisher-place: United States\nPMID: 25863582","page":"833-842","title":"Meta-analyses of randomized controlled trials show suboptimal validity of surrogate outcomes for overall survival in advanced colorectal cancer.","volume":"68","author":[{"family":"Ciani","given":"Oriana"},{"family":"Buyse","given":"Marc"},{"family":"Garside","given":"Ruth"},{"family":"Peters","given":"Jaime"},{"family":"Saad","given":"Everardo D."},{"family":"Stein","given":"Ken"},{"family":"Taylor","given":"Rod S."}],"issued":{"date-parts":[["2015",7]]}}}],"schema":"https://github.com/citation-style-language/schema/raw/master/csl-citation.json"} </w:instrText>
      </w:r>
      <w:r w:rsidR="00FF35AB" w:rsidRPr="0093332C">
        <w:fldChar w:fldCharType="separate"/>
      </w:r>
      <w:r w:rsidR="001D2160" w:rsidRPr="0093332C">
        <w:t>[37]</w:t>
      </w:r>
      <w:r w:rsidR="00FF35AB" w:rsidRPr="0093332C">
        <w:fldChar w:fldCharType="end"/>
      </w:r>
      <w:r w:rsidR="00F576A4" w:rsidRPr="0093332C">
        <w:t xml:space="preserve"> </w:t>
      </w:r>
    </w:p>
    <w:p w14:paraId="2F1E5C88" w14:textId="77777777" w:rsidR="00F576A4" w:rsidRPr="0093332C" w:rsidRDefault="00F576A4" w:rsidP="00057756">
      <w:pPr>
        <w:autoSpaceDE w:val="0"/>
        <w:autoSpaceDN w:val="0"/>
        <w:adjustRightInd w:val="0"/>
        <w:spacing w:line="360" w:lineRule="auto"/>
      </w:pPr>
    </w:p>
    <w:p w14:paraId="23F8C045" w14:textId="7B13C662" w:rsidR="006D3DBE" w:rsidRPr="0093332C" w:rsidRDefault="0052016F" w:rsidP="00FF35AB">
      <w:pPr>
        <w:autoSpaceDE w:val="0"/>
        <w:autoSpaceDN w:val="0"/>
        <w:adjustRightInd w:val="0"/>
        <w:spacing w:line="360" w:lineRule="auto"/>
      </w:pPr>
      <w:r w:rsidRPr="0093332C">
        <w:t>Meta-analysis</w:t>
      </w:r>
      <w:r w:rsidR="00D935D1" w:rsidRPr="0093332C">
        <w:t xml:space="preserve">, </w:t>
      </w:r>
      <w:r w:rsidR="00F06F25" w:rsidRPr="0093332C">
        <w:t xml:space="preserve">which </w:t>
      </w:r>
      <w:r w:rsidR="00BB697E" w:rsidRPr="0093332C">
        <w:t>combines</w:t>
      </w:r>
      <w:r w:rsidR="00D935D1" w:rsidRPr="0093332C">
        <w:t xml:space="preserve"> data from a number of </w:t>
      </w:r>
      <w:r w:rsidR="00F06F25" w:rsidRPr="0093332C">
        <w:t xml:space="preserve">randomised </w:t>
      </w:r>
      <w:r w:rsidR="00D935D1" w:rsidRPr="0093332C">
        <w:t>trials</w:t>
      </w:r>
      <w:r w:rsidR="00BB697E" w:rsidRPr="0093332C">
        <w:t>, is more appropriate</w:t>
      </w:r>
      <w:r w:rsidR="00D935D1" w:rsidRPr="0093332C">
        <w:t xml:space="preserve"> </w:t>
      </w:r>
      <w:r w:rsidR="006D3DBE" w:rsidRPr="0093332C">
        <w:t xml:space="preserve">for </w:t>
      </w:r>
      <w:r w:rsidR="00BB697E" w:rsidRPr="0093332C">
        <w:t>evaluating</w:t>
      </w:r>
      <w:r w:rsidR="00D935D1" w:rsidRPr="0093332C">
        <w:t xml:space="preserve"> the association between the</w:t>
      </w:r>
      <w:r w:rsidR="00BB697E" w:rsidRPr="0093332C">
        <w:t xml:space="preserve"> treatment effects on the candidate surrogate endpoint and on the final </w:t>
      </w:r>
      <w:r w:rsidR="00111919" w:rsidRPr="0093332C">
        <w:t xml:space="preserve">patient-relevant </w:t>
      </w:r>
      <w:r w:rsidR="00BB697E" w:rsidRPr="0093332C">
        <w:t>clinical outcome</w:t>
      </w:r>
      <w:r w:rsidR="00F06F25" w:rsidRPr="0093332C">
        <w:t>.</w:t>
      </w:r>
      <w:r w:rsidR="00057756" w:rsidRPr="0093332C">
        <w:fldChar w:fldCharType="begin"/>
      </w:r>
      <w:r w:rsidR="001D2160" w:rsidRPr="0093332C">
        <w:instrText xml:space="preserve"> ADDIN ZOTERO_ITEM CSL_CITATION {"citationID":"heimihHe","properties":{"formattedCitation":"[38]","plainCitation":"[38]","noteIndex":0},"citationItems":[{"id":168,"uris":["http://zotero.org/users/local/XzHhEqW9/items/GSYXMKAY"],"uri":["http://zotero.org/users/local/XzHhEqW9/items/GSYXMKAY"],"itemData":{"id":168,"type":"article-journal","abstract":"Summary Four major frameworks have been developed for evaluating surrogate markers in randomized trials: one based on conditional independence of observable variables, another based on direct and indirect effects, a third based on a meta-analysis, and a fourth based on principal stratification. The first two of these fit into a paradigm we call the causal-effects (CE) paradigm, in which, for a good surrogate, the effect of treatment on the surrogate, combined with the effect of the surrogate on the clinical outcome, allow prediction of the effect of the treatment on the clinical outcome. The last two approaches fall into the causal-association (CA) paradigm, in which the effect of the treatment on the surrogate is associated with its effect on the clinical outcome. We consider the CE paradigm first, and consider identifying assumptions and some simple estimation procedures; we then consider the CA paradigm. We examine the relationships among these approaches and associated estimators. We perform a small simulation study to illustrate properties of the various estimators under different scenarios, and conclude with a discussion of the applicability of both paradigms.","container-title":"Biometrics","DOI":"https://doi.org/10.1111/j.1541-0420.2008.01106.x","issue":"2","note":"_eprint: https://onlinelibrary.wiley.com/doi/pdf/10.1111/j.1541-0420.2008.01106.x","page":"530-538","title":"Related Causal Frameworks for Surrogate Outcomes","volume":"65","author":[{"family":"Joffe","given":"Marshall M."},{"family":"Greene","given":"Tom"}],"issued":{"date-parts":[["2009"]]}}}],"schema":"https://github.com/citation-style-language/schema/raw/master/csl-citation.json"} </w:instrText>
      </w:r>
      <w:r w:rsidR="00057756" w:rsidRPr="0093332C">
        <w:fldChar w:fldCharType="separate"/>
      </w:r>
      <w:r w:rsidR="001D2160" w:rsidRPr="0093332C">
        <w:t>[38]</w:t>
      </w:r>
      <w:r w:rsidR="00057756" w:rsidRPr="0093332C">
        <w:fldChar w:fldCharType="end"/>
      </w:r>
      <w:r w:rsidR="00922E30" w:rsidRPr="0093332C">
        <w:t xml:space="preserve"> </w:t>
      </w:r>
      <w:r w:rsidR="00341855" w:rsidRPr="0093332C">
        <w:t>The</w:t>
      </w:r>
      <w:r w:rsidR="00EA3958" w:rsidRPr="0093332C">
        <w:t xml:space="preserve">re is growing methodological consensus </w:t>
      </w:r>
      <w:r w:rsidR="00EE3695" w:rsidRPr="0093332C">
        <w:t>for using</w:t>
      </w:r>
      <w:r w:rsidR="00341855" w:rsidRPr="0093332C">
        <w:t xml:space="preserve"> bivariate </w:t>
      </w:r>
      <w:r w:rsidR="00790043" w:rsidRPr="0093332C">
        <w:t>meta-</w:t>
      </w:r>
      <w:r w:rsidR="007D0D03" w:rsidRPr="0093332C">
        <w:t>analysis methods</w:t>
      </w:r>
      <w:r w:rsidR="00EA3958" w:rsidRPr="0093332C">
        <w:t xml:space="preserve"> </w:t>
      </w:r>
      <w:r w:rsidR="00341855" w:rsidRPr="0093332C">
        <w:t xml:space="preserve">to evaluate the surrogate-to-final </w:t>
      </w:r>
      <w:r w:rsidR="001A5D69" w:rsidRPr="0093332C">
        <w:t xml:space="preserve">outcome </w:t>
      </w:r>
      <w:r w:rsidR="00341855" w:rsidRPr="0093332C">
        <w:t>relationships</w:t>
      </w:r>
      <w:r w:rsidR="00D64942" w:rsidRPr="0093332C">
        <w:t>.</w:t>
      </w:r>
      <w:r w:rsidR="007D0D03" w:rsidRPr="0093332C">
        <w:t xml:space="preserve"> </w:t>
      </w:r>
      <w:r w:rsidR="007D0D03" w:rsidRPr="0093332C">
        <w:fldChar w:fldCharType="begin"/>
      </w:r>
      <w:r w:rsidR="001D2160" w:rsidRPr="0093332C">
        <w:instrText xml:space="preserve"> ADDIN ZOTERO_ITEM CSL_CITATION {"citationID":"ChQyHsAV","properties":{"formattedCitation":"[39\\uc0\\u8211{}44]","plainCitation":"[39–44]","noteIndex":0},"citationItems":[{"id":140,"uris":["http://zotero.org/users/local/XzHhEqW9/items/XIPGYH4G"],"uri":["http://zotero.org/users/local/XzHhEqW9/items/XIPGYH4G"],"itemData":{"id":140,"type":"article-journal","abstract":"We investigate the effect of the choice of parameterisation of meta-analytic models and related uncertainty on the validation of surrogate endpoints. Different meta-analytical approaches take into account different levels of uncertainty which may impact on the accuracy of the predictions of treatment effect on the target outcome from the treatment effect on a surrogate endpoint obtained from these models. A range of Bayesian as well as frequentist meta-analytical methods are implemented using illustrative examples in relapsing?remitting multiple sclerosis, where the treatment effect on disability worsening is the primary outcome of interest in healthcare evaluation, while the effect on relapse rate is considered as a potential surrogate to the effect on disability progression, and in gastric cancer, where the disease-free survival has been shown to be a good surrogate endpoint to the overall survival. Sensitivity analysis was carried out to assess the impact of distributional assumptions on the predictions. Also, sensitivity to modelling assumptions and performance of the models were investigated by simulation. Although different methods can predict mean true outcome almost equally well, inclusion of uncertainty around all relevant parameters of the model may lead to less certain and hence more conservative predictions. When investigating endpoints as candidate surrogate outcomes, a careful choice of the meta-analytical approach has to be made. Models underestimating the uncertainty of available evidence may lead to overoptimistic predictions which can then have an effect on decisions made based on such predictions.","container-title":"Statistical Methods in Medical Research","DOI":"10.1177/0962280215597260","ISSN":"0962-2802","issue":"5","journalAbbreviation":"Stat Methods Med Res","note":"publisher: SAGE Publications Ltd STM","page":"2287-2318","title":"Uncertainty in the Bayesian meta-analysis of normally distributed surrogate endpoints","volume":"26","author":[{"family":"Bujkiewicz","given":"Sylwia"},{"family":"Thompson","given":"John R"},{"family":"Spata","given":"Enti"},{"family":"Abrams","given":"Keith R"}],"issued":{"date-parts":[["2015",8,13]]}},"label":"page"},{"id":142,"uris":["http://zotero.org/users/local/XzHhEqW9/items/VXURWC83"],"uri":["http://zotero.org/users/local/XzHhEqW9/items/VXURWC83"],"itemData":{"id":142,"type":"article-journal","abstract":"A number of meta-analytical methods have been proposed that aim to evaluate surrogate endpoints. Bivariate meta-analytical methods can be used to predict the treatment effect for the final outcome from the treatment effect estimate measured on the surrogate endpoint while taking into account the uncertainty around the effect estimate for the surrogate endpoint. In this paper, extensions to multivariate models are developed aiming to include multiple surrogate endpoints with the potential benefit of reducing the uncertainty when making predictions. In this Bayesian multivariate meta-analytic framework, the between-study variability is modelled in a formulation of a product of normal univariate distributions. This formulation is particularly convenient for including multiple surrogate endpoints and flexible for modelling the outcomes which can be surrogate endpoints to the final outcome and potentially to one another. Two models are proposed, first, using an unstructured between-study covariance matrix by assuming the treatment effects on all outcomes are correlated and second, using a structured between-study covariance matrix by assuming treatment effects on some of the outcomes are conditionally independent. While the two models are developed for the summary data on a study level, the individual-level association is taken into account by the use of the Prentice's criteria (obtained from individual patient data) to inform the within study correlations in the models. The modelling techniques are investigated using an example in relapsing remitting multiple sclerosis where the disability worsening is the final outcome, while relapse rate and MRI lesions are potential surrogates to the disability progression. ? 2015 The Authors. Statistics in Medicine Published by John Wiley &amp; Sons Ltd.","container-title":"Statistics in Medicine","DOI":"10.1002/sim.6776","ISSN":"0277-6715","issue":"7","journalAbbreviation":"Statistics in Medicine","note":"publisher: John Wiley &amp; Sons, Ltd","page":"1063-1089","title":"Bayesian meta-analytical methods to incorporate multiple surrogate endpoints in drug development process","volume":"35","author":[{"family":"Bujkiewicz","given":"Sylwia"},{"family":"Thompson","given":"John R."},{"family":"Riley","given":"Richard D."},{"family":"Abrams","given":"Keith R."}],"issued":{"date-parts":[["2016",3,30]]}},"label":"page"},{"id":144,"uris":["http://zotero.org/users/local/XzHhEqW9/items/XAQ45D9M"],"uri":["http://zotero.org/users/local/XzHhEqW9/items/XAQ45D9M"],"itemData":{"id":144,"type":"article-journal","abstract":"Before a surrogate end point can replace a final (true) end point in the evaluation of an experimental treatment, it must be formally ?validated?. The validation will typically require large numbers of observations. It is therefore useful to consider situations in which data are available from several randomized experiments. For two normally distributed end points Buyse and co-workers suggested a new definition of validity in terms of the quality of both trial level and individual level associations between the surrogate and true end points. This paper extends this approach to the important case of two failure time end points, using bivariate survival modelling. The method is illustrated by using two actual sets of data from cancer clinical trials.","container-title":"Journal of the Royal Statistical Society: Series C (Applied Statistics)","DOI":"10.1111/1467-9876.00244","ISSN":"0035-9254","issue":"4","journalAbbreviation":"Journal of the Royal Statistical Society: Series C (Applied Statistics)","note":"publisher: John Wiley &amp; Sons, Ltd","page":"405-422","title":"Validation of surrogate end points in multiple randomized clinical trials with failure time end points","volume":"50","author":[{"family":"Burzykowski","given":"Tomasz"},{"family":"Molenberghs","given":"Geert"},{"family":"Buyse","given":"Marc"},{"family":"Geys","given":"Helena"},{"family":"Renard","given":"Didier"}],"issued":{"date-parts":[["2001",1,1]]}},"label":"page"},{"id":137,"uris":["http://zotero.org/users/local/XzHhEqW9/items/SYU8MZFR"],"uri":["http://zotero.org/users/local/XzHhEqW9/items/SYU8MZFR"],"itemData":{"id":137,"type":"article-journal","abstract":"Abstract We describe a meta-analysis approach for the evaluation of a potential surrogate marker. Surrogate markers are useful in helping to identify therapeutic mechanisms of action and disease pathogenesis, and for selecting therapies to take forward from phase II to phase III clinical trials. They have also become increasingly important for regulatory purposes by providing a basis for preliminary approval of drugs pending clinical outcome studies. Methodology for evaluating surrogate markers has focused on determining the difference in the effects of two treatments on clinical outcome in an individual clinical trial, and then estimating the proportion of this difference explained by the treatment's effects on the potential marker. Studies are, however, frequently underpowered or cease before they accumulate sufficient evidence to draw strong conclusions about the value of a potential surrogate marker using this approach, and there are also some technical difficulties with the approach. Consideration of the association between the difference in treatment effects on the clinical outcome and the difference in treatment effects on the potential marker over a range of trials provides an alternative means to evaluate a potential marker. We describe a meta-analysis approach using Bayesian methods to model this association. Importantly, this approach enables one to obtain prediction intervals for the true difference in clinical outcome for a given estimated treatment difference in the effect on the potential marker. We illustrate the methodology by applying it to results from studies of the AIDS Clinical Trials Group to assess the value of CD4 T-lymphocyte cell count as a potential surrogate marker for the treatment effects on the development of AIDS or death. ? 1997 by John Wiley &amp; Sons, Ltd.","container-title":"Statistics in Medicine","DOI":"10.1002/(SICI)1097-0258(19970915)16:17&lt;1965::AID-SIM630&gt;3.0.CO;2-M","ISSN":"0277-6715","issue":"17","journalAbbreviation":"Statistics in Medicine","note":"publisher: John Wiley &amp; Sons, Ltd","page":"1965-1982","title":"Meta-analysis for the evaluation of potential surrogate markers","volume":"16","author":[{"family":"Daniels","given":"Michael J."},{"family":"Hughes","given":"Michael D."}],"issued":{"date-parts":[["1997",9,15]]}},"label":"page"},{"id":139,"uris":["http://zotero.org/users/local/XzHhEqW9/items/6J7XMKJ3"],"uri":["http://zotero.org/users/local/XzHhEqW9/items/6J7XMKJ3"],"itemData":{"id":139,"type":"article-journal","abstract":"The validation of surrogate endpoints has been studied by\nPrentice (1989). He presented a definition as well as a set of\ncriteria, which are equivalent only if the surrogate and true\nendpoints are binary. Freedman et al. (1992) supplemented\nthese criteria with the so-called ‘proportion explained’.\nBuyse and Molenberghs (1998) proposed replacing the proportion\nexplained by two quantities: (1) the relative effect linking the effect of treatment on both endpoints and (2) an individual-level measure of agreement between both endpoints. The latter quantity carries over when data are available on several randomized trials, while the former can be extended to be a trial-level measure of\nagreement between the effects of treatment of both endpoints. This approach suggests a new method for the validation of surrogate\nendpoints, and naturally leads to the prediction of the effect of treatment upon the true endpoint, given its observed effect upon the surrogate endpoint. These ideas are illustrated using data from two sets of multicenter trials: one comparing chemotherapy regimens for patients with advanced ovarian cancer, the other comparing\ninterferon-α with placebo for patients with age-related macular\ndegeneration.","container-title":"Biostatistics","DOI":"10.1093/biostatistics/1.1.49","ISSN":"1465-4644","issue":"1","journalAbbreviation":"Biostatistics","page":"49-67","title":"The validation of surrogate endpoints in meta-analyses of randomized experiments","volume":"1","author":[{"family":"Buyse","given":"M."},{"family":"Molenberghs","given":"G."},{"family":"Burzykowski","given":"T."},{"family":"Renard","given":"D."},{"family":"Geys","given":"H."}],"issued":{"date-parts":[["2000",3,1]]}},"label":"page"},{"id":148,"uris":["http://zotero.org/users/local/XzHhEqW9/items/PBCGYIQV"],"uri":["http://zotero.org/users/local/XzHhEqW9/items/PBCGYIQV"],"itemData":{"id":148,"type":"report","title":"NICE DSU Technical Support Document 20: Multivariate meta-analysis of summary data for combining treatment effects on correlated outcomes and evaluating surrogate endpoints","title-short":"TSD20","URL":"http://nicedsu.org.uk/wp-content/uploads/2020/10/TSD-20-mvmeta-final.pdf","author":[{"family":"Bujkiewicz","given":"Sylwia"},{"family":"Achana","given":"Felix"},{"family":"Papanikos","given":"Tasos"},{"family":"Riley","given":"Richard D."},{"family":"Abrams","given":"Keith R"}],"issued":{"date-parts":[["2019",10]]}}}],"schema":"https://github.com/citation-style-language/schema/raw/master/csl-citation.json"} </w:instrText>
      </w:r>
      <w:r w:rsidR="007D0D03" w:rsidRPr="0093332C">
        <w:fldChar w:fldCharType="separate"/>
      </w:r>
      <w:r w:rsidR="001D2160" w:rsidRPr="0093332C">
        <w:t>[39–44]</w:t>
      </w:r>
      <w:r w:rsidR="007D0D03" w:rsidRPr="0093332C">
        <w:fldChar w:fldCharType="end"/>
      </w:r>
      <w:r w:rsidR="00341855" w:rsidRPr="0093332C">
        <w:t xml:space="preserve"> </w:t>
      </w:r>
      <w:r w:rsidR="00EE3695" w:rsidRPr="0093332C">
        <w:t>T</w:t>
      </w:r>
      <w:r w:rsidR="00341855" w:rsidRPr="0093332C">
        <w:t>hese methods take into account not only the correlation between the treatment effects</w:t>
      </w:r>
      <w:r w:rsidR="00CF4C84" w:rsidRPr="0093332C">
        <w:t xml:space="preserve"> (quantifying the surrogate relationship)</w:t>
      </w:r>
      <w:r w:rsidR="00341855" w:rsidRPr="0093332C">
        <w:t>, but also uncertainty</w:t>
      </w:r>
      <w:r w:rsidR="00CF4C84" w:rsidRPr="0093332C">
        <w:t xml:space="preserve"> around this relationship, which is crucial for decision-making</w:t>
      </w:r>
      <w:r w:rsidR="00341855" w:rsidRPr="0093332C">
        <w:t>.</w:t>
      </w:r>
      <w:r w:rsidR="006A7206" w:rsidRPr="0093332C">
        <w:fldChar w:fldCharType="begin"/>
      </w:r>
      <w:r w:rsidR="001D2160" w:rsidRPr="0093332C">
        <w:instrText xml:space="preserve"> ADDIN ZOTERO_ITEM CSL_CITATION {"citationID":"xwjzCBF1","properties":{"formattedCitation":"[44,45]","plainCitation":"[44,45]","noteIndex":0},"citationItems":[{"id":148,"uris":["http://zotero.org/users/local/XzHhEqW9/items/PBCGYIQV"],"uri":["http://zotero.org/users/local/XzHhEqW9/items/PBCGYIQV"],"itemData":{"id":148,"type":"report","title":"NICE DSU Technical Support Document 20: Multivariate meta-analysis of summary data for combining treatment effects on correlated outcomes and evaluating surrogate endpoints","title-short":"TSD20","URL":"http://nicedsu.org.uk/wp-content/uploads/2020/10/TSD-20-mvmeta-final.pdf","author":[{"family":"Bujkiewicz","given":"Sylwia"},{"family":"Achana","given":"Felix"},{"family":"Papanikos","given":"Tasos"},{"family":"Riley","given":"Richard D."},{"family":"Abrams","given":"Keith R"}],"issued":{"date-parts":[["2019",10]]}}},{"id":153,"uris":["http://zotero.org/users/local/XzHhEqW9/items/57A57RI8"],"uri":["http://zotero.org/users/local/XzHhEqW9/items/57A57RI8"],"itemData":{"id":153,"type":"report","event-place":"Sheffield","publisher":"ScHARR, University of Sheffield","publisher-place":"Sheffield","title":"CHTE2020 Sources and Synthesis of Evidence: Update to Evidence Synthesis Methods Report by The Decision Support Unit","URL":"http://nicedsu.org.uk/wp-content/uploads/2020/11/CHTE-2020_final_20April2020_final.pdf","author":[{"family":"Welton","given":"Nicky"},{"family":"Phillippo","given":"David"},{"family":"Owen","given":"R"},{"family":"Jones","given":"H"},{"family":"Dias","given":"S"},{"family":"Bujkiewicz","given":"Sylwia"},{"family":"Ades","given":"Anthony"},{"family":"Abrams","given":"Keith R"}],"issued":{"date-parts":[["2020",7]]}}}],"schema":"https://github.com/citation-style-language/schema/raw/master/csl-citation.json"} </w:instrText>
      </w:r>
      <w:r w:rsidR="006A7206" w:rsidRPr="0093332C">
        <w:fldChar w:fldCharType="separate"/>
      </w:r>
      <w:r w:rsidR="001D2160" w:rsidRPr="0093332C">
        <w:t>[44,45]</w:t>
      </w:r>
      <w:r w:rsidR="006A7206" w:rsidRPr="0093332C">
        <w:fldChar w:fldCharType="end"/>
      </w:r>
      <w:r w:rsidR="00EA3958" w:rsidRPr="0093332C">
        <w:t xml:space="preserve"> </w:t>
      </w:r>
    </w:p>
    <w:p w14:paraId="5348EEF2" w14:textId="77777777" w:rsidR="006D3DBE" w:rsidRPr="0093332C" w:rsidRDefault="006D3DBE" w:rsidP="00FF35AB">
      <w:pPr>
        <w:autoSpaceDE w:val="0"/>
        <w:autoSpaceDN w:val="0"/>
        <w:adjustRightInd w:val="0"/>
        <w:spacing w:line="360" w:lineRule="auto"/>
      </w:pPr>
    </w:p>
    <w:p w14:paraId="22731EF4" w14:textId="60D013C3" w:rsidR="00740CDA" w:rsidRPr="0093332C" w:rsidRDefault="0050134F" w:rsidP="00FF35AB">
      <w:pPr>
        <w:autoSpaceDE w:val="0"/>
        <w:autoSpaceDN w:val="0"/>
        <w:adjustRightInd w:val="0"/>
        <w:spacing w:line="360" w:lineRule="auto"/>
      </w:pPr>
      <w:r w:rsidRPr="0093332C">
        <w:rPr>
          <w:b/>
          <w:bCs/>
        </w:rPr>
        <w:t>Table 1</w:t>
      </w:r>
      <w:r w:rsidRPr="0093332C">
        <w:t xml:space="preserve"> lists </w:t>
      </w:r>
      <w:r w:rsidR="00580CB5" w:rsidRPr="0093332C">
        <w:t xml:space="preserve">selected </w:t>
      </w:r>
      <w:r w:rsidRPr="0093332C">
        <w:t>examples of candidate surrogate endpoints evaluated using meta-analysis methods</w:t>
      </w:r>
      <w:r w:rsidR="00306D4B" w:rsidRPr="0093332C">
        <w:t xml:space="preserve"> with authors</w:t>
      </w:r>
      <w:r w:rsidR="00C324E4" w:rsidRPr="0093332C">
        <w:t>’</w:t>
      </w:r>
      <w:r w:rsidR="00306D4B" w:rsidRPr="0093332C">
        <w:t xml:space="preserve"> conclusion</w:t>
      </w:r>
      <w:r w:rsidR="009D67F3" w:rsidRPr="0093332C">
        <w:t>s</w:t>
      </w:r>
      <w:r w:rsidR="00C324E4" w:rsidRPr="0093332C">
        <w:t xml:space="preserve"> regarding the strength of the surrogate relationship</w:t>
      </w:r>
      <w:r w:rsidR="00CF4C84" w:rsidRPr="0093332C">
        <w:t xml:space="preserve">. </w:t>
      </w:r>
      <w:r w:rsidR="008A64D4" w:rsidRPr="0093332C">
        <w:t>It is perhaps not</w:t>
      </w:r>
      <w:r w:rsidR="00626515" w:rsidRPr="0093332C">
        <w:t xml:space="preserve"> surprising that </w:t>
      </w:r>
      <w:r w:rsidR="00193E6F" w:rsidRPr="0093332C">
        <w:t>bevacizumab</w:t>
      </w:r>
      <w:r w:rsidR="00626515" w:rsidRPr="0093332C">
        <w:t xml:space="preserve">’s </w:t>
      </w:r>
      <w:r w:rsidR="00CD47E1" w:rsidRPr="0093332C">
        <w:t xml:space="preserve">initial </w:t>
      </w:r>
      <w:r w:rsidR="00626515" w:rsidRPr="0093332C">
        <w:t xml:space="preserve">effect on progression-free survival never translated </w:t>
      </w:r>
      <w:r w:rsidR="00F73698" w:rsidRPr="0093332C">
        <w:t>to</w:t>
      </w:r>
      <w:r w:rsidR="00626515" w:rsidRPr="0093332C">
        <w:t xml:space="preserve"> </w:t>
      </w:r>
      <w:r w:rsidR="008A64D4" w:rsidRPr="0093332C">
        <w:t>prolonged</w:t>
      </w:r>
      <w:r w:rsidR="00626515" w:rsidRPr="0093332C">
        <w:t xml:space="preserve"> survival </w:t>
      </w:r>
      <w:r w:rsidR="008A64D4" w:rsidRPr="0093332C">
        <w:t>for patients with metastatic breast cancer</w:t>
      </w:r>
      <w:r w:rsidR="00CD47E1" w:rsidRPr="0093332C">
        <w:t xml:space="preserve"> following FDA’s accelerated approval</w:t>
      </w:r>
      <w:r w:rsidR="008A64D4" w:rsidRPr="0093332C">
        <w:t>, as an earlier meta-analysis concluded that progression-free survival was not a good surrogate for overall survival in this setting</w:t>
      </w:r>
      <w:r w:rsidR="00626515" w:rsidRPr="0093332C">
        <w:t>.</w:t>
      </w:r>
      <w:r w:rsidR="007D2544" w:rsidRPr="0093332C">
        <w:fldChar w:fldCharType="begin"/>
      </w:r>
      <w:r w:rsidR="001D2160" w:rsidRPr="0093332C">
        <w:instrText xml:space="preserve"> ADDIN ZOTERO_ITEM CSL_CITATION {"citationID":"mxWcTm2n","properties":{"formattedCitation":"[36]","plainCitation":"[36]","noteIndex":0},"citationItems":[{"id":187,"uris":["http://zotero.org/users/local/XzHhEqW9/items/ERM6PSCN"],"uri":["http://zotero.org/users/local/XzHhEqW9/items/ERM6PSCN"],"itemData":{"id":187,"type":"article-journal","abstract":"PURPOSE: Overall survival (OS) can be observed only after prolonged follow-up, and any potential effect of first-line therapies on OS may be confounded by the effects  of subsequent therapy. We investigated whether tumor response, disease control,  progression-free survival (PFS), or time to progression (TTP) could be considered a  valid surrogate for OS to assess the benefits of first-line therapies for patients  with metastatic breast cancer. PATIENTS AND METHODS: Individual patient data were  collected on 3,953 patients in 11 randomized trials that compared an anthracycline  (alone or in combination) with a taxane (alone or in combination with an  anthracycline). Surrogacy was assessed through the correlation between the end  points as well as through the correlation between the treatment effects on the end  points. RESULTS: Tumor response (survival odds ratio [OR], 6.2; 95% CI, 5.3 to 7.0)  and disease control (survival OR, 5.5; 95% CI, 4.8 to 6.3) were strongly associated  with OS. PFS (rank correlation coefficient, 0.688; 95% CI, 0.686 to 0.690) and TTP  (rank correlation coefficient, 0.682; 95% CI, 0.680 to 0.684) were moderately  associated with OS. Response log ORs were strongly correlated with PFS log hazard  ratios (linear coefficient [rho], 0.96; 95% CI, 0.73 to 1.19). Response and disease  control log ORs and PFS and TTP log hazard ratios were poorly correlated with log  hazard ratios for OS, but the confidence limits of rho were too wide to be  informative. CONCLUSION: No end point could be demonstrated as a good surrogate for  OS in these trials. Tumor response may be an acceptable surrogate for PFS.","container-title":"Journal of clinical oncology : official journal of the American Society of Clinical Oncology","DOI":"10.1200/JCO.2007.10.8407","ISSN":"1527-7755 0732-183X","issue":"12","journalAbbreviation":"J Clin Oncol","language":"eng","note":"publisher-place: United States\nPMID: 18421050","page":"1987-1992","title":"Evaluation of tumor response, disease control, progression-free survival, and time to progression as potential surrogate end points in metastatic breast cancer.","volume":"26","author":[{"family":"Burzykowski","given":"Tomasz"},{"family":"Buyse","given":"Marc"},{"family":"Piccart-Gebhart","given":"Martine J."},{"family":"Sledge","given":"George"},{"family":"Carmichael","given":"James"},{"family":"Lück","given":"Hans-Joachim"},{"family":"Mackey","given":"John R."},{"family":"Nabholtz","given":"Jean-Marc"},{"family":"Paridaens","given":"Robert"},{"family":"Biganzoli","given":"Laura"},{"family":"Jassem","given":"Jacek"},{"family":"Bontenbal","given":"Marijke"},{"family":"Bonneterre","given":"Jacques"},{"family":"Chan","given":"Stephen"},{"family":"Basaran","given":"Gul Atalay"},{"family":"Therasse","given":"Patrick"}],"issued":{"date-parts":[["2008",4,20]]}}}],"schema":"https://github.com/citation-style-language/schema/raw/master/csl-citation.json"} </w:instrText>
      </w:r>
      <w:r w:rsidR="007D2544" w:rsidRPr="0093332C">
        <w:fldChar w:fldCharType="separate"/>
      </w:r>
      <w:r w:rsidR="001D2160" w:rsidRPr="0093332C">
        <w:t>[36]</w:t>
      </w:r>
      <w:r w:rsidR="007D2544" w:rsidRPr="0093332C">
        <w:fldChar w:fldCharType="end"/>
      </w:r>
      <w:r w:rsidR="00111919" w:rsidRPr="0093332C">
        <w:t xml:space="preserve"> </w:t>
      </w:r>
    </w:p>
    <w:p w14:paraId="4C340251" w14:textId="77777777" w:rsidR="009D67F3" w:rsidRPr="0093332C" w:rsidRDefault="009D67F3" w:rsidP="00E32E82">
      <w:pPr>
        <w:autoSpaceDE w:val="0"/>
        <w:autoSpaceDN w:val="0"/>
        <w:adjustRightInd w:val="0"/>
        <w:spacing w:line="360" w:lineRule="auto"/>
      </w:pPr>
    </w:p>
    <w:p w14:paraId="2D57982B" w14:textId="33C8003D" w:rsidR="00490E22" w:rsidRPr="0093332C" w:rsidRDefault="006D3DBE" w:rsidP="00193E6F">
      <w:pPr>
        <w:spacing w:line="360" w:lineRule="auto"/>
        <w:textDirection w:val="btLr"/>
      </w:pPr>
      <w:r w:rsidRPr="0093332C">
        <w:t xml:space="preserve">A </w:t>
      </w:r>
      <w:r w:rsidR="00F73698" w:rsidRPr="0093332C">
        <w:t>potential</w:t>
      </w:r>
      <w:r w:rsidRPr="0093332C">
        <w:t xml:space="preserve"> </w:t>
      </w:r>
      <w:r w:rsidR="00193E6F" w:rsidRPr="0093332C">
        <w:t xml:space="preserve">problem when evaluating surrogate endpoints is the limited amount of available </w:t>
      </w:r>
      <w:r w:rsidR="00DB3F9D" w:rsidRPr="0093332C">
        <w:t>randomised trial data</w:t>
      </w:r>
      <w:r w:rsidR="00193E6F" w:rsidRPr="0093332C">
        <w:t xml:space="preserve"> in some areas, e.g., for drugs targeting genetic biomarkers in small patient populations. In such cases</w:t>
      </w:r>
      <w:r w:rsidR="00F35E96" w:rsidRPr="0093332C">
        <w:t>, novel bivariate network meta-analysis methods</w:t>
      </w:r>
      <w:r w:rsidR="00DB3F9D" w:rsidRPr="0093332C">
        <w:t xml:space="preserve"> </w:t>
      </w:r>
      <w:r w:rsidR="00486E9A" w:rsidRPr="0093332C">
        <w:t>,</w:t>
      </w:r>
      <w:r w:rsidR="00F35E96" w:rsidRPr="0093332C">
        <w:t xml:space="preserve"> </w:t>
      </w:r>
      <w:r w:rsidR="00013F59" w:rsidRPr="0093332C">
        <w:fldChar w:fldCharType="begin"/>
      </w:r>
      <w:r w:rsidR="001D2160" w:rsidRPr="0093332C">
        <w:instrText xml:space="preserve"> ADDIN ZOTERO_ITEM CSL_CITATION {"citationID":"xZeY5U9D","properties":{"formattedCitation":"[46]","plainCitation":"[46]","noteIndex":0},"citationItems":[{"id":146,"uris":["http://zotero.org/users/local/XzHhEqW9/items/BB6E7VMA"],"uri":["http://zotero.org/users/local/XzHhEqW9/items/BB6E7VMA"],"itemData":{"id":146,"type":"article-journal","abstract":"Surrogate endpoints are very important in regulatory decision making in healthcare, in particular if they can be measured early compared to the long-term final clinical outcome and act as good predictors of clinical benefit. Bivariate meta-analysis methods can be used to evaluate surrogate endpoints and to predict the treatment effect on the final outcome from the treatment effect measured on a surrogate endpoint. However, candidate surrogate endpoints are often imperfect, and the level of association between the treatment effects on the surrogate and final outcomes may vary between treatments. This imposes a limitation on methods which do not differentiate between the treatments. We develop bivariate network meta-analysis (bvNMA) methods, which combine data on treatment effects on the surrogate and final outcomes, from trials investigating multiple treatment contrasts. The bvNMA methods estimate the effects on both outcomes for all treatment contrasts individually in a single analysis. At the same time, they allow us to model the trial-level surrogacy patterns within each treatment contrast and treatment-level surrogacy, thus enabling predictions of the treatment effect on the final outcome either for a new study in a new population or for a new treatment. Modelling assumptions about the between-studies heterogeneity and the network consistency, and their impact on predictions, are investigated using an illustrative example in advanced colorectal cancer and in a simulation study. When the strength of the surrogate relationships varies across treatment contrasts, bvNMA has the advantage of identifying treatment comparisons for which surrogacy holds, thus leading to better predictions.","container-title":"Statistics in Medicine","DOI":"10.1002/sim.8187","ISSN":"0277-6715","issue":"18","journalAbbreviation":"Statistics in Medicine","note":"publisher: John Wiley &amp; Sons, Ltd","page":"3322-3341","title":"Bivariate network meta-analysis for surrogate endpoint evaluation","volume":"38","author":[{"family":"Bujkiewicz","given":"Sylwia"},{"family":"Jackson","given":"Dan"},{"family":"Thompson","given":"John R."},{"family":"Turner","given":"Rebecca M."},{"family":"Städler","given":"Nicolas"},{"family":"Abrams","given":"Keith R."},{"family":"White","given":"Ian R."}],"issued":{"date-parts":[["2019",8,15]]}}}],"schema":"https://github.com/citation-style-language/schema/raw/master/csl-citation.json"} </w:instrText>
      </w:r>
      <w:r w:rsidR="00013F59" w:rsidRPr="0093332C">
        <w:fldChar w:fldCharType="separate"/>
      </w:r>
      <w:r w:rsidR="001D2160" w:rsidRPr="0093332C">
        <w:t>[46]</w:t>
      </w:r>
      <w:r w:rsidR="00013F59" w:rsidRPr="0093332C">
        <w:fldChar w:fldCharType="end"/>
      </w:r>
      <w:r w:rsidR="00013F59" w:rsidRPr="0093332C">
        <w:t xml:space="preserve"> or hierarchical models</w:t>
      </w:r>
      <w:r w:rsidR="00486E9A" w:rsidRPr="0093332C">
        <w:t>,</w:t>
      </w:r>
      <w:r w:rsidR="006A7206" w:rsidRPr="0093332C">
        <w:fldChar w:fldCharType="begin"/>
      </w:r>
      <w:r w:rsidR="001D2160" w:rsidRPr="0093332C">
        <w:instrText xml:space="preserve"> ADDIN ZOTERO_ITEM CSL_CITATION {"citationID":"9OcSMrze","properties":{"formattedCitation":"[47]","plainCitation":"[47]","noteIndex":0},"citationItems":[{"id":149,"uris":["http://zotero.org/users/local/XzHhEqW9/items/PEK629XL"],"uri":["http://zotero.org/users/local/XzHhEqW9/items/PEK629XL"],"itemData":{"id":149,"type":"article-journal","abstract":"Surrogate endpoints play an important role in drug development when they can be used to measure treatment effect early compared to the final clinical outcome and to predict clinical benefit or harm. Such endpoints are assessed for their predictive value of clinical benefit by investigating the surrogate relationship between treatment effects on the surrogate and final outcomes using meta-analytic methods. When surrogate relationships vary across treatment classes, such validation may fail due to limited data within each treatment class. In this paper, two alternative Bayesian meta-analytic methods are introduced which allow for borrowing of information from other treatment classes when exploring the surrogacy in a particular class. The first approach extends a standard model for the evaluation of surrogate endpoints to a hierarchical meta-analysis model assuming full exchangeability of surrogate relationships across all the treatment classes, thus facilitating borrowing of information across the classes. The second method is able to relax this assumption by allowing for partial exchangeability of surrogate relationships across treatment classes to avoid excessive borrowing of information from distinctly different classes. We carried out a simulation study to assess the proposed methods in nine data scenarios and compared them with subgroup analysis using the standard model within each treatment class. We also applied the methods to an illustrative example in colorectal cancer which led to obtaining the parameters describing the surrogate relationships with higher precision.","container-title":"Statistics in Medicine","DOI":"10.1002/sim.8465","ISSN":"0277-6715","issue":"8","journalAbbreviation":"Statistics in Medicine","note":"publisher: John Wiley &amp; Sons, Ltd","page":"1103-1124","title":"Bayesian hierarchical meta-analytic methods for modeling surrogate relationships that vary across treatment classes using aggregate data","volume":"39","author":[{"family":"Papanikos","given":"Tasos"},{"family":"Thompson","given":"John R."},{"family":"Abrams","given":"Keith R."},{"family":"Städler","given":"Nicolas"},{"family":"Ciani","given":"Oriana"},{"family":"Taylor","given":"Rod"},{"family":"Bujkiewicz","given":"Sylwia"}],"issued":{"date-parts":[["2020",4,15]]}}}],"schema":"https://github.com/citation-style-language/schema/raw/master/csl-citation.json"} </w:instrText>
      </w:r>
      <w:r w:rsidR="006A7206" w:rsidRPr="0093332C">
        <w:fldChar w:fldCharType="separate"/>
      </w:r>
      <w:r w:rsidR="001D2160" w:rsidRPr="0093332C">
        <w:t>[47]</w:t>
      </w:r>
      <w:r w:rsidR="006A7206" w:rsidRPr="0093332C">
        <w:fldChar w:fldCharType="end"/>
      </w:r>
      <w:r w:rsidR="00013F59" w:rsidRPr="0093332C">
        <w:t xml:space="preserve"> </w:t>
      </w:r>
      <w:r w:rsidR="00F35E96" w:rsidRPr="0093332C">
        <w:t xml:space="preserve">allow for using </w:t>
      </w:r>
      <w:r w:rsidR="00D222D6" w:rsidRPr="0093332C">
        <w:t xml:space="preserve">readily </w:t>
      </w:r>
      <w:r w:rsidR="00F35E96" w:rsidRPr="0093332C">
        <w:t xml:space="preserve">available data on similar drugs </w:t>
      </w:r>
      <w:r w:rsidR="0052016F" w:rsidRPr="0093332C">
        <w:t>or</w:t>
      </w:r>
      <w:r w:rsidR="00F35E96" w:rsidRPr="0093332C">
        <w:t xml:space="preserve"> drug classes. </w:t>
      </w:r>
      <w:r w:rsidR="00E536E8" w:rsidRPr="0093332C">
        <w:t>These</w:t>
      </w:r>
      <w:r w:rsidR="00E32E82" w:rsidRPr="0093332C">
        <w:rPr>
          <w:color w:val="000000"/>
        </w:rPr>
        <w:t xml:space="preserve"> advanced methods are </w:t>
      </w:r>
      <w:r w:rsidR="00013F59" w:rsidRPr="0093332C">
        <w:rPr>
          <w:color w:val="000000"/>
        </w:rPr>
        <w:t xml:space="preserve">highlighted </w:t>
      </w:r>
      <w:r w:rsidR="00EA3958" w:rsidRPr="0093332C">
        <w:t xml:space="preserve"> </w:t>
      </w:r>
      <w:r w:rsidR="00E536E8" w:rsidRPr="0093332C">
        <w:t xml:space="preserve">in </w:t>
      </w:r>
      <w:r w:rsidR="00263DCC" w:rsidRPr="0093332C">
        <w:t>report</w:t>
      </w:r>
      <w:r w:rsidR="00013F59" w:rsidRPr="0093332C">
        <w:t>s</w:t>
      </w:r>
      <w:r w:rsidR="00263DCC" w:rsidRPr="0093332C">
        <w:t xml:space="preserve"> </w:t>
      </w:r>
      <w:r w:rsidR="00F35E96" w:rsidRPr="0093332C">
        <w:t xml:space="preserve">prepared </w:t>
      </w:r>
      <w:r w:rsidR="00013F59" w:rsidRPr="0093332C">
        <w:t>by</w:t>
      </w:r>
      <w:r w:rsidR="00263DCC" w:rsidRPr="0093332C">
        <w:t xml:space="preserve"> the</w:t>
      </w:r>
      <w:r w:rsidR="00E536E8" w:rsidRPr="0093332C">
        <w:t xml:space="preserve"> NICE Decision Support Unit.</w:t>
      </w:r>
      <w:r w:rsidR="00E536E8" w:rsidRPr="0093332C">
        <w:fldChar w:fldCharType="begin"/>
      </w:r>
      <w:r w:rsidR="001D2160" w:rsidRPr="0093332C">
        <w:instrText xml:space="preserve"> ADDIN ZOTERO_ITEM CSL_CITATION {"citationID":"SwXOodr1","properties":{"formattedCitation":"[44,45]","plainCitation":"[44,45]","noteIndex":0},"citationItems":[{"id":148,"uris":["http://zotero.org/users/local/XzHhEqW9/items/PBCGYIQV"],"uri":["http://zotero.org/users/local/XzHhEqW9/items/PBCGYIQV"],"itemData":{"id":148,"type":"report","title":"NICE DSU Technical Support Document 20: Multivariate meta-analysis of summary data for combining treatment effects on correlated outcomes and evaluating surrogate endpoints","title-short":"TSD20","URL":"http://nicedsu.org.uk/wp-content/uploads/2020/10/TSD-20-mvmeta-final.pdf","author":[{"family":"Bujkiewicz","given":"Sylwia"},{"family":"Achana","given":"Felix"},{"family":"Papanikos","given":"Tasos"},{"family":"Riley","given":"Richard D."},{"family":"Abrams","given":"Keith R"}],"issued":{"date-parts":[["2019",10]]}}},{"id":153,"uris":["http://zotero.org/users/local/XzHhEqW9/items/57A57RI8"],"uri":["http://zotero.org/users/local/XzHhEqW9/items/57A57RI8"],"itemData":{"id":153,"type":"report","event-place":"Sheffield","publisher":"ScHARR, University of Sheffield","publisher-place":"Sheffield","title":"CHTE2020 Sources and Synthesis of Evidence: Update to Evidence Synthesis Methods Report by The Decision Support Unit","URL":"http://nicedsu.org.uk/wp-content/uploads/2020/11/CHTE-2020_final_20April2020_final.pdf","author":[{"family":"Welton","given":"Nicky"},{"family":"Phillippo","given":"David"},{"family":"Owen","given":"R"},{"family":"Jones","given":"H"},{"family":"Dias","given":"S"},{"family":"Bujkiewicz","given":"Sylwia"},{"family":"Ades","given":"Anthony"},{"family":"Abrams","given":"Keith R"}],"issued":{"date-parts":[["2020",7]]}}}],"schema":"https://github.com/citation-style-language/schema/raw/master/csl-citation.json"} </w:instrText>
      </w:r>
      <w:r w:rsidR="00E536E8" w:rsidRPr="0093332C">
        <w:fldChar w:fldCharType="separate"/>
      </w:r>
      <w:r w:rsidR="001D2160" w:rsidRPr="0093332C">
        <w:t>[44,45]</w:t>
      </w:r>
      <w:r w:rsidR="00E536E8" w:rsidRPr="0093332C">
        <w:fldChar w:fldCharType="end"/>
      </w:r>
    </w:p>
    <w:p w14:paraId="4E2A9EEA" w14:textId="77777777" w:rsidR="002A6CF1" w:rsidRPr="0093332C" w:rsidRDefault="002A6CF1" w:rsidP="00F35E96">
      <w:pPr>
        <w:autoSpaceDE w:val="0"/>
        <w:autoSpaceDN w:val="0"/>
        <w:adjustRightInd w:val="0"/>
        <w:spacing w:line="360" w:lineRule="auto"/>
        <w:rPr>
          <w:b/>
          <w:bCs/>
        </w:rPr>
      </w:pPr>
    </w:p>
    <w:p w14:paraId="0EA93163" w14:textId="4357C693" w:rsidR="00490E22" w:rsidRPr="0093332C" w:rsidRDefault="002A6CF1" w:rsidP="00F35E96">
      <w:pPr>
        <w:autoSpaceDE w:val="0"/>
        <w:autoSpaceDN w:val="0"/>
        <w:adjustRightInd w:val="0"/>
        <w:spacing w:line="360" w:lineRule="auto"/>
        <w:rPr>
          <w:b/>
          <w:bCs/>
        </w:rPr>
      </w:pPr>
      <w:r w:rsidRPr="0093332C">
        <w:rPr>
          <w:b/>
          <w:bCs/>
        </w:rPr>
        <w:t>Way forward</w:t>
      </w:r>
    </w:p>
    <w:p w14:paraId="650CBE63" w14:textId="044A42A3" w:rsidR="000605A4" w:rsidRPr="0093332C" w:rsidRDefault="00FE6478" w:rsidP="000605A4">
      <w:pPr>
        <w:autoSpaceDE w:val="0"/>
        <w:autoSpaceDN w:val="0"/>
        <w:adjustRightInd w:val="0"/>
        <w:spacing w:line="360" w:lineRule="auto"/>
      </w:pPr>
      <w:r w:rsidRPr="0093332C">
        <w:t>Regulators should be more selective in their use of surrogate endpoints. Surrogate endpoints are not useful – and should not be used – when a drug’s effect on the final clinical outcome can be observed within a relatively short time frame, e.g., in acute conditions.</w:t>
      </w:r>
      <w:r w:rsidRPr="0093332C">
        <w:fldChar w:fldCharType="begin"/>
      </w:r>
      <w:r w:rsidR="001D2160" w:rsidRPr="0093332C">
        <w:instrText xml:space="preserve"> ADDIN ZOTERO_ITEM CSL_CITATION {"citationID":"wWXC9sEz","properties":{"formattedCitation":"[48]","plainCitation":"[48]","noteIndex":0},"citationItems":[{"id":164,"uris":["http://zotero.org/users/local/XzHhEqW9/items/S58NDWJS"],"uri":["http://zotero.org/users/local/XzHhEqW9/items/S58NDWJS"],"itemData":{"id":164,"type":"book","event-place":"Washington (DC)","publisher":"National Academies Press (US)","publisher-place":"Washington (DC)","title":"Evaluation of Biomarkers and Surrogate Endpoints in Chronic Disease.","URL":"https://www.ncbi.nlm.nih.gov/books/NBK220297/ doi: 10.17226/12869","author":[{"family":"Institute of Medicine (US) Committee on Qualification of Biomarkers and Surrogate Endpoints in Chronic Disease","given":""},{"family":"Micheel","given":"CM"},{"family":"Ball","given":"JR"}],"accessed":{"date-parts":[["2021",7,5]]},"issued":{"date-parts":[["2010"]]}}}],"schema":"https://github.com/citation-style-language/schema/raw/master/csl-citation.json"} </w:instrText>
      </w:r>
      <w:r w:rsidRPr="0093332C">
        <w:fldChar w:fldCharType="separate"/>
      </w:r>
      <w:r w:rsidR="001D2160" w:rsidRPr="0093332C">
        <w:t>[48]</w:t>
      </w:r>
      <w:r w:rsidRPr="0093332C">
        <w:fldChar w:fldCharType="end"/>
      </w:r>
      <w:r w:rsidRPr="0093332C">
        <w:t xml:space="preserve"> Hence, using surrogate endpoints should be reserved for chronic disease settings when they can provide early and accurate measurement of a drug’s effect, especially when long follow-up is required before the final patient-relevant clinical outcome can be assessed.</w:t>
      </w:r>
      <w:r w:rsidRPr="0093332C">
        <w:fldChar w:fldCharType="begin"/>
      </w:r>
      <w:r w:rsidR="001D2160" w:rsidRPr="0093332C">
        <w:instrText xml:space="preserve"> ADDIN ZOTERO_ITEM CSL_CITATION {"citationID":"iXI3iSUa","properties":{"formattedCitation":"[49]","plainCitation":"[49]","noteIndex":0},"citationItems":[{"id":36,"uris":["http://zotero.org/users/local/XzHhEqW9/items/98B5SYZT"],"uri":["http://zotero.org/users/local/XzHhEqW9/items/98B5SYZT"],"itemData":{"id":36,"type":"book","ISBN":"978-0-387-20277-8","publisher":"Springer, New York, NY","title":"The Evaluation of Surrogate Endpoints","URL":"https://link.springer.com/book/10.1007/b138566#about","author":[{"family":"Burzykowski","given":"Tomasz"},{"family":"Molenberghs","given":"Geert"},{"family":"Buyse","given":"Marc"}]}}],"schema":"https://github.com/citation-style-language/schema/raw/master/csl-citation.json"} </w:instrText>
      </w:r>
      <w:r w:rsidRPr="0093332C">
        <w:fldChar w:fldCharType="separate"/>
      </w:r>
      <w:r w:rsidR="001D2160" w:rsidRPr="0093332C">
        <w:t>[49]</w:t>
      </w:r>
      <w:r w:rsidRPr="0093332C">
        <w:fldChar w:fldCharType="end"/>
      </w:r>
      <w:r w:rsidRPr="0093332C">
        <w:t xml:space="preserve"> </w:t>
      </w:r>
      <w:r w:rsidR="000605A4" w:rsidRPr="0093332C">
        <w:t xml:space="preserve">Even in such cases, regulators have other tools at their disposal </w:t>
      </w:r>
      <w:r w:rsidR="000605A4" w:rsidRPr="0093332C">
        <w:rPr>
          <w:color w:val="000000"/>
        </w:rPr>
        <w:t xml:space="preserve">to ensure patients who have exhausted all available treatment options can receive investigational treatments before regulatory approval. Such </w:t>
      </w:r>
      <w:r w:rsidR="00B2301B" w:rsidRPr="0093332C">
        <w:rPr>
          <w:color w:val="000000"/>
        </w:rPr>
        <w:t xml:space="preserve">“expanded access” </w:t>
      </w:r>
      <w:r w:rsidR="000605A4" w:rsidRPr="0093332C">
        <w:rPr>
          <w:color w:val="000000"/>
        </w:rPr>
        <w:t>programs can bridge the access gap while evidence on patient-relevant endpoints accrues before regulatory approval.</w:t>
      </w:r>
    </w:p>
    <w:p w14:paraId="4F2FA897" w14:textId="77777777" w:rsidR="00A929BA" w:rsidRPr="0093332C" w:rsidRDefault="00A929BA" w:rsidP="00935275">
      <w:pPr>
        <w:autoSpaceDE w:val="0"/>
        <w:autoSpaceDN w:val="0"/>
        <w:adjustRightInd w:val="0"/>
        <w:spacing w:line="360" w:lineRule="auto"/>
      </w:pPr>
    </w:p>
    <w:p w14:paraId="49EAFBC8" w14:textId="65F1E290" w:rsidR="00FE6478" w:rsidRPr="0093332C" w:rsidRDefault="00FE6478" w:rsidP="00935275">
      <w:pPr>
        <w:autoSpaceDE w:val="0"/>
        <w:autoSpaceDN w:val="0"/>
        <w:adjustRightInd w:val="0"/>
        <w:spacing w:line="360" w:lineRule="auto"/>
      </w:pPr>
      <w:r w:rsidRPr="0093332C">
        <w:lastRenderedPageBreak/>
        <w:t xml:space="preserve">When using surrogate endpoints is justified in selected chronic disease settings, regulators should consider the strength of available evidence on how well surrogates predict clinical benefit. </w:t>
      </w:r>
      <w:r w:rsidR="000605A4" w:rsidRPr="0093332C">
        <w:t xml:space="preserve">The recent </w:t>
      </w:r>
      <w:r w:rsidR="00372238" w:rsidRPr="0093332C">
        <w:t xml:space="preserve">US </w:t>
      </w:r>
      <w:r w:rsidR="000605A4" w:rsidRPr="0093332C">
        <w:t xml:space="preserve">accelerated approval of aducanumab </w:t>
      </w:r>
      <w:r w:rsidR="00B2301B" w:rsidRPr="0093332C">
        <w:t xml:space="preserve">for the treatment of Alzheimer’s disease </w:t>
      </w:r>
      <w:r w:rsidR="000605A4" w:rsidRPr="0093332C">
        <w:t>demonstrates why this is essential.</w:t>
      </w:r>
      <w:r w:rsidR="00935275" w:rsidRPr="0093332C">
        <w:t xml:space="preserve"> </w:t>
      </w:r>
      <w:r w:rsidR="000605A4" w:rsidRPr="0093332C">
        <w:t xml:space="preserve">FDA’s decision </w:t>
      </w:r>
      <w:r w:rsidR="00935275" w:rsidRPr="0093332C">
        <w:t>was controversial in part because amyloid level changes had little to no effect on cognitive change in an earlier meta-analysis of randomized controlled trials.</w:t>
      </w:r>
      <w:r w:rsidR="00357E42" w:rsidRPr="0093332C">
        <w:fldChar w:fldCharType="begin"/>
      </w:r>
      <w:r w:rsidR="00357E42" w:rsidRPr="0093332C">
        <w:instrText xml:space="preserve"> ADDIN ZOTERO_ITEM CSL_CITATION {"citationID":"hv7dtfJw","properties":{"formattedCitation":"[1]","plainCitation":"[1]","noteIndex":0},"citationItems":[{"id":161,"uris":["http://zotero.org/users/local/XzHhEqW9/items/5L9ERENU"],"uri":["http://zotero.org/users/local/XzHhEqW9/items/5L9ERENU"],"itemData":{"id":161,"type":"article-journal","abstract":"OBJECTIVE: To evaluate trials of drugs that target amyloid to determine whether reductions in amyloid levels are likely to improve cognition. DESIGN: Instrumental  variable meta-analysis. SETTING: 14 randomized controlled trials of drugs for the  prevention or treatment of Alzheimer's disease that targeted an amyloid mechanism,  identified from ClinicalTrials.gov. POPULATION: Adults enrolled in randomized  controlled trials of amyloid targeting drugs. Inclusion criteria for trials vary,  but typically include adults aged 50 years or older with a diagnosis of mild  cognitive impairment or Alzheimer's disease, and amyloid positivity at baseline.  MAIN OUTCOME MEASURES: Analyses included trials for which information could be  obtained on both change in brain amyloid levels measured with amyloid positron  emission tomography and change in at least one cognitive test score reported for  each randomization arm. RESULTS: Pooled results from the 14 randomized controlled  trials were more precise than estimates from any single trial. The pooled estimate  for the effect of reducing amyloid levels by 0.1 standardized uptake value ratio  units was an improvement in the mini-mental state examination score of 0.03 (95%  confidence interval -0.06 to 0.1) points. This study provides a web application that  allows for the re-estimation of the results when new data become available and  illustrates the magnitude of the new evidence that would be necessary to achieve a  pooled estimate supporting the benefit of reducing amyloid levels. CONCLUSIONS:  Pooled evidence from available trials reporting both reduction in amyloid levels and  change in cognition suggests that amyloid reduction strategies do not substantially  improve cognition.","container-title":"BMJ (Clinical research ed.)","DOI":"10.1136/bmj.n156","ISSN":"1756-1833 0959-8138","journalAbbreviation":"BMJ","language":"eng","note":"PMID: 33632704 \nPMCID: PMC7905687","page":"n156","title":"Effect of reductions in amyloid levels on cognitive change in randomized trials: instrumental variable meta-analysis.","volume":"372","author":[{"family":"Ackley","given":"Sarah F."},{"family":"Zimmerman","given":"Scott C."},{"family":"Brenowitz","given":"Willa D."},{"family":"Tchetgen Tchetgen","given":"Eric J."},{"family":"Gold","given":"Audra L."},{"family":"Manly","given":"Jennifer J."},{"family":"Mayeda","given":"Elizabeth Rose"},{"family":"Filshtein","given":"Teresa J."},{"family":"Power","given":"Melinda C."},{"family":"Elahi","given":"Fanny M."},{"family":"Brickman","given":"Adam M."},{"family":"Glymour","given":"M. Maria"}],"issued":{"date-parts":[["2021",2,25]]}}}],"schema":"https://github.com/citation-style-language/schema/raw/master/csl-citation.json"} </w:instrText>
      </w:r>
      <w:r w:rsidR="00357E42" w:rsidRPr="0093332C">
        <w:fldChar w:fldCharType="separate"/>
      </w:r>
      <w:r w:rsidR="00357E42" w:rsidRPr="0093332C">
        <w:t>[1]</w:t>
      </w:r>
      <w:r w:rsidR="00357E42" w:rsidRPr="0093332C">
        <w:fldChar w:fldCharType="end"/>
      </w:r>
      <w:r w:rsidR="00372238" w:rsidRPr="0093332C">
        <w:t xml:space="preserve"> </w:t>
      </w:r>
      <w:r w:rsidR="00357E42" w:rsidRPr="0093332C">
        <w:t>Thus, it is still debatable whether the r</w:t>
      </w:r>
      <w:r w:rsidR="000605A4" w:rsidRPr="0093332C">
        <w:t xml:space="preserve">eduction in amyloid levels is an acceptable surrogate for cognition on the basis of </w:t>
      </w:r>
      <w:r w:rsidR="00372238" w:rsidRPr="0093332C">
        <w:t>current best</w:t>
      </w:r>
      <w:r w:rsidR="000605A4" w:rsidRPr="0093332C">
        <w:t xml:space="preserve"> evidence.  </w:t>
      </w:r>
    </w:p>
    <w:p w14:paraId="745221B0" w14:textId="77777777" w:rsidR="00FE6478" w:rsidRPr="0093332C" w:rsidRDefault="00FE6478" w:rsidP="005D696F">
      <w:pPr>
        <w:autoSpaceDE w:val="0"/>
        <w:autoSpaceDN w:val="0"/>
        <w:adjustRightInd w:val="0"/>
        <w:spacing w:line="360" w:lineRule="auto"/>
      </w:pPr>
    </w:p>
    <w:p w14:paraId="786B091E" w14:textId="504761CC" w:rsidR="00791417" w:rsidRPr="0093332C" w:rsidRDefault="0051357E" w:rsidP="005D696F">
      <w:pPr>
        <w:autoSpaceDE w:val="0"/>
        <w:autoSpaceDN w:val="0"/>
        <w:adjustRightInd w:val="0"/>
        <w:spacing w:line="360" w:lineRule="auto"/>
      </w:pPr>
      <w:r w:rsidRPr="0093332C">
        <w:t>In the absence of regulatory guidance, t</w:t>
      </w:r>
      <w:r w:rsidR="006E0EAE" w:rsidRPr="0093332C">
        <w:t xml:space="preserve">here are promising signs that HTA bodies are </w:t>
      </w:r>
      <w:r w:rsidR="00922E30" w:rsidRPr="0093332C">
        <w:t>increasingly raising</w:t>
      </w:r>
      <w:r w:rsidR="006E0EAE" w:rsidRPr="0093332C">
        <w:t xml:space="preserve"> the bar for using surrogate endpoints</w:t>
      </w:r>
      <w:r w:rsidR="00471D9B" w:rsidRPr="0093332C">
        <w:t xml:space="preserve">. </w:t>
      </w:r>
      <w:r w:rsidR="00EE55D8" w:rsidRPr="0093332C">
        <w:t xml:space="preserve">For example, </w:t>
      </w:r>
      <w:r w:rsidR="00AF43DD" w:rsidRPr="0093332C">
        <w:t xml:space="preserve">NICE has recently proposed changes to its </w:t>
      </w:r>
      <w:r w:rsidR="00E84FFE" w:rsidRPr="0093332C">
        <w:t xml:space="preserve">HTA </w:t>
      </w:r>
      <w:r w:rsidR="00AF43DD" w:rsidRPr="0093332C">
        <w:t>methods to strengthen the evidence requirements for the use of surrogate endpoints, while still allowing flexibility when desired evidence is not available.</w:t>
      </w:r>
      <w:r w:rsidR="002A5251" w:rsidRPr="0093332C">
        <w:fldChar w:fldCharType="begin"/>
      </w:r>
      <w:r w:rsidR="001D2160" w:rsidRPr="0093332C">
        <w:instrText xml:space="preserve"> ADDIN ZOTERO_ITEM CSL_CITATION {"citationID":"T9C4YduE","properties":{"formattedCitation":"[50,51]","plainCitation":"[50,51]","noteIndex":0},"citationItems":[{"id":152,"uris":["http://zotero.org/users/local/XzHhEqW9/items/2CAUYIXR"],"uri":["http://zotero.org/users/local/XzHhEqW9/items/2CAUYIXR"],"itemData":{"id":152,"type":"report","title":"CHTE methods review: Sources and synthesis of evidence Task and finish group report","URL":"https://www.nice.org.uk/about/what-we-do/our-programmes/nice-guidance/chte-methods-consultation","author":[{"family":"National Institute for Health and Care Excellence (NICE)","given":""}],"issued":{"date-parts":[["2020",7]]}},"label":"page"},{"id":154,"uris":["http://zotero.org/users/local/XzHhEqW9/items/DGWVN2MT"],"uri":["http://zotero.org/users/local/XzHhEqW9/items/DGWVN2MT"],"itemData":{"id":154,"type":"report","title":"The NICE methods of health technology evaluation: The case for change","URL":"https://www.nice.org.uk/about/what-we-do/our-programmes/nice-guidance/chte-methods-consultation","author":[{"family":"National Institute for Health and Care Excellence (NICE)","given":""}],"issued":{"date-parts":[["2020",11]]}},"label":"page"}],"schema":"https://github.com/citation-style-language/schema/raw/master/csl-citation.json"} </w:instrText>
      </w:r>
      <w:r w:rsidR="002A5251" w:rsidRPr="0093332C">
        <w:fldChar w:fldCharType="separate"/>
      </w:r>
      <w:r w:rsidR="001D2160" w:rsidRPr="0093332C">
        <w:t>[50,51]</w:t>
      </w:r>
      <w:r w:rsidR="002A5251" w:rsidRPr="0093332C">
        <w:fldChar w:fldCharType="end"/>
      </w:r>
      <w:r w:rsidR="00490E22" w:rsidRPr="0093332C">
        <w:t xml:space="preserve"> </w:t>
      </w:r>
      <w:r w:rsidR="002D4932" w:rsidRPr="0093332C">
        <w:t xml:space="preserve"> Involving HTA bodies in early regulatory interactions with manufacturers may help align evidence requirements on surrogate endpoints. The UK Innovative Licensing and Access Pathway managed by the Medicines and Healthcare Products Regulatory Agency, NICE and the Scottish Medicines Consortium is aimed at </w:t>
      </w:r>
      <w:r w:rsidR="00323638" w:rsidRPr="0093332C">
        <w:t>facilitating</w:t>
      </w:r>
      <w:r w:rsidR="002D4932" w:rsidRPr="0093332C">
        <w:t xml:space="preserve"> such alignment.</w:t>
      </w:r>
      <w:r w:rsidR="006A7206" w:rsidRPr="0093332C">
        <w:fldChar w:fldCharType="begin"/>
      </w:r>
      <w:r w:rsidR="001D2160" w:rsidRPr="0093332C">
        <w:instrText xml:space="preserve"> ADDIN ZOTERO_ITEM CSL_CITATION {"citationID":"qPwmDPec","properties":{"formattedCitation":"[52]","plainCitation":"[52]","noteIndex":0},"citationItems":[{"id":172,"uris":["http://zotero.org/users/local/XzHhEqW9/items/X28KT9QY"],"uri":["http://zotero.org/users/local/XzHhEqW9/items/X28KT9QY"],"itemData":{"id":172,"type":"report","title":"Innovative Licensing and Access Pathway","URL":"https://www.gov.uk/guidance/innovative-licensing-and-access-pathway","author":[{"family":"Medicines and Healthcare products Regulatory Agency","given":""}],"issued":{"date-parts":[["2021",3,30]]}}}],"schema":"https://github.com/citation-style-language/schema/raw/master/csl-citation.json"} </w:instrText>
      </w:r>
      <w:r w:rsidR="006A7206" w:rsidRPr="0093332C">
        <w:fldChar w:fldCharType="separate"/>
      </w:r>
      <w:r w:rsidR="001D2160" w:rsidRPr="0093332C">
        <w:t>[52]</w:t>
      </w:r>
      <w:r w:rsidR="006A7206" w:rsidRPr="0093332C">
        <w:fldChar w:fldCharType="end"/>
      </w:r>
    </w:p>
    <w:p w14:paraId="71768640" w14:textId="3CB5D93A" w:rsidR="00580319" w:rsidRPr="0093332C" w:rsidRDefault="00580319" w:rsidP="00A95F0D">
      <w:pPr>
        <w:autoSpaceDE w:val="0"/>
        <w:autoSpaceDN w:val="0"/>
        <w:adjustRightInd w:val="0"/>
        <w:spacing w:line="360" w:lineRule="auto"/>
      </w:pPr>
    </w:p>
    <w:p w14:paraId="7EF610E2" w14:textId="06541989" w:rsidR="00964711" w:rsidRPr="0093332C" w:rsidRDefault="00DB3F9D" w:rsidP="00DB3F9D">
      <w:pPr>
        <w:spacing w:line="360" w:lineRule="auto"/>
        <w:textDirection w:val="btLr"/>
        <w:rPr>
          <w:color w:val="000000"/>
        </w:rPr>
      </w:pPr>
      <w:r w:rsidRPr="0093332C">
        <w:rPr>
          <w:color w:val="000000"/>
        </w:rPr>
        <w:t xml:space="preserve">Ultimately, regulatory and HTA decisions regarding the use of surrogate endpoints need to weigh the strength of available evidence on the validity of surrogates alongside other considerations such as unmet therapeutic need. </w:t>
      </w:r>
      <w:r w:rsidRPr="0093332C">
        <w:t>When making such trade-offs, quantifying how well a candidate surrogate predicts the final clinical outcome can provide valuable information.</w:t>
      </w:r>
      <w:r w:rsidRPr="0093332C">
        <w:fldChar w:fldCharType="begin"/>
      </w:r>
      <w:r w:rsidR="001D2160" w:rsidRPr="0093332C">
        <w:instrText xml:space="preserve"> ADDIN ZOTERO_ITEM CSL_CITATION {"citationID":"WPw6W4GD","properties":{"formattedCitation":"[44,46]","plainCitation":"[44,46]","noteIndex":0},"citationItems":[{"id":146,"uris":["http://zotero.org/users/local/XzHhEqW9/items/BB6E7VMA"],"uri":["http://zotero.org/users/local/XzHhEqW9/items/BB6E7VMA"],"itemData":{"id":146,"type":"article-journal","abstract":"Surrogate endpoints are very important in regulatory decision making in healthcare, in particular if they can be measured early compared to the long-term final clinical outcome and act as good predictors of clinical benefit. Bivariate meta-analysis methods can be used to evaluate surrogate endpoints and to predict the treatment effect on the final outcome from the treatment effect measured on a surrogate endpoint. However, candidate surrogate endpoints are often imperfect, and the level of association between the treatment effects on the surrogate and final outcomes may vary between treatments. This imposes a limitation on methods which do not differentiate between the treatments. We develop bivariate network meta-analysis (bvNMA) methods, which combine data on treatment effects on the surrogate and final outcomes, from trials investigating multiple treatment contrasts. The bvNMA methods estimate the effects on both outcomes for all treatment contrasts individually in a single analysis. At the same time, they allow us to model the trial-level surrogacy patterns within each treatment contrast and treatment-level surrogacy, thus enabling predictions of the treatment effect on the final outcome either for a new study in a new population or for a new treatment. Modelling assumptions about the between-studies heterogeneity and the network consistency, and their impact on predictions, are investigated using an illustrative example in advanced colorectal cancer and in a simulation study. When the strength of the surrogate relationships varies across treatment contrasts, bvNMA has the advantage of identifying treatment comparisons for which surrogacy holds, thus leading to better predictions.","container-title":"Statistics in Medicine","DOI":"10.1002/sim.8187","ISSN":"0277-6715","issue":"18","journalAbbreviation":"Statistics in Medicine","note":"publisher: John Wiley &amp; Sons, Ltd","page":"3322-3341","title":"Bivariate network meta-analysis for surrogate endpoint evaluation","volume":"38","author":[{"family":"Bujkiewicz","given":"Sylwia"},{"family":"Jackson","given":"Dan"},{"family":"Thompson","given":"John R."},{"family":"Turner","given":"Rebecca M."},{"family":"Städler","given":"Nicolas"},{"family":"Abrams","given":"Keith R."},{"family":"White","given":"Ian R."}],"issued":{"date-parts":[["2019",8,15]]}},"label":"page"},{"id":148,"uris":["http://zotero.org/users/local/XzHhEqW9/items/PBCGYIQV"],"uri":["http://zotero.org/users/local/XzHhEqW9/items/PBCGYIQV"],"itemData":{"id":148,"type":"report","title":"NICE DSU Technical Support Document 20: Multivariate meta-analysis of summary data for combining treatment effects on correlated outcomes and evaluating surrogate endpoints","title-short":"TSD20","URL":"http://nicedsu.org.uk/wp-content/uploads/2020/10/TSD-20-mvmeta-final.pdf","author":[{"family":"Bujkiewicz","given":"Sylwia"},{"family":"Achana","given":"Felix"},{"family":"Papanikos","given":"Tasos"},{"family":"Riley","given":"Richard D."},{"family":"Abrams","given":"Keith R"}],"issued":{"date-parts":[["2019",10]]}},"label":"page"}],"schema":"https://github.com/citation-style-language/schema/raw/master/csl-citation.json"} </w:instrText>
      </w:r>
      <w:r w:rsidRPr="0093332C">
        <w:fldChar w:fldCharType="separate"/>
      </w:r>
      <w:r w:rsidR="001D2160" w:rsidRPr="0093332C">
        <w:t>[44,46]</w:t>
      </w:r>
      <w:r w:rsidRPr="0093332C">
        <w:fldChar w:fldCharType="end"/>
      </w:r>
      <w:r w:rsidRPr="0093332C">
        <w:t xml:space="preserve"> </w:t>
      </w:r>
      <w:r w:rsidRPr="0093332C">
        <w:rPr>
          <w:color w:val="000000"/>
        </w:rPr>
        <w:t>If recommended meta-analysis methods are used, the strength (or weakness) of the surrogate will be reflected in the uncertainty around the predicted treatment effect on the final outcome. A weaker surrogate will yield a larger interval and hence greater uncertainty.</w:t>
      </w:r>
      <w:r w:rsidR="005E07AC" w:rsidRPr="0093332C">
        <w:rPr>
          <w:color w:val="000000"/>
        </w:rPr>
        <w:t xml:space="preserve"> </w:t>
      </w:r>
    </w:p>
    <w:p w14:paraId="275B61A2" w14:textId="77777777" w:rsidR="00DB3F9D" w:rsidRPr="0093332C" w:rsidRDefault="00DB3F9D" w:rsidP="00A95F0D">
      <w:pPr>
        <w:autoSpaceDE w:val="0"/>
        <w:autoSpaceDN w:val="0"/>
        <w:adjustRightInd w:val="0"/>
        <w:spacing w:line="360" w:lineRule="auto"/>
      </w:pPr>
    </w:p>
    <w:p w14:paraId="6063F0EC" w14:textId="081735EA" w:rsidR="00D222D6" w:rsidRPr="0093332C" w:rsidRDefault="00D222D6" w:rsidP="00D222D6">
      <w:pPr>
        <w:autoSpaceDE w:val="0"/>
        <w:autoSpaceDN w:val="0"/>
        <w:adjustRightInd w:val="0"/>
        <w:spacing w:line="360" w:lineRule="auto"/>
      </w:pPr>
      <w:r w:rsidRPr="0093332C">
        <w:t>Raising the bar for using surrogate endpoints by regulators and HTA bodies may increase the cost and duration of drug development. However, this need not hamper pharmaceutical innovation. In the past, regulatory guidance encouraging manufacturers to evaluate the cardiovascular outcomes of anti-diabetic medications incentivised the generation of patient-centred evidence without adversely affecting research and development.</w:t>
      </w:r>
      <w:r w:rsidRPr="0093332C">
        <w:fldChar w:fldCharType="begin"/>
      </w:r>
      <w:r w:rsidR="001D2160" w:rsidRPr="0093332C">
        <w:instrText xml:space="preserve"> ADDIN ZOTERO_ITEM CSL_CITATION {"citationID":"n1cfK1PS","properties":{"formattedCitation":"[53,54]","plainCitation":"[53,54]","noteIndex":0},"citationItems":[{"id":170,"uris":["http://zotero.org/users/local/XzHhEqW9/items/AQWPEY3W"],"uri":["http://zotero.org/users/local/XzHhEqW9/items/AQWPEY3W"],"itemData":{"id":170,"type":"article-journal","abstract":"Responding to concerns about the potential for increased risk of adverse cardiovascular outcomes, specifically myocardial infarction, associated with certain  glucose-lowering therapies, the US Food and Drug Administration and the Committee  for Medicinal Products for Human Use of the European Medicines Agency issued  guidance to the pharmaceutical industry in 2008. Glucose-lowering therapies were  granted regulatory approval primarily from smaller studies that have demonstrated  reductions in glycated hemoglobin concentration. Such studies were overall  underpowered and of insufficient duration to show any effect on cardiovascular  outcomes. The 2008 guidance aimed to ensure the cardiovascular safety of new  glucose-lowering therapies to treat patients with type 2 diabetes mellitus. This  resulted in a plethora of new cardiovascular outcome trials, most designed primarily  as placebo-controlled noninferiority trials, but with many also powered for  superiority. Several of these outcome trials demonstrated cardiovascular benefits of  the newer agents, resulting in the first-ever cardiovascular protection indications  for glucose-lowering therapies. Determining whether the guidance continues to have  value in its current form is critically important as we move forward after the first  decade of implementation. In February 2018, a think tank comprising representatives  from academia, industry, and regulatory agencies convened to consider the guidance  in light of the findings of the completed cardiovascular outcome trials. The group  made several recommendations for future regulatory guidance and for cardiovascular  outcome trials of glucose-lowering therapies. These recommendations include  requiring only the 1.3 noninferiority margin for regulatory approval, conducting  trials for longer durations, considering studying glucose-lowering therapies as  first-line management of type 2 diabetes mellitus, considering heart failure or  kidney outcomes within the primary outcome, considering head-to-head active  comparator trials, increasing the diversity of patients enrolled, evaluating  strategies to streamline registries and the study of unselected populations, and  identifying ways to improve translation of trial results to general practice.","container-title":"Circulation","DOI":"10.1161/CIRCULATIONAHA.119.041022","ISSN":"1524-4539 0009-7322","issue":"10","journalAbbreviation":"Circulation","language":"eng","note":"publisher-place: United States\nPMID: 31992065","page":"843-862","title":"Impact of Regulatory Guidance on Evaluating Cardiovascular Risk of New Glucose-Lowering Therapies to Treat Type 2 Diabetes Mellitus: Lessons Learned and  Future Directions.","volume":"141","author":[{"family":"Sharma","given":"Abhinav"},{"family":"Pagidipati","given":"Neha J."},{"family":"Califf","given":"Robert M."},{"family":"McGuire","given":"Darren K."},{"family":"Green","given":"Jennifer B."},{"family":"Demets","given":"Dave"},{"family":"George","given":"Jyothis Thomas"},{"family":"Gerstein","given":"Hertzel C."},{"family":"Hobbs","given":"Todd"},{"family":"Holman","given":"Rury R."},{"family":"Lawson","given":"Francesca C."},{"family":"Leiter","given":"Lawrence A."},{"family":"Pfeffer","given":"Marc A."},{"family":"Reusch","given":"Jane"},{"family":"Riesmeyer","given":"Jeffrey S."},{"family":"Roe","given":"Matthew T."},{"family":"Rosenberg","given":"Yves"},{"family":"Temple","given":"Robert"},{"family":"Wiviott","given":"Stephen"},{"family":"McMurray","given":"John"},{"family":"Granger","given":"Christopher"}],"issued":{"date-parts":[["2020",3,10]]}}},{"id":171,"uris":["http://zotero.org/users/local/XzHhEqW9/items/9EMY9KYU"],"uri":["http://zotero.org/users/local/XzHhEqW9/items/9EMY9KYU"],"itemData":{"id":171,"type":"article-journal","abstract":"In 2008, the US Food and Drug Administration (FDA) issued guidance on the need for cardiovascular outcome trials to assess the safety of new diabetes medications.  Using two large commercial databases, we evaluated the effect of the FDA's  cardiovascular safety guidance on drug development for type 2 diabetes as well as a  comparison group of drugs intended to treat other alimentary and metabolic  conditions. The FDA's guidance was associated with a 31% differential decrease in  the rate of diabetes drugs entering phase II trials, but the remaining drugs were  significantly more likely to target novel biological pathways (72% of drugs had  novel mechanisms after the guidance vs. 49% before the guidance). No differential  changes were observed for phase I and phase III trials. There was no measurable  improvement during the study period in glycemic efficacy among investigational  products entering phase III trials. This research highlights how regulatory actions  can impact pharmaceutical innovation.","container-title":"Clinical pharmacology and therapeutics","DOI":"10.1002/cpt.705","ISSN":"1532-6535 0009-9236","issue":"2","journalAbbreviation":"Clin Pharmacol Ther","language":"eng","note":"publisher-place: United States\nPMID: 28390139","page":"290-296","title":"Effect of US Food and Drug Administration's Cardiovascular Safety Guidance on Diabetes Drug Development.","volume":"102","author":[{"family":"Hwang","given":"T. J."},{"family":"Franklin","given":"J. M."},{"family":"Kesselheim","given":"A. S."}],"issued":{"date-parts":[["2017",8]]}}}],"schema":"https://github.com/citation-style-language/schema/raw/master/csl-citation.json"} </w:instrText>
      </w:r>
      <w:r w:rsidRPr="0093332C">
        <w:fldChar w:fldCharType="separate"/>
      </w:r>
      <w:r w:rsidR="001D2160" w:rsidRPr="0093332C">
        <w:t>[53,54]</w:t>
      </w:r>
      <w:r w:rsidRPr="0093332C">
        <w:fldChar w:fldCharType="end"/>
      </w:r>
      <w:r w:rsidRPr="0093332C">
        <w:t xml:space="preserve">  </w:t>
      </w:r>
    </w:p>
    <w:p w14:paraId="6DD332DC" w14:textId="77777777" w:rsidR="00D222D6" w:rsidRPr="0093332C" w:rsidRDefault="00D222D6" w:rsidP="009A6605">
      <w:pPr>
        <w:autoSpaceDE w:val="0"/>
        <w:autoSpaceDN w:val="0"/>
        <w:adjustRightInd w:val="0"/>
        <w:spacing w:line="360" w:lineRule="auto"/>
      </w:pPr>
    </w:p>
    <w:p w14:paraId="59B9A77C" w14:textId="7E4FA057" w:rsidR="0022411C" w:rsidRPr="0093332C" w:rsidRDefault="0022411C" w:rsidP="006A4EF1">
      <w:pPr>
        <w:autoSpaceDE w:val="0"/>
        <w:autoSpaceDN w:val="0"/>
        <w:adjustRightInd w:val="0"/>
        <w:spacing w:line="360" w:lineRule="auto"/>
      </w:pPr>
      <w:bookmarkStart w:id="1" w:name="_Hlk76474441"/>
      <w:r w:rsidRPr="0093332C">
        <w:t xml:space="preserve">Greater involvement of patients (and organisations representing patients) </w:t>
      </w:r>
      <w:r w:rsidR="00751B99" w:rsidRPr="0093332C">
        <w:t xml:space="preserve">in regulatory and HTA processes </w:t>
      </w:r>
      <w:r w:rsidRPr="0093332C">
        <w:t xml:space="preserve">is also essential to ensure that </w:t>
      </w:r>
      <w:r w:rsidR="00E41B0A" w:rsidRPr="0093332C">
        <w:t xml:space="preserve">the conditions for accepting surrogate endpoints for decision-making are adequately met. When using such endpoints is justified, patients can help ensure </w:t>
      </w:r>
      <w:r w:rsidR="00E41B0A" w:rsidRPr="0093332C">
        <w:lastRenderedPageBreak/>
        <w:t xml:space="preserve">that uncertainty </w:t>
      </w:r>
      <w:r w:rsidRPr="0093332C">
        <w:t>related to surrogate</w:t>
      </w:r>
      <w:r w:rsidR="00E41B0A" w:rsidRPr="0093332C">
        <w:t xml:space="preserve">s </w:t>
      </w:r>
      <w:r w:rsidRPr="0093332C">
        <w:t xml:space="preserve">is explicitly </w:t>
      </w:r>
      <w:r w:rsidR="00751B99" w:rsidRPr="0093332C">
        <w:t>presented</w:t>
      </w:r>
      <w:r w:rsidRPr="0093332C">
        <w:t xml:space="preserve"> and </w:t>
      </w:r>
      <w:r w:rsidR="00751B99" w:rsidRPr="0093332C">
        <w:t>taken into account</w:t>
      </w:r>
      <w:r w:rsidRPr="0093332C">
        <w:t>. Patient input</w:t>
      </w:r>
      <w:r w:rsidR="00B37EDA" w:rsidRPr="0093332C">
        <w:t xml:space="preserve"> </w:t>
      </w:r>
      <w:r w:rsidRPr="0093332C">
        <w:t xml:space="preserve">can </w:t>
      </w:r>
      <w:r w:rsidR="00111919" w:rsidRPr="0093332C">
        <w:t xml:space="preserve">also </w:t>
      </w:r>
      <w:r w:rsidR="00751B99" w:rsidRPr="0093332C">
        <w:t>help</w:t>
      </w:r>
      <w:r w:rsidRPr="0093332C">
        <w:t xml:space="preserve"> </w:t>
      </w:r>
      <w:r w:rsidR="001B697E" w:rsidRPr="0093332C">
        <w:t xml:space="preserve">guide regulatory and HTA decisions regarding the </w:t>
      </w:r>
      <w:r w:rsidR="00751B99" w:rsidRPr="0093332C">
        <w:t xml:space="preserve">appropriate </w:t>
      </w:r>
      <w:r w:rsidR="001B697E" w:rsidRPr="0093332C">
        <w:t xml:space="preserve">use of surrogate endpoints. </w:t>
      </w:r>
      <w:r w:rsidR="00B37EDA" w:rsidRPr="0093332C">
        <w:t xml:space="preserve"> </w:t>
      </w:r>
    </w:p>
    <w:bookmarkEnd w:id="1"/>
    <w:p w14:paraId="4424445A" w14:textId="12C98C0E" w:rsidR="00C5776A" w:rsidRPr="0093332C" w:rsidRDefault="00C5776A" w:rsidP="005D696F">
      <w:pPr>
        <w:spacing w:line="360" w:lineRule="auto"/>
      </w:pPr>
    </w:p>
    <w:p w14:paraId="50E93E4D" w14:textId="27D09BC2" w:rsidR="00080649" w:rsidRPr="0093332C" w:rsidRDefault="00080649" w:rsidP="005D696F">
      <w:pPr>
        <w:spacing w:line="360" w:lineRule="auto"/>
        <w:rPr>
          <w:bCs/>
        </w:rPr>
      </w:pPr>
      <w:r w:rsidRPr="0093332C">
        <w:rPr>
          <w:b/>
        </w:rPr>
        <w:t>Key messages</w:t>
      </w:r>
    </w:p>
    <w:p w14:paraId="23E8723F" w14:textId="477F5FA5" w:rsidR="00321EDE" w:rsidRPr="0093332C" w:rsidRDefault="00321EDE" w:rsidP="00405EAA">
      <w:pPr>
        <w:pStyle w:val="ListParagraph"/>
        <w:numPr>
          <w:ilvl w:val="0"/>
          <w:numId w:val="18"/>
        </w:numPr>
        <w:spacing w:line="360" w:lineRule="auto"/>
        <w:rPr>
          <w:bCs/>
        </w:rPr>
      </w:pPr>
      <w:r w:rsidRPr="0093332C">
        <w:rPr>
          <w:bCs/>
        </w:rPr>
        <w:t xml:space="preserve">Surrogate endpoints are widely used </w:t>
      </w:r>
      <w:r w:rsidR="00946F14" w:rsidRPr="0093332C">
        <w:rPr>
          <w:bCs/>
        </w:rPr>
        <w:t>by regulators</w:t>
      </w:r>
      <w:r w:rsidRPr="0093332C">
        <w:rPr>
          <w:bCs/>
        </w:rPr>
        <w:t xml:space="preserve"> </w:t>
      </w:r>
      <w:r w:rsidR="00946F14" w:rsidRPr="0093332C">
        <w:rPr>
          <w:bCs/>
        </w:rPr>
        <w:t>to expedite the approval of new drugs</w:t>
      </w:r>
      <w:r w:rsidRPr="0093332C">
        <w:rPr>
          <w:bCs/>
        </w:rPr>
        <w:t xml:space="preserve">, but </w:t>
      </w:r>
      <w:r w:rsidR="00DC2791" w:rsidRPr="0093332C">
        <w:rPr>
          <w:bCs/>
        </w:rPr>
        <w:t xml:space="preserve">most surrogate endpoints are not </w:t>
      </w:r>
      <w:r w:rsidR="00AE76C3" w:rsidRPr="0093332C">
        <w:rPr>
          <w:bCs/>
        </w:rPr>
        <w:t xml:space="preserve">shown to be </w:t>
      </w:r>
      <w:r w:rsidR="00DC2791" w:rsidRPr="0093332C">
        <w:rPr>
          <w:bCs/>
        </w:rPr>
        <w:t>reliable predictors of outcomes that matter most to patients</w:t>
      </w:r>
      <w:r w:rsidRPr="0093332C">
        <w:rPr>
          <w:bCs/>
        </w:rPr>
        <w:t xml:space="preserve">. </w:t>
      </w:r>
    </w:p>
    <w:p w14:paraId="0202526E" w14:textId="3FBB78C9" w:rsidR="00AA198E" w:rsidRPr="0093332C" w:rsidRDefault="00265D5B" w:rsidP="00405EAA">
      <w:pPr>
        <w:pStyle w:val="ListParagraph"/>
        <w:numPr>
          <w:ilvl w:val="0"/>
          <w:numId w:val="18"/>
        </w:numPr>
        <w:spacing w:line="360" w:lineRule="auto"/>
        <w:rPr>
          <w:bCs/>
        </w:rPr>
      </w:pPr>
      <w:r w:rsidRPr="0093332C">
        <w:rPr>
          <w:bCs/>
        </w:rPr>
        <w:t xml:space="preserve">Regulators should </w:t>
      </w:r>
      <w:r w:rsidR="00DC2791" w:rsidRPr="0093332C">
        <w:rPr>
          <w:bCs/>
        </w:rPr>
        <w:t>only accept</w:t>
      </w:r>
      <w:r w:rsidRPr="0093332C">
        <w:rPr>
          <w:bCs/>
        </w:rPr>
        <w:t xml:space="preserve"> surrogate endpoints </w:t>
      </w:r>
      <w:r w:rsidR="00DC2791" w:rsidRPr="0093332C">
        <w:rPr>
          <w:bCs/>
        </w:rPr>
        <w:t xml:space="preserve">when generating data on clinical outcomes is not </w:t>
      </w:r>
      <w:r w:rsidR="00980DCA" w:rsidRPr="0093332C">
        <w:rPr>
          <w:bCs/>
        </w:rPr>
        <w:t>attainable</w:t>
      </w:r>
      <w:r w:rsidR="00DC2791" w:rsidRPr="0093332C">
        <w:rPr>
          <w:bCs/>
        </w:rPr>
        <w:t xml:space="preserve">. </w:t>
      </w:r>
    </w:p>
    <w:p w14:paraId="439C2C0D" w14:textId="3E176432" w:rsidR="001B697E" w:rsidRPr="0093332C" w:rsidRDefault="001B697E" w:rsidP="00405EAA">
      <w:pPr>
        <w:pStyle w:val="ListParagraph"/>
        <w:numPr>
          <w:ilvl w:val="0"/>
          <w:numId w:val="18"/>
        </w:numPr>
        <w:spacing w:line="360" w:lineRule="auto"/>
        <w:rPr>
          <w:bCs/>
        </w:rPr>
      </w:pPr>
      <w:r w:rsidRPr="0093332C">
        <w:rPr>
          <w:bCs/>
        </w:rPr>
        <w:t xml:space="preserve">When </w:t>
      </w:r>
      <w:r w:rsidR="00980DCA" w:rsidRPr="0093332C">
        <w:rPr>
          <w:bCs/>
        </w:rPr>
        <w:t xml:space="preserve">directly </w:t>
      </w:r>
      <w:r w:rsidR="007E379C" w:rsidRPr="0093332C">
        <w:rPr>
          <w:bCs/>
        </w:rPr>
        <w:t xml:space="preserve">measuring drug effects on </w:t>
      </w:r>
      <w:r w:rsidR="00111919" w:rsidRPr="0093332C">
        <w:rPr>
          <w:bCs/>
        </w:rPr>
        <w:t xml:space="preserve">patient-relevant </w:t>
      </w:r>
      <w:r w:rsidRPr="0093332C">
        <w:rPr>
          <w:bCs/>
        </w:rPr>
        <w:t xml:space="preserve">clinical outcomes </w:t>
      </w:r>
      <w:r w:rsidR="00DC2791" w:rsidRPr="0093332C">
        <w:rPr>
          <w:bCs/>
        </w:rPr>
        <w:t>would require trials</w:t>
      </w:r>
      <w:r w:rsidR="00980DCA" w:rsidRPr="0093332C">
        <w:rPr>
          <w:bCs/>
        </w:rPr>
        <w:t xml:space="preserve"> of </w:t>
      </w:r>
      <w:r w:rsidR="00111919" w:rsidRPr="0093332C">
        <w:rPr>
          <w:bCs/>
        </w:rPr>
        <w:t>very substantial</w:t>
      </w:r>
      <w:r w:rsidR="00980DCA" w:rsidRPr="0093332C">
        <w:rPr>
          <w:bCs/>
        </w:rPr>
        <w:t xml:space="preserve"> duration</w:t>
      </w:r>
      <w:r w:rsidRPr="0093332C">
        <w:rPr>
          <w:bCs/>
        </w:rPr>
        <w:t xml:space="preserve">, regulators and </w:t>
      </w:r>
      <w:r w:rsidR="00AA198E" w:rsidRPr="0093332C">
        <w:rPr>
          <w:bCs/>
        </w:rPr>
        <w:t>health technology assessment</w:t>
      </w:r>
      <w:r w:rsidRPr="0093332C">
        <w:rPr>
          <w:bCs/>
        </w:rPr>
        <w:t xml:space="preserve"> bodies should </w:t>
      </w:r>
      <w:r w:rsidR="007E379C" w:rsidRPr="0093332C">
        <w:rPr>
          <w:bCs/>
        </w:rPr>
        <w:t xml:space="preserve">systematically </w:t>
      </w:r>
      <w:r w:rsidRPr="0093332C">
        <w:rPr>
          <w:bCs/>
        </w:rPr>
        <w:t xml:space="preserve">evaluate </w:t>
      </w:r>
      <w:r w:rsidR="00DC2791" w:rsidRPr="0093332C">
        <w:rPr>
          <w:bCs/>
        </w:rPr>
        <w:t xml:space="preserve">the </w:t>
      </w:r>
      <w:r w:rsidR="00BD1940" w:rsidRPr="0093332C">
        <w:rPr>
          <w:bCs/>
        </w:rPr>
        <w:t>appropriateness</w:t>
      </w:r>
      <w:r w:rsidR="00DC2791" w:rsidRPr="0093332C">
        <w:rPr>
          <w:bCs/>
        </w:rPr>
        <w:t xml:space="preserve"> of </w:t>
      </w:r>
      <w:r w:rsidRPr="0093332C">
        <w:rPr>
          <w:bCs/>
        </w:rPr>
        <w:t>surrogate endpoints</w:t>
      </w:r>
      <w:r w:rsidR="007E379C" w:rsidRPr="0093332C">
        <w:rPr>
          <w:bCs/>
        </w:rPr>
        <w:t xml:space="preserve"> using </w:t>
      </w:r>
      <w:r w:rsidR="00980DCA" w:rsidRPr="0093332C">
        <w:rPr>
          <w:bCs/>
        </w:rPr>
        <w:t xml:space="preserve">up to date </w:t>
      </w:r>
      <w:r w:rsidR="007E379C" w:rsidRPr="0093332C">
        <w:rPr>
          <w:bCs/>
        </w:rPr>
        <w:t>meta-analysis methods</w:t>
      </w:r>
      <w:r w:rsidRPr="0093332C">
        <w:rPr>
          <w:bCs/>
        </w:rPr>
        <w:t>.</w:t>
      </w:r>
      <w:r w:rsidR="00AA198E" w:rsidRPr="0093332C">
        <w:rPr>
          <w:bCs/>
        </w:rPr>
        <w:t xml:space="preserve"> </w:t>
      </w:r>
    </w:p>
    <w:p w14:paraId="01F55374" w14:textId="77777777" w:rsidR="00321EDE" w:rsidRDefault="00321EDE" w:rsidP="00923199">
      <w:pPr>
        <w:spacing w:line="480" w:lineRule="auto"/>
        <w:rPr>
          <w:b/>
        </w:rPr>
      </w:pPr>
    </w:p>
    <w:p w14:paraId="57109D65" w14:textId="2EFCC53A" w:rsidR="00BE1454" w:rsidRDefault="00BE1454" w:rsidP="005D696F">
      <w:pPr>
        <w:spacing w:line="360" w:lineRule="auto"/>
        <w:rPr>
          <w:b/>
        </w:rPr>
      </w:pPr>
      <w:r w:rsidRPr="00BE1454">
        <w:rPr>
          <w:b/>
        </w:rPr>
        <w:t>Acknowledgments</w:t>
      </w:r>
    </w:p>
    <w:p w14:paraId="3DC06089" w14:textId="7F5D0591" w:rsidR="009E0EF5" w:rsidRPr="001D7CE6" w:rsidRDefault="001D7CE6" w:rsidP="005D696F">
      <w:pPr>
        <w:spacing w:line="360" w:lineRule="auto"/>
        <w:rPr>
          <w:bCs/>
        </w:rPr>
      </w:pPr>
      <w:r>
        <w:rPr>
          <w:bCs/>
        </w:rPr>
        <w:t>OC</w:t>
      </w:r>
      <w:r w:rsidRPr="001D7CE6">
        <w:rPr>
          <w:bCs/>
        </w:rPr>
        <w:t xml:space="preserve"> received funding from the European Union’s</w:t>
      </w:r>
      <w:r>
        <w:rPr>
          <w:bCs/>
        </w:rPr>
        <w:t xml:space="preserve"> </w:t>
      </w:r>
      <w:r w:rsidRPr="001D7CE6">
        <w:rPr>
          <w:bCs/>
        </w:rPr>
        <w:t>Horizon 2020 research and innovation programme under grant agreement</w:t>
      </w:r>
      <w:r>
        <w:rPr>
          <w:bCs/>
        </w:rPr>
        <w:t xml:space="preserve"> </w:t>
      </w:r>
      <w:r w:rsidRPr="001D7CE6">
        <w:rPr>
          <w:bCs/>
        </w:rPr>
        <w:t>#779306 (COMED—Pushing the Boundaries of Cost and Outcome</w:t>
      </w:r>
      <w:r>
        <w:rPr>
          <w:bCs/>
        </w:rPr>
        <w:t xml:space="preserve"> </w:t>
      </w:r>
      <w:r w:rsidRPr="001D7CE6">
        <w:rPr>
          <w:bCs/>
        </w:rPr>
        <w:t xml:space="preserve">Analysis of Medical Technologies). </w:t>
      </w:r>
      <w:r w:rsidR="00946F14">
        <w:rPr>
          <w:bCs/>
        </w:rPr>
        <w:t>Issues discussed in this paper</w:t>
      </w:r>
      <w:r w:rsidRPr="001D7CE6">
        <w:rPr>
          <w:bCs/>
        </w:rPr>
        <w:t xml:space="preserve"> reflect only the</w:t>
      </w:r>
      <w:r>
        <w:rPr>
          <w:bCs/>
        </w:rPr>
        <w:t xml:space="preserve"> </w:t>
      </w:r>
      <w:r w:rsidRPr="001D7CE6">
        <w:rPr>
          <w:bCs/>
        </w:rPr>
        <w:t>author</w:t>
      </w:r>
      <w:r>
        <w:rPr>
          <w:bCs/>
        </w:rPr>
        <w:t>’</w:t>
      </w:r>
      <w:r w:rsidRPr="001D7CE6">
        <w:rPr>
          <w:bCs/>
        </w:rPr>
        <w:t>s views, and the EU is not responsible for any use that may be</w:t>
      </w:r>
      <w:r>
        <w:rPr>
          <w:bCs/>
        </w:rPr>
        <w:t xml:space="preserve"> </w:t>
      </w:r>
      <w:r w:rsidRPr="001D7CE6">
        <w:rPr>
          <w:bCs/>
        </w:rPr>
        <w:t>made of the information it contains.</w:t>
      </w:r>
      <w:r w:rsidR="009E0EF5">
        <w:rPr>
          <w:bCs/>
        </w:rPr>
        <w:t xml:space="preserve"> SB was supported by </w:t>
      </w:r>
      <w:r w:rsidR="00E80F1F">
        <w:rPr>
          <w:bCs/>
        </w:rPr>
        <w:t xml:space="preserve">the </w:t>
      </w:r>
      <w:r w:rsidR="009E0EF5">
        <w:rPr>
          <w:bCs/>
        </w:rPr>
        <w:t xml:space="preserve">Medical Research Council </w:t>
      </w:r>
      <w:r w:rsidR="00E80F1F">
        <w:rPr>
          <w:bCs/>
        </w:rPr>
        <w:t>through the M</w:t>
      </w:r>
      <w:r w:rsidR="009E0EF5">
        <w:rPr>
          <w:bCs/>
        </w:rPr>
        <w:t xml:space="preserve">ethodology </w:t>
      </w:r>
      <w:r w:rsidR="00E80F1F">
        <w:rPr>
          <w:bCs/>
        </w:rPr>
        <w:t>R</w:t>
      </w:r>
      <w:r w:rsidR="009E0EF5">
        <w:rPr>
          <w:bCs/>
        </w:rPr>
        <w:t xml:space="preserve">esearch </w:t>
      </w:r>
      <w:r w:rsidR="00644BE6">
        <w:rPr>
          <w:bCs/>
        </w:rPr>
        <w:t xml:space="preserve">Panel </w:t>
      </w:r>
      <w:r w:rsidR="009E0EF5">
        <w:rPr>
          <w:bCs/>
        </w:rPr>
        <w:t xml:space="preserve">grants </w:t>
      </w:r>
      <w:r w:rsidR="009E0EF5" w:rsidRPr="009E0EF5">
        <w:rPr>
          <w:bCs/>
        </w:rPr>
        <w:t>MR/L009854/1 and MR/T025166/1</w:t>
      </w:r>
      <w:r w:rsidR="009E0EF5">
        <w:rPr>
          <w:bCs/>
        </w:rPr>
        <w:t xml:space="preserve">. </w:t>
      </w:r>
    </w:p>
    <w:p w14:paraId="1F50905D" w14:textId="77777777" w:rsidR="00A51567" w:rsidRDefault="00A51567" w:rsidP="005D696F">
      <w:pPr>
        <w:spacing w:line="360" w:lineRule="auto"/>
        <w:rPr>
          <w:b/>
        </w:rPr>
      </w:pPr>
    </w:p>
    <w:p w14:paraId="4F17DECA" w14:textId="2EEB98C5" w:rsidR="00BE1454" w:rsidRDefault="00BE1454" w:rsidP="005D696F">
      <w:pPr>
        <w:spacing w:line="360" w:lineRule="auto"/>
        <w:rPr>
          <w:b/>
        </w:rPr>
      </w:pPr>
      <w:r>
        <w:rPr>
          <w:b/>
        </w:rPr>
        <w:t>Footnotes</w:t>
      </w:r>
    </w:p>
    <w:p w14:paraId="22DDCE38" w14:textId="5ABD27DD" w:rsidR="00BE1454" w:rsidRDefault="00BE1454" w:rsidP="005D696F">
      <w:pPr>
        <w:spacing w:line="360" w:lineRule="auto"/>
        <w:rPr>
          <w:bCs/>
        </w:rPr>
      </w:pPr>
      <w:r w:rsidRPr="00BE1454">
        <w:rPr>
          <w:b/>
        </w:rPr>
        <w:t xml:space="preserve">Contributors and sources: </w:t>
      </w:r>
      <w:r w:rsidR="00B8129E">
        <w:rPr>
          <w:bCs/>
        </w:rPr>
        <w:t xml:space="preserve">DD </w:t>
      </w:r>
      <w:proofErr w:type="gramStart"/>
      <w:r w:rsidR="00B8129E">
        <w:rPr>
          <w:bCs/>
        </w:rPr>
        <w:t>is</w:t>
      </w:r>
      <w:proofErr w:type="gramEnd"/>
      <w:r w:rsidR="00B8129E">
        <w:rPr>
          <w:bCs/>
        </w:rPr>
        <w:t xml:space="preserve"> an expert on health technology assessment methods research </w:t>
      </w:r>
      <w:r w:rsidR="001B697E">
        <w:rPr>
          <w:bCs/>
        </w:rPr>
        <w:t xml:space="preserve">and </w:t>
      </w:r>
      <w:r w:rsidR="00183020">
        <w:rPr>
          <w:bCs/>
        </w:rPr>
        <w:t>has been</w:t>
      </w:r>
      <w:r w:rsidR="001B697E">
        <w:rPr>
          <w:bCs/>
        </w:rPr>
        <w:t xml:space="preserve"> involved in the </w:t>
      </w:r>
      <w:r w:rsidR="004A295D">
        <w:rPr>
          <w:bCs/>
        </w:rPr>
        <w:t>ongoing</w:t>
      </w:r>
      <w:r w:rsidR="00AA198E">
        <w:rPr>
          <w:bCs/>
        </w:rPr>
        <w:t xml:space="preserve"> </w:t>
      </w:r>
      <w:r w:rsidR="001B697E">
        <w:rPr>
          <w:bCs/>
        </w:rPr>
        <w:t xml:space="preserve">update of NICE’s </w:t>
      </w:r>
      <w:r w:rsidR="00B8129E">
        <w:rPr>
          <w:bCs/>
        </w:rPr>
        <w:t xml:space="preserve">health technology evaluation </w:t>
      </w:r>
      <w:r w:rsidR="001B697E">
        <w:rPr>
          <w:bCs/>
        </w:rPr>
        <w:t xml:space="preserve">methods. HN’s research </w:t>
      </w:r>
      <w:r w:rsidR="00AA198E">
        <w:rPr>
          <w:bCs/>
        </w:rPr>
        <w:t>examines the evidence supporting regulatory decisions on drugs in the US and Europe</w:t>
      </w:r>
      <w:r w:rsidR="001B697E">
        <w:rPr>
          <w:bCs/>
        </w:rPr>
        <w:t>. OC</w:t>
      </w:r>
      <w:r w:rsidR="00AA198E">
        <w:rPr>
          <w:bCs/>
        </w:rPr>
        <w:t xml:space="preserve"> </w:t>
      </w:r>
      <w:r w:rsidR="001B697E">
        <w:rPr>
          <w:bCs/>
        </w:rPr>
        <w:t>has written extensively on the role of surrogate endpoints in health care policy</w:t>
      </w:r>
      <w:r w:rsidR="00106FCF">
        <w:rPr>
          <w:bCs/>
        </w:rPr>
        <w:t xml:space="preserve"> and cost-effectiveness models</w:t>
      </w:r>
      <w:r w:rsidR="001B697E">
        <w:rPr>
          <w:bCs/>
        </w:rPr>
        <w:t>.</w:t>
      </w:r>
      <w:r w:rsidR="00AA198E">
        <w:rPr>
          <w:bCs/>
        </w:rPr>
        <w:t xml:space="preserve"> She previously contributed to the development of surrogate validation frameworks.</w:t>
      </w:r>
      <w:r w:rsidR="001B697E">
        <w:rPr>
          <w:bCs/>
        </w:rPr>
        <w:t xml:space="preserve"> SB</w:t>
      </w:r>
      <w:r w:rsidR="00AA198E">
        <w:rPr>
          <w:bCs/>
        </w:rPr>
        <w:t xml:space="preserve">’s expertise is in </w:t>
      </w:r>
      <w:r w:rsidR="0055376A">
        <w:rPr>
          <w:bCs/>
        </w:rPr>
        <w:t>Bayesian evidence synthesis methods</w:t>
      </w:r>
      <w:r w:rsidR="00AA198E">
        <w:rPr>
          <w:bCs/>
        </w:rPr>
        <w:t xml:space="preserve">. She has </w:t>
      </w:r>
      <w:r w:rsidR="001B697E">
        <w:rPr>
          <w:bCs/>
        </w:rPr>
        <w:t xml:space="preserve">developed novel methods </w:t>
      </w:r>
      <w:r w:rsidR="0055376A">
        <w:rPr>
          <w:bCs/>
        </w:rPr>
        <w:t>for</w:t>
      </w:r>
      <w:r w:rsidR="001B697E">
        <w:rPr>
          <w:bCs/>
        </w:rPr>
        <w:t xml:space="preserve"> </w:t>
      </w:r>
      <w:r w:rsidR="0055376A">
        <w:rPr>
          <w:bCs/>
        </w:rPr>
        <w:t>modelling</w:t>
      </w:r>
      <w:r w:rsidR="001B697E">
        <w:rPr>
          <w:bCs/>
        </w:rPr>
        <w:t xml:space="preserve"> surrogate endpoints</w:t>
      </w:r>
      <w:r w:rsidR="00AA198E">
        <w:rPr>
          <w:bCs/>
        </w:rPr>
        <w:t>, which are</w:t>
      </w:r>
      <w:r w:rsidR="004A295D">
        <w:rPr>
          <w:bCs/>
        </w:rPr>
        <w:t xml:space="preserve"> proposed to be</w:t>
      </w:r>
      <w:r w:rsidR="00AA198E">
        <w:rPr>
          <w:bCs/>
        </w:rPr>
        <w:t xml:space="preserve"> included NICE’s </w:t>
      </w:r>
      <w:r w:rsidR="00183020">
        <w:rPr>
          <w:bCs/>
        </w:rPr>
        <w:t>update of its</w:t>
      </w:r>
      <w:r w:rsidR="00AA198E">
        <w:rPr>
          <w:bCs/>
        </w:rPr>
        <w:t xml:space="preserve"> methods guide</w:t>
      </w:r>
      <w:r w:rsidR="001B697E">
        <w:rPr>
          <w:bCs/>
        </w:rPr>
        <w:t xml:space="preserve">. </w:t>
      </w:r>
      <w:r w:rsidR="001B697E" w:rsidRPr="00183020">
        <w:rPr>
          <w:bCs/>
        </w:rPr>
        <w:t xml:space="preserve"> </w:t>
      </w:r>
      <w:r w:rsidRPr="00BE1454">
        <w:rPr>
          <w:bCs/>
        </w:rPr>
        <w:t xml:space="preserve">HN devised the idea for this article. </w:t>
      </w:r>
      <w:r w:rsidR="00A51567">
        <w:rPr>
          <w:bCs/>
        </w:rPr>
        <w:t>All</w:t>
      </w:r>
      <w:r>
        <w:rPr>
          <w:bCs/>
        </w:rPr>
        <w:t xml:space="preserve"> </w:t>
      </w:r>
      <w:r w:rsidRPr="00BE1454">
        <w:rPr>
          <w:bCs/>
        </w:rPr>
        <w:t xml:space="preserve">authors contributed </w:t>
      </w:r>
      <w:r>
        <w:rPr>
          <w:bCs/>
        </w:rPr>
        <w:t>to</w:t>
      </w:r>
      <w:r w:rsidRPr="00BE1454">
        <w:rPr>
          <w:bCs/>
        </w:rPr>
        <w:t xml:space="preserve"> </w:t>
      </w:r>
      <w:r>
        <w:rPr>
          <w:bCs/>
        </w:rPr>
        <w:t xml:space="preserve">developing the </w:t>
      </w:r>
      <w:r w:rsidRPr="00BE1454">
        <w:rPr>
          <w:bCs/>
        </w:rPr>
        <w:t xml:space="preserve">first draft </w:t>
      </w:r>
      <w:r>
        <w:rPr>
          <w:bCs/>
        </w:rPr>
        <w:t>and</w:t>
      </w:r>
      <w:r w:rsidRPr="00BE1454">
        <w:rPr>
          <w:bCs/>
        </w:rPr>
        <w:t xml:space="preserve"> writing of subsequent versions. DD is the guarantor.</w:t>
      </w:r>
    </w:p>
    <w:p w14:paraId="0F9555FD" w14:textId="77777777" w:rsidR="00BE1454" w:rsidRDefault="00BE1454" w:rsidP="005D696F">
      <w:pPr>
        <w:spacing w:line="360" w:lineRule="auto"/>
        <w:rPr>
          <w:b/>
        </w:rPr>
      </w:pPr>
    </w:p>
    <w:p w14:paraId="13620729" w14:textId="25AF2AD8" w:rsidR="00BE1454" w:rsidRPr="00BE1454" w:rsidRDefault="00BE1454" w:rsidP="0055376A">
      <w:pPr>
        <w:autoSpaceDE w:val="0"/>
        <w:autoSpaceDN w:val="0"/>
        <w:adjustRightInd w:val="0"/>
        <w:spacing w:line="360" w:lineRule="auto"/>
        <w:rPr>
          <w:bCs/>
        </w:rPr>
      </w:pPr>
      <w:r w:rsidRPr="00BE1454">
        <w:rPr>
          <w:b/>
        </w:rPr>
        <w:lastRenderedPageBreak/>
        <w:t>Competing interests</w:t>
      </w:r>
      <w:r>
        <w:rPr>
          <w:b/>
        </w:rPr>
        <w:t xml:space="preserve">: </w:t>
      </w:r>
      <w:r>
        <w:rPr>
          <w:bCs/>
        </w:rPr>
        <w:t>DD is an employee of NICE</w:t>
      </w:r>
      <w:r w:rsidR="00160BCB">
        <w:rPr>
          <w:bCs/>
        </w:rPr>
        <w:t xml:space="preserve">. </w:t>
      </w:r>
      <w:r w:rsidR="00B8129E">
        <w:rPr>
          <w:bCs/>
        </w:rPr>
        <w:t xml:space="preserve">The views expressed are those of DD and not those of NICE. </w:t>
      </w:r>
      <w:r w:rsidR="009E0EF5" w:rsidRPr="009E0EF5">
        <w:rPr>
          <w:bCs/>
        </w:rPr>
        <w:t xml:space="preserve">SB </w:t>
      </w:r>
      <w:r w:rsidR="00E212E6">
        <w:rPr>
          <w:bCs/>
        </w:rPr>
        <w:t>has served as a paid consultant</w:t>
      </w:r>
      <w:r w:rsidR="009E0EF5" w:rsidRPr="009E0EF5">
        <w:rPr>
          <w:bCs/>
        </w:rPr>
        <w:t xml:space="preserve"> </w:t>
      </w:r>
      <w:r w:rsidR="00E212E6">
        <w:rPr>
          <w:bCs/>
        </w:rPr>
        <w:t>providing methodological advice</w:t>
      </w:r>
      <w:r w:rsidR="009E0EF5" w:rsidRPr="009E0EF5">
        <w:rPr>
          <w:bCs/>
        </w:rPr>
        <w:t xml:space="preserve"> to NICE</w:t>
      </w:r>
      <w:r w:rsidR="007A1084">
        <w:rPr>
          <w:bCs/>
        </w:rPr>
        <w:t>,</w:t>
      </w:r>
      <w:r w:rsidR="009E0EF5" w:rsidRPr="009E0EF5">
        <w:rPr>
          <w:bCs/>
        </w:rPr>
        <w:t xml:space="preserve"> Roche</w:t>
      </w:r>
      <w:r w:rsidR="007A1084">
        <w:rPr>
          <w:bCs/>
        </w:rPr>
        <w:t xml:space="preserve"> and RTI Health Solutions</w:t>
      </w:r>
      <w:r w:rsidR="0055376A">
        <w:rPr>
          <w:bCs/>
        </w:rPr>
        <w:t xml:space="preserve">. SB </w:t>
      </w:r>
      <w:r w:rsidR="0055376A" w:rsidRPr="0055376A">
        <w:rPr>
          <w:bCs/>
        </w:rPr>
        <w:t xml:space="preserve">has </w:t>
      </w:r>
      <w:r w:rsidR="0055376A">
        <w:rPr>
          <w:bCs/>
        </w:rPr>
        <w:t xml:space="preserve">previously </w:t>
      </w:r>
      <w:r w:rsidR="0055376A" w:rsidRPr="0055376A">
        <w:rPr>
          <w:bCs/>
        </w:rPr>
        <w:t>received research funding from European Federation of</w:t>
      </w:r>
      <w:r w:rsidR="0055376A">
        <w:rPr>
          <w:bCs/>
        </w:rPr>
        <w:t xml:space="preserve"> </w:t>
      </w:r>
      <w:r w:rsidR="0055376A" w:rsidRPr="0055376A">
        <w:rPr>
          <w:bCs/>
        </w:rPr>
        <w:t>Pharmaceutical Industries &amp; Associations (EFPIA) a</w:t>
      </w:r>
      <w:r w:rsidR="0055376A">
        <w:rPr>
          <w:bCs/>
        </w:rPr>
        <w:t xml:space="preserve">s part of unrelated European Union IMI </w:t>
      </w:r>
      <w:proofErr w:type="spellStart"/>
      <w:r w:rsidR="0055376A">
        <w:rPr>
          <w:bCs/>
        </w:rPr>
        <w:t>GetReal</w:t>
      </w:r>
      <w:proofErr w:type="spellEnd"/>
      <w:r w:rsidR="0055376A">
        <w:rPr>
          <w:bCs/>
        </w:rPr>
        <w:t xml:space="preserve"> project</w:t>
      </w:r>
      <w:r w:rsidR="009E0EF5" w:rsidRPr="009E0EF5">
        <w:rPr>
          <w:bCs/>
        </w:rPr>
        <w:t>.</w:t>
      </w:r>
      <w:r w:rsidR="00946F14">
        <w:rPr>
          <w:bCs/>
        </w:rPr>
        <w:t xml:space="preserve"> HN previously received funding from the Pharmaceutical Group of the European Union for an unrelated systematic review on community pharmacists. HN currently receives funding from the Health Foundation on an unrelated project on pharmaceutical policy. </w:t>
      </w:r>
    </w:p>
    <w:p w14:paraId="1CE82E14" w14:textId="77777777" w:rsidR="000B3C41" w:rsidRDefault="000B3C41" w:rsidP="00AA198E">
      <w:pPr>
        <w:spacing w:line="360" w:lineRule="auto"/>
        <w:rPr>
          <w:b/>
        </w:rPr>
      </w:pPr>
    </w:p>
    <w:p w14:paraId="511ACBF6" w14:textId="500D1091" w:rsidR="001E364C" w:rsidRPr="000B3C41" w:rsidRDefault="000B3C41" w:rsidP="00AA198E">
      <w:pPr>
        <w:spacing w:line="360" w:lineRule="auto"/>
        <w:rPr>
          <w:b/>
        </w:rPr>
      </w:pPr>
      <w:r w:rsidRPr="000B3C41">
        <w:rPr>
          <w:b/>
        </w:rPr>
        <w:t>Licence for Publication</w:t>
      </w:r>
      <w:r>
        <w:br/>
        <w:t xml:space="preserve">The Corresponding Author has the right to grant on behalf of all authors and does grant on behalf of all authors, </w:t>
      </w:r>
      <w:r w:rsidR="00F50304">
        <w:t>a</w:t>
      </w:r>
      <w:r>
        <w:t xml:space="preserve"> </w:t>
      </w:r>
      <w:proofErr w:type="spellStart"/>
      <w:r>
        <w:t>non exclusive</w:t>
      </w:r>
      <w:proofErr w:type="spellEnd"/>
      <w:r>
        <w:t xml:space="preserve"> </w:t>
      </w:r>
      <w:r w:rsidR="00F50304">
        <w:t>licence</w:t>
      </w:r>
      <w:r>
        <w:t xml:space="preserve"> on a worldwide basis to the BMJ Publishing Group Ltd to permit this article (if accepted) to be published in BMJ and any other BMJPGL products and sublicences such use and exploit all subsidiary rights, as set out in our licence (</w:t>
      </w:r>
      <w:hyperlink r:id="rId9" w:history="1">
        <w:r>
          <w:rPr>
            <w:rStyle w:val="Hyperlink"/>
          </w:rPr>
          <w:t>http://group.bmj.com/products/journals/instructions-for-authors/licence-forms</w:t>
        </w:r>
      </w:hyperlink>
      <w:r>
        <w:t>).</w:t>
      </w:r>
      <w:r>
        <w:br/>
      </w:r>
      <w:r w:rsidR="001E364C" w:rsidRPr="000B3C41">
        <w:rPr>
          <w:b/>
        </w:rPr>
        <w:br w:type="page"/>
      </w:r>
    </w:p>
    <w:p w14:paraId="3F37011F" w14:textId="1B2E0FA4" w:rsidR="00CA1874" w:rsidRDefault="00FE6712">
      <w:pPr>
        <w:spacing w:line="480" w:lineRule="auto"/>
        <w:rPr>
          <w:b/>
        </w:rPr>
      </w:pPr>
      <w:r>
        <w:rPr>
          <w:b/>
        </w:rPr>
        <w:lastRenderedPageBreak/>
        <w:t>References</w:t>
      </w:r>
    </w:p>
    <w:p w14:paraId="23B8C4BE" w14:textId="77777777" w:rsidR="00357E42" w:rsidRDefault="003228C6" w:rsidP="00357E42">
      <w:pPr>
        <w:pStyle w:val="Bibliography"/>
      </w:pPr>
      <w:r>
        <w:rPr>
          <w:b/>
        </w:rPr>
        <w:fldChar w:fldCharType="begin"/>
      </w:r>
      <w:r w:rsidR="00251F2F">
        <w:rPr>
          <w:b/>
        </w:rPr>
        <w:instrText xml:space="preserve"> ADDIN ZOTERO_BIBL {"uncited":[],"omitted":[],"custom":[]} CSL_BIBLIOGRAPHY </w:instrText>
      </w:r>
      <w:r>
        <w:rPr>
          <w:b/>
        </w:rPr>
        <w:fldChar w:fldCharType="separate"/>
      </w:r>
      <w:r w:rsidR="00357E42">
        <w:t xml:space="preserve">1 </w:t>
      </w:r>
      <w:r w:rsidR="00357E42">
        <w:tab/>
        <w:t xml:space="preserve">Ackley SF, Zimmerman SC, Brenowitz WD, </w:t>
      </w:r>
      <w:r w:rsidR="00357E42">
        <w:rPr>
          <w:i/>
          <w:iCs/>
        </w:rPr>
        <w:t>et al.</w:t>
      </w:r>
      <w:r w:rsidR="00357E42">
        <w:t xml:space="preserve"> Effect of reductions in amyloid levels on cognitive change in randomized trials: instrumental variable meta-analysis. </w:t>
      </w:r>
      <w:r w:rsidR="00357E42">
        <w:rPr>
          <w:i/>
          <w:iCs/>
        </w:rPr>
        <w:t>BMJ</w:t>
      </w:r>
      <w:r w:rsidR="00357E42">
        <w:t xml:space="preserve"> 2021;</w:t>
      </w:r>
      <w:proofErr w:type="gramStart"/>
      <w:r w:rsidR="00357E42">
        <w:rPr>
          <w:b/>
          <w:bCs/>
        </w:rPr>
        <w:t>372</w:t>
      </w:r>
      <w:r w:rsidR="00357E42">
        <w:t>:n</w:t>
      </w:r>
      <w:proofErr w:type="gramEnd"/>
      <w:r w:rsidR="00357E42">
        <w:t>156. doi:10.1136/</w:t>
      </w:r>
      <w:proofErr w:type="gramStart"/>
      <w:r w:rsidR="00357E42">
        <w:t>bmj.n</w:t>
      </w:r>
      <w:proofErr w:type="gramEnd"/>
      <w:r w:rsidR="00357E42">
        <w:t>156</w:t>
      </w:r>
    </w:p>
    <w:p w14:paraId="026077E2" w14:textId="77777777" w:rsidR="00357E42" w:rsidRDefault="00357E42" w:rsidP="00357E42">
      <w:pPr>
        <w:pStyle w:val="Bibliography"/>
      </w:pPr>
      <w:r>
        <w:t xml:space="preserve">2 </w:t>
      </w:r>
      <w:r>
        <w:tab/>
        <w:t xml:space="preserve">Alexander GC, Emerson S, Kesselheim AS. Evaluation of Aducanumab for Alzheimer Disease: Scientific Evidence and Regulatory Review Involving Efficacy, Safety, and Futility. </w:t>
      </w:r>
      <w:r>
        <w:rPr>
          <w:i/>
          <w:iCs/>
        </w:rPr>
        <w:t>JAMA</w:t>
      </w:r>
      <w:r>
        <w:t xml:space="preserve"> </w:t>
      </w:r>
      <w:proofErr w:type="gramStart"/>
      <w:r>
        <w:t>2021;</w:t>
      </w:r>
      <w:r>
        <w:rPr>
          <w:b/>
          <w:bCs/>
        </w:rPr>
        <w:t>325</w:t>
      </w:r>
      <w:r>
        <w:t>:1717</w:t>
      </w:r>
      <w:proofErr w:type="gramEnd"/>
      <w:r>
        <w:t>–8. doi:10.1001/jama.2021.3854</w:t>
      </w:r>
    </w:p>
    <w:p w14:paraId="49E3B7D2" w14:textId="77777777" w:rsidR="00357E42" w:rsidRDefault="00357E42" w:rsidP="00357E42">
      <w:pPr>
        <w:pStyle w:val="Bibliography"/>
      </w:pPr>
      <w:r>
        <w:t xml:space="preserve">3 </w:t>
      </w:r>
      <w:r>
        <w:tab/>
        <w:t xml:space="preserve">Chen EY, Joshi SK, Tran A, </w:t>
      </w:r>
      <w:r>
        <w:rPr>
          <w:i/>
          <w:iCs/>
        </w:rPr>
        <w:t>et al.</w:t>
      </w:r>
      <w:r>
        <w:t xml:space="preserve"> Estimation of Study Time Reduction Using Surrogate End Points Rather Than </w:t>
      </w:r>
      <w:proofErr w:type="gramStart"/>
      <w:r>
        <w:t>Overall  Survival</w:t>
      </w:r>
      <w:proofErr w:type="gramEnd"/>
      <w:r>
        <w:t xml:space="preserve"> in Oncology Clinical Trials. </w:t>
      </w:r>
      <w:r>
        <w:rPr>
          <w:i/>
          <w:iCs/>
        </w:rPr>
        <w:t>JAMA Intern Med</w:t>
      </w:r>
      <w:r>
        <w:t xml:space="preserve"> </w:t>
      </w:r>
      <w:proofErr w:type="gramStart"/>
      <w:r>
        <w:t>2019;</w:t>
      </w:r>
      <w:r>
        <w:rPr>
          <w:b/>
          <w:bCs/>
        </w:rPr>
        <w:t>179</w:t>
      </w:r>
      <w:r>
        <w:t>:642</w:t>
      </w:r>
      <w:proofErr w:type="gramEnd"/>
      <w:r>
        <w:t>–7. doi:10.1001/jamainternmed.2018.8351</w:t>
      </w:r>
    </w:p>
    <w:p w14:paraId="400FDF43" w14:textId="77777777" w:rsidR="00357E42" w:rsidRDefault="00357E42" w:rsidP="00357E42">
      <w:pPr>
        <w:pStyle w:val="Bibliography"/>
      </w:pPr>
      <w:r>
        <w:t xml:space="preserve">4 </w:t>
      </w:r>
      <w:r>
        <w:tab/>
        <w:t xml:space="preserve">Oba K, Paoletti X, Alberts S, </w:t>
      </w:r>
      <w:r>
        <w:rPr>
          <w:i/>
          <w:iCs/>
        </w:rPr>
        <w:t>et al.</w:t>
      </w:r>
      <w:r>
        <w:t xml:space="preserve"> Disease-free survival as a surrogate for overall survival in adjuvant trials of gastric cancer: a meta-analysis. </w:t>
      </w:r>
      <w:r>
        <w:rPr>
          <w:i/>
          <w:iCs/>
        </w:rPr>
        <w:t>J Natl Cancer Inst</w:t>
      </w:r>
      <w:r>
        <w:t xml:space="preserve"> </w:t>
      </w:r>
      <w:proofErr w:type="gramStart"/>
      <w:r>
        <w:t>2013;</w:t>
      </w:r>
      <w:r>
        <w:rPr>
          <w:b/>
          <w:bCs/>
        </w:rPr>
        <w:t>105</w:t>
      </w:r>
      <w:r>
        <w:t>:1600</w:t>
      </w:r>
      <w:proofErr w:type="gramEnd"/>
      <w:r>
        <w:t>–7. doi:10.1093/jnci/djt270</w:t>
      </w:r>
    </w:p>
    <w:p w14:paraId="3BF4F45E" w14:textId="77777777" w:rsidR="00357E42" w:rsidRDefault="00357E42" w:rsidP="00357E42">
      <w:pPr>
        <w:pStyle w:val="Bibliography"/>
      </w:pPr>
      <w:r>
        <w:t xml:space="preserve">5 </w:t>
      </w:r>
      <w:r>
        <w:tab/>
        <w:t xml:space="preserve">Yudkin JS, Lipska KJ, Montori VM. The idolatry of the surrogate. </w:t>
      </w:r>
      <w:r>
        <w:rPr>
          <w:i/>
          <w:iCs/>
        </w:rPr>
        <w:t>BMJ</w:t>
      </w:r>
      <w:r>
        <w:t xml:space="preserve"> 2011;</w:t>
      </w:r>
      <w:proofErr w:type="gramStart"/>
      <w:r>
        <w:rPr>
          <w:b/>
          <w:bCs/>
        </w:rPr>
        <w:t>343</w:t>
      </w:r>
      <w:r>
        <w:t>:d</w:t>
      </w:r>
      <w:proofErr w:type="gramEnd"/>
      <w:r>
        <w:t>7995. doi:10.1136/</w:t>
      </w:r>
      <w:proofErr w:type="gramStart"/>
      <w:r>
        <w:t>bmj.d</w:t>
      </w:r>
      <w:proofErr w:type="gramEnd"/>
      <w:r>
        <w:t>7995</w:t>
      </w:r>
    </w:p>
    <w:p w14:paraId="3F4F8A9F" w14:textId="77777777" w:rsidR="00357E42" w:rsidRDefault="00357E42" w:rsidP="00357E42">
      <w:pPr>
        <w:pStyle w:val="Bibliography"/>
      </w:pPr>
      <w:r>
        <w:t xml:space="preserve">6 </w:t>
      </w:r>
      <w:r>
        <w:tab/>
        <w:t xml:space="preserve">Raphael MJ, Robinson A, Booth CM, </w:t>
      </w:r>
      <w:r>
        <w:rPr>
          <w:i/>
          <w:iCs/>
        </w:rPr>
        <w:t>et al.</w:t>
      </w:r>
      <w:r>
        <w:t xml:space="preserve"> The Value of Progression-Free Survival as a Treatment End Point Among Patients </w:t>
      </w:r>
      <w:proofErr w:type="gramStart"/>
      <w:r>
        <w:t>With</w:t>
      </w:r>
      <w:proofErr w:type="gramEnd"/>
      <w:r>
        <w:t xml:space="preserve"> Advanced Cancer: A Systematic Review and Qualitative Assessment of the Literature. </w:t>
      </w:r>
      <w:r>
        <w:rPr>
          <w:i/>
          <w:iCs/>
        </w:rPr>
        <w:t>JAMA Oncol</w:t>
      </w:r>
      <w:r>
        <w:t xml:space="preserve"> </w:t>
      </w:r>
      <w:proofErr w:type="gramStart"/>
      <w:r>
        <w:t>2019;</w:t>
      </w:r>
      <w:r>
        <w:rPr>
          <w:b/>
          <w:bCs/>
        </w:rPr>
        <w:t>5</w:t>
      </w:r>
      <w:r>
        <w:t>:1779</w:t>
      </w:r>
      <w:proofErr w:type="gramEnd"/>
      <w:r>
        <w:t>–89. doi:10.1001/jamaoncol.2019.3338</w:t>
      </w:r>
    </w:p>
    <w:p w14:paraId="6985D2BF" w14:textId="77777777" w:rsidR="00357E42" w:rsidRDefault="00357E42" w:rsidP="00357E42">
      <w:pPr>
        <w:pStyle w:val="Bibliography"/>
      </w:pPr>
      <w:r>
        <w:t xml:space="preserve">7 </w:t>
      </w:r>
      <w:r>
        <w:tab/>
        <w:t xml:space="preserve">Prasad V, Kim C, Burotto M, </w:t>
      </w:r>
      <w:r>
        <w:rPr>
          <w:i/>
          <w:iCs/>
        </w:rPr>
        <w:t>et al.</w:t>
      </w:r>
      <w:r>
        <w:t xml:space="preserve"> The Strength of Association Between Surrogate End Points and Survival in Oncology: A Systematic Review of Trial-Level Meta-analyses. </w:t>
      </w:r>
      <w:r>
        <w:rPr>
          <w:i/>
          <w:iCs/>
        </w:rPr>
        <w:t>JAMA Internal Medicine</w:t>
      </w:r>
      <w:r>
        <w:t xml:space="preserve"> </w:t>
      </w:r>
      <w:proofErr w:type="gramStart"/>
      <w:r>
        <w:t>2015;</w:t>
      </w:r>
      <w:r>
        <w:rPr>
          <w:b/>
          <w:bCs/>
        </w:rPr>
        <w:t>175</w:t>
      </w:r>
      <w:r>
        <w:t>:1389</w:t>
      </w:r>
      <w:proofErr w:type="gramEnd"/>
      <w:r>
        <w:t>–98. doi:10.1001/jamainternmed.2015.2829</w:t>
      </w:r>
    </w:p>
    <w:p w14:paraId="4DF2D32F" w14:textId="77777777" w:rsidR="00357E42" w:rsidRDefault="00357E42" w:rsidP="00357E42">
      <w:pPr>
        <w:pStyle w:val="Bibliography"/>
      </w:pPr>
      <w:r>
        <w:t xml:space="preserve">8 </w:t>
      </w:r>
      <w:r>
        <w:tab/>
        <w:t xml:space="preserve">Hwang TJ, Gyawali B. Association between progression-free survival and patients’ quality of life in cancer clinical trials. </w:t>
      </w:r>
      <w:r>
        <w:rPr>
          <w:i/>
          <w:iCs/>
        </w:rPr>
        <w:t>International Journal of Cancer</w:t>
      </w:r>
      <w:r>
        <w:t xml:space="preserve"> </w:t>
      </w:r>
      <w:proofErr w:type="gramStart"/>
      <w:r>
        <w:t>2019;</w:t>
      </w:r>
      <w:r>
        <w:rPr>
          <w:b/>
          <w:bCs/>
        </w:rPr>
        <w:t>144</w:t>
      </w:r>
      <w:r>
        <w:t>:1746</w:t>
      </w:r>
      <w:proofErr w:type="gramEnd"/>
      <w:r>
        <w:t>–51. doi:10.1002/ijc.31957</w:t>
      </w:r>
    </w:p>
    <w:p w14:paraId="779C9E31" w14:textId="77777777" w:rsidR="00357E42" w:rsidRDefault="00357E42" w:rsidP="00357E42">
      <w:pPr>
        <w:pStyle w:val="Bibliography"/>
      </w:pPr>
      <w:r>
        <w:t xml:space="preserve">9 </w:t>
      </w:r>
      <w:r>
        <w:tab/>
        <w:t xml:space="preserve">Kovic B, Jin X, Kennedy SA, </w:t>
      </w:r>
      <w:r>
        <w:rPr>
          <w:i/>
          <w:iCs/>
        </w:rPr>
        <w:t>et al.</w:t>
      </w:r>
      <w:r>
        <w:t xml:space="preserve"> Evaluating Progression-Free Survival as a Surrogate Outcome for Health-Related Quality of Life in Oncology: A Systematic Review and Quantitative Analysis. </w:t>
      </w:r>
      <w:r>
        <w:rPr>
          <w:i/>
          <w:iCs/>
        </w:rPr>
        <w:t>JAMA Internal Medicine</w:t>
      </w:r>
      <w:r>
        <w:t xml:space="preserve"> </w:t>
      </w:r>
      <w:proofErr w:type="gramStart"/>
      <w:r>
        <w:t>2018;</w:t>
      </w:r>
      <w:r>
        <w:rPr>
          <w:b/>
          <w:bCs/>
        </w:rPr>
        <w:t>178</w:t>
      </w:r>
      <w:r>
        <w:t>:1586</w:t>
      </w:r>
      <w:proofErr w:type="gramEnd"/>
      <w:r>
        <w:t>–96. doi:10.1001/jamainternmed.2018.4710</w:t>
      </w:r>
    </w:p>
    <w:p w14:paraId="4E6DC220" w14:textId="77777777" w:rsidR="00357E42" w:rsidRDefault="00357E42" w:rsidP="00357E42">
      <w:pPr>
        <w:pStyle w:val="Bibliography"/>
      </w:pPr>
      <w:r>
        <w:t xml:space="preserve">10 </w:t>
      </w:r>
      <w:r>
        <w:tab/>
        <w:t xml:space="preserve">Svensson S, Menkes DB, Lexchin J. Surrogate outcomes in clinical trials: a cautionary tale. </w:t>
      </w:r>
      <w:r>
        <w:rPr>
          <w:i/>
          <w:iCs/>
        </w:rPr>
        <w:t>JAMA Intern Med</w:t>
      </w:r>
      <w:r>
        <w:t xml:space="preserve"> </w:t>
      </w:r>
      <w:proofErr w:type="gramStart"/>
      <w:r>
        <w:t>2013;</w:t>
      </w:r>
      <w:r>
        <w:rPr>
          <w:b/>
          <w:bCs/>
        </w:rPr>
        <w:t>173</w:t>
      </w:r>
      <w:r>
        <w:t>:611</w:t>
      </w:r>
      <w:proofErr w:type="gramEnd"/>
      <w:r>
        <w:t>–2. doi:10.1001/jamainternmed.2013.3037</w:t>
      </w:r>
    </w:p>
    <w:p w14:paraId="63BD1712" w14:textId="77777777" w:rsidR="00357E42" w:rsidRDefault="00357E42" w:rsidP="00357E42">
      <w:pPr>
        <w:pStyle w:val="Bibliography"/>
      </w:pPr>
      <w:r>
        <w:t xml:space="preserve">11 </w:t>
      </w:r>
      <w:r>
        <w:tab/>
        <w:t xml:space="preserve">Carpenter D, Kesselheim AS, Joffe S. Reputation and precedent in the bevacizumab decision. </w:t>
      </w:r>
      <w:r>
        <w:rPr>
          <w:i/>
          <w:iCs/>
        </w:rPr>
        <w:t>N Engl J Med</w:t>
      </w:r>
      <w:r>
        <w:t xml:space="preserve"> 2011;</w:t>
      </w:r>
      <w:proofErr w:type="gramStart"/>
      <w:r>
        <w:rPr>
          <w:b/>
          <w:bCs/>
        </w:rPr>
        <w:t>365</w:t>
      </w:r>
      <w:r>
        <w:t>:e</w:t>
      </w:r>
      <w:proofErr w:type="gramEnd"/>
      <w:r>
        <w:t>3. doi:10.1056/NEJMp1107201</w:t>
      </w:r>
    </w:p>
    <w:p w14:paraId="682AF862" w14:textId="77777777" w:rsidR="00357E42" w:rsidRDefault="00357E42" w:rsidP="00357E42">
      <w:pPr>
        <w:pStyle w:val="Bibliography"/>
      </w:pPr>
      <w:r>
        <w:t xml:space="preserve">12 </w:t>
      </w:r>
      <w:r>
        <w:tab/>
        <w:t xml:space="preserve">Tap WD, Wagner AJ, Schöffski P, </w:t>
      </w:r>
      <w:r>
        <w:rPr>
          <w:i/>
          <w:iCs/>
        </w:rPr>
        <w:t>et al.</w:t>
      </w:r>
      <w:r>
        <w:t xml:space="preserve"> Effect of Doxorubicin Plus Olaratumab vs Doxorubicin Plus Placebo on Survival in Patients </w:t>
      </w:r>
      <w:proofErr w:type="gramStart"/>
      <w:r>
        <w:t>With</w:t>
      </w:r>
      <w:proofErr w:type="gramEnd"/>
      <w:r>
        <w:t xml:space="preserve"> Advanced Soft Tissue Sarcomas: The ANNOUNCE Randomized Clinical Trial. </w:t>
      </w:r>
      <w:r>
        <w:rPr>
          <w:i/>
          <w:iCs/>
        </w:rPr>
        <w:t>JAMA</w:t>
      </w:r>
      <w:r>
        <w:t xml:space="preserve"> </w:t>
      </w:r>
      <w:proofErr w:type="gramStart"/>
      <w:r>
        <w:t>2020;</w:t>
      </w:r>
      <w:r>
        <w:rPr>
          <w:b/>
          <w:bCs/>
        </w:rPr>
        <w:t>323</w:t>
      </w:r>
      <w:r>
        <w:t>:1266</w:t>
      </w:r>
      <w:proofErr w:type="gramEnd"/>
      <w:r>
        <w:t>–76. doi:10.1001/jama.2020.1707</w:t>
      </w:r>
    </w:p>
    <w:p w14:paraId="5387C88D" w14:textId="77777777" w:rsidR="00357E42" w:rsidRDefault="00357E42" w:rsidP="00357E42">
      <w:pPr>
        <w:pStyle w:val="Bibliography"/>
      </w:pPr>
      <w:r>
        <w:t xml:space="preserve">13 </w:t>
      </w:r>
      <w:r>
        <w:tab/>
        <w:t xml:space="preserve">Chang CY, Nguyen CP, Wesley B, </w:t>
      </w:r>
      <w:r>
        <w:rPr>
          <w:i/>
          <w:iCs/>
        </w:rPr>
        <w:t>et al.</w:t>
      </w:r>
      <w:r>
        <w:t xml:space="preserve"> Withdrawing Approval of Makena — A Proposal from the FDA Center for Drug Evaluation and Research. </w:t>
      </w:r>
      <w:r>
        <w:rPr>
          <w:i/>
          <w:iCs/>
        </w:rPr>
        <w:t>N Engl J Med</w:t>
      </w:r>
      <w:r>
        <w:t xml:space="preserve"> 2020;</w:t>
      </w:r>
      <w:proofErr w:type="gramStart"/>
      <w:r>
        <w:rPr>
          <w:b/>
          <w:bCs/>
        </w:rPr>
        <w:t>383</w:t>
      </w:r>
      <w:r>
        <w:t>:e</w:t>
      </w:r>
      <w:proofErr w:type="gramEnd"/>
      <w:r>
        <w:t>131. doi:10.1056/NEJMp2031055</w:t>
      </w:r>
    </w:p>
    <w:p w14:paraId="1B25BA38" w14:textId="77777777" w:rsidR="00357E42" w:rsidRDefault="00357E42" w:rsidP="00357E42">
      <w:pPr>
        <w:pStyle w:val="Bibliography"/>
      </w:pPr>
      <w:r>
        <w:lastRenderedPageBreak/>
        <w:t xml:space="preserve">14 </w:t>
      </w:r>
      <w:r>
        <w:tab/>
        <w:t xml:space="preserve">Powles T, Durán I, van der Heijden MS, </w:t>
      </w:r>
      <w:r>
        <w:rPr>
          <w:i/>
          <w:iCs/>
        </w:rPr>
        <w:t>et al.</w:t>
      </w:r>
      <w:r>
        <w:t xml:space="preserve"> Atezolizumab versus chemotherapy in patients with platinum-treated locally advanced or metastatic urothelial carcinoma (IMvigor211): a multicentre, open-label, phase </w:t>
      </w:r>
      <w:proofErr w:type="gramStart"/>
      <w:r>
        <w:t>3  randomised</w:t>
      </w:r>
      <w:proofErr w:type="gramEnd"/>
      <w:r>
        <w:t xml:space="preserve"> controlled trial. </w:t>
      </w:r>
      <w:r>
        <w:rPr>
          <w:i/>
          <w:iCs/>
        </w:rPr>
        <w:t>Lancet</w:t>
      </w:r>
      <w:r>
        <w:t xml:space="preserve"> </w:t>
      </w:r>
      <w:proofErr w:type="gramStart"/>
      <w:r>
        <w:t>2018;</w:t>
      </w:r>
      <w:r>
        <w:rPr>
          <w:b/>
          <w:bCs/>
        </w:rPr>
        <w:t>391</w:t>
      </w:r>
      <w:r>
        <w:t>:748</w:t>
      </w:r>
      <w:proofErr w:type="gramEnd"/>
      <w:r>
        <w:t>–57. doi:10.1016/S0140-6736(17)33297-X</w:t>
      </w:r>
    </w:p>
    <w:p w14:paraId="1165A687" w14:textId="77777777" w:rsidR="00357E42" w:rsidRDefault="00357E42" w:rsidP="00357E42">
      <w:pPr>
        <w:pStyle w:val="Bibliography"/>
      </w:pPr>
      <w:r>
        <w:t xml:space="preserve">15 </w:t>
      </w:r>
      <w:r>
        <w:tab/>
        <w:t xml:space="preserve">Kumar S, Rajkumar SV. Surrogate endpoints in randomised controlled trials: a reality check. </w:t>
      </w:r>
      <w:r>
        <w:rPr>
          <w:i/>
          <w:iCs/>
        </w:rPr>
        <w:t>The Lancet</w:t>
      </w:r>
      <w:r>
        <w:t xml:space="preserve"> </w:t>
      </w:r>
      <w:proofErr w:type="gramStart"/>
      <w:r>
        <w:t>2019;</w:t>
      </w:r>
      <w:r>
        <w:rPr>
          <w:b/>
          <w:bCs/>
        </w:rPr>
        <w:t>394</w:t>
      </w:r>
      <w:r>
        <w:t>:281</w:t>
      </w:r>
      <w:proofErr w:type="gramEnd"/>
      <w:r>
        <w:t>–3. doi:10.1016/S0140-6736(19)31711-8</w:t>
      </w:r>
    </w:p>
    <w:p w14:paraId="03B234A8" w14:textId="77777777" w:rsidR="00357E42" w:rsidRDefault="00357E42" w:rsidP="00357E42">
      <w:pPr>
        <w:pStyle w:val="Bibliography"/>
      </w:pPr>
      <w:r>
        <w:t xml:space="preserve">16 </w:t>
      </w:r>
      <w:r>
        <w:tab/>
        <w:t xml:space="preserve">Zhang AD, Puthumana J, Downing NS, </w:t>
      </w:r>
      <w:r>
        <w:rPr>
          <w:i/>
          <w:iCs/>
        </w:rPr>
        <w:t>et al.</w:t>
      </w:r>
      <w:r>
        <w:t xml:space="preserve"> Assessment of Clinical Trials Supporting US Food and Drug Administration Approval </w:t>
      </w:r>
      <w:proofErr w:type="gramStart"/>
      <w:r>
        <w:t>of  Novel</w:t>
      </w:r>
      <w:proofErr w:type="gramEnd"/>
      <w:r>
        <w:t xml:space="preserve"> Therapeutic Agents, 1995-2017. </w:t>
      </w:r>
      <w:r>
        <w:rPr>
          <w:i/>
          <w:iCs/>
        </w:rPr>
        <w:t>JAMA Netw Open</w:t>
      </w:r>
      <w:r>
        <w:t xml:space="preserve"> 2020;</w:t>
      </w:r>
      <w:proofErr w:type="gramStart"/>
      <w:r>
        <w:rPr>
          <w:b/>
          <w:bCs/>
        </w:rPr>
        <w:t>3</w:t>
      </w:r>
      <w:r>
        <w:t>:e</w:t>
      </w:r>
      <w:proofErr w:type="gramEnd"/>
      <w:r>
        <w:t>203284. doi:10.1001/jamanetworkopen.2020.3284</w:t>
      </w:r>
    </w:p>
    <w:p w14:paraId="669AB991" w14:textId="77777777" w:rsidR="00357E42" w:rsidRDefault="00357E42" w:rsidP="00357E42">
      <w:pPr>
        <w:pStyle w:val="Bibliography"/>
      </w:pPr>
      <w:r>
        <w:t xml:space="preserve">17 </w:t>
      </w:r>
      <w:r>
        <w:tab/>
        <w:t xml:space="preserve">Downing NS, Aminawung JA, Shah ND, </w:t>
      </w:r>
      <w:r>
        <w:rPr>
          <w:i/>
          <w:iCs/>
        </w:rPr>
        <w:t>et al.</w:t>
      </w:r>
      <w:r>
        <w:t xml:space="preserve"> Clinical trial evidence supporting FDA approval of novel therapeutic </w:t>
      </w:r>
      <w:proofErr w:type="gramStart"/>
      <w:r>
        <w:t>agents,  2005</w:t>
      </w:r>
      <w:proofErr w:type="gramEnd"/>
      <w:r>
        <w:t xml:space="preserve">-2012. </w:t>
      </w:r>
      <w:r>
        <w:rPr>
          <w:i/>
          <w:iCs/>
        </w:rPr>
        <w:t>JAMA</w:t>
      </w:r>
      <w:r>
        <w:t xml:space="preserve"> </w:t>
      </w:r>
      <w:proofErr w:type="gramStart"/>
      <w:r>
        <w:t>2014;</w:t>
      </w:r>
      <w:r>
        <w:rPr>
          <w:b/>
          <w:bCs/>
        </w:rPr>
        <w:t>311</w:t>
      </w:r>
      <w:r>
        <w:t>:368</w:t>
      </w:r>
      <w:proofErr w:type="gramEnd"/>
      <w:r>
        <w:t>–77. doi:10.1001/jama.2013.282034</w:t>
      </w:r>
    </w:p>
    <w:p w14:paraId="58CDD3C7" w14:textId="77777777" w:rsidR="00357E42" w:rsidRDefault="00357E42" w:rsidP="00357E42">
      <w:pPr>
        <w:pStyle w:val="Bibliography"/>
      </w:pPr>
      <w:r>
        <w:t xml:space="preserve">18 </w:t>
      </w:r>
      <w:r>
        <w:tab/>
        <w:t xml:space="preserve">Wallach JD, Ross JS, Naci H. The US Food and Drug Administration’s expedited approval programs: </w:t>
      </w:r>
      <w:proofErr w:type="gramStart"/>
      <w:r>
        <w:t>Evidentiary  standards</w:t>
      </w:r>
      <w:proofErr w:type="gramEnd"/>
      <w:r>
        <w:t xml:space="preserve">, regulatory trade-offs, and potential improvements. </w:t>
      </w:r>
      <w:r>
        <w:rPr>
          <w:i/>
          <w:iCs/>
        </w:rPr>
        <w:t>Clin Trials</w:t>
      </w:r>
      <w:r>
        <w:t xml:space="preserve"> </w:t>
      </w:r>
      <w:proofErr w:type="gramStart"/>
      <w:r>
        <w:t>2018;</w:t>
      </w:r>
      <w:r>
        <w:rPr>
          <w:b/>
          <w:bCs/>
        </w:rPr>
        <w:t>15</w:t>
      </w:r>
      <w:r>
        <w:t>:219</w:t>
      </w:r>
      <w:proofErr w:type="gramEnd"/>
      <w:r>
        <w:t>–29. doi:10.1177/1740774518770648</w:t>
      </w:r>
    </w:p>
    <w:p w14:paraId="6B426CE8" w14:textId="77777777" w:rsidR="00357E42" w:rsidRDefault="00357E42" w:rsidP="00357E42">
      <w:pPr>
        <w:pStyle w:val="Bibliography"/>
      </w:pPr>
      <w:r>
        <w:t xml:space="preserve">19 </w:t>
      </w:r>
      <w:r>
        <w:tab/>
        <w:t xml:space="preserve">Darrow JJ, Avorn J, Kesselheim AS. FDA Approval and Regulation of Pharmaceuticals, 1983-2018. </w:t>
      </w:r>
      <w:r>
        <w:rPr>
          <w:i/>
          <w:iCs/>
        </w:rPr>
        <w:t>JAMA</w:t>
      </w:r>
      <w:r>
        <w:t xml:space="preserve"> </w:t>
      </w:r>
      <w:proofErr w:type="gramStart"/>
      <w:r>
        <w:t>2020;</w:t>
      </w:r>
      <w:r>
        <w:rPr>
          <w:b/>
          <w:bCs/>
        </w:rPr>
        <w:t>323</w:t>
      </w:r>
      <w:r>
        <w:t>:164</w:t>
      </w:r>
      <w:proofErr w:type="gramEnd"/>
      <w:r>
        <w:t>–76. doi:10.1001/jama.2019.20288</w:t>
      </w:r>
    </w:p>
    <w:p w14:paraId="6E58E488" w14:textId="77777777" w:rsidR="00357E42" w:rsidRDefault="00357E42" w:rsidP="00357E42">
      <w:pPr>
        <w:pStyle w:val="Bibliography"/>
      </w:pPr>
      <w:r>
        <w:t xml:space="preserve">20 </w:t>
      </w:r>
      <w:r>
        <w:tab/>
        <w:t xml:space="preserve">Neez E, Hwang TJ, Sahoo SA, </w:t>
      </w:r>
      <w:r>
        <w:rPr>
          <w:i/>
          <w:iCs/>
        </w:rPr>
        <w:t>et al.</w:t>
      </w:r>
      <w:r>
        <w:t xml:space="preserve"> European Medicines Agency’s Priority Medicines Scheme at 2 Years: An Evaluation of Clinical Studies Supporting Eligible Drugs. </w:t>
      </w:r>
      <w:r>
        <w:rPr>
          <w:i/>
          <w:iCs/>
        </w:rPr>
        <w:t>Clinical Pharmacology &amp; Therapeutics</w:t>
      </w:r>
      <w:r>
        <w:t xml:space="preserve"> </w:t>
      </w:r>
      <w:proofErr w:type="gramStart"/>
      <w:r>
        <w:t>2020;</w:t>
      </w:r>
      <w:r>
        <w:rPr>
          <w:b/>
          <w:bCs/>
        </w:rPr>
        <w:t>107</w:t>
      </w:r>
      <w:r>
        <w:t>:541</w:t>
      </w:r>
      <w:proofErr w:type="gramEnd"/>
      <w:r>
        <w:t>–52. doi:10.1002/cpt.1669</w:t>
      </w:r>
    </w:p>
    <w:p w14:paraId="6344371B" w14:textId="77777777" w:rsidR="00357E42" w:rsidRDefault="00357E42" w:rsidP="00357E42">
      <w:pPr>
        <w:pStyle w:val="Bibliography"/>
      </w:pPr>
      <w:r>
        <w:t xml:space="preserve">21 </w:t>
      </w:r>
      <w:r>
        <w:tab/>
        <w:t xml:space="preserve">Naci H, Smalley KR, Kesselheim AS. Characteristics of Preapproval and Postapproval Studies for Drugs Granted Accelerated Approval by the US Food and Drug Administration. </w:t>
      </w:r>
      <w:r>
        <w:rPr>
          <w:i/>
          <w:iCs/>
        </w:rPr>
        <w:t>JAMA</w:t>
      </w:r>
      <w:r>
        <w:t xml:space="preserve"> </w:t>
      </w:r>
      <w:proofErr w:type="gramStart"/>
      <w:r>
        <w:t>2017;</w:t>
      </w:r>
      <w:r>
        <w:rPr>
          <w:b/>
          <w:bCs/>
        </w:rPr>
        <w:t>318</w:t>
      </w:r>
      <w:r>
        <w:t>:626</w:t>
      </w:r>
      <w:proofErr w:type="gramEnd"/>
      <w:r>
        <w:t>–36. doi:10.1001/jama.2017.9415</w:t>
      </w:r>
    </w:p>
    <w:p w14:paraId="4B02F0D5" w14:textId="77777777" w:rsidR="00357E42" w:rsidRDefault="00357E42" w:rsidP="00357E42">
      <w:pPr>
        <w:pStyle w:val="Bibliography"/>
      </w:pPr>
      <w:r>
        <w:t xml:space="preserve">22 </w:t>
      </w:r>
      <w:r>
        <w:tab/>
        <w:t xml:space="preserve">Gyawali B, Hey SP, Kesselheim AS. Assessment of the Clinical Benefit of Cancer Drugs Receiving Accelerated Approval. </w:t>
      </w:r>
      <w:r>
        <w:rPr>
          <w:i/>
          <w:iCs/>
        </w:rPr>
        <w:t>JAMA Intern Med</w:t>
      </w:r>
      <w:r>
        <w:t xml:space="preserve"> </w:t>
      </w:r>
      <w:proofErr w:type="gramStart"/>
      <w:r>
        <w:t>2019;</w:t>
      </w:r>
      <w:r>
        <w:rPr>
          <w:b/>
          <w:bCs/>
        </w:rPr>
        <w:t>179</w:t>
      </w:r>
      <w:r>
        <w:t>:906</w:t>
      </w:r>
      <w:proofErr w:type="gramEnd"/>
      <w:r>
        <w:t>–13. doi:10.1001/jamainternmed.2019.0462</w:t>
      </w:r>
    </w:p>
    <w:p w14:paraId="4ADDF60B" w14:textId="77777777" w:rsidR="00357E42" w:rsidRDefault="00357E42" w:rsidP="00357E42">
      <w:pPr>
        <w:pStyle w:val="Bibliography"/>
      </w:pPr>
      <w:r>
        <w:t xml:space="preserve">23 </w:t>
      </w:r>
      <w:r>
        <w:tab/>
        <w:t xml:space="preserve">Institut für Qualität und Wirtschaftlichkeit im Gesundheitswesen, (IQWiG). Aussagekraft von surrogatendpunkten in der onkologie., Institut fuer Qualitaet und Wirtschaftlichkeit im Gesundheitswesen (IQWiG). Validity of surrogate parameters in oncology (Rapid report). Cologne: 2011. </w:t>
      </w:r>
    </w:p>
    <w:p w14:paraId="4034D598" w14:textId="77777777" w:rsidR="00357E42" w:rsidRDefault="00357E42" w:rsidP="00357E42">
      <w:pPr>
        <w:pStyle w:val="Bibliography"/>
      </w:pPr>
      <w:r>
        <w:t xml:space="preserve">24 </w:t>
      </w:r>
      <w:r>
        <w:tab/>
        <w:t xml:space="preserve">Taylor R, Elston J. The use of surrogate outcomes in model-based cost-effectiveness analyses: a survey of UK Health Technology Assessment reports. </w:t>
      </w:r>
      <w:r>
        <w:rPr>
          <w:i/>
          <w:iCs/>
        </w:rPr>
        <w:t>Health Technol Assess</w:t>
      </w:r>
      <w:r>
        <w:t xml:space="preserve"> </w:t>
      </w:r>
      <w:proofErr w:type="gramStart"/>
      <w:r>
        <w:t>2009;</w:t>
      </w:r>
      <w:r>
        <w:rPr>
          <w:b/>
          <w:bCs/>
        </w:rPr>
        <w:t>13</w:t>
      </w:r>
      <w:r>
        <w:t>:8</w:t>
      </w:r>
      <w:proofErr w:type="gramEnd"/>
      <w:r>
        <w:t>. doi:10.3310/hta13080</w:t>
      </w:r>
    </w:p>
    <w:p w14:paraId="45F2FAA4" w14:textId="77777777" w:rsidR="00357E42" w:rsidRDefault="00357E42" w:rsidP="00357E42">
      <w:pPr>
        <w:pStyle w:val="Bibliography"/>
      </w:pPr>
      <w:r>
        <w:t xml:space="preserve">25 </w:t>
      </w:r>
      <w:r>
        <w:tab/>
        <w:t xml:space="preserve">Ciani O, Buyse M, Drummond M, </w:t>
      </w:r>
      <w:r>
        <w:rPr>
          <w:i/>
          <w:iCs/>
        </w:rPr>
        <w:t>et al.</w:t>
      </w:r>
      <w:r>
        <w:t xml:space="preserve"> Use of surrogate end points in healthcare policy: a proposal for adoption of a validation framework. </w:t>
      </w:r>
      <w:r>
        <w:rPr>
          <w:i/>
          <w:iCs/>
        </w:rPr>
        <w:t>Nature Reviews Drug Discovery</w:t>
      </w:r>
      <w:r>
        <w:t xml:space="preserve"> </w:t>
      </w:r>
      <w:proofErr w:type="gramStart"/>
      <w:r>
        <w:t>2016;</w:t>
      </w:r>
      <w:r>
        <w:rPr>
          <w:b/>
          <w:bCs/>
        </w:rPr>
        <w:t>15</w:t>
      </w:r>
      <w:r>
        <w:t>:516</w:t>
      </w:r>
      <w:proofErr w:type="gramEnd"/>
      <w:r>
        <w:t>–516. doi:10.1038/nrd.2016.81</w:t>
      </w:r>
    </w:p>
    <w:p w14:paraId="158637ED" w14:textId="77777777" w:rsidR="00357E42" w:rsidRDefault="00357E42" w:rsidP="00357E42">
      <w:pPr>
        <w:pStyle w:val="Bibliography"/>
      </w:pPr>
      <w:r>
        <w:t xml:space="preserve">26 </w:t>
      </w:r>
      <w:r>
        <w:tab/>
        <w:t>US Food &amp; Drug Administration. Table of Surrogate Endpoints That Were the Basis of Drug Approval or Licensure. https://www.fda.gov/drugs/development-resources/table-surrogate-endpoints-were-basis-drug-approval-or-licensure (accessed 19 Aug 2021).</w:t>
      </w:r>
    </w:p>
    <w:p w14:paraId="591C4A79" w14:textId="77777777" w:rsidR="00357E42" w:rsidRDefault="00357E42" w:rsidP="00357E42">
      <w:pPr>
        <w:pStyle w:val="Bibliography"/>
      </w:pPr>
      <w:r>
        <w:lastRenderedPageBreak/>
        <w:t xml:space="preserve">27 </w:t>
      </w:r>
      <w:r>
        <w:tab/>
        <w:t xml:space="preserve">Kim C, Prasad V. Strength of Validation for Surrogate End Points Used in the US Food and Drug Administration’s Approval of Oncology Drugs. </w:t>
      </w:r>
      <w:r>
        <w:rPr>
          <w:i/>
          <w:iCs/>
        </w:rPr>
        <w:t>Mayo Clin Proc</w:t>
      </w:r>
      <w:r>
        <w:t xml:space="preserve"> Published Online First: 10 May 2016. </w:t>
      </w:r>
      <w:proofErr w:type="gramStart"/>
      <w:r>
        <w:t>doi:10.1016/j.mayocp</w:t>
      </w:r>
      <w:proofErr w:type="gramEnd"/>
      <w:r>
        <w:t>.2016.02.012</w:t>
      </w:r>
    </w:p>
    <w:p w14:paraId="2D61F9D2" w14:textId="77777777" w:rsidR="00357E42" w:rsidRDefault="00357E42" w:rsidP="00357E42">
      <w:pPr>
        <w:pStyle w:val="Bibliography"/>
      </w:pPr>
      <w:r>
        <w:t xml:space="preserve">28 </w:t>
      </w:r>
      <w:r>
        <w:tab/>
        <w:t xml:space="preserve">Haslam A, Hey SP, Gill J, </w:t>
      </w:r>
      <w:r>
        <w:rPr>
          <w:i/>
          <w:iCs/>
        </w:rPr>
        <w:t>et al.</w:t>
      </w:r>
      <w:r>
        <w:t xml:space="preserve"> A systematic review of trial-level meta-analyses measuring the strength of association between surrogate end-points and overall survival in oncology. </w:t>
      </w:r>
      <w:r>
        <w:rPr>
          <w:i/>
          <w:iCs/>
        </w:rPr>
        <w:t>Eur J Cancer</w:t>
      </w:r>
      <w:r>
        <w:t xml:space="preserve"> </w:t>
      </w:r>
      <w:proofErr w:type="gramStart"/>
      <w:r>
        <w:t>2019;</w:t>
      </w:r>
      <w:r>
        <w:rPr>
          <w:b/>
          <w:bCs/>
        </w:rPr>
        <w:t>106</w:t>
      </w:r>
      <w:r>
        <w:t>:196</w:t>
      </w:r>
      <w:proofErr w:type="gramEnd"/>
      <w:r>
        <w:t xml:space="preserve">–211. </w:t>
      </w:r>
      <w:proofErr w:type="gramStart"/>
      <w:r>
        <w:t>doi:10.1016/j.ejca</w:t>
      </w:r>
      <w:proofErr w:type="gramEnd"/>
      <w:r>
        <w:t>.2018.11.012</w:t>
      </w:r>
    </w:p>
    <w:p w14:paraId="22B9BC6A" w14:textId="77777777" w:rsidR="00357E42" w:rsidRDefault="00357E42" w:rsidP="00357E42">
      <w:pPr>
        <w:pStyle w:val="Bibliography"/>
      </w:pPr>
      <w:r>
        <w:t xml:space="preserve">29 </w:t>
      </w:r>
      <w:r>
        <w:tab/>
        <w:t xml:space="preserve">Gyawali B, Hey SP, Kesselheim AS. Evaluating the evidence behind the surrogate measures included in the FDA’s table of surrogate endpoints as supporting approval of cancer drugs. </w:t>
      </w:r>
      <w:r>
        <w:rPr>
          <w:i/>
          <w:iCs/>
        </w:rPr>
        <w:t>EClinicalMedicine</w:t>
      </w:r>
      <w:r>
        <w:t xml:space="preserve"> 2020;</w:t>
      </w:r>
      <w:r>
        <w:rPr>
          <w:b/>
          <w:bCs/>
        </w:rPr>
        <w:t>21</w:t>
      </w:r>
      <w:r>
        <w:t xml:space="preserve">. </w:t>
      </w:r>
      <w:proofErr w:type="gramStart"/>
      <w:r>
        <w:t>doi:10.1016/j.eclinm</w:t>
      </w:r>
      <w:proofErr w:type="gramEnd"/>
      <w:r>
        <w:t>.2020.100332</w:t>
      </w:r>
    </w:p>
    <w:p w14:paraId="4A7E0127" w14:textId="77777777" w:rsidR="00357E42" w:rsidRDefault="00357E42" w:rsidP="00357E42">
      <w:pPr>
        <w:pStyle w:val="Bibliography"/>
      </w:pPr>
      <w:r>
        <w:t xml:space="preserve">30 </w:t>
      </w:r>
      <w:r>
        <w:tab/>
        <w:t xml:space="preserve">Schuster Bruce C, Brhlikova P, Heath J, </w:t>
      </w:r>
      <w:r>
        <w:rPr>
          <w:i/>
          <w:iCs/>
        </w:rPr>
        <w:t>et al.</w:t>
      </w:r>
      <w:r>
        <w:t xml:space="preserve"> The use of validated and nonvalidated surrogate endpoints in two European Medicines Agency expedited approval pathways: A cross-sectional study of products authorised 2011–2018. </w:t>
      </w:r>
      <w:r>
        <w:rPr>
          <w:i/>
          <w:iCs/>
        </w:rPr>
        <w:t>PLOS Medicine</w:t>
      </w:r>
      <w:r>
        <w:t xml:space="preserve"> 2019;</w:t>
      </w:r>
      <w:proofErr w:type="gramStart"/>
      <w:r>
        <w:rPr>
          <w:b/>
          <w:bCs/>
        </w:rPr>
        <w:t>16</w:t>
      </w:r>
      <w:r>
        <w:t>:e</w:t>
      </w:r>
      <w:proofErr w:type="gramEnd"/>
      <w:r>
        <w:t xml:space="preserve">1002873. </w:t>
      </w:r>
      <w:proofErr w:type="gramStart"/>
      <w:r>
        <w:t>doi:10.1371/journal.pmed</w:t>
      </w:r>
      <w:proofErr w:type="gramEnd"/>
      <w:r>
        <w:t>.1002873</w:t>
      </w:r>
    </w:p>
    <w:p w14:paraId="5EFF1C6B" w14:textId="77777777" w:rsidR="00357E42" w:rsidRDefault="00357E42" w:rsidP="00357E42">
      <w:pPr>
        <w:pStyle w:val="Bibliography"/>
      </w:pPr>
      <w:r>
        <w:t xml:space="preserve">31 </w:t>
      </w:r>
      <w:r>
        <w:tab/>
        <w:t xml:space="preserve">Ciani O, Grigore B, Blommestein H, </w:t>
      </w:r>
      <w:r>
        <w:rPr>
          <w:i/>
          <w:iCs/>
        </w:rPr>
        <w:t>et al.</w:t>
      </w:r>
      <w:r>
        <w:t xml:space="preserve"> Validity of surrogate endpoints and their impact on coverage recommendations. A retrospective analysis across international health technology assessment agencies. </w:t>
      </w:r>
      <w:r>
        <w:rPr>
          <w:i/>
          <w:iCs/>
        </w:rPr>
        <w:t>Med Decis Making</w:t>
      </w:r>
      <w:r>
        <w:t xml:space="preserve"> 2021;</w:t>
      </w:r>
      <w:r>
        <w:rPr>
          <w:b/>
          <w:bCs/>
        </w:rPr>
        <w:t>(In press)</w:t>
      </w:r>
      <w:r>
        <w:t>.</w:t>
      </w:r>
    </w:p>
    <w:p w14:paraId="7BF21A3F" w14:textId="77777777" w:rsidR="00357E42" w:rsidRDefault="00357E42" w:rsidP="00357E42">
      <w:pPr>
        <w:pStyle w:val="Bibliography"/>
      </w:pPr>
      <w:r>
        <w:t xml:space="preserve">32 </w:t>
      </w:r>
      <w:r>
        <w:tab/>
        <w:t xml:space="preserve">Garrido MV, Mangiapane S. Surrogate outcomes in health technology assessment: An international comparison. </w:t>
      </w:r>
      <w:r>
        <w:rPr>
          <w:i/>
          <w:iCs/>
        </w:rPr>
        <w:t>International Journal of Technology Assessment in Health Care</w:t>
      </w:r>
      <w:r>
        <w:t xml:space="preserve"> </w:t>
      </w:r>
      <w:proofErr w:type="gramStart"/>
      <w:r>
        <w:t>2009;</w:t>
      </w:r>
      <w:r>
        <w:rPr>
          <w:b/>
          <w:bCs/>
        </w:rPr>
        <w:t>25</w:t>
      </w:r>
      <w:r>
        <w:t>:315</w:t>
      </w:r>
      <w:proofErr w:type="gramEnd"/>
      <w:r>
        <w:t>–22. doi:10.1017/S0266462309990213</w:t>
      </w:r>
    </w:p>
    <w:p w14:paraId="11E5D9E0" w14:textId="77777777" w:rsidR="00357E42" w:rsidRDefault="00357E42" w:rsidP="00357E42">
      <w:pPr>
        <w:pStyle w:val="Bibliography"/>
      </w:pPr>
      <w:r>
        <w:t xml:space="preserve">33 </w:t>
      </w:r>
      <w:r>
        <w:tab/>
        <w:t xml:space="preserve">Grigore B, Ciani O, Dams F, </w:t>
      </w:r>
      <w:r>
        <w:rPr>
          <w:i/>
          <w:iCs/>
        </w:rPr>
        <w:t>et al.</w:t>
      </w:r>
      <w:r>
        <w:t xml:space="preserve"> Surrogate Endpoints in Health Technology Assessment: An International Review of Methodological Guidelines. </w:t>
      </w:r>
      <w:r>
        <w:rPr>
          <w:i/>
          <w:iCs/>
        </w:rPr>
        <w:t>PharmacoEconomics</w:t>
      </w:r>
      <w:r>
        <w:t xml:space="preserve"> </w:t>
      </w:r>
      <w:proofErr w:type="gramStart"/>
      <w:r>
        <w:t>2020;</w:t>
      </w:r>
      <w:r>
        <w:rPr>
          <w:b/>
          <w:bCs/>
        </w:rPr>
        <w:t>38</w:t>
      </w:r>
      <w:r>
        <w:t>:1055</w:t>
      </w:r>
      <w:proofErr w:type="gramEnd"/>
      <w:r>
        <w:t>–70. doi:10.1007/s40273-020-00935-1</w:t>
      </w:r>
    </w:p>
    <w:p w14:paraId="39E42AEF" w14:textId="77777777" w:rsidR="00357E42" w:rsidRDefault="00357E42" w:rsidP="00357E42">
      <w:pPr>
        <w:pStyle w:val="Bibliography"/>
      </w:pPr>
      <w:r>
        <w:t xml:space="preserve">34 </w:t>
      </w:r>
      <w:r>
        <w:tab/>
        <w:t xml:space="preserve">Ciani O, Davis S, Tappenden P, </w:t>
      </w:r>
      <w:r>
        <w:rPr>
          <w:i/>
          <w:iCs/>
        </w:rPr>
        <w:t>et al.</w:t>
      </w:r>
      <w:r>
        <w:t xml:space="preserve"> Validation of surrogate endpoints in advanced solid tumors: systematic review </w:t>
      </w:r>
      <w:proofErr w:type="gramStart"/>
      <w:r>
        <w:t>of  statistical</w:t>
      </w:r>
      <w:proofErr w:type="gramEnd"/>
      <w:r>
        <w:t xml:space="preserve"> methods, results, and implications for policy makers. </w:t>
      </w:r>
      <w:r>
        <w:rPr>
          <w:i/>
          <w:iCs/>
        </w:rPr>
        <w:t>Int J Technol Assess Health Care</w:t>
      </w:r>
      <w:r>
        <w:t xml:space="preserve"> </w:t>
      </w:r>
      <w:proofErr w:type="gramStart"/>
      <w:r>
        <w:t>2014;</w:t>
      </w:r>
      <w:r>
        <w:rPr>
          <w:b/>
          <w:bCs/>
        </w:rPr>
        <w:t>30</w:t>
      </w:r>
      <w:r>
        <w:t>:312</w:t>
      </w:r>
      <w:proofErr w:type="gramEnd"/>
      <w:r>
        <w:t>–24. doi:10.1017/S0266462314000300</w:t>
      </w:r>
    </w:p>
    <w:p w14:paraId="014FF463" w14:textId="77777777" w:rsidR="00357E42" w:rsidRDefault="00357E42" w:rsidP="00357E42">
      <w:pPr>
        <w:pStyle w:val="Bibliography"/>
      </w:pPr>
      <w:r>
        <w:t xml:space="preserve">35 </w:t>
      </w:r>
      <w:r>
        <w:tab/>
        <w:t xml:space="preserve">Fleming T, DeMets D. Surrogate end points in clinical trials: are we being misled? </w:t>
      </w:r>
      <w:r>
        <w:rPr>
          <w:i/>
          <w:iCs/>
        </w:rPr>
        <w:t>Ann Intern Med</w:t>
      </w:r>
      <w:r>
        <w:t xml:space="preserve"> </w:t>
      </w:r>
      <w:proofErr w:type="gramStart"/>
      <w:r>
        <w:t>1996;</w:t>
      </w:r>
      <w:r>
        <w:rPr>
          <w:b/>
          <w:bCs/>
        </w:rPr>
        <w:t>125</w:t>
      </w:r>
      <w:r>
        <w:t>:605</w:t>
      </w:r>
      <w:proofErr w:type="gramEnd"/>
      <w:r>
        <w:t>–13.</w:t>
      </w:r>
    </w:p>
    <w:p w14:paraId="735F1A1B" w14:textId="77777777" w:rsidR="00357E42" w:rsidRDefault="00357E42" w:rsidP="00357E42">
      <w:pPr>
        <w:pStyle w:val="Bibliography"/>
      </w:pPr>
      <w:r>
        <w:t xml:space="preserve">36 </w:t>
      </w:r>
      <w:r>
        <w:tab/>
        <w:t xml:space="preserve">Burzykowski T, Buyse M, Piccart-Gebhart MJ, </w:t>
      </w:r>
      <w:r>
        <w:rPr>
          <w:i/>
          <w:iCs/>
        </w:rPr>
        <w:t>et al.</w:t>
      </w:r>
      <w:r>
        <w:t xml:space="preserve"> Evaluation of tumor response, disease control, progression-free survival, and time to progression as potential surrogate end points in metastatic breast cancer. </w:t>
      </w:r>
      <w:r>
        <w:rPr>
          <w:i/>
          <w:iCs/>
        </w:rPr>
        <w:t>J Clin Oncol</w:t>
      </w:r>
      <w:r>
        <w:t xml:space="preserve"> </w:t>
      </w:r>
      <w:proofErr w:type="gramStart"/>
      <w:r>
        <w:t>2008;</w:t>
      </w:r>
      <w:r>
        <w:rPr>
          <w:b/>
          <w:bCs/>
        </w:rPr>
        <w:t>26</w:t>
      </w:r>
      <w:r>
        <w:t>:1987</w:t>
      </w:r>
      <w:proofErr w:type="gramEnd"/>
      <w:r>
        <w:t>–92. doi:10.1200/JCO.2007.10.8407</w:t>
      </w:r>
    </w:p>
    <w:p w14:paraId="22797B18" w14:textId="77777777" w:rsidR="00357E42" w:rsidRDefault="00357E42" w:rsidP="00357E42">
      <w:pPr>
        <w:pStyle w:val="Bibliography"/>
      </w:pPr>
      <w:r>
        <w:t xml:space="preserve">37 </w:t>
      </w:r>
      <w:r>
        <w:tab/>
        <w:t xml:space="preserve">Ciani O, Buyse M, Garside R, </w:t>
      </w:r>
      <w:r>
        <w:rPr>
          <w:i/>
          <w:iCs/>
        </w:rPr>
        <w:t>et al.</w:t>
      </w:r>
      <w:r>
        <w:t xml:space="preserve"> Meta-analyses of randomized controlled trials show suboptimal validity of surrogate outcomes for overall survival in advanced colorectal cancer. </w:t>
      </w:r>
      <w:r>
        <w:rPr>
          <w:i/>
          <w:iCs/>
        </w:rPr>
        <w:t>J Clin Epidemiol</w:t>
      </w:r>
      <w:r>
        <w:t xml:space="preserve"> </w:t>
      </w:r>
      <w:proofErr w:type="gramStart"/>
      <w:r>
        <w:t>2015;</w:t>
      </w:r>
      <w:r>
        <w:rPr>
          <w:b/>
          <w:bCs/>
        </w:rPr>
        <w:t>68</w:t>
      </w:r>
      <w:r>
        <w:t>:833</w:t>
      </w:r>
      <w:proofErr w:type="gramEnd"/>
      <w:r>
        <w:t xml:space="preserve">–42. </w:t>
      </w:r>
      <w:proofErr w:type="gramStart"/>
      <w:r>
        <w:t>doi:10.1016/j.jclinepi</w:t>
      </w:r>
      <w:proofErr w:type="gramEnd"/>
      <w:r>
        <w:t>.2015.02.016</w:t>
      </w:r>
    </w:p>
    <w:p w14:paraId="2973FB59" w14:textId="77777777" w:rsidR="00357E42" w:rsidRDefault="00357E42" w:rsidP="00357E42">
      <w:pPr>
        <w:pStyle w:val="Bibliography"/>
      </w:pPr>
      <w:r>
        <w:t xml:space="preserve">38 </w:t>
      </w:r>
      <w:r>
        <w:tab/>
        <w:t xml:space="preserve">Joffe MM, Greene T. Related Causal Frameworks for Surrogate Outcomes. </w:t>
      </w:r>
      <w:r>
        <w:rPr>
          <w:i/>
          <w:iCs/>
        </w:rPr>
        <w:t>Biometrics</w:t>
      </w:r>
      <w:r>
        <w:t xml:space="preserve"> </w:t>
      </w:r>
      <w:proofErr w:type="gramStart"/>
      <w:r>
        <w:t>2009;</w:t>
      </w:r>
      <w:r>
        <w:rPr>
          <w:b/>
          <w:bCs/>
        </w:rPr>
        <w:t>65</w:t>
      </w:r>
      <w:r>
        <w:t>:530</w:t>
      </w:r>
      <w:proofErr w:type="gramEnd"/>
      <w:r>
        <w:t xml:space="preserve">–8. </w:t>
      </w:r>
      <w:proofErr w:type="gramStart"/>
      <w:r>
        <w:t>doi:https://doi.org/10.1111/j.1541-0420.2008.01106.x</w:t>
      </w:r>
      <w:proofErr w:type="gramEnd"/>
    </w:p>
    <w:p w14:paraId="617E3E93" w14:textId="77777777" w:rsidR="00357E42" w:rsidRDefault="00357E42" w:rsidP="00357E42">
      <w:pPr>
        <w:pStyle w:val="Bibliography"/>
      </w:pPr>
      <w:r>
        <w:t xml:space="preserve">39 </w:t>
      </w:r>
      <w:r>
        <w:tab/>
        <w:t xml:space="preserve">Bujkiewicz S, Thompson JR, Spata E, </w:t>
      </w:r>
      <w:r>
        <w:rPr>
          <w:i/>
          <w:iCs/>
        </w:rPr>
        <w:t>et al.</w:t>
      </w:r>
      <w:r>
        <w:t xml:space="preserve"> Uncertainty in the Bayesian meta-analysis of normally distributed surrogate endpoints. </w:t>
      </w:r>
      <w:r>
        <w:rPr>
          <w:i/>
          <w:iCs/>
        </w:rPr>
        <w:t>Stat Methods Med Res</w:t>
      </w:r>
      <w:r>
        <w:t xml:space="preserve"> </w:t>
      </w:r>
      <w:proofErr w:type="gramStart"/>
      <w:r>
        <w:t>2015;</w:t>
      </w:r>
      <w:r>
        <w:rPr>
          <w:b/>
          <w:bCs/>
        </w:rPr>
        <w:t>26</w:t>
      </w:r>
      <w:r>
        <w:t>:2287</w:t>
      </w:r>
      <w:proofErr w:type="gramEnd"/>
      <w:r>
        <w:t>–318. doi:10.1177/0962280215597260</w:t>
      </w:r>
    </w:p>
    <w:p w14:paraId="433384EA" w14:textId="77777777" w:rsidR="00357E42" w:rsidRDefault="00357E42" w:rsidP="00357E42">
      <w:pPr>
        <w:pStyle w:val="Bibliography"/>
      </w:pPr>
      <w:r>
        <w:lastRenderedPageBreak/>
        <w:t xml:space="preserve">40 </w:t>
      </w:r>
      <w:r>
        <w:tab/>
        <w:t xml:space="preserve">Bujkiewicz S, Thompson JR, Riley RD, </w:t>
      </w:r>
      <w:r>
        <w:rPr>
          <w:i/>
          <w:iCs/>
        </w:rPr>
        <w:t>et al.</w:t>
      </w:r>
      <w:r>
        <w:t xml:space="preserve"> Bayesian meta-analytical methods to incorporate multiple surrogate endpoints in drug development process. </w:t>
      </w:r>
      <w:r>
        <w:rPr>
          <w:i/>
          <w:iCs/>
        </w:rPr>
        <w:t>Statistics in Medicine</w:t>
      </w:r>
      <w:r>
        <w:t xml:space="preserve"> </w:t>
      </w:r>
      <w:proofErr w:type="gramStart"/>
      <w:r>
        <w:t>2016;</w:t>
      </w:r>
      <w:r>
        <w:rPr>
          <w:b/>
          <w:bCs/>
        </w:rPr>
        <w:t>35</w:t>
      </w:r>
      <w:r>
        <w:t>:1063</w:t>
      </w:r>
      <w:proofErr w:type="gramEnd"/>
      <w:r>
        <w:t>–89. doi:10.1002/sim.6776</w:t>
      </w:r>
    </w:p>
    <w:p w14:paraId="2A7ED3FC" w14:textId="77777777" w:rsidR="00357E42" w:rsidRDefault="00357E42" w:rsidP="00357E42">
      <w:pPr>
        <w:pStyle w:val="Bibliography"/>
      </w:pPr>
      <w:r>
        <w:t xml:space="preserve">41 </w:t>
      </w:r>
      <w:r>
        <w:tab/>
        <w:t xml:space="preserve">Burzykowski T, Molenberghs G, Buyse M, </w:t>
      </w:r>
      <w:r>
        <w:rPr>
          <w:i/>
          <w:iCs/>
        </w:rPr>
        <w:t>et al.</w:t>
      </w:r>
      <w:r>
        <w:t xml:space="preserve"> Validation of surrogate end points in multiple randomized clinical trials with failure time end points. </w:t>
      </w:r>
      <w:r>
        <w:rPr>
          <w:i/>
          <w:iCs/>
        </w:rPr>
        <w:t>Journal of the Royal Statistical Society: Series C (Applied Statistics)</w:t>
      </w:r>
      <w:r>
        <w:t xml:space="preserve"> </w:t>
      </w:r>
      <w:proofErr w:type="gramStart"/>
      <w:r>
        <w:t>2001;</w:t>
      </w:r>
      <w:r>
        <w:rPr>
          <w:b/>
          <w:bCs/>
        </w:rPr>
        <w:t>50</w:t>
      </w:r>
      <w:r>
        <w:t>:405</w:t>
      </w:r>
      <w:proofErr w:type="gramEnd"/>
      <w:r>
        <w:t>–22. doi:10.1111/1467-9876.00244</w:t>
      </w:r>
    </w:p>
    <w:p w14:paraId="5E972F41" w14:textId="77777777" w:rsidR="00357E42" w:rsidRDefault="00357E42" w:rsidP="00357E42">
      <w:pPr>
        <w:pStyle w:val="Bibliography"/>
      </w:pPr>
      <w:r>
        <w:t xml:space="preserve">42 </w:t>
      </w:r>
      <w:r>
        <w:tab/>
        <w:t xml:space="preserve">Daniels MJ, Hughes MD. Meta-analysis for the evaluation of potential surrogate markers. </w:t>
      </w:r>
      <w:r>
        <w:rPr>
          <w:i/>
          <w:iCs/>
        </w:rPr>
        <w:t>Statistics in Medicine</w:t>
      </w:r>
      <w:r>
        <w:t xml:space="preserve"> </w:t>
      </w:r>
      <w:proofErr w:type="gramStart"/>
      <w:r>
        <w:t>1997;</w:t>
      </w:r>
      <w:r>
        <w:rPr>
          <w:b/>
          <w:bCs/>
        </w:rPr>
        <w:t>16</w:t>
      </w:r>
      <w:r>
        <w:t>:1965</w:t>
      </w:r>
      <w:proofErr w:type="gramEnd"/>
      <w:r>
        <w:t>–82. doi:10.1002/(SICI)1097-0258(19970915)16:17&lt;</w:t>
      </w:r>
      <w:proofErr w:type="gramStart"/>
      <w:r>
        <w:t>1965::</w:t>
      </w:r>
      <w:proofErr w:type="gramEnd"/>
      <w:r>
        <w:t>AID-SIM630&gt;3.0.CO;2-M</w:t>
      </w:r>
    </w:p>
    <w:p w14:paraId="68FCC01B" w14:textId="77777777" w:rsidR="00357E42" w:rsidRDefault="00357E42" w:rsidP="00357E42">
      <w:pPr>
        <w:pStyle w:val="Bibliography"/>
      </w:pPr>
      <w:r>
        <w:t xml:space="preserve">43 </w:t>
      </w:r>
      <w:r>
        <w:tab/>
        <w:t xml:space="preserve">Buyse M, Molenberghs G, Burzykowski T, </w:t>
      </w:r>
      <w:r>
        <w:rPr>
          <w:i/>
          <w:iCs/>
        </w:rPr>
        <w:t>et al.</w:t>
      </w:r>
      <w:r>
        <w:t xml:space="preserve"> The validation of surrogate endpoints in meta-analyses of randomized experiments. </w:t>
      </w:r>
      <w:r>
        <w:rPr>
          <w:i/>
          <w:iCs/>
        </w:rPr>
        <w:t>Biostatistics</w:t>
      </w:r>
      <w:r>
        <w:t xml:space="preserve"> </w:t>
      </w:r>
      <w:proofErr w:type="gramStart"/>
      <w:r>
        <w:t>2000;</w:t>
      </w:r>
      <w:r>
        <w:rPr>
          <w:b/>
          <w:bCs/>
        </w:rPr>
        <w:t>1</w:t>
      </w:r>
      <w:r>
        <w:t>:49</w:t>
      </w:r>
      <w:proofErr w:type="gramEnd"/>
      <w:r>
        <w:t>–67. doi:10.1093/biostatistics/1.1.49</w:t>
      </w:r>
    </w:p>
    <w:p w14:paraId="4362B070" w14:textId="77777777" w:rsidR="00357E42" w:rsidRDefault="00357E42" w:rsidP="00357E42">
      <w:pPr>
        <w:pStyle w:val="Bibliography"/>
      </w:pPr>
      <w:r>
        <w:t xml:space="preserve">44 </w:t>
      </w:r>
      <w:r>
        <w:tab/>
        <w:t xml:space="preserve">Bujkiewicz S, Achana F, Papanikos T, </w:t>
      </w:r>
      <w:r>
        <w:rPr>
          <w:i/>
          <w:iCs/>
        </w:rPr>
        <w:t>et al.</w:t>
      </w:r>
      <w:r>
        <w:t xml:space="preserve"> NICE DSU Technical Support Document 20: Multivariate meta-analysis of summary data for combining treatment effects on correlated outcomes and evaluating surrogate endpoints. 2019. http://nicedsu.org.uk/wp-content/uploads/2020/10/TSD-20-mvmeta-final.pdf</w:t>
      </w:r>
    </w:p>
    <w:p w14:paraId="3C17905B" w14:textId="77777777" w:rsidR="00357E42" w:rsidRDefault="00357E42" w:rsidP="00357E42">
      <w:pPr>
        <w:pStyle w:val="Bibliography"/>
      </w:pPr>
      <w:r>
        <w:t xml:space="preserve">45 </w:t>
      </w:r>
      <w:r>
        <w:tab/>
        <w:t xml:space="preserve">Welton N, Phillippo D, Owen R, </w:t>
      </w:r>
      <w:r>
        <w:rPr>
          <w:i/>
          <w:iCs/>
        </w:rPr>
        <w:t>et al.</w:t>
      </w:r>
      <w:r>
        <w:t xml:space="preserve"> CHTE2020 Sources and Synthesis of Evidence: Update to Evidence Synthesis Methods Report by The Decision Support Unit. Sheffield</w:t>
      </w:r>
      <w:proofErr w:type="gramStart"/>
      <w:r>
        <w:t>: :</w:t>
      </w:r>
      <w:proofErr w:type="gramEnd"/>
      <w:r>
        <w:t xml:space="preserve"> ScHARR, University of Sheffield 2020. http://nicedsu.org.uk/wp-content/uploads/2020/11/CHTE-2020_final_20April2020_final.pdf</w:t>
      </w:r>
    </w:p>
    <w:p w14:paraId="6F09BA76" w14:textId="77777777" w:rsidR="00357E42" w:rsidRDefault="00357E42" w:rsidP="00357E42">
      <w:pPr>
        <w:pStyle w:val="Bibliography"/>
      </w:pPr>
      <w:r>
        <w:t xml:space="preserve">46 </w:t>
      </w:r>
      <w:r>
        <w:tab/>
        <w:t xml:space="preserve">Bujkiewicz S, Jackson D, Thompson JR, </w:t>
      </w:r>
      <w:r>
        <w:rPr>
          <w:i/>
          <w:iCs/>
        </w:rPr>
        <w:t>et al.</w:t>
      </w:r>
      <w:r>
        <w:t xml:space="preserve"> Bivariate network meta-analysis for surrogate endpoint evaluation. </w:t>
      </w:r>
      <w:r>
        <w:rPr>
          <w:i/>
          <w:iCs/>
        </w:rPr>
        <w:t>Statistics in Medicine</w:t>
      </w:r>
      <w:r>
        <w:t xml:space="preserve"> </w:t>
      </w:r>
      <w:proofErr w:type="gramStart"/>
      <w:r>
        <w:t>2019;</w:t>
      </w:r>
      <w:r>
        <w:rPr>
          <w:b/>
          <w:bCs/>
        </w:rPr>
        <w:t>38</w:t>
      </w:r>
      <w:r>
        <w:t>:3322</w:t>
      </w:r>
      <w:proofErr w:type="gramEnd"/>
      <w:r>
        <w:t>–41. doi:10.1002/sim.8187</w:t>
      </w:r>
    </w:p>
    <w:p w14:paraId="6343450A" w14:textId="77777777" w:rsidR="00357E42" w:rsidRDefault="00357E42" w:rsidP="00357E42">
      <w:pPr>
        <w:pStyle w:val="Bibliography"/>
      </w:pPr>
      <w:r>
        <w:t xml:space="preserve">47 </w:t>
      </w:r>
      <w:r>
        <w:tab/>
        <w:t xml:space="preserve">Papanikos T, Thompson JR, Abrams KR, </w:t>
      </w:r>
      <w:r>
        <w:rPr>
          <w:i/>
          <w:iCs/>
        </w:rPr>
        <w:t>et al.</w:t>
      </w:r>
      <w:r>
        <w:t xml:space="preserve"> Bayesian hierarchical meta-analytic methods for modeling surrogate relationships that vary across treatment classes using aggregate data. </w:t>
      </w:r>
      <w:r>
        <w:rPr>
          <w:i/>
          <w:iCs/>
        </w:rPr>
        <w:t>Statistics in Medicine</w:t>
      </w:r>
      <w:r>
        <w:t xml:space="preserve"> </w:t>
      </w:r>
      <w:proofErr w:type="gramStart"/>
      <w:r>
        <w:t>2020;</w:t>
      </w:r>
      <w:r>
        <w:rPr>
          <w:b/>
          <w:bCs/>
        </w:rPr>
        <w:t>39</w:t>
      </w:r>
      <w:r>
        <w:t>:1103</w:t>
      </w:r>
      <w:proofErr w:type="gramEnd"/>
      <w:r>
        <w:t>–24. doi:10.1002/sim.8465</w:t>
      </w:r>
    </w:p>
    <w:p w14:paraId="26BC7A5C" w14:textId="77777777" w:rsidR="00357E42" w:rsidRDefault="00357E42" w:rsidP="00357E42">
      <w:pPr>
        <w:pStyle w:val="Bibliography"/>
      </w:pPr>
      <w:r>
        <w:t xml:space="preserve">48 </w:t>
      </w:r>
      <w:r>
        <w:tab/>
        <w:t xml:space="preserve">Institute of Medicine (US) Committee on Qualification of Biomarkers and Surrogate Endpoints in Chronic Disease, Micheel C, Ball J. </w:t>
      </w:r>
      <w:r>
        <w:rPr>
          <w:i/>
          <w:iCs/>
        </w:rPr>
        <w:t>Evaluation of Biomarkers and Surrogate Endpoints in Chronic Disease.</w:t>
      </w:r>
      <w:r>
        <w:t xml:space="preserve"> Washington (DC)</w:t>
      </w:r>
      <w:proofErr w:type="gramStart"/>
      <w:r>
        <w:t>: :</w:t>
      </w:r>
      <w:proofErr w:type="gramEnd"/>
      <w:r>
        <w:t xml:space="preserve"> National Academies Press (US) 2010. https://www.ncbi.nlm.nih.gov/books/NBK220297/ doi: 10.17226/12869 (accessed 5 Jul 2021).</w:t>
      </w:r>
    </w:p>
    <w:p w14:paraId="27AEDA37" w14:textId="77777777" w:rsidR="00357E42" w:rsidRDefault="00357E42" w:rsidP="00357E42">
      <w:pPr>
        <w:pStyle w:val="Bibliography"/>
      </w:pPr>
      <w:r>
        <w:t xml:space="preserve">49 </w:t>
      </w:r>
      <w:r>
        <w:tab/>
        <w:t xml:space="preserve">Burzykowski T, Molenberghs G, Buyse M. </w:t>
      </w:r>
      <w:r>
        <w:rPr>
          <w:i/>
          <w:iCs/>
        </w:rPr>
        <w:t>The Evaluation of Surrogate Endpoints</w:t>
      </w:r>
      <w:r>
        <w:t>. Springer, New York, NY https://link.springer.com/book/10.1007/b138566#about</w:t>
      </w:r>
    </w:p>
    <w:p w14:paraId="79F62BB2" w14:textId="77777777" w:rsidR="00357E42" w:rsidRDefault="00357E42" w:rsidP="00357E42">
      <w:pPr>
        <w:pStyle w:val="Bibliography"/>
      </w:pPr>
      <w:r>
        <w:t xml:space="preserve">50 </w:t>
      </w:r>
      <w:r>
        <w:tab/>
        <w:t>National Institute for Health and Care Excellence (NICE). CHTE methods review: Sources and synthesis of evidence Task and finish group report. 2020. https://www.nice.org.uk/about/what-we-do/our-programmes/nice-guidance/chte-methods-consultation</w:t>
      </w:r>
    </w:p>
    <w:p w14:paraId="73F742F2" w14:textId="77777777" w:rsidR="00357E42" w:rsidRDefault="00357E42" w:rsidP="00357E42">
      <w:pPr>
        <w:pStyle w:val="Bibliography"/>
      </w:pPr>
      <w:r>
        <w:t xml:space="preserve">51 </w:t>
      </w:r>
      <w:r>
        <w:tab/>
        <w:t>National Institute for Health and Care Excellence (NICE). The NICE methods of health technology evaluation: The case for change. 2020. https://www.nice.org.uk/about/what-we-do/our-programmes/nice-guidance/chte-methods-consultation</w:t>
      </w:r>
    </w:p>
    <w:p w14:paraId="6FD044B5" w14:textId="77777777" w:rsidR="00357E42" w:rsidRDefault="00357E42" w:rsidP="00357E42">
      <w:pPr>
        <w:pStyle w:val="Bibliography"/>
      </w:pPr>
      <w:r>
        <w:t xml:space="preserve">52 </w:t>
      </w:r>
      <w:r>
        <w:tab/>
        <w:t>Medicines and Healthcare products Regulatory Agency. Innovative Licensing and Access Pathway. 2021. https://www.gov.uk/guidance/innovative-licensing-and-access-pathway</w:t>
      </w:r>
    </w:p>
    <w:p w14:paraId="23E8CB44" w14:textId="77777777" w:rsidR="00357E42" w:rsidRDefault="00357E42" w:rsidP="00357E42">
      <w:pPr>
        <w:pStyle w:val="Bibliography"/>
      </w:pPr>
      <w:r>
        <w:lastRenderedPageBreak/>
        <w:t xml:space="preserve">53 </w:t>
      </w:r>
      <w:r>
        <w:tab/>
        <w:t xml:space="preserve">Sharma A, Pagidipati NJ, Califf RM, </w:t>
      </w:r>
      <w:r>
        <w:rPr>
          <w:i/>
          <w:iCs/>
        </w:rPr>
        <w:t>et al.</w:t>
      </w:r>
      <w:r>
        <w:t xml:space="preserve"> Impact of Regulatory Guidance on Evaluating Cardiovascular Risk of New Glucose-Lowering Therapies to Treat Type 2 Diabetes Mellitus: Lessons Learned </w:t>
      </w:r>
      <w:proofErr w:type="gramStart"/>
      <w:r>
        <w:t>and  Future</w:t>
      </w:r>
      <w:proofErr w:type="gramEnd"/>
      <w:r>
        <w:t xml:space="preserve"> Directions. </w:t>
      </w:r>
      <w:r>
        <w:rPr>
          <w:i/>
          <w:iCs/>
        </w:rPr>
        <w:t>Circulation</w:t>
      </w:r>
      <w:r>
        <w:t xml:space="preserve"> </w:t>
      </w:r>
      <w:proofErr w:type="gramStart"/>
      <w:r>
        <w:t>2020;</w:t>
      </w:r>
      <w:r>
        <w:rPr>
          <w:b/>
          <w:bCs/>
        </w:rPr>
        <w:t>141</w:t>
      </w:r>
      <w:r>
        <w:t>:843</w:t>
      </w:r>
      <w:proofErr w:type="gramEnd"/>
      <w:r>
        <w:t>–62. doi:10.1161/CIRCULATIONAHA.119.041022</w:t>
      </w:r>
    </w:p>
    <w:p w14:paraId="34CABEC1" w14:textId="77777777" w:rsidR="00357E42" w:rsidRDefault="00357E42" w:rsidP="00357E42">
      <w:pPr>
        <w:pStyle w:val="Bibliography"/>
      </w:pPr>
      <w:r>
        <w:t xml:space="preserve">54 </w:t>
      </w:r>
      <w:r>
        <w:tab/>
        <w:t xml:space="preserve">Hwang TJ, Franklin JM, Kesselheim AS. Effect of US Food and Drug Administration’s Cardiovascular Safety Guidance on Diabetes Drug Development. </w:t>
      </w:r>
      <w:r>
        <w:rPr>
          <w:i/>
          <w:iCs/>
        </w:rPr>
        <w:t>Clin Pharmacol Ther</w:t>
      </w:r>
      <w:r>
        <w:t xml:space="preserve"> </w:t>
      </w:r>
      <w:proofErr w:type="gramStart"/>
      <w:r>
        <w:t>2017;</w:t>
      </w:r>
      <w:r>
        <w:rPr>
          <w:b/>
          <w:bCs/>
        </w:rPr>
        <w:t>102</w:t>
      </w:r>
      <w:r>
        <w:t>:290</w:t>
      </w:r>
      <w:proofErr w:type="gramEnd"/>
      <w:r>
        <w:t>–6. doi:10.1002/cpt.705</w:t>
      </w:r>
    </w:p>
    <w:p w14:paraId="6104BDCA" w14:textId="77777777" w:rsidR="00357E42" w:rsidRDefault="00357E42" w:rsidP="00357E42">
      <w:pPr>
        <w:pStyle w:val="Bibliography"/>
      </w:pPr>
      <w:r>
        <w:t xml:space="preserve">55 </w:t>
      </w:r>
      <w:r>
        <w:tab/>
        <w:t xml:space="preserve">Inker LA, Mondal H, Greene T, </w:t>
      </w:r>
      <w:r>
        <w:rPr>
          <w:i/>
          <w:iCs/>
        </w:rPr>
        <w:t>et al.</w:t>
      </w:r>
      <w:r>
        <w:t xml:space="preserve"> Early Change in Urine Protein as a Surrogate End Point in Studies of IgA Nephropathy: An Individual-Patient Meta-analysis. </w:t>
      </w:r>
      <w:r>
        <w:rPr>
          <w:i/>
          <w:iCs/>
        </w:rPr>
        <w:t>Am J Kidney Dis</w:t>
      </w:r>
      <w:r>
        <w:t xml:space="preserve"> </w:t>
      </w:r>
      <w:proofErr w:type="gramStart"/>
      <w:r>
        <w:t>2016;</w:t>
      </w:r>
      <w:r>
        <w:rPr>
          <w:b/>
          <w:bCs/>
        </w:rPr>
        <w:t>68</w:t>
      </w:r>
      <w:r>
        <w:t>:392</w:t>
      </w:r>
      <w:proofErr w:type="gramEnd"/>
      <w:r>
        <w:t xml:space="preserve">–401. </w:t>
      </w:r>
      <w:proofErr w:type="gramStart"/>
      <w:r>
        <w:t>doi:10.1053/j.ajkd</w:t>
      </w:r>
      <w:proofErr w:type="gramEnd"/>
      <w:r>
        <w:t>.2016.02.042</w:t>
      </w:r>
    </w:p>
    <w:p w14:paraId="0DF1D9C2" w14:textId="77777777" w:rsidR="00357E42" w:rsidRDefault="00357E42" w:rsidP="00357E42">
      <w:pPr>
        <w:pStyle w:val="Bibliography"/>
      </w:pPr>
      <w:r>
        <w:t xml:space="preserve">56 </w:t>
      </w:r>
      <w:r>
        <w:tab/>
        <w:t xml:space="preserve">Cholesterol Treatment Trialists’ (CTT) Collaborators. Efficacy and safety of cholesterol-lowering treatment: prospective meta-analysis of data from 90 056 participants in 14 randomised trials of statins. </w:t>
      </w:r>
      <w:r>
        <w:rPr>
          <w:i/>
          <w:iCs/>
        </w:rPr>
        <w:t>The Lancet</w:t>
      </w:r>
      <w:r>
        <w:t xml:space="preserve"> </w:t>
      </w:r>
      <w:proofErr w:type="gramStart"/>
      <w:r>
        <w:t>2005;</w:t>
      </w:r>
      <w:r>
        <w:rPr>
          <w:b/>
          <w:bCs/>
        </w:rPr>
        <w:t>366</w:t>
      </w:r>
      <w:r>
        <w:t>:1267</w:t>
      </w:r>
      <w:proofErr w:type="gramEnd"/>
      <w:r>
        <w:t>–78. doi:10.1016/S0140-6736(05)67394-1</w:t>
      </w:r>
    </w:p>
    <w:p w14:paraId="123BA61F" w14:textId="77777777" w:rsidR="00357E42" w:rsidRDefault="00357E42" w:rsidP="00357E42">
      <w:pPr>
        <w:pStyle w:val="Bibliography"/>
      </w:pPr>
      <w:r>
        <w:t xml:space="preserve">57 </w:t>
      </w:r>
      <w:r>
        <w:tab/>
        <w:t xml:space="preserve">Petrelli F, Borgonovo K, Cabiddu M, </w:t>
      </w:r>
      <w:r>
        <w:rPr>
          <w:i/>
          <w:iCs/>
        </w:rPr>
        <w:t>et al.</w:t>
      </w:r>
      <w:r>
        <w:t xml:space="preserve"> Pathologic complete response and disease-free survival are not surrogate endpoints for 5-year survival in rectal cancer: an analysis of 22 randomized trials. </w:t>
      </w:r>
      <w:r>
        <w:rPr>
          <w:i/>
          <w:iCs/>
        </w:rPr>
        <w:t>J Gastrointest Oncol</w:t>
      </w:r>
      <w:r>
        <w:t xml:space="preserve"> </w:t>
      </w:r>
      <w:proofErr w:type="gramStart"/>
      <w:r>
        <w:t>2017;</w:t>
      </w:r>
      <w:r>
        <w:rPr>
          <w:b/>
          <w:bCs/>
        </w:rPr>
        <w:t>8</w:t>
      </w:r>
      <w:r>
        <w:t>:39</w:t>
      </w:r>
      <w:proofErr w:type="gramEnd"/>
      <w:r>
        <w:t>–48. doi:10.21037/jgo.2016.11.03</w:t>
      </w:r>
    </w:p>
    <w:p w14:paraId="1560A10C" w14:textId="77777777" w:rsidR="00357E42" w:rsidRDefault="00357E42" w:rsidP="00357E42">
      <w:pPr>
        <w:pStyle w:val="Bibliography"/>
      </w:pPr>
      <w:r>
        <w:t xml:space="preserve">58 </w:t>
      </w:r>
      <w:r>
        <w:tab/>
        <w:t xml:space="preserve">Abdel-Rahman O. Surrogate end points for overall survival in trials of PD-(L)1 inhibitors for urinary cancers: a systematic review. </w:t>
      </w:r>
      <w:r>
        <w:rPr>
          <w:i/>
          <w:iCs/>
        </w:rPr>
        <w:t>Immunotherapy</w:t>
      </w:r>
      <w:r>
        <w:t xml:space="preserve"> </w:t>
      </w:r>
      <w:proofErr w:type="gramStart"/>
      <w:r>
        <w:t>2018;</w:t>
      </w:r>
      <w:r>
        <w:rPr>
          <w:b/>
          <w:bCs/>
        </w:rPr>
        <w:t>10</w:t>
      </w:r>
      <w:r>
        <w:t>:139</w:t>
      </w:r>
      <w:proofErr w:type="gramEnd"/>
      <w:r>
        <w:t>–48. doi:10.2217/imt-2017-0115</w:t>
      </w:r>
    </w:p>
    <w:p w14:paraId="370EFC29" w14:textId="77777777" w:rsidR="00357E42" w:rsidRDefault="00357E42" w:rsidP="00357E42">
      <w:pPr>
        <w:pStyle w:val="Bibliography"/>
      </w:pPr>
      <w:r>
        <w:t xml:space="preserve">59 </w:t>
      </w:r>
      <w:r>
        <w:tab/>
        <w:t xml:space="preserve">Harshman LC, Xie W, Moreira RB, </w:t>
      </w:r>
      <w:r>
        <w:rPr>
          <w:i/>
          <w:iCs/>
        </w:rPr>
        <w:t>et al.</w:t>
      </w:r>
      <w:r>
        <w:t xml:space="preserve"> Evaluation of disease-free survival as an intermediate metric of overall survival in patients with localized renal cell carcinoma: A trial-level meta-analysis. </w:t>
      </w:r>
      <w:r>
        <w:rPr>
          <w:i/>
          <w:iCs/>
        </w:rPr>
        <w:t>Cancer</w:t>
      </w:r>
      <w:r>
        <w:t xml:space="preserve"> </w:t>
      </w:r>
      <w:proofErr w:type="gramStart"/>
      <w:r>
        <w:t>2018;</w:t>
      </w:r>
      <w:r>
        <w:rPr>
          <w:b/>
          <w:bCs/>
        </w:rPr>
        <w:t>124</w:t>
      </w:r>
      <w:r>
        <w:t>:925</w:t>
      </w:r>
      <w:proofErr w:type="gramEnd"/>
      <w:r>
        <w:t>–33. doi:10.1002/cncr.31154</w:t>
      </w:r>
    </w:p>
    <w:p w14:paraId="54EC9094" w14:textId="77777777" w:rsidR="00357E42" w:rsidRDefault="00357E42" w:rsidP="00357E42">
      <w:pPr>
        <w:pStyle w:val="Bibliography"/>
      </w:pPr>
      <w:r>
        <w:t xml:space="preserve">60 </w:t>
      </w:r>
      <w:r>
        <w:tab/>
        <w:t xml:space="preserve">Xie W, Regan MM, Buyse M, </w:t>
      </w:r>
      <w:r>
        <w:rPr>
          <w:i/>
          <w:iCs/>
        </w:rPr>
        <w:t>et al.</w:t>
      </w:r>
      <w:r>
        <w:t xml:space="preserve"> Event-Free Survival, a Prostate-Specific Antigen-Based Composite End Point, Is Not a Surrogate for Overall Survival in Men With Localized Prostate Cancer Treated </w:t>
      </w:r>
      <w:proofErr w:type="gramStart"/>
      <w:r>
        <w:t>With  Radiation</w:t>
      </w:r>
      <w:proofErr w:type="gramEnd"/>
      <w:r>
        <w:t xml:space="preserve">. </w:t>
      </w:r>
      <w:r>
        <w:rPr>
          <w:i/>
          <w:iCs/>
        </w:rPr>
        <w:t>J Clin Oncol</w:t>
      </w:r>
      <w:r>
        <w:t xml:space="preserve"> </w:t>
      </w:r>
      <w:proofErr w:type="gramStart"/>
      <w:r>
        <w:t>2020;</w:t>
      </w:r>
      <w:r>
        <w:rPr>
          <w:b/>
          <w:bCs/>
        </w:rPr>
        <w:t>38</w:t>
      </w:r>
      <w:r>
        <w:t>:3032</w:t>
      </w:r>
      <w:proofErr w:type="gramEnd"/>
      <w:r>
        <w:t>–41. doi:10.1200/JCO.19.03114</w:t>
      </w:r>
    </w:p>
    <w:p w14:paraId="127355E2" w14:textId="77777777" w:rsidR="00357E42" w:rsidRDefault="00357E42" w:rsidP="00357E42">
      <w:pPr>
        <w:pStyle w:val="Bibliography"/>
      </w:pPr>
      <w:r>
        <w:t xml:space="preserve">61 </w:t>
      </w:r>
      <w:r>
        <w:tab/>
        <w:t xml:space="preserve">Hughes M, Daniels M, Fischl M, </w:t>
      </w:r>
      <w:r>
        <w:rPr>
          <w:i/>
          <w:iCs/>
        </w:rPr>
        <w:t>et al.</w:t>
      </w:r>
      <w:r>
        <w:t xml:space="preserve"> CD4 cell count as a surrogate endpoint in HIV clinical trials: a meta-analysis of studies of the AIDS Clinical Trials Group. </w:t>
      </w:r>
      <w:r>
        <w:rPr>
          <w:i/>
          <w:iCs/>
        </w:rPr>
        <w:t>AIDS</w:t>
      </w:r>
      <w:r>
        <w:t xml:space="preserve"> </w:t>
      </w:r>
      <w:proofErr w:type="gramStart"/>
      <w:r>
        <w:t>1998;</w:t>
      </w:r>
      <w:r>
        <w:rPr>
          <w:b/>
          <w:bCs/>
        </w:rPr>
        <w:t>12</w:t>
      </w:r>
      <w:r>
        <w:t>:1823</w:t>
      </w:r>
      <w:proofErr w:type="gramEnd"/>
      <w:r>
        <w:t>–32.</w:t>
      </w:r>
    </w:p>
    <w:p w14:paraId="3C32DA4E" w14:textId="7BC4D51C" w:rsidR="00CA1874" w:rsidRDefault="003228C6">
      <w:pPr>
        <w:spacing w:line="480" w:lineRule="auto"/>
        <w:rPr>
          <w:b/>
        </w:rPr>
      </w:pPr>
      <w:r>
        <w:rPr>
          <w:b/>
        </w:rPr>
        <w:fldChar w:fldCharType="end"/>
      </w:r>
    </w:p>
    <w:p w14:paraId="136F0950" w14:textId="27C60394" w:rsidR="006B7E92" w:rsidRDefault="006B7E92">
      <w:pPr>
        <w:spacing w:line="480" w:lineRule="auto"/>
        <w:rPr>
          <w:b/>
        </w:rPr>
      </w:pPr>
    </w:p>
    <w:p w14:paraId="72841AE2" w14:textId="2D383E1B" w:rsidR="006B7E92" w:rsidRDefault="006B7E92">
      <w:pPr>
        <w:spacing w:line="480" w:lineRule="auto"/>
        <w:rPr>
          <w:b/>
        </w:rPr>
      </w:pPr>
    </w:p>
    <w:p w14:paraId="61B36BA5" w14:textId="6E86E68C" w:rsidR="006B7E92" w:rsidRDefault="006B7E92">
      <w:pPr>
        <w:spacing w:line="480" w:lineRule="auto"/>
        <w:rPr>
          <w:b/>
        </w:rPr>
      </w:pPr>
    </w:p>
    <w:p w14:paraId="48478BE9" w14:textId="016A5E09" w:rsidR="006B7E92" w:rsidRDefault="006B7E92">
      <w:pPr>
        <w:spacing w:line="480" w:lineRule="auto"/>
        <w:rPr>
          <w:b/>
        </w:rPr>
      </w:pPr>
    </w:p>
    <w:p w14:paraId="68A61F56" w14:textId="4028137B" w:rsidR="006B7E92" w:rsidRDefault="006B7E92">
      <w:pPr>
        <w:spacing w:line="480" w:lineRule="auto"/>
        <w:rPr>
          <w:b/>
        </w:rPr>
      </w:pPr>
    </w:p>
    <w:p w14:paraId="5C803BA9" w14:textId="5CEEE580" w:rsidR="006B7E92" w:rsidRDefault="006B7E92">
      <w:pPr>
        <w:spacing w:line="480" w:lineRule="auto"/>
        <w:rPr>
          <w:b/>
        </w:rPr>
      </w:pPr>
    </w:p>
    <w:p w14:paraId="4EE50368" w14:textId="77777777" w:rsidR="006D7C80" w:rsidRDefault="006D7C80" w:rsidP="006D7C80">
      <w:pPr>
        <w:rPr>
          <w:b/>
        </w:rPr>
        <w:sectPr w:rsidR="006D7C80" w:rsidSect="00066746">
          <w:footerReference w:type="default" r:id="rId10"/>
          <w:pgSz w:w="11906" w:h="16838"/>
          <w:pgMar w:top="1440" w:right="707" w:bottom="1440" w:left="1440" w:header="708" w:footer="708" w:gutter="0"/>
          <w:lnNumType w:countBy="1" w:restart="continuous"/>
          <w:pgNumType w:start="1"/>
          <w:cols w:space="720"/>
          <w:docGrid w:linePitch="326"/>
        </w:sectPr>
      </w:pPr>
    </w:p>
    <w:p w14:paraId="348EAD68" w14:textId="77777777" w:rsidR="00222C48" w:rsidRDefault="00222C48" w:rsidP="00222C48">
      <w:pPr>
        <w:rPr>
          <w:b/>
        </w:rPr>
      </w:pPr>
      <w:r>
        <w:rPr>
          <w:b/>
        </w:rPr>
        <w:lastRenderedPageBreak/>
        <w:t xml:space="preserve">Table 1: </w:t>
      </w:r>
      <w:r w:rsidRPr="0050134F">
        <w:rPr>
          <w:b/>
        </w:rPr>
        <w:t>Examples of candidate surrogate endpoints evaluated using meta-analysis</w:t>
      </w:r>
      <w:r>
        <w:rPr>
          <w:b/>
        </w:rPr>
        <w:t xml:space="preserve"> and authors’ conclusions regarding the strength of the surrogate relationship</w:t>
      </w:r>
    </w:p>
    <w:p w14:paraId="351B1B2A" w14:textId="77777777" w:rsidR="004057B9" w:rsidRPr="00AA198E" w:rsidRDefault="004057B9" w:rsidP="00A70F82">
      <w:pPr>
        <w:rPr>
          <w:b/>
        </w:rPr>
      </w:pPr>
    </w:p>
    <w:tbl>
      <w:tblPr>
        <w:tblStyle w:val="TableGrid"/>
        <w:tblW w:w="14155" w:type="dxa"/>
        <w:tblLook w:val="04A0" w:firstRow="1" w:lastRow="0" w:firstColumn="1" w:lastColumn="0" w:noHBand="0" w:noVBand="1"/>
      </w:tblPr>
      <w:tblGrid>
        <w:gridCol w:w="1945"/>
        <w:gridCol w:w="2089"/>
        <w:gridCol w:w="2368"/>
        <w:gridCol w:w="7753"/>
      </w:tblGrid>
      <w:tr w:rsidR="001A5D69" w:rsidRPr="006D7C80" w14:paraId="6EFF7A2C" w14:textId="77777777" w:rsidTr="007D2544">
        <w:trPr>
          <w:trHeight w:val="397"/>
        </w:trPr>
        <w:tc>
          <w:tcPr>
            <w:tcW w:w="1945" w:type="dxa"/>
          </w:tcPr>
          <w:p w14:paraId="2ADFFC43" w14:textId="77777777" w:rsidR="001A5D69" w:rsidRPr="007D2544" w:rsidRDefault="001A5D69" w:rsidP="00306D4B">
            <w:pPr>
              <w:rPr>
                <w:b/>
                <w:sz w:val="22"/>
                <w:szCs w:val="22"/>
              </w:rPr>
            </w:pPr>
            <w:r w:rsidRPr="007D2544">
              <w:rPr>
                <w:b/>
                <w:sz w:val="22"/>
                <w:szCs w:val="22"/>
              </w:rPr>
              <w:t>Disease area</w:t>
            </w:r>
          </w:p>
        </w:tc>
        <w:tc>
          <w:tcPr>
            <w:tcW w:w="2089" w:type="dxa"/>
          </w:tcPr>
          <w:p w14:paraId="6DDD6397" w14:textId="77777777" w:rsidR="001A5D69" w:rsidRPr="007D2544" w:rsidRDefault="001A5D69" w:rsidP="00306D4B">
            <w:pPr>
              <w:rPr>
                <w:b/>
                <w:sz w:val="22"/>
                <w:szCs w:val="22"/>
              </w:rPr>
            </w:pPr>
            <w:r w:rsidRPr="007D2544">
              <w:rPr>
                <w:b/>
                <w:sz w:val="22"/>
                <w:szCs w:val="22"/>
              </w:rPr>
              <w:t>Candidate surrogate endpoint</w:t>
            </w:r>
          </w:p>
        </w:tc>
        <w:tc>
          <w:tcPr>
            <w:tcW w:w="2368" w:type="dxa"/>
          </w:tcPr>
          <w:p w14:paraId="61427C1C" w14:textId="77777777" w:rsidR="001A5D69" w:rsidRPr="007D2544" w:rsidRDefault="001A5D69" w:rsidP="00306D4B">
            <w:pPr>
              <w:rPr>
                <w:b/>
                <w:sz w:val="22"/>
                <w:szCs w:val="22"/>
              </w:rPr>
            </w:pPr>
            <w:r w:rsidRPr="007D2544">
              <w:rPr>
                <w:b/>
                <w:sz w:val="22"/>
                <w:szCs w:val="22"/>
              </w:rPr>
              <w:t>Final clinical outcome</w:t>
            </w:r>
          </w:p>
        </w:tc>
        <w:tc>
          <w:tcPr>
            <w:tcW w:w="7753" w:type="dxa"/>
          </w:tcPr>
          <w:p w14:paraId="4EA01982" w14:textId="54605636" w:rsidR="001A5D69" w:rsidRPr="007D2544" w:rsidRDefault="006D7C80" w:rsidP="00306D4B">
            <w:pPr>
              <w:rPr>
                <w:b/>
                <w:sz w:val="22"/>
                <w:szCs w:val="22"/>
              </w:rPr>
            </w:pPr>
            <w:r w:rsidRPr="007D2544">
              <w:rPr>
                <w:b/>
                <w:sz w:val="22"/>
                <w:szCs w:val="22"/>
              </w:rPr>
              <w:t>S</w:t>
            </w:r>
            <w:r w:rsidR="001A5D69" w:rsidRPr="007D2544">
              <w:rPr>
                <w:b/>
                <w:sz w:val="22"/>
                <w:szCs w:val="22"/>
              </w:rPr>
              <w:t xml:space="preserve">trength of </w:t>
            </w:r>
            <w:r w:rsidRPr="007D2544">
              <w:rPr>
                <w:b/>
                <w:sz w:val="22"/>
                <w:szCs w:val="22"/>
              </w:rPr>
              <w:t xml:space="preserve">the </w:t>
            </w:r>
            <w:r w:rsidR="001A5D69" w:rsidRPr="007D2544">
              <w:rPr>
                <w:b/>
                <w:sz w:val="22"/>
                <w:szCs w:val="22"/>
              </w:rPr>
              <w:t>surrogate relationship</w:t>
            </w:r>
            <w:r w:rsidR="009512FB" w:rsidRPr="007D2544">
              <w:rPr>
                <w:b/>
                <w:sz w:val="22"/>
                <w:szCs w:val="22"/>
              </w:rPr>
              <w:t>,</w:t>
            </w:r>
            <w:r w:rsidR="001A5D69" w:rsidRPr="007D2544">
              <w:rPr>
                <w:b/>
                <w:sz w:val="22"/>
                <w:szCs w:val="22"/>
              </w:rPr>
              <w:t xml:space="preserve"> as reported by </w:t>
            </w:r>
            <w:r w:rsidR="0048639A" w:rsidRPr="007D2544">
              <w:rPr>
                <w:b/>
                <w:sz w:val="22"/>
                <w:szCs w:val="22"/>
              </w:rPr>
              <w:t xml:space="preserve">study </w:t>
            </w:r>
            <w:r w:rsidR="001A5D69" w:rsidRPr="007D2544">
              <w:rPr>
                <w:b/>
                <w:sz w:val="22"/>
                <w:szCs w:val="22"/>
              </w:rPr>
              <w:t xml:space="preserve">authors </w:t>
            </w:r>
          </w:p>
        </w:tc>
      </w:tr>
      <w:tr w:rsidR="001A5D69" w:rsidRPr="006D7C80" w14:paraId="7DF4E520" w14:textId="77777777" w:rsidTr="007D2544">
        <w:trPr>
          <w:trHeight w:val="467"/>
        </w:trPr>
        <w:tc>
          <w:tcPr>
            <w:tcW w:w="1945" w:type="dxa"/>
          </w:tcPr>
          <w:p w14:paraId="14D56C7C" w14:textId="392792D0" w:rsidR="001A5D69" w:rsidRPr="00293394" w:rsidRDefault="001A5D69" w:rsidP="00306D4B">
            <w:pPr>
              <w:rPr>
                <w:sz w:val="22"/>
                <w:szCs w:val="22"/>
              </w:rPr>
            </w:pPr>
            <w:r w:rsidRPr="00293394">
              <w:rPr>
                <w:sz w:val="22"/>
                <w:szCs w:val="22"/>
              </w:rPr>
              <w:t>Gastric cancer</w:t>
            </w:r>
            <w:r w:rsidR="00EF3EE2">
              <w:rPr>
                <w:sz w:val="22"/>
                <w:szCs w:val="22"/>
              </w:rPr>
              <w:t xml:space="preserve"> </w:t>
            </w:r>
            <w:r w:rsidR="00EF3EE2">
              <w:rPr>
                <w:sz w:val="22"/>
                <w:szCs w:val="22"/>
              </w:rPr>
              <w:fldChar w:fldCharType="begin"/>
            </w:r>
            <w:r w:rsidR="00251F2F">
              <w:rPr>
                <w:sz w:val="22"/>
                <w:szCs w:val="22"/>
              </w:rPr>
              <w:instrText xml:space="preserve"> ADDIN ZOTERO_ITEM CSL_CITATION {"citationID":"w5OhiCyt","properties":{"formattedCitation":"[8]","plainCitation":"[8]","noteIndex":0},"citationItems":[{"id":39,"uris":["http://zotero.org/users/local/XzHhEqW9/items/75J3IRSR"],"uri":["http://zotero.org/users/local/XzHhEqW9/items/75J3IRSR"],"itemData":{"id":39,"type":"article-journal","abstract":"Quality of life outcomes provide essential information for patients and physicians in oncology care. However, the validity of progression-free survival (PFS) as a surrogate for quality of life, and the inclusion and reporting of quality of life endpoints in clinical trials, is unclear. We performed a retrospective study of phase III clinical trials of drugs for advanced or metastatic solid tumors published between 2010 and 2015. Correlation coefficient (r) and area under the ROC curve (AUC) for association between PFS and positive quality of life were evaluated. Of the 352 Phase 3 trials included, 190 (54%) included a quality of life endpoint, of which 23% did not report pre-specified quality of life outcomes; a total of 125,962 patients were enrolled in studies lacking, or not reporting, quality of life outcomes. Among the 147 trials that reported quality of life outcomes, 99 (67%) reported no effect, 38 (26%) reported a positive effect and 10 (7%) reported a negative effect of treatment on patients? global quality of life. The association between PFS and improvement in global quality of life was weak (r = 0.34; AUC = 0.72), as was the association between PFS and improvement in any domain of quality of life. In conclusion, PFS benefit was not strongly correlated with improvements in patients? quality of life, and, despite the palliative intent of treatments in the advanced/metastatic setting, the availability of quality of life data from clinical trials of cancer drugs was poor.","container-title":"International Journal of Cancer","DOI":"10.1002/ijc.31957","ISSN":"0020-7136","issue":"7","journalAbbreviation":"International Journal of Cancer","note":"publisher: John Wiley &amp; Sons, Ltd","page":"1746-1751","title":"Association between progression-free survival and patients’ quality of life in cancer clinical trials","volume":"144","author":[{"family":"Hwang","given":"Thomas J."},{"family":"Gyawali","given":"Bishal"}],"issued":{"date-parts":[["2019",4,1]]}}}],"schema":"https://github.com/citation-style-language/schema/raw/master/csl-citation.json"} </w:instrText>
            </w:r>
            <w:r w:rsidR="00EF3EE2">
              <w:rPr>
                <w:sz w:val="22"/>
                <w:szCs w:val="22"/>
              </w:rPr>
              <w:fldChar w:fldCharType="separate"/>
            </w:r>
            <w:r w:rsidR="00251F2F" w:rsidRPr="00251F2F">
              <w:rPr>
                <w:sz w:val="22"/>
              </w:rPr>
              <w:t>[8]</w:t>
            </w:r>
            <w:r w:rsidR="00EF3EE2">
              <w:rPr>
                <w:sz w:val="22"/>
                <w:szCs w:val="22"/>
              </w:rPr>
              <w:fldChar w:fldCharType="end"/>
            </w:r>
            <w:r w:rsidR="00EF3EE2">
              <w:rPr>
                <w:sz w:val="22"/>
                <w:szCs w:val="22"/>
              </w:rPr>
              <w:t xml:space="preserve"> </w:t>
            </w:r>
          </w:p>
        </w:tc>
        <w:tc>
          <w:tcPr>
            <w:tcW w:w="2089" w:type="dxa"/>
          </w:tcPr>
          <w:p w14:paraId="5AAF9D3F" w14:textId="77777777" w:rsidR="001A5D69" w:rsidRPr="00293394" w:rsidRDefault="001A5D69" w:rsidP="00306D4B">
            <w:pPr>
              <w:rPr>
                <w:sz w:val="22"/>
                <w:szCs w:val="22"/>
              </w:rPr>
            </w:pPr>
            <w:r w:rsidRPr="00293394">
              <w:rPr>
                <w:sz w:val="22"/>
                <w:szCs w:val="22"/>
              </w:rPr>
              <w:t>Disease-free survival</w:t>
            </w:r>
          </w:p>
        </w:tc>
        <w:tc>
          <w:tcPr>
            <w:tcW w:w="2368" w:type="dxa"/>
          </w:tcPr>
          <w:p w14:paraId="1E306FAD" w14:textId="77777777" w:rsidR="001A5D69" w:rsidRPr="00293394" w:rsidRDefault="001A5D69" w:rsidP="00306D4B">
            <w:pPr>
              <w:rPr>
                <w:sz w:val="22"/>
                <w:szCs w:val="22"/>
              </w:rPr>
            </w:pPr>
            <w:r w:rsidRPr="00293394">
              <w:rPr>
                <w:sz w:val="22"/>
                <w:szCs w:val="22"/>
              </w:rPr>
              <w:t>Overall survival</w:t>
            </w:r>
          </w:p>
        </w:tc>
        <w:tc>
          <w:tcPr>
            <w:tcW w:w="7753" w:type="dxa"/>
          </w:tcPr>
          <w:p w14:paraId="43390801" w14:textId="17BD05AF" w:rsidR="001A5D69" w:rsidRPr="00293394" w:rsidRDefault="007A6761" w:rsidP="00293394">
            <w:pPr>
              <w:autoSpaceDE w:val="0"/>
              <w:autoSpaceDN w:val="0"/>
              <w:adjustRightInd w:val="0"/>
              <w:rPr>
                <w:sz w:val="22"/>
                <w:szCs w:val="22"/>
              </w:rPr>
            </w:pPr>
            <w:r w:rsidRPr="00293394">
              <w:rPr>
                <w:sz w:val="22"/>
                <w:szCs w:val="22"/>
              </w:rPr>
              <w:t>“</w:t>
            </w:r>
            <w:r w:rsidR="006D7C80" w:rsidRPr="00293394">
              <w:rPr>
                <w:sz w:val="22"/>
                <w:szCs w:val="22"/>
              </w:rPr>
              <w:t>Disease-free</w:t>
            </w:r>
            <w:r w:rsidRPr="00293394">
              <w:rPr>
                <w:sz w:val="22"/>
                <w:szCs w:val="22"/>
              </w:rPr>
              <w:t xml:space="preserve"> </w:t>
            </w:r>
            <w:r w:rsidR="006D7C80" w:rsidRPr="00293394">
              <w:rPr>
                <w:sz w:val="22"/>
                <w:szCs w:val="22"/>
              </w:rPr>
              <w:t xml:space="preserve">survival </w:t>
            </w:r>
            <w:r w:rsidRPr="00293394">
              <w:rPr>
                <w:sz w:val="22"/>
                <w:szCs w:val="22"/>
              </w:rPr>
              <w:t xml:space="preserve">is an acceptable surrogate for </w:t>
            </w:r>
            <w:r w:rsidR="006D7C80" w:rsidRPr="00293394">
              <w:rPr>
                <w:sz w:val="22"/>
                <w:szCs w:val="22"/>
              </w:rPr>
              <w:t>overall survival</w:t>
            </w:r>
            <w:r w:rsidRPr="00293394">
              <w:rPr>
                <w:sz w:val="22"/>
                <w:szCs w:val="22"/>
              </w:rPr>
              <w:t xml:space="preserve"> in trials of cytotoxic agents for gastric cancer in the adjuvant setting”</w:t>
            </w:r>
          </w:p>
        </w:tc>
      </w:tr>
      <w:tr w:rsidR="001A5D69" w:rsidRPr="006D7C80" w14:paraId="45E0B642" w14:textId="77777777" w:rsidTr="007D2544">
        <w:trPr>
          <w:trHeight w:val="766"/>
        </w:trPr>
        <w:tc>
          <w:tcPr>
            <w:tcW w:w="1945" w:type="dxa"/>
          </w:tcPr>
          <w:p w14:paraId="370709DE" w14:textId="4BE4FDC8" w:rsidR="001A5D69" w:rsidRPr="00293394" w:rsidRDefault="001A5D69" w:rsidP="00306D4B">
            <w:pPr>
              <w:rPr>
                <w:sz w:val="22"/>
                <w:szCs w:val="22"/>
              </w:rPr>
            </w:pPr>
            <w:r w:rsidRPr="00293394">
              <w:rPr>
                <w:sz w:val="22"/>
                <w:szCs w:val="22"/>
              </w:rPr>
              <w:t>Multiple sclerosis</w:t>
            </w:r>
            <w:r w:rsidR="00EF3EE2">
              <w:rPr>
                <w:sz w:val="22"/>
                <w:szCs w:val="22"/>
              </w:rPr>
              <w:t xml:space="preserve"> </w:t>
            </w:r>
            <w:r w:rsidR="00EF3EE2">
              <w:rPr>
                <w:sz w:val="22"/>
                <w:szCs w:val="22"/>
              </w:rPr>
              <w:fldChar w:fldCharType="begin"/>
            </w:r>
            <w:r w:rsidR="001D2160">
              <w:rPr>
                <w:sz w:val="22"/>
                <w:szCs w:val="22"/>
              </w:rPr>
              <w:instrText xml:space="preserve"> ADDIN ZOTERO_ITEM CSL_CITATION {"citationID":"kf8KjB7Z","properties":{"formattedCitation":"[55]","plainCitation":"[55]","noteIndex":0},"citationItems":[{"id":179,"uris":["http://zotero.org/users/local/XzHhEqW9/items/A3S7BLQI"],"uri":["http://zotero.org/users/local/XzHhEqW9/items/A3S7BLQI"],"itemData":{"id":179,"type":"article-journal","abstract":"BACKGROUND: The role of change in proteinuria as a surrogate end point for randomized trials in immunoglobulin A nephropathy (IgAN) has previously not been  thoroughly evaluated. STUDY DESIGN: Individual patient-level meta-analysis. SETTING  &amp; POPULATION: Individual-patient data for 830 patients from 11 randomized trials  evaluating 4 intervention types (renin-angiotensin system [RAS] blockade, fish oil,  immunosuppression, and steroids) examining associations between changes in urine  protein and clinical end points at the individual and trial levels. SELECTION  CRITERIA FOR STUDIES: Randomized controlled trials of IgAN with measurements of  proteinuria at baseline and a median of 9 (range, 5-12) months follow-up, with at  least 1 further year of follow-up for the clinical outcome. PREDICTOR: 9-month  change in proteinuria. OUTCOME: Doubling of serum creatinine level, end-stage renal  disease, or death. RESULTS: Early decline in proteinuria at 9 months was associated  with lower risk for the clinical outcome (HR per 50% reduction in proteinuria, 0.40;  95% CI, 0.32-0.48) and was consistent across studies. Proportions of treatment  effect on the clinical outcome explained by early decline in proteinuria were  estimated at 11% (95% CI, -19% to 41%) for RAS blockade and 29% (95% CI, 6% to 53%)  for steroid therapy. The direction of the pooled treatment effect on early change in  proteinuria was in accord with the direction of the treatment effect on the clinical  outcome for steroids and RAS blockade. Trial-level analyses estimated that the slope  for the regression line for the association of treatment effects on the clinical end  points and for the treatment effect on proteinuria was 2.15 (95% Bayesian credible  interval, 0.10-4.32). LIMITATIONS: Study population restricted to 11 trials, all  having fewer than 200 patients each with a limited number of clinical events.  CONCLUSIONS: Results of this analysis offer novel evidence supporting the use of an  early reduction in proteinuria as a surrogate end point for clinical end points in  IgAN in selected settings.","container-title":"American journal of kidney diseases : the official journal of the National Kidney Foundation","DOI":"10.1053/j.ajkd.2016.02.042","ISSN":"1523-6838 0272-6386","issue":"3","journalAbbreviation":"Am J Kidney Dis","language":"eng","note":"publisher-place: United States\nPMID: 27032886","page":"392-401","title":"Early Change in Urine Protein as a Surrogate End Point in Studies of IgA Nephropathy: An Individual-Patient Meta-analysis.","volume":"68","author":[{"family":"Inker","given":"Lesley A."},{"family":"Mondal","given":"Hasi"},{"family":"Greene","given":"Tom"},{"family":"Masaschi","given":"Taylor"},{"family":"Locatelli","given":"Francesco"},{"family":"Schena","given":"Francesco P."},{"family":"Katafuchi","given":"Ritsuko"},{"family":"Appel","given":"Gerald B."},{"family":"Maes","given":"Bart D."},{"family":"Li","given":"Philip K."},{"family":"Praga","given":"Manuel"},{"family":"Del Vecchio","given":"Lucia"},{"family":"Andrulli","given":"Simeone"},{"family":"Manno","given":"Carlo"},{"family":"Gutierrez","given":"Eduardo"},{"family":"Mercer","given":"Alex"},{"family":"Carroll","given":"Kevin J."},{"family":"Schmid","given":"Christopher H."},{"family":"Levey","given":"Andrew S."}],"issued":{"date-parts":[["2016",9]]}}}],"schema":"https://github.com/citation-style-language/schema/raw/master/csl-citation.json"} </w:instrText>
            </w:r>
            <w:r w:rsidR="00EF3EE2">
              <w:rPr>
                <w:sz w:val="22"/>
                <w:szCs w:val="22"/>
              </w:rPr>
              <w:fldChar w:fldCharType="separate"/>
            </w:r>
            <w:r w:rsidR="001D2160" w:rsidRPr="001D2160">
              <w:rPr>
                <w:sz w:val="22"/>
              </w:rPr>
              <w:t>[55]</w:t>
            </w:r>
            <w:r w:rsidR="00EF3EE2">
              <w:rPr>
                <w:sz w:val="22"/>
                <w:szCs w:val="22"/>
              </w:rPr>
              <w:fldChar w:fldCharType="end"/>
            </w:r>
          </w:p>
        </w:tc>
        <w:tc>
          <w:tcPr>
            <w:tcW w:w="2089" w:type="dxa"/>
          </w:tcPr>
          <w:p w14:paraId="24124C43" w14:textId="77777777" w:rsidR="001A5D69" w:rsidRPr="00293394" w:rsidRDefault="001A5D69" w:rsidP="00306D4B">
            <w:pPr>
              <w:rPr>
                <w:sz w:val="22"/>
                <w:szCs w:val="22"/>
              </w:rPr>
            </w:pPr>
            <w:r w:rsidRPr="00293394">
              <w:rPr>
                <w:sz w:val="22"/>
                <w:szCs w:val="22"/>
              </w:rPr>
              <w:t>Relapse rate</w:t>
            </w:r>
          </w:p>
        </w:tc>
        <w:tc>
          <w:tcPr>
            <w:tcW w:w="2368" w:type="dxa"/>
          </w:tcPr>
          <w:p w14:paraId="6D046C2C" w14:textId="689C595F" w:rsidR="001A5D69" w:rsidRPr="00293394" w:rsidRDefault="007A6761" w:rsidP="00306D4B">
            <w:pPr>
              <w:rPr>
                <w:sz w:val="22"/>
                <w:szCs w:val="22"/>
              </w:rPr>
            </w:pPr>
            <w:r w:rsidRPr="00293394">
              <w:rPr>
                <w:sz w:val="22"/>
                <w:szCs w:val="22"/>
              </w:rPr>
              <w:t>Expanded Disability Status Scale (EDSS) worsening</w:t>
            </w:r>
          </w:p>
        </w:tc>
        <w:tc>
          <w:tcPr>
            <w:tcW w:w="7753" w:type="dxa"/>
          </w:tcPr>
          <w:p w14:paraId="5DB6B8E9" w14:textId="7E4D27A7" w:rsidR="001A5D69" w:rsidRPr="00293394" w:rsidRDefault="007A6761" w:rsidP="00293394">
            <w:pPr>
              <w:autoSpaceDE w:val="0"/>
              <w:autoSpaceDN w:val="0"/>
              <w:adjustRightInd w:val="0"/>
              <w:rPr>
                <w:sz w:val="22"/>
                <w:szCs w:val="22"/>
              </w:rPr>
            </w:pPr>
            <w:r w:rsidRPr="00293394">
              <w:rPr>
                <w:sz w:val="22"/>
                <w:szCs w:val="22"/>
              </w:rPr>
              <w:t>“</w:t>
            </w:r>
            <w:proofErr w:type="gramStart"/>
            <w:r w:rsidRPr="00293394">
              <w:rPr>
                <w:sz w:val="22"/>
                <w:szCs w:val="22"/>
              </w:rPr>
              <w:t>support</w:t>
            </w:r>
            <w:proofErr w:type="gramEnd"/>
            <w:r w:rsidRPr="00293394">
              <w:rPr>
                <w:sz w:val="22"/>
                <w:szCs w:val="22"/>
              </w:rPr>
              <w:t xml:space="preserve"> the use of commonly used surrogate markers of expanded disability status scale worsening as endpoints in multiple sclerosis clinical trials”</w:t>
            </w:r>
          </w:p>
        </w:tc>
      </w:tr>
      <w:tr w:rsidR="001A5D69" w:rsidRPr="006D7C80" w14:paraId="22E9CB9F" w14:textId="77777777" w:rsidTr="007D2544">
        <w:trPr>
          <w:trHeight w:val="797"/>
        </w:trPr>
        <w:tc>
          <w:tcPr>
            <w:tcW w:w="1945" w:type="dxa"/>
          </w:tcPr>
          <w:p w14:paraId="58BCE63B" w14:textId="558B953E" w:rsidR="001A5D69" w:rsidRPr="00293394" w:rsidRDefault="001A5D69" w:rsidP="00306D4B">
            <w:pPr>
              <w:autoSpaceDE w:val="0"/>
              <w:autoSpaceDN w:val="0"/>
              <w:adjustRightInd w:val="0"/>
              <w:rPr>
                <w:sz w:val="22"/>
                <w:szCs w:val="22"/>
              </w:rPr>
            </w:pPr>
            <w:r w:rsidRPr="00293394">
              <w:rPr>
                <w:sz w:val="22"/>
                <w:szCs w:val="22"/>
              </w:rPr>
              <w:t>Immunoglobulin A nephropathy</w:t>
            </w:r>
            <w:r w:rsidR="00EF3EE2">
              <w:rPr>
                <w:sz w:val="22"/>
                <w:szCs w:val="22"/>
              </w:rPr>
              <w:t xml:space="preserve"> </w:t>
            </w:r>
            <w:r w:rsidR="00EF3EE2">
              <w:rPr>
                <w:sz w:val="22"/>
                <w:szCs w:val="22"/>
              </w:rPr>
              <w:fldChar w:fldCharType="begin"/>
            </w:r>
            <w:r w:rsidR="001D2160">
              <w:rPr>
                <w:sz w:val="22"/>
                <w:szCs w:val="22"/>
              </w:rPr>
              <w:instrText xml:space="preserve"> ADDIN ZOTERO_ITEM CSL_CITATION {"citationID":"Rvyp6vRy","properties":{"formattedCitation":"[56]","plainCitation":"[56]","noteIndex":0},"citationItems":[{"id":180,"uris":["http://zotero.org/users/local/XzHhEqW9/items/FK2IVWD6"],"uri":["http://zotero.org/users/local/XzHhEqW9/items/FK2IVWD6"],"itemData":{"id":180,"type":"article-journal","abstract":"BackgroundResults of previous randomised trials have shown that interventions that lower LDL cholesterol concentrations can significantly reduce the incidence of coronary heart disease (CHD) and other major vascular events in a wide range of individuals. But each separate trial has limited power to assess particular outcomes or particular categories of participant.","container-title":"The Lancet","DOI":"10.1016/S0140-6736(05)67394-1","ISSN":"0140-6736","issue":"9493","note":"publisher: Elsevier","page":"1267-1278","title":"Efficacy and safety of cholesterol-lowering treatment: prospective meta-analysis of data from 90 056 participants in 14 randomised trials of statins","volume":"366","author":[{"family":"Cholesterol Treatment Trialists' (CTT) Collaborators","given":""}],"issued":{"date-parts":[["2005",10,8]]}}}],"schema":"https://github.com/citation-style-language/schema/raw/master/csl-citation.json"} </w:instrText>
            </w:r>
            <w:r w:rsidR="00EF3EE2">
              <w:rPr>
                <w:sz w:val="22"/>
                <w:szCs w:val="22"/>
              </w:rPr>
              <w:fldChar w:fldCharType="separate"/>
            </w:r>
            <w:r w:rsidR="001D2160" w:rsidRPr="001D2160">
              <w:rPr>
                <w:sz w:val="22"/>
              </w:rPr>
              <w:t>[56]</w:t>
            </w:r>
            <w:r w:rsidR="00EF3EE2">
              <w:rPr>
                <w:sz w:val="22"/>
                <w:szCs w:val="22"/>
              </w:rPr>
              <w:fldChar w:fldCharType="end"/>
            </w:r>
            <w:r w:rsidRPr="00293394">
              <w:rPr>
                <w:sz w:val="22"/>
                <w:szCs w:val="22"/>
              </w:rPr>
              <w:t xml:space="preserve"> </w:t>
            </w:r>
          </w:p>
        </w:tc>
        <w:tc>
          <w:tcPr>
            <w:tcW w:w="2089" w:type="dxa"/>
          </w:tcPr>
          <w:p w14:paraId="61D9409F" w14:textId="77777777" w:rsidR="001A5D69" w:rsidRPr="00293394" w:rsidRDefault="001A5D69" w:rsidP="00306D4B">
            <w:pPr>
              <w:autoSpaceDE w:val="0"/>
              <w:autoSpaceDN w:val="0"/>
              <w:adjustRightInd w:val="0"/>
              <w:rPr>
                <w:rStyle w:val="CommentReference"/>
                <w:sz w:val="22"/>
                <w:szCs w:val="22"/>
              </w:rPr>
            </w:pPr>
            <w:r w:rsidRPr="00293394">
              <w:rPr>
                <w:sz w:val="22"/>
                <w:szCs w:val="22"/>
              </w:rPr>
              <w:t>Change in proteinuria</w:t>
            </w:r>
          </w:p>
        </w:tc>
        <w:tc>
          <w:tcPr>
            <w:tcW w:w="2368" w:type="dxa"/>
          </w:tcPr>
          <w:p w14:paraId="6690EFC6" w14:textId="77777777" w:rsidR="001A5D69" w:rsidRPr="00293394" w:rsidRDefault="001A5D69" w:rsidP="00306D4B">
            <w:pPr>
              <w:autoSpaceDE w:val="0"/>
              <w:autoSpaceDN w:val="0"/>
              <w:adjustRightInd w:val="0"/>
              <w:rPr>
                <w:rStyle w:val="CommentReference"/>
                <w:sz w:val="22"/>
                <w:szCs w:val="22"/>
              </w:rPr>
            </w:pPr>
            <w:r w:rsidRPr="00293394">
              <w:rPr>
                <w:sz w:val="22"/>
                <w:szCs w:val="22"/>
              </w:rPr>
              <w:t>Doubling of serum creatinine level, end-stage renal disease, or death</w:t>
            </w:r>
          </w:p>
        </w:tc>
        <w:tc>
          <w:tcPr>
            <w:tcW w:w="7753" w:type="dxa"/>
          </w:tcPr>
          <w:p w14:paraId="614B5ADD" w14:textId="3E59438B" w:rsidR="001A5D69" w:rsidRPr="00293394" w:rsidRDefault="007A6761" w:rsidP="007A6761">
            <w:pPr>
              <w:autoSpaceDE w:val="0"/>
              <w:autoSpaceDN w:val="0"/>
              <w:adjustRightInd w:val="0"/>
              <w:rPr>
                <w:sz w:val="22"/>
                <w:szCs w:val="22"/>
              </w:rPr>
            </w:pPr>
            <w:r w:rsidRPr="00293394">
              <w:rPr>
                <w:sz w:val="22"/>
                <w:szCs w:val="22"/>
              </w:rPr>
              <w:t>“</w:t>
            </w:r>
            <w:proofErr w:type="gramStart"/>
            <w:r w:rsidRPr="00293394">
              <w:rPr>
                <w:sz w:val="22"/>
                <w:szCs w:val="22"/>
              </w:rPr>
              <w:t>supporting</w:t>
            </w:r>
            <w:proofErr w:type="gramEnd"/>
            <w:r w:rsidRPr="00293394">
              <w:rPr>
                <w:sz w:val="22"/>
                <w:szCs w:val="22"/>
              </w:rPr>
              <w:t xml:space="preserve"> the use of an early reduction in proteinuria as a surrogate endpoint for clinical end points in </w:t>
            </w:r>
            <w:r w:rsidR="006D7C80" w:rsidRPr="00293394">
              <w:rPr>
                <w:sz w:val="22"/>
                <w:szCs w:val="22"/>
              </w:rPr>
              <w:t xml:space="preserve">Immunoglobulin A nephropathy </w:t>
            </w:r>
            <w:r w:rsidRPr="00293394">
              <w:rPr>
                <w:sz w:val="22"/>
                <w:szCs w:val="22"/>
              </w:rPr>
              <w:t>in selected settings”</w:t>
            </w:r>
            <w:r w:rsidR="001A5D69" w:rsidRPr="00293394">
              <w:rPr>
                <w:sz w:val="22"/>
                <w:szCs w:val="22"/>
              </w:rPr>
              <w:t xml:space="preserve"> </w:t>
            </w:r>
          </w:p>
        </w:tc>
      </w:tr>
      <w:tr w:rsidR="001A5D69" w:rsidRPr="006D7C80" w14:paraId="74ECC7CE" w14:textId="77777777" w:rsidTr="007D2544">
        <w:trPr>
          <w:trHeight w:val="463"/>
        </w:trPr>
        <w:tc>
          <w:tcPr>
            <w:tcW w:w="1945" w:type="dxa"/>
          </w:tcPr>
          <w:p w14:paraId="7E35457C" w14:textId="4CBE07DC" w:rsidR="001A5D69" w:rsidRPr="00293394" w:rsidRDefault="001A5D69" w:rsidP="00306D4B">
            <w:pPr>
              <w:autoSpaceDE w:val="0"/>
              <w:autoSpaceDN w:val="0"/>
              <w:adjustRightInd w:val="0"/>
              <w:rPr>
                <w:sz w:val="22"/>
                <w:szCs w:val="22"/>
              </w:rPr>
            </w:pPr>
            <w:r w:rsidRPr="00293394">
              <w:rPr>
                <w:sz w:val="22"/>
                <w:szCs w:val="22"/>
              </w:rPr>
              <w:t xml:space="preserve">Cardiovascular disease </w:t>
            </w:r>
          </w:p>
        </w:tc>
        <w:tc>
          <w:tcPr>
            <w:tcW w:w="2089" w:type="dxa"/>
          </w:tcPr>
          <w:p w14:paraId="5CB7A520" w14:textId="2198D9D8" w:rsidR="001A5D69" w:rsidRPr="00293394" w:rsidRDefault="001A5D69" w:rsidP="00306D4B">
            <w:pPr>
              <w:autoSpaceDE w:val="0"/>
              <w:autoSpaceDN w:val="0"/>
              <w:adjustRightInd w:val="0"/>
              <w:rPr>
                <w:sz w:val="22"/>
                <w:szCs w:val="22"/>
              </w:rPr>
            </w:pPr>
            <w:r w:rsidRPr="00293394">
              <w:rPr>
                <w:sz w:val="22"/>
                <w:szCs w:val="22"/>
              </w:rPr>
              <w:t xml:space="preserve">Low-density lipoprotein </w:t>
            </w:r>
          </w:p>
        </w:tc>
        <w:tc>
          <w:tcPr>
            <w:tcW w:w="2368" w:type="dxa"/>
          </w:tcPr>
          <w:p w14:paraId="0C4698DD" w14:textId="77777777" w:rsidR="001A5D69" w:rsidRPr="00293394" w:rsidRDefault="001A5D69" w:rsidP="00306D4B">
            <w:pPr>
              <w:autoSpaceDE w:val="0"/>
              <w:autoSpaceDN w:val="0"/>
              <w:adjustRightInd w:val="0"/>
              <w:rPr>
                <w:sz w:val="22"/>
                <w:szCs w:val="22"/>
              </w:rPr>
            </w:pPr>
            <w:r w:rsidRPr="00293394">
              <w:rPr>
                <w:sz w:val="22"/>
                <w:szCs w:val="22"/>
              </w:rPr>
              <w:t>Major coronary events</w:t>
            </w:r>
          </w:p>
        </w:tc>
        <w:tc>
          <w:tcPr>
            <w:tcW w:w="7753" w:type="dxa"/>
          </w:tcPr>
          <w:p w14:paraId="0B6320C4" w14:textId="54F653DC" w:rsidR="001A5D69" w:rsidRPr="00293394" w:rsidRDefault="007A6761" w:rsidP="00293394">
            <w:pPr>
              <w:pStyle w:val="NormalWeb"/>
              <w:rPr>
                <w:sz w:val="22"/>
                <w:szCs w:val="22"/>
              </w:rPr>
            </w:pPr>
            <w:r w:rsidRPr="00293394">
              <w:rPr>
                <w:sz w:val="22"/>
                <w:szCs w:val="22"/>
              </w:rPr>
              <w:t>“</w:t>
            </w:r>
            <w:proofErr w:type="gramStart"/>
            <w:r w:rsidRPr="00293394">
              <w:rPr>
                <w:sz w:val="22"/>
                <w:szCs w:val="22"/>
              </w:rPr>
              <w:t>an</w:t>
            </w:r>
            <w:proofErr w:type="gramEnd"/>
            <w:r w:rsidRPr="00293394">
              <w:rPr>
                <w:sz w:val="22"/>
                <w:szCs w:val="22"/>
              </w:rPr>
              <w:t xml:space="preserve"> approximately linear relationship between the absolute reductions in </w:t>
            </w:r>
            <w:r w:rsidR="006D7C80" w:rsidRPr="00293394">
              <w:rPr>
                <w:sz w:val="22"/>
                <w:szCs w:val="22"/>
              </w:rPr>
              <w:t>low-density lipoprotein</w:t>
            </w:r>
            <w:r w:rsidRPr="00293394">
              <w:rPr>
                <w:sz w:val="22"/>
                <w:szCs w:val="22"/>
              </w:rPr>
              <w:t xml:space="preserve"> cholesterol achieved in these trials and the proportional reductions in the incidence of coronary and other major vascular events</w:t>
            </w:r>
            <w:r w:rsidRPr="00293394">
              <w:rPr>
                <w:rFonts w:hint="eastAsia"/>
                <w:sz w:val="22"/>
                <w:szCs w:val="22"/>
              </w:rPr>
              <w:t>”</w:t>
            </w:r>
          </w:p>
        </w:tc>
      </w:tr>
      <w:tr w:rsidR="003F10EA" w:rsidRPr="006D7C80" w14:paraId="5FE66059" w14:textId="77777777" w:rsidTr="00D41BDE">
        <w:trPr>
          <w:trHeight w:val="408"/>
        </w:trPr>
        <w:tc>
          <w:tcPr>
            <w:tcW w:w="1945" w:type="dxa"/>
          </w:tcPr>
          <w:p w14:paraId="07D81152" w14:textId="35093BAC" w:rsidR="003F10EA" w:rsidRPr="00275F4A" w:rsidRDefault="003F10EA" w:rsidP="00D41BDE">
            <w:pPr>
              <w:rPr>
                <w:sz w:val="22"/>
                <w:szCs w:val="22"/>
              </w:rPr>
            </w:pPr>
            <w:r w:rsidRPr="00275F4A">
              <w:rPr>
                <w:sz w:val="22"/>
                <w:szCs w:val="22"/>
              </w:rPr>
              <w:t xml:space="preserve">Advanced colorectal cancer in </w:t>
            </w:r>
            <w:r>
              <w:rPr>
                <w:sz w:val="22"/>
                <w:szCs w:val="22"/>
              </w:rPr>
              <w:t xml:space="preserve">traditional </w:t>
            </w:r>
            <w:r w:rsidRPr="00275F4A">
              <w:rPr>
                <w:sz w:val="22"/>
                <w:szCs w:val="22"/>
              </w:rPr>
              <w:t>chemotherapy trials [56]</w:t>
            </w:r>
          </w:p>
        </w:tc>
        <w:tc>
          <w:tcPr>
            <w:tcW w:w="2089" w:type="dxa"/>
          </w:tcPr>
          <w:p w14:paraId="071D2ACB" w14:textId="77777777" w:rsidR="003F10EA" w:rsidRPr="00275F4A" w:rsidRDefault="003F10EA" w:rsidP="00D41BDE">
            <w:pPr>
              <w:rPr>
                <w:sz w:val="22"/>
                <w:szCs w:val="22"/>
              </w:rPr>
            </w:pPr>
            <w:r w:rsidRPr="00275F4A">
              <w:rPr>
                <w:sz w:val="22"/>
                <w:szCs w:val="22"/>
              </w:rPr>
              <w:t>Progression-free survival</w:t>
            </w:r>
          </w:p>
        </w:tc>
        <w:tc>
          <w:tcPr>
            <w:tcW w:w="2368" w:type="dxa"/>
          </w:tcPr>
          <w:p w14:paraId="04FF6379" w14:textId="77777777" w:rsidR="003F10EA" w:rsidRPr="00275F4A" w:rsidRDefault="003F10EA" w:rsidP="00D41BDE">
            <w:pPr>
              <w:rPr>
                <w:sz w:val="22"/>
                <w:szCs w:val="22"/>
              </w:rPr>
            </w:pPr>
            <w:r w:rsidRPr="00275F4A">
              <w:rPr>
                <w:sz w:val="22"/>
                <w:szCs w:val="22"/>
              </w:rPr>
              <w:t>Overall survival</w:t>
            </w:r>
          </w:p>
        </w:tc>
        <w:tc>
          <w:tcPr>
            <w:tcW w:w="7753" w:type="dxa"/>
          </w:tcPr>
          <w:p w14:paraId="5497D580" w14:textId="74615073" w:rsidR="003F10EA" w:rsidRPr="00293394" w:rsidRDefault="004B4D33" w:rsidP="00293394">
            <w:pPr>
              <w:pStyle w:val="NormalWeb"/>
            </w:pPr>
            <w:r>
              <w:rPr>
                <w:sz w:val="22"/>
                <w:szCs w:val="22"/>
              </w:rPr>
              <w:t>“</w:t>
            </w:r>
            <w:r w:rsidRPr="00293394">
              <w:rPr>
                <w:sz w:val="22"/>
                <w:szCs w:val="22"/>
              </w:rPr>
              <w:t>PFS is an acceptable surrogate for OS in advanced colorectal cancer”</w:t>
            </w:r>
          </w:p>
        </w:tc>
      </w:tr>
      <w:tr w:rsidR="003F10EA" w:rsidRPr="006D7C80" w14:paraId="1B3A01C7" w14:textId="77777777" w:rsidTr="00D41BDE">
        <w:trPr>
          <w:trHeight w:val="408"/>
        </w:trPr>
        <w:tc>
          <w:tcPr>
            <w:tcW w:w="1945" w:type="dxa"/>
          </w:tcPr>
          <w:p w14:paraId="240B0FCC" w14:textId="18B64F6D" w:rsidR="003F10EA" w:rsidRPr="00275F4A" w:rsidRDefault="003F10EA" w:rsidP="00D41BDE">
            <w:pPr>
              <w:autoSpaceDE w:val="0"/>
              <w:autoSpaceDN w:val="0"/>
              <w:adjustRightInd w:val="0"/>
              <w:rPr>
                <w:sz w:val="22"/>
                <w:szCs w:val="22"/>
              </w:rPr>
            </w:pPr>
            <w:r w:rsidRPr="00275F4A">
              <w:rPr>
                <w:sz w:val="22"/>
                <w:szCs w:val="22"/>
              </w:rPr>
              <w:t xml:space="preserve">Advanced colorectal cancer in modern trials </w:t>
            </w:r>
            <w:r w:rsidRPr="00275F4A">
              <w:rPr>
                <w:sz w:val="22"/>
                <w:szCs w:val="22"/>
              </w:rPr>
              <w:fldChar w:fldCharType="begin"/>
            </w:r>
            <w:r w:rsidR="001D2160">
              <w:rPr>
                <w:sz w:val="22"/>
                <w:szCs w:val="22"/>
              </w:rPr>
              <w:instrText xml:space="preserve"> ADDIN ZOTERO_ITEM CSL_CITATION {"citationID":"H5tOG3B2","properties":{"formattedCitation":"[37]","plainCitation":"[37]","noteIndex":0},"citationItems":[{"id":188,"uris":["http://zotero.org/users/local/XzHhEqW9/items/J5X36NDX"],"uri":["http://zotero.org/users/local/XzHhEqW9/items/J5X36NDX"],"itemData":{"id":188,"type":"article-journal","abstract":"OBJECTIVES: To quantify and compare the treatment effects on three surrogate end points, progression-free survival (PFS), time to progression (TTP), and tumor  response rate (TR) vs. overall survival (OS) based on a meta-analysis of randomized  controlled trials (RCTs) of drug interventions in advanced colorectal cancer (aCRC).  STUDY DESIGN AND SETTING: We systematically searched for RCTs of pharmacologic  therapies in aCRC between 2003 and 2013. Trial characteristics, risk of bias, and  outcomes were recorded based on a predefined form. Univariate and multivariate  random-effects meta-analyses were used to estimate pooled summary treatment effects.  The ratio of hazard ratios (HRs)/odds ratios (ORs) and difference in medians were  used to quantify the degree of difference in treatment effects on the surrogate end  points and OS. Spearman ρ, surrogate threshold effect (STE), and R(2) were also  estimated across predefined trial-level covariates. RESULTS: We included 101 RCTs.  In univariate and multivariate meta-analyses, we found larger treatment effects for  the surrogates than for OS. Compared with OS, treatment effects were on average 13%  higher when HRs were measured and 3% to 45% higher when ORs were considered;  differences in median PFS/TTP were higher than on OS by an average of 0.5 month.  Spearman ρ ranged from 0.39 to 0.80, mean R(2) from 0.06 to 0.65, and STE was 0.8  for HRPFS, 0.64 for HRTTP, or 0.28 for ORTR. The stratified analyses revealed high  variability across all strata. CONCLUSION: None of the end points in this study were  found to achieve the level of evidence (ie, mean R(2)trial &gt; 0.60) that has been set  to select high or excellent correlation levels by common surrogate evaluation tools.  Previous surrogacy relationships observed between PFS and TTP vs. OS in selected  settings may not apply across other classes or lines of therapy.","container-title":"Journal of clinical epidemiology","DOI":"10.1016/j.jclinepi.2015.02.016","ISSN":"1878-5921 0895-4356","issue":"7","journalAbbreviation":"J Clin Epidemiol","language":"eng","note":"publisher-place: United States\nPMID: 25863582","page":"833-842","title":"Meta-analyses of randomized controlled trials show suboptimal validity of surrogate outcomes for overall survival in advanced colorectal cancer.","volume":"68","author":[{"family":"Ciani","given":"Oriana"},{"family":"Buyse","given":"Marc"},{"family":"Garside","given":"Ruth"},{"family":"Peters","given":"Jaime"},{"family":"Saad","given":"Everardo D."},{"family":"Stein","given":"Ken"},{"family":"Taylor","given":"Rod S."}],"issued":{"date-parts":[["2015",7]]}}}],"schema":"https://github.com/citation-style-language/schema/raw/master/csl-citation.json"} </w:instrText>
            </w:r>
            <w:r w:rsidRPr="00275F4A">
              <w:rPr>
                <w:sz w:val="22"/>
                <w:szCs w:val="22"/>
              </w:rPr>
              <w:fldChar w:fldCharType="separate"/>
            </w:r>
            <w:r w:rsidR="001D2160" w:rsidRPr="001D2160">
              <w:rPr>
                <w:sz w:val="22"/>
              </w:rPr>
              <w:t>[37]</w:t>
            </w:r>
            <w:r w:rsidRPr="00275F4A">
              <w:rPr>
                <w:sz w:val="22"/>
                <w:szCs w:val="22"/>
              </w:rPr>
              <w:fldChar w:fldCharType="end"/>
            </w:r>
          </w:p>
        </w:tc>
        <w:tc>
          <w:tcPr>
            <w:tcW w:w="2089" w:type="dxa"/>
          </w:tcPr>
          <w:p w14:paraId="5769DA4D" w14:textId="77777777" w:rsidR="003F10EA" w:rsidRPr="00275F4A" w:rsidRDefault="003F10EA" w:rsidP="00D41BDE">
            <w:pPr>
              <w:autoSpaceDE w:val="0"/>
              <w:autoSpaceDN w:val="0"/>
              <w:adjustRightInd w:val="0"/>
              <w:rPr>
                <w:sz w:val="22"/>
                <w:szCs w:val="22"/>
              </w:rPr>
            </w:pPr>
            <w:r w:rsidRPr="00275F4A">
              <w:rPr>
                <w:sz w:val="22"/>
                <w:szCs w:val="22"/>
              </w:rPr>
              <w:t>Progression-free survival</w:t>
            </w:r>
          </w:p>
        </w:tc>
        <w:tc>
          <w:tcPr>
            <w:tcW w:w="2368" w:type="dxa"/>
          </w:tcPr>
          <w:p w14:paraId="12E8A9F8" w14:textId="77777777" w:rsidR="003F10EA" w:rsidRPr="00275F4A" w:rsidRDefault="003F10EA" w:rsidP="00D41BDE">
            <w:pPr>
              <w:autoSpaceDE w:val="0"/>
              <w:autoSpaceDN w:val="0"/>
              <w:adjustRightInd w:val="0"/>
              <w:rPr>
                <w:sz w:val="22"/>
                <w:szCs w:val="22"/>
              </w:rPr>
            </w:pPr>
            <w:r w:rsidRPr="00275F4A">
              <w:rPr>
                <w:sz w:val="22"/>
                <w:szCs w:val="22"/>
              </w:rPr>
              <w:t>Overall survival</w:t>
            </w:r>
          </w:p>
        </w:tc>
        <w:tc>
          <w:tcPr>
            <w:tcW w:w="7753" w:type="dxa"/>
          </w:tcPr>
          <w:p w14:paraId="02CD5B73" w14:textId="77777777" w:rsidR="003F10EA" w:rsidRPr="00275F4A" w:rsidDel="004E2364" w:rsidRDefault="003F10EA" w:rsidP="00D41BDE">
            <w:pPr>
              <w:autoSpaceDE w:val="0"/>
              <w:autoSpaceDN w:val="0"/>
              <w:adjustRightInd w:val="0"/>
              <w:rPr>
                <w:sz w:val="22"/>
                <w:szCs w:val="22"/>
              </w:rPr>
            </w:pPr>
            <w:r w:rsidRPr="00275F4A">
              <w:rPr>
                <w:sz w:val="22"/>
                <w:szCs w:val="22"/>
              </w:rPr>
              <w:t>“</w:t>
            </w:r>
            <w:proofErr w:type="gramStart"/>
            <w:r w:rsidRPr="00275F4A">
              <w:rPr>
                <w:sz w:val="22"/>
                <w:szCs w:val="22"/>
              </w:rPr>
              <w:t>none</w:t>
            </w:r>
            <w:proofErr w:type="gramEnd"/>
            <w:r w:rsidRPr="00275F4A">
              <w:rPr>
                <w:sz w:val="22"/>
                <w:szCs w:val="22"/>
              </w:rPr>
              <w:t xml:space="preserve"> of the end points were found to achieve the level of evidence (i.e., mean R</w:t>
            </w:r>
            <w:r w:rsidRPr="00275F4A">
              <w:rPr>
                <w:sz w:val="22"/>
                <w:szCs w:val="22"/>
                <w:vertAlign w:val="superscript"/>
              </w:rPr>
              <w:t>2</w:t>
            </w:r>
            <w:r w:rsidRPr="00275F4A">
              <w:rPr>
                <w:sz w:val="22"/>
                <w:szCs w:val="22"/>
                <w:vertAlign w:val="subscript"/>
              </w:rPr>
              <w:t>trial</w:t>
            </w:r>
            <w:r w:rsidRPr="00275F4A">
              <w:rPr>
                <w:sz w:val="22"/>
                <w:szCs w:val="22"/>
              </w:rPr>
              <w:t xml:space="preserve"> &gt; 0.60) that has been set to select high or excellent correlation levels by common surrogate evaluation tools”</w:t>
            </w:r>
          </w:p>
        </w:tc>
      </w:tr>
      <w:tr w:rsidR="009B4104" w:rsidRPr="00275F4A" w14:paraId="0AA1905A" w14:textId="77777777" w:rsidTr="00D41BDE">
        <w:trPr>
          <w:trHeight w:val="408"/>
        </w:trPr>
        <w:tc>
          <w:tcPr>
            <w:tcW w:w="1945" w:type="dxa"/>
          </w:tcPr>
          <w:p w14:paraId="0653C8BF" w14:textId="3FCCC223" w:rsidR="009B4104" w:rsidRPr="00275F4A" w:rsidRDefault="009B4104" w:rsidP="00D41BDE">
            <w:pPr>
              <w:autoSpaceDE w:val="0"/>
              <w:autoSpaceDN w:val="0"/>
              <w:adjustRightInd w:val="0"/>
              <w:rPr>
                <w:sz w:val="22"/>
                <w:szCs w:val="22"/>
              </w:rPr>
            </w:pPr>
            <w:r w:rsidRPr="00275F4A">
              <w:rPr>
                <w:sz w:val="22"/>
                <w:szCs w:val="22"/>
              </w:rPr>
              <w:t xml:space="preserve">Metastatic breast cancer </w:t>
            </w:r>
            <w:r w:rsidRPr="00275F4A">
              <w:rPr>
                <w:sz w:val="22"/>
                <w:szCs w:val="22"/>
              </w:rPr>
              <w:fldChar w:fldCharType="begin"/>
            </w:r>
            <w:r w:rsidR="001D2160">
              <w:rPr>
                <w:sz w:val="22"/>
                <w:szCs w:val="22"/>
              </w:rPr>
              <w:instrText xml:space="preserve"> ADDIN ZOTERO_ITEM CSL_CITATION {"citationID":"zqVcvdxV","properties":{"formattedCitation":"[36]","plainCitation":"[36]","noteIndex":0},"citationItems":[{"id":187,"uris":["http://zotero.org/users/local/XzHhEqW9/items/ERM6PSCN"],"uri":["http://zotero.org/users/local/XzHhEqW9/items/ERM6PSCN"],"itemData":{"id":187,"type":"article-journal","abstract":"PURPOSE: Overall survival (OS) can be observed only after prolonged follow-up, and any potential effect of first-line therapies on OS may be confounded by the effects  of subsequent therapy. We investigated whether tumor response, disease control,  progression-free survival (PFS), or time to progression (TTP) could be considered a  valid surrogate for OS to assess the benefits of first-line therapies for patients  with metastatic breast cancer. PATIENTS AND METHODS: Individual patient data were  collected on 3,953 patients in 11 randomized trials that compared an anthracycline  (alone or in combination) with a taxane (alone or in combination with an  anthracycline). Surrogacy was assessed through the correlation between the end  points as well as through the correlation between the treatment effects on the end  points. RESULTS: Tumor response (survival odds ratio [OR], 6.2; 95% CI, 5.3 to 7.0)  and disease control (survival OR, 5.5; 95% CI, 4.8 to 6.3) were strongly associated  with OS. PFS (rank correlation coefficient, 0.688; 95% CI, 0.686 to 0.690) and TTP  (rank correlation coefficient, 0.682; 95% CI, 0.680 to 0.684) were moderately  associated with OS. Response log ORs were strongly correlated with PFS log hazard  ratios (linear coefficient [rho], 0.96; 95% CI, 0.73 to 1.19). Response and disease  control log ORs and PFS and TTP log hazard ratios were poorly correlated with log  hazard ratios for OS, but the confidence limits of rho were too wide to be  informative. CONCLUSION: No end point could be demonstrated as a good surrogate for  OS in these trials. Tumor response may be an acceptable surrogate for PFS.","container-title":"Journal of clinical oncology : official journal of the American Society of Clinical Oncology","DOI":"10.1200/JCO.2007.10.8407","ISSN":"1527-7755 0732-183X","issue":"12","journalAbbreviation":"J Clin Oncol","language":"eng","note":"publisher-place: United States\nPMID: 18421050","page":"1987-1992","title":"Evaluation of tumor response, disease control, progression-free survival, and time to progression as potential surrogate end points in metastatic breast cancer.","volume":"26","author":[{"family":"Burzykowski","given":"Tomasz"},{"family":"Buyse","given":"Marc"},{"family":"Piccart-Gebhart","given":"Martine J."},{"family":"Sledge","given":"George"},{"family":"Carmichael","given":"James"},{"family":"Lück","given":"Hans-Joachim"},{"family":"Mackey","given":"John R."},{"family":"Nabholtz","given":"Jean-Marc"},{"family":"Paridaens","given":"Robert"},{"family":"Biganzoli","given":"Laura"},{"family":"Jassem","given":"Jacek"},{"family":"Bontenbal","given":"Marijke"},{"family":"Bonneterre","given":"Jacques"},{"family":"Chan","given":"Stephen"},{"family":"Basaran","given":"Gul Atalay"},{"family":"Therasse","given":"Patrick"}],"issued":{"date-parts":[["2008",4,20]]}}}],"schema":"https://github.com/citation-style-language/schema/raw/master/csl-citation.json"} </w:instrText>
            </w:r>
            <w:r w:rsidRPr="00275F4A">
              <w:rPr>
                <w:sz w:val="22"/>
                <w:szCs w:val="22"/>
              </w:rPr>
              <w:fldChar w:fldCharType="separate"/>
            </w:r>
            <w:r w:rsidR="001D2160" w:rsidRPr="001D2160">
              <w:rPr>
                <w:sz w:val="22"/>
              </w:rPr>
              <w:t>[36]</w:t>
            </w:r>
            <w:r w:rsidRPr="00275F4A">
              <w:rPr>
                <w:sz w:val="22"/>
                <w:szCs w:val="22"/>
              </w:rPr>
              <w:fldChar w:fldCharType="end"/>
            </w:r>
          </w:p>
        </w:tc>
        <w:tc>
          <w:tcPr>
            <w:tcW w:w="2089" w:type="dxa"/>
          </w:tcPr>
          <w:p w14:paraId="5748EB80" w14:textId="77777777" w:rsidR="009B4104" w:rsidRPr="00275F4A" w:rsidRDefault="009B4104" w:rsidP="00D41BDE">
            <w:pPr>
              <w:autoSpaceDE w:val="0"/>
              <w:autoSpaceDN w:val="0"/>
              <w:adjustRightInd w:val="0"/>
              <w:rPr>
                <w:sz w:val="22"/>
                <w:szCs w:val="22"/>
              </w:rPr>
            </w:pPr>
            <w:r w:rsidRPr="00275F4A">
              <w:rPr>
                <w:sz w:val="22"/>
                <w:szCs w:val="22"/>
              </w:rPr>
              <w:t>Tumour response, disease control, progression-free survival, and time-to-progression</w:t>
            </w:r>
          </w:p>
        </w:tc>
        <w:tc>
          <w:tcPr>
            <w:tcW w:w="2368" w:type="dxa"/>
          </w:tcPr>
          <w:p w14:paraId="237F7C79" w14:textId="77777777" w:rsidR="009B4104" w:rsidRPr="00275F4A" w:rsidRDefault="009B4104" w:rsidP="00D41BDE">
            <w:pPr>
              <w:autoSpaceDE w:val="0"/>
              <w:autoSpaceDN w:val="0"/>
              <w:adjustRightInd w:val="0"/>
              <w:rPr>
                <w:sz w:val="22"/>
                <w:szCs w:val="22"/>
              </w:rPr>
            </w:pPr>
            <w:r w:rsidRPr="00275F4A">
              <w:rPr>
                <w:sz w:val="22"/>
                <w:szCs w:val="22"/>
              </w:rPr>
              <w:t>Overall survival</w:t>
            </w:r>
          </w:p>
        </w:tc>
        <w:tc>
          <w:tcPr>
            <w:tcW w:w="7753" w:type="dxa"/>
          </w:tcPr>
          <w:p w14:paraId="6CD6E1CE" w14:textId="77777777" w:rsidR="009B4104" w:rsidRPr="00275F4A" w:rsidRDefault="009B4104" w:rsidP="00D41BDE">
            <w:pPr>
              <w:autoSpaceDE w:val="0"/>
              <w:autoSpaceDN w:val="0"/>
              <w:adjustRightInd w:val="0"/>
              <w:rPr>
                <w:sz w:val="22"/>
                <w:szCs w:val="22"/>
              </w:rPr>
            </w:pPr>
            <w:r w:rsidRPr="00275F4A">
              <w:rPr>
                <w:sz w:val="22"/>
                <w:szCs w:val="22"/>
              </w:rPr>
              <w:t>“</w:t>
            </w:r>
            <w:proofErr w:type="gramStart"/>
            <w:r w:rsidRPr="00275F4A">
              <w:rPr>
                <w:sz w:val="22"/>
                <w:szCs w:val="22"/>
              </w:rPr>
              <w:t>no</w:t>
            </w:r>
            <w:proofErr w:type="gramEnd"/>
            <w:r w:rsidRPr="00275F4A">
              <w:rPr>
                <w:sz w:val="22"/>
                <w:szCs w:val="22"/>
              </w:rPr>
              <w:t xml:space="preserve"> end point could be demonstrated as a good surrogate for overall survival in these trials”</w:t>
            </w:r>
          </w:p>
        </w:tc>
      </w:tr>
      <w:tr w:rsidR="00DA3A16" w:rsidRPr="006D7C80" w14:paraId="7C82D5EA" w14:textId="77777777" w:rsidTr="00293394">
        <w:trPr>
          <w:trHeight w:val="408"/>
        </w:trPr>
        <w:tc>
          <w:tcPr>
            <w:tcW w:w="1945" w:type="dxa"/>
          </w:tcPr>
          <w:p w14:paraId="50862EFD" w14:textId="1CF96FF5" w:rsidR="00DA3A16" w:rsidRPr="00293394" w:rsidRDefault="00DA3A16" w:rsidP="00D41BDE">
            <w:pPr>
              <w:autoSpaceDE w:val="0"/>
              <w:autoSpaceDN w:val="0"/>
              <w:adjustRightInd w:val="0"/>
              <w:rPr>
                <w:sz w:val="22"/>
                <w:szCs w:val="22"/>
              </w:rPr>
            </w:pPr>
            <w:r w:rsidRPr="00293394">
              <w:rPr>
                <w:sz w:val="22"/>
                <w:szCs w:val="22"/>
              </w:rPr>
              <w:t>Rectal cancer</w:t>
            </w:r>
            <w:r w:rsidR="00EF3EE2">
              <w:rPr>
                <w:sz w:val="22"/>
                <w:szCs w:val="22"/>
              </w:rPr>
              <w:t xml:space="preserve"> </w:t>
            </w:r>
            <w:r w:rsidR="00EF3EE2">
              <w:rPr>
                <w:sz w:val="22"/>
                <w:szCs w:val="22"/>
              </w:rPr>
              <w:fldChar w:fldCharType="begin"/>
            </w:r>
            <w:r w:rsidR="001D2160">
              <w:rPr>
                <w:sz w:val="22"/>
                <w:szCs w:val="22"/>
              </w:rPr>
              <w:instrText xml:space="preserve"> ADDIN ZOTERO_ITEM CSL_CITATION {"citationID":"VrNUQbNL","properties":{"formattedCitation":"[57]","plainCitation":"[57]","noteIndex":0},"citationItems":[{"id":194,"uris":["http://zotero.org/users/local/XzHhEqW9/items/FHPQFVQM"],"uri":["http://zotero.org/users/local/XzHhEqW9/items/FHPQFVQM"],"itemData":{"id":194,"type":"article-journal","abstract":"BACKGROUND: We performed a literature-based analysis of randomized clinical trials to assess the pathologic complete response (pCR) (ypT0N0 after neoadjuvant therapy)  and 3-year disease-free survival (DFS) as potential surrogate endpoints for 5-year  overall survival (OS) in rectal cancer treated with neoadjuvant (chemo)radiotherapy  (CT)RT. METHODS: A systematic literature search of PubMed, EMBASE, the Web of  Science, SCOPUS, CINAHL, and the Cochrane Library was performed. Treatment effects  on 3-year DFS and 5-year OS were expressed as rates of patients alive (%), and those  on pCR as differences in pCR rates (∆(pCR%)). A weighted regression analysis was  performed at individual- and trial-level to test the association between treatment  effects on surrogate (∆(pCR%) and ∆(3yDFS)) and the main clinical outcome (∆(5yOS)).  RESULTS: Twenty-two trials involving 10,050 patients, were included in the analysis.  The individual level surrogacy showed that the pCR% and 3-year DFS were poorly  correlated with 5-year OS (R=0.52; 95% CI, 0.31-0.91; P=0.002; and R=0.60; 95% CI,  0.36-1; P=0.002). The trial-level surrogacy analysis confirmed that the two  treatment effects on surrogates (∆(pCR%) and ∆(3yDFS)) are not strong surrogates for  treatment effects on 5-year OS % (R=0.2; 95% CI, -0.29-0.78; P=0.5 and R=0.64; 95%  CI, 0.29-1; P=0.06). These findings were confirmed in neoadjuvant CTRT studies but  not in phase III trials were 3-year DFS could still represent a valid surrogate.  CONCLUSIONS: This analysis does not support the use of pCR and 3-year DFS% as  appropriate surrogate endpoints for 5-year OS% in patients with rectal cancer  treated with neoadjuvant therapy.","container-title":"Journal of gastrointestinal oncology","DOI":"10.21037/jgo.2016.11.03","ISSN":"2078-6891 2219-679X","issue":"1","journalAbbreviation":"J Gastrointest Oncol","language":"eng","note":"PMID: 28280607 \nPMCID: PMC5334047","page":"39-48","title":"Pathologic complete response and disease-free survival are not surrogate endpoints for 5-year survival in rectal cancer: an analysis of 22 randomized trials.","volume":"8","author":[{"family":"Petrelli","given":"Fausto"},{"family":"Borgonovo","given":"Karen"},{"family":"Cabiddu","given":"Mary"},{"family":"Ghilardi","given":"Mara"},{"family":"Lonati","given":"Veronica"},{"family":"Barni","given":"Sandro"}],"issued":{"date-parts":[["2017",2]]}}}],"schema":"https://github.com/citation-style-language/schema/raw/master/csl-citation.json"} </w:instrText>
            </w:r>
            <w:r w:rsidR="00EF3EE2">
              <w:rPr>
                <w:sz w:val="22"/>
                <w:szCs w:val="22"/>
              </w:rPr>
              <w:fldChar w:fldCharType="separate"/>
            </w:r>
            <w:r w:rsidR="001D2160" w:rsidRPr="001D2160">
              <w:rPr>
                <w:sz w:val="22"/>
              </w:rPr>
              <w:t>[57]</w:t>
            </w:r>
            <w:r w:rsidR="00EF3EE2">
              <w:rPr>
                <w:sz w:val="22"/>
                <w:szCs w:val="22"/>
              </w:rPr>
              <w:fldChar w:fldCharType="end"/>
            </w:r>
          </w:p>
        </w:tc>
        <w:tc>
          <w:tcPr>
            <w:tcW w:w="2089" w:type="dxa"/>
          </w:tcPr>
          <w:p w14:paraId="46C5891C" w14:textId="73309962" w:rsidR="00DA3A16" w:rsidRPr="00293394" w:rsidRDefault="00DA3A16" w:rsidP="00D41BDE">
            <w:pPr>
              <w:autoSpaceDE w:val="0"/>
              <w:autoSpaceDN w:val="0"/>
              <w:adjustRightInd w:val="0"/>
              <w:rPr>
                <w:sz w:val="22"/>
                <w:szCs w:val="22"/>
              </w:rPr>
            </w:pPr>
            <w:r w:rsidRPr="00293394">
              <w:rPr>
                <w:sz w:val="22"/>
                <w:szCs w:val="22"/>
              </w:rPr>
              <w:t>Pathologic complete response and disease-free survival</w:t>
            </w:r>
          </w:p>
        </w:tc>
        <w:tc>
          <w:tcPr>
            <w:tcW w:w="2368" w:type="dxa"/>
          </w:tcPr>
          <w:p w14:paraId="2329D1EA" w14:textId="107957D8" w:rsidR="00DA3A16" w:rsidRPr="00293394" w:rsidRDefault="00DA3A16" w:rsidP="00D41BDE">
            <w:pPr>
              <w:autoSpaceDE w:val="0"/>
              <w:autoSpaceDN w:val="0"/>
              <w:adjustRightInd w:val="0"/>
              <w:rPr>
                <w:sz w:val="22"/>
                <w:szCs w:val="22"/>
              </w:rPr>
            </w:pPr>
            <w:r w:rsidRPr="00293394">
              <w:rPr>
                <w:sz w:val="22"/>
                <w:szCs w:val="22"/>
              </w:rPr>
              <w:t>Overall survival</w:t>
            </w:r>
          </w:p>
        </w:tc>
        <w:tc>
          <w:tcPr>
            <w:tcW w:w="7753" w:type="dxa"/>
          </w:tcPr>
          <w:p w14:paraId="1666B036" w14:textId="1EC1B953" w:rsidR="00DA3A16" w:rsidRPr="00293394" w:rsidRDefault="00DA3A16" w:rsidP="00DA3A16">
            <w:pPr>
              <w:autoSpaceDE w:val="0"/>
              <w:autoSpaceDN w:val="0"/>
              <w:adjustRightInd w:val="0"/>
              <w:rPr>
                <w:color w:val="212121"/>
                <w:sz w:val="22"/>
                <w:szCs w:val="22"/>
              </w:rPr>
            </w:pPr>
            <w:r w:rsidRPr="00293394">
              <w:rPr>
                <w:sz w:val="22"/>
                <w:szCs w:val="22"/>
              </w:rPr>
              <w:t>“</w:t>
            </w:r>
            <w:proofErr w:type="gramStart"/>
            <w:r w:rsidR="006D7C80" w:rsidRPr="00293394">
              <w:rPr>
                <w:sz w:val="22"/>
                <w:szCs w:val="22"/>
              </w:rPr>
              <w:t>p</w:t>
            </w:r>
            <w:r w:rsidRPr="00293394">
              <w:rPr>
                <w:sz w:val="22"/>
                <w:szCs w:val="22"/>
              </w:rPr>
              <w:t>athologic</w:t>
            </w:r>
            <w:proofErr w:type="gramEnd"/>
            <w:r w:rsidRPr="00293394">
              <w:rPr>
                <w:sz w:val="22"/>
                <w:szCs w:val="22"/>
              </w:rPr>
              <w:t xml:space="preserve"> complete response and disease-free survival are not surrogate endpoints for 5-year survival in rectal cancer”</w:t>
            </w:r>
          </w:p>
        </w:tc>
      </w:tr>
      <w:tr w:rsidR="00DA3A16" w:rsidRPr="006D7C80" w14:paraId="2365320F" w14:textId="77777777" w:rsidTr="00293394">
        <w:trPr>
          <w:trHeight w:val="408"/>
        </w:trPr>
        <w:tc>
          <w:tcPr>
            <w:tcW w:w="1945" w:type="dxa"/>
          </w:tcPr>
          <w:p w14:paraId="0990865D" w14:textId="5B43CD22" w:rsidR="00DA3A16" w:rsidRPr="00293394" w:rsidRDefault="00DA3A16" w:rsidP="00D41BDE">
            <w:pPr>
              <w:autoSpaceDE w:val="0"/>
              <w:autoSpaceDN w:val="0"/>
              <w:adjustRightInd w:val="0"/>
              <w:rPr>
                <w:sz w:val="22"/>
                <w:szCs w:val="22"/>
              </w:rPr>
            </w:pPr>
            <w:r w:rsidRPr="00293394">
              <w:rPr>
                <w:sz w:val="22"/>
                <w:szCs w:val="22"/>
              </w:rPr>
              <w:t>Urinary cancer</w:t>
            </w:r>
            <w:r w:rsidR="00EF3EE2">
              <w:rPr>
                <w:sz w:val="22"/>
                <w:szCs w:val="22"/>
              </w:rPr>
              <w:t xml:space="preserve"> </w:t>
            </w:r>
            <w:r w:rsidR="00EF3EE2">
              <w:rPr>
                <w:sz w:val="22"/>
                <w:szCs w:val="22"/>
              </w:rPr>
              <w:fldChar w:fldCharType="begin"/>
            </w:r>
            <w:r w:rsidR="001D2160">
              <w:rPr>
                <w:sz w:val="22"/>
                <w:szCs w:val="22"/>
              </w:rPr>
              <w:instrText xml:space="preserve"> ADDIN ZOTERO_ITEM CSL_CITATION {"citationID":"vVcS0NdF","properties":{"formattedCitation":"[58]","plainCitation":"[58]","noteIndex":0},"citationItems":[{"id":195,"uris":["http://zotero.org/users/local/XzHhEqW9/items/PKZB37RV"],"uri":["http://zotero.org/users/local/XzHhEqW9/items/PKZB37RV"],"itemData":{"id":195,"type":"article-journal","abstract":"Aim: Numerous trials for PD-(L)1 inhibitors in the management of advanced urinary cancers (urothelial carcinoma and renal cell carcinoma) were published recently. It is not known exactly what should be the optimal surrogate end point for overall survival (OS) in this context. Materials  for renal cell carcinoma: r = -0.397, n = 6, p = 0.436). Likewise, the correlation of progression-free survival with median OS was very weak to weak (for urothelial carcinoma: r = -0.024, n = 8, p = 0.955; for renal cell carcinoma: r = 0.394, n = 6, p = 0.440). On the other hand, 1-year survival rate may be a better surrogate end point for median OS (for urothelial carcinoma: r = 0.806, n = 8, p = 0.016; for renal cell carcinoma: r = 0.941, n = 6, p = 0.005). Conclusion: RECIST-defined overall response rate and progression-free survival are not reliable surrogate end points for median OS in trials of PD-(L)1 inhibitor therapy for urinary cancers. The use of other surrogate end points (e.g., 1-year survival) in early phase studies may be considered.","container-title":"Immunotherapy","DOI":"10.2217/imt-2017-0115","ISSN":"1750-743X","issue":"2","note":"publisher: Future Medicine","page":"139-148","title":"Surrogate end points for overall survival in trials of PD-(L)1 inhibitors for urinary cancers: a systematic review","volume":"10","author":[{"family":"Abdel-Rahman","given":"Omar"}],"issued":{"date-parts":[["2018",2,1]]}}}],"schema":"https://github.com/citation-style-language/schema/raw/master/csl-citation.json"} </w:instrText>
            </w:r>
            <w:r w:rsidR="00EF3EE2">
              <w:rPr>
                <w:sz w:val="22"/>
                <w:szCs w:val="22"/>
              </w:rPr>
              <w:fldChar w:fldCharType="separate"/>
            </w:r>
            <w:r w:rsidR="001D2160" w:rsidRPr="001D2160">
              <w:rPr>
                <w:sz w:val="22"/>
              </w:rPr>
              <w:t>[58]</w:t>
            </w:r>
            <w:r w:rsidR="00EF3EE2">
              <w:rPr>
                <w:sz w:val="22"/>
                <w:szCs w:val="22"/>
              </w:rPr>
              <w:fldChar w:fldCharType="end"/>
            </w:r>
          </w:p>
        </w:tc>
        <w:tc>
          <w:tcPr>
            <w:tcW w:w="2089" w:type="dxa"/>
          </w:tcPr>
          <w:p w14:paraId="087F601A" w14:textId="0D00F1F9" w:rsidR="00DA3A16" w:rsidRPr="00293394" w:rsidRDefault="00DA3A16" w:rsidP="00DA3A16">
            <w:pPr>
              <w:autoSpaceDE w:val="0"/>
              <w:autoSpaceDN w:val="0"/>
              <w:adjustRightInd w:val="0"/>
              <w:rPr>
                <w:sz w:val="22"/>
                <w:szCs w:val="22"/>
              </w:rPr>
            </w:pPr>
            <w:r w:rsidRPr="00293394">
              <w:rPr>
                <w:sz w:val="22"/>
                <w:szCs w:val="22"/>
              </w:rPr>
              <w:t>Overall response rate and progression-free survival</w:t>
            </w:r>
          </w:p>
        </w:tc>
        <w:tc>
          <w:tcPr>
            <w:tcW w:w="2368" w:type="dxa"/>
          </w:tcPr>
          <w:p w14:paraId="19966F68" w14:textId="041B2716" w:rsidR="00DA3A16" w:rsidRPr="00293394" w:rsidRDefault="00DA3A16" w:rsidP="00D41BDE">
            <w:pPr>
              <w:autoSpaceDE w:val="0"/>
              <w:autoSpaceDN w:val="0"/>
              <w:adjustRightInd w:val="0"/>
              <w:rPr>
                <w:sz w:val="22"/>
                <w:szCs w:val="22"/>
              </w:rPr>
            </w:pPr>
            <w:r w:rsidRPr="00293394">
              <w:rPr>
                <w:sz w:val="22"/>
                <w:szCs w:val="22"/>
              </w:rPr>
              <w:t>Overall survival</w:t>
            </w:r>
          </w:p>
        </w:tc>
        <w:tc>
          <w:tcPr>
            <w:tcW w:w="7753" w:type="dxa"/>
          </w:tcPr>
          <w:p w14:paraId="3B3CB7D5" w14:textId="77698CB1" w:rsidR="00DA3A16" w:rsidRPr="00293394" w:rsidRDefault="00DA3A16" w:rsidP="00DA3A16">
            <w:pPr>
              <w:autoSpaceDE w:val="0"/>
              <w:autoSpaceDN w:val="0"/>
              <w:adjustRightInd w:val="0"/>
              <w:rPr>
                <w:sz w:val="22"/>
                <w:szCs w:val="22"/>
              </w:rPr>
            </w:pPr>
            <w:r w:rsidRPr="00293394">
              <w:rPr>
                <w:sz w:val="22"/>
                <w:szCs w:val="22"/>
              </w:rPr>
              <w:t>“</w:t>
            </w:r>
            <w:proofErr w:type="gramStart"/>
            <w:r w:rsidRPr="00293394">
              <w:rPr>
                <w:sz w:val="22"/>
                <w:szCs w:val="22"/>
              </w:rPr>
              <w:t>overall</w:t>
            </w:r>
            <w:proofErr w:type="gramEnd"/>
            <w:r w:rsidRPr="00293394">
              <w:rPr>
                <w:sz w:val="22"/>
                <w:szCs w:val="22"/>
              </w:rPr>
              <w:t xml:space="preserve"> response rate and progression-free survival are not reliable surrogate end points for median </w:t>
            </w:r>
            <w:r w:rsidR="006D7C80" w:rsidRPr="00293394">
              <w:rPr>
                <w:sz w:val="22"/>
                <w:szCs w:val="22"/>
              </w:rPr>
              <w:t>overall survival</w:t>
            </w:r>
            <w:r w:rsidRPr="00293394">
              <w:rPr>
                <w:sz w:val="22"/>
                <w:szCs w:val="22"/>
              </w:rPr>
              <w:t xml:space="preserve"> in trials of PD-(L)1 inhibitor therapy for urinary cancers”</w:t>
            </w:r>
          </w:p>
        </w:tc>
      </w:tr>
      <w:tr w:rsidR="00DA3A16" w:rsidRPr="006D7C80" w14:paraId="1DB91493" w14:textId="77777777" w:rsidTr="00293394">
        <w:trPr>
          <w:trHeight w:val="408"/>
        </w:trPr>
        <w:tc>
          <w:tcPr>
            <w:tcW w:w="1945" w:type="dxa"/>
          </w:tcPr>
          <w:p w14:paraId="0A6B69A2" w14:textId="7AFC1179" w:rsidR="00DA3A16" w:rsidRPr="00293394" w:rsidRDefault="00DA3A16" w:rsidP="00306D4B">
            <w:pPr>
              <w:autoSpaceDE w:val="0"/>
              <w:autoSpaceDN w:val="0"/>
              <w:adjustRightInd w:val="0"/>
              <w:rPr>
                <w:sz w:val="22"/>
                <w:szCs w:val="22"/>
              </w:rPr>
            </w:pPr>
            <w:r w:rsidRPr="00293394">
              <w:rPr>
                <w:sz w:val="22"/>
                <w:szCs w:val="22"/>
              </w:rPr>
              <w:lastRenderedPageBreak/>
              <w:t>Renal cell carcinoma</w:t>
            </w:r>
            <w:r w:rsidR="00BE11A3">
              <w:rPr>
                <w:sz w:val="22"/>
                <w:szCs w:val="22"/>
              </w:rPr>
              <w:t xml:space="preserve"> </w:t>
            </w:r>
            <w:r w:rsidR="00BE11A3">
              <w:rPr>
                <w:sz w:val="22"/>
                <w:szCs w:val="22"/>
              </w:rPr>
              <w:fldChar w:fldCharType="begin"/>
            </w:r>
            <w:r w:rsidR="001D2160">
              <w:rPr>
                <w:sz w:val="22"/>
                <w:szCs w:val="22"/>
              </w:rPr>
              <w:instrText xml:space="preserve"> ADDIN ZOTERO_ITEM CSL_CITATION {"citationID":"wjeYq6jm","properties":{"formattedCitation":"[59]","plainCitation":"[59]","noteIndex":0},"citationItems":[{"id":197,"uris":["http://zotero.org/users/local/XzHhEqW9/items/G2DTSMFE"],"uri":["http://zotero.org/users/local/XzHhEqW9/items/G2DTSMFE"],"itemData":{"id":197,"type":"article-journal","abstract":"BACKGROUND: Overall survival (OS) is a critical endpoint in adjuvant trials but requires long durations to events and significant patient resources. In the current  study, the authors assessed whether disease-free survival (DFS) can be an early  clinical surrogate for OS in the adjuvant setting for localized renal cell carcinoma  (RCC). METHODS: Using Preferred Reporting Items for Systematic Reviews and  Meta-Analyses (PRISMA) guidelines, the authors performed a systematic literature  review of PubMed and the American Society of Clinical Oncology, European Society for  Medical Oncology, and ClinicalTrial.gov Web sites (1996-2016). Inclusion in the  current study required randomized controlled trials (RCTs) of adjuvant systemic  therapy for localized RCC after nephrectomy with ≥3 years of outcomes data. Data  regarding hazard ratios (HRs) and 5-year event-free rates from Kaplan-Meier  estimates were extracted. A trial-level meta-analysis correlated estimates of 5-year  DFS and 5-year OS as well as treatment effects (HRs) on these endpoints, weighted by  the number of DFS events. R-squared ≥ 0.7 was prespecified as being indicative of a  strong correlation and the potential for surrogacy. RESULTS: Thirteen RCTs  encompassing 6473 patients who were treated with a variety of systemic therapies met  eligibility. Only a modest correlation was observed between 5-year DFS and 5-year OS  rates (R-squared, 0.48; 95% confidence interval, 0.14-0.67) and between treatment  effects as measured by DFS and OS HRs (R-squared, 0.44; 95% confidence interval,  0.00-0.69). CONCLUSIONS: Across RCTs of adjuvant systemic therapy for localized RCC,  there was no strong correlation noted between 5-year DFS and 5-year OS rates or  between treatment effects on these endpoints. These results highlight the need to  identify alternative and more rapid clinical or biologic endpoints to hasten drug  development and improve clinical outcomes. Cancer 2018;124:925-33. © 2017 American  Cancer Society.","container-title":"Cancer","DOI":"10.1002/cncr.31154","ISSN":"1097-0142 0008-543X","issue":"5","journalAbbreviation":"Cancer","language":"eng","note":"publisher-place: United States\nPMID: 29266178","page":"925-933","title":"Evaluation of disease-free survival as an intermediate metric of overall survival in patients with localized renal cell carcinoma: A trial-level meta-analysis.","volume":"124","author":[{"family":"Harshman","given":"Lauren C."},{"family":"Xie","given":"Wanling"},{"family":"Moreira","given":"Raphael B."},{"family":"Bossé","given":"Dominick"},{"family":"Ruiz Ares","given":"Gustavo J."},{"family":"Sweeney","given":"Christopher J."},{"family":"Choueiri","given":"Toni K."}],"issued":{"date-parts":[["2018",3,1]]}}}],"schema":"https://github.com/citation-style-language/schema/raw/master/csl-citation.json"} </w:instrText>
            </w:r>
            <w:r w:rsidR="00BE11A3">
              <w:rPr>
                <w:sz w:val="22"/>
                <w:szCs w:val="22"/>
              </w:rPr>
              <w:fldChar w:fldCharType="separate"/>
            </w:r>
            <w:r w:rsidR="001D2160" w:rsidRPr="001D2160">
              <w:rPr>
                <w:sz w:val="22"/>
              </w:rPr>
              <w:t>[59]</w:t>
            </w:r>
            <w:r w:rsidR="00BE11A3">
              <w:rPr>
                <w:sz w:val="22"/>
                <w:szCs w:val="22"/>
              </w:rPr>
              <w:fldChar w:fldCharType="end"/>
            </w:r>
          </w:p>
        </w:tc>
        <w:tc>
          <w:tcPr>
            <w:tcW w:w="2089" w:type="dxa"/>
          </w:tcPr>
          <w:p w14:paraId="55C0180F" w14:textId="4CCDE30F" w:rsidR="00DA3A16" w:rsidRPr="00293394" w:rsidRDefault="00DA3A16" w:rsidP="00306D4B">
            <w:pPr>
              <w:autoSpaceDE w:val="0"/>
              <w:autoSpaceDN w:val="0"/>
              <w:adjustRightInd w:val="0"/>
              <w:rPr>
                <w:sz w:val="22"/>
                <w:szCs w:val="22"/>
              </w:rPr>
            </w:pPr>
            <w:r w:rsidRPr="00293394">
              <w:rPr>
                <w:sz w:val="22"/>
                <w:szCs w:val="22"/>
              </w:rPr>
              <w:t>Disease-free survival</w:t>
            </w:r>
          </w:p>
        </w:tc>
        <w:tc>
          <w:tcPr>
            <w:tcW w:w="2368" w:type="dxa"/>
          </w:tcPr>
          <w:p w14:paraId="4567D7BB" w14:textId="0019B85A" w:rsidR="00DA3A16" w:rsidRPr="00293394" w:rsidRDefault="00DA3A16" w:rsidP="00306D4B">
            <w:pPr>
              <w:autoSpaceDE w:val="0"/>
              <w:autoSpaceDN w:val="0"/>
              <w:adjustRightInd w:val="0"/>
              <w:rPr>
                <w:sz w:val="22"/>
                <w:szCs w:val="22"/>
              </w:rPr>
            </w:pPr>
            <w:r w:rsidRPr="00293394">
              <w:rPr>
                <w:sz w:val="22"/>
                <w:szCs w:val="22"/>
              </w:rPr>
              <w:t>Overall survival</w:t>
            </w:r>
          </w:p>
        </w:tc>
        <w:tc>
          <w:tcPr>
            <w:tcW w:w="7753" w:type="dxa"/>
          </w:tcPr>
          <w:p w14:paraId="3BCC0A6F" w14:textId="7105725A" w:rsidR="00DA3A16" w:rsidRPr="00293394" w:rsidRDefault="00DA3A16" w:rsidP="00DA3A16">
            <w:pPr>
              <w:autoSpaceDE w:val="0"/>
              <w:autoSpaceDN w:val="0"/>
              <w:adjustRightInd w:val="0"/>
              <w:rPr>
                <w:sz w:val="22"/>
                <w:szCs w:val="22"/>
              </w:rPr>
            </w:pPr>
            <w:r w:rsidRPr="00293394">
              <w:rPr>
                <w:sz w:val="22"/>
                <w:szCs w:val="22"/>
              </w:rPr>
              <w:t>“</w:t>
            </w:r>
            <w:proofErr w:type="gramStart"/>
            <w:r w:rsidRPr="00293394">
              <w:rPr>
                <w:sz w:val="22"/>
                <w:szCs w:val="22"/>
              </w:rPr>
              <w:t>there</w:t>
            </w:r>
            <w:proofErr w:type="gramEnd"/>
            <w:r w:rsidRPr="00293394">
              <w:rPr>
                <w:sz w:val="22"/>
                <w:szCs w:val="22"/>
              </w:rPr>
              <w:t xml:space="preserve"> was no strong correlation noted between 5-year disease-free survival and 5-year overall survival rates or between treatment effects on these endpoints.”</w:t>
            </w:r>
          </w:p>
        </w:tc>
      </w:tr>
      <w:tr w:rsidR="004B4D33" w:rsidRPr="006D7C80" w14:paraId="215F800C" w14:textId="77777777" w:rsidTr="006D7C80">
        <w:trPr>
          <w:trHeight w:val="408"/>
        </w:trPr>
        <w:tc>
          <w:tcPr>
            <w:tcW w:w="1945" w:type="dxa"/>
          </w:tcPr>
          <w:p w14:paraId="1D953387" w14:textId="52EBA84A" w:rsidR="004B4D33" w:rsidRPr="004B4D33" w:rsidRDefault="004B4D33" w:rsidP="00306D4B">
            <w:pPr>
              <w:autoSpaceDE w:val="0"/>
              <w:autoSpaceDN w:val="0"/>
              <w:adjustRightInd w:val="0"/>
              <w:rPr>
                <w:sz w:val="22"/>
                <w:szCs w:val="22"/>
              </w:rPr>
            </w:pPr>
            <w:r>
              <w:rPr>
                <w:sz w:val="22"/>
                <w:szCs w:val="22"/>
              </w:rPr>
              <w:t>Prostate cancer</w:t>
            </w:r>
            <w:r w:rsidR="00BE11A3">
              <w:rPr>
                <w:sz w:val="22"/>
                <w:szCs w:val="22"/>
              </w:rPr>
              <w:t xml:space="preserve"> </w:t>
            </w:r>
            <w:r w:rsidR="00BE11A3">
              <w:rPr>
                <w:sz w:val="22"/>
                <w:szCs w:val="22"/>
              </w:rPr>
              <w:fldChar w:fldCharType="begin"/>
            </w:r>
            <w:r w:rsidR="001D2160">
              <w:rPr>
                <w:sz w:val="22"/>
                <w:szCs w:val="22"/>
              </w:rPr>
              <w:instrText xml:space="preserve"> ADDIN ZOTERO_ITEM CSL_CITATION {"citationID":"zVEqtMKg","properties":{"formattedCitation":"[60]","plainCitation":"[60]","noteIndex":0},"citationItems":[{"id":198,"uris":["http://zotero.org/users/local/XzHhEqW9/items/F2W4B4HW"],"uri":["http://zotero.org/users/local/XzHhEqW9/items/F2W4B4HW"],"itemData":{"id":198,"type":"article-journal","abstract":"PURPOSE: Recently, we have shown that metastasis-free survival is a strong surrogate for overall survival (OS) in men with intermediate- and high-risk localized prostate  cancer and can accelerate the evaluation of new (neo)adjuvant therapies. Event-free  survival (EFS), an earlier prostate-specific antigen (PSA)-based composite end  point, may further expedite trial completion. METHODS: EFS was defined as the time  from random assignment to the date of first evidence of disease recurrence,  including biochemical failure, local or regional recurrence, distant metastasis, or  death from any cause, or was censored at the date of last PSA assessment. Individual  patient data from trials within the Intermediate Clinical Endpoints in Cancer of the  Prostate-ICECaP-database with evaluable PSA and disease follow-up data were  analyzed. We evaluated the surrogacy of EFS for OS using a 2-stage meta-analytic  validation model by determining the correlation of EFS with OS (patient level) and  the correlation of treatment effects (hazard ratios [HRs]) on both EFS and OS (trial  level). A clinically relevant surrogacy was defined a priori as an R(2) ≥ 0.7.  RESULTS: Data for 10,350 patients were analyzed from 15 radiation therapy-based  trials enrolled from 1987 to 2011 with a median follow-up of 10 years. At the  patient level, the correlation of EFS with OS was 0.43 (95% CI, 0.42 to 0.44) as  measured by Kendall's tau from a copula model. At the trial level, the R(2) was 0.35  (95% CI, 0.01 to 0.60) from the weighted linear regression of log(HR)-OS on  log(HR)-EFS. CONCLUSION: EFS is a weak surrogate for OS and is not suitable for use  as an intermediate clinical end point to substitute for OS to accelerate phase III  (neo)adjuvant trials of prostate cancer therapies for primary radiation  therapy-based trials.","container-title":"Journal of clinical oncology : official journal of the American Society of Clinical Oncology","DOI":"10.1200/JCO.19.03114","ISSN":"1527-7755 0732-183X","issue":"26","journalAbbreviation":"J Clin Oncol","language":"eng","note":"PMID: 32552276 \nPMCID: PMC8265328","page":"3032-3041","title":"Event-Free Survival, a Prostate-Specific Antigen-Based Composite End Point, Is Not a Surrogate for Overall Survival in Men With Localized Prostate Cancer Treated With  Radiation.","volume":"38","author":[{"family":"Xie","given":"Wanling"},{"family":"Regan","given":"Meredith M."},{"family":"Buyse","given":"Marc"},{"family":"Halabi","given":"Susan"},{"family":"Kantoff","given":"Philip W."},{"family":"Sartor","given":"Oliver"},{"family":"Soule","given":"Howard"},{"family":"Berry","given":"Donald"},{"family":"Clarke","given":"Noel"},{"family":"Collette","given":"Laurence"},{"family":"D'Amico","given":"Anthony"},{"family":"Lourenco","given":"Richard De Abreu"},{"family":"Dignam","given":"James"},{"family":"Eisenberger","given":"Mario"},{"family":"James","given":"Nicholas"},{"family":"Fizazi","given":"Karim"},{"family":"Gillessen","given":"Silke"},{"family":"Loriot","given":"Yohann"},{"family":"Mottet","given":"Nicolas"},{"family":"Parulekar","given":"Wendy"},{"family":"Sandler","given":"Howard"},{"family":"Spratt","given":"Daniel E."},{"family":"Sydes","given":"Matthew R."},{"family":"Tombal","given":"Bertrand"},{"family":"Williams","given":"Scott"},{"family":"Sweeney","given":"Christopher J."}],"issued":{"date-parts":[["2020",9,10]]}}}],"schema":"https://github.com/citation-style-language/schema/raw/master/csl-citation.json"} </w:instrText>
            </w:r>
            <w:r w:rsidR="00BE11A3">
              <w:rPr>
                <w:sz w:val="22"/>
                <w:szCs w:val="22"/>
              </w:rPr>
              <w:fldChar w:fldCharType="separate"/>
            </w:r>
            <w:r w:rsidR="001D2160" w:rsidRPr="001D2160">
              <w:rPr>
                <w:sz w:val="22"/>
              </w:rPr>
              <w:t>[60]</w:t>
            </w:r>
            <w:r w:rsidR="00BE11A3">
              <w:rPr>
                <w:sz w:val="22"/>
                <w:szCs w:val="22"/>
              </w:rPr>
              <w:fldChar w:fldCharType="end"/>
            </w:r>
          </w:p>
        </w:tc>
        <w:tc>
          <w:tcPr>
            <w:tcW w:w="2089" w:type="dxa"/>
          </w:tcPr>
          <w:p w14:paraId="7FE6937D" w14:textId="3298B6E0" w:rsidR="004B4D33" w:rsidRPr="004B4D33" w:rsidRDefault="004B4D33" w:rsidP="00306D4B">
            <w:pPr>
              <w:autoSpaceDE w:val="0"/>
              <w:autoSpaceDN w:val="0"/>
              <w:adjustRightInd w:val="0"/>
              <w:rPr>
                <w:sz w:val="22"/>
                <w:szCs w:val="22"/>
              </w:rPr>
            </w:pPr>
            <w:r>
              <w:rPr>
                <w:sz w:val="22"/>
                <w:szCs w:val="22"/>
              </w:rPr>
              <w:t>Event-free survival</w:t>
            </w:r>
          </w:p>
        </w:tc>
        <w:tc>
          <w:tcPr>
            <w:tcW w:w="2368" w:type="dxa"/>
          </w:tcPr>
          <w:p w14:paraId="4BB50D42" w14:textId="477E9E88" w:rsidR="004B4D33" w:rsidRPr="004B4D33" w:rsidRDefault="004B4D33" w:rsidP="00306D4B">
            <w:pPr>
              <w:autoSpaceDE w:val="0"/>
              <w:autoSpaceDN w:val="0"/>
              <w:adjustRightInd w:val="0"/>
              <w:rPr>
                <w:sz w:val="22"/>
                <w:szCs w:val="22"/>
              </w:rPr>
            </w:pPr>
            <w:r>
              <w:rPr>
                <w:sz w:val="22"/>
                <w:szCs w:val="22"/>
              </w:rPr>
              <w:t>Overall survival</w:t>
            </w:r>
          </w:p>
        </w:tc>
        <w:tc>
          <w:tcPr>
            <w:tcW w:w="7753" w:type="dxa"/>
          </w:tcPr>
          <w:p w14:paraId="7BCA77B6" w14:textId="2380F653" w:rsidR="004B4D33" w:rsidRPr="00293394" w:rsidRDefault="004B4D33" w:rsidP="004B4D33">
            <w:pPr>
              <w:autoSpaceDE w:val="0"/>
              <w:autoSpaceDN w:val="0"/>
              <w:adjustRightInd w:val="0"/>
            </w:pPr>
            <w:r>
              <w:rPr>
                <w:sz w:val="22"/>
                <w:szCs w:val="22"/>
              </w:rPr>
              <w:t>“</w:t>
            </w:r>
            <w:proofErr w:type="gramStart"/>
            <w:r>
              <w:rPr>
                <w:sz w:val="22"/>
                <w:szCs w:val="22"/>
              </w:rPr>
              <w:t>event</w:t>
            </w:r>
            <w:proofErr w:type="gramEnd"/>
            <w:r>
              <w:rPr>
                <w:sz w:val="22"/>
                <w:szCs w:val="22"/>
              </w:rPr>
              <w:t>-free survival</w:t>
            </w:r>
            <w:r w:rsidRPr="00293394">
              <w:rPr>
                <w:sz w:val="22"/>
                <w:szCs w:val="22"/>
              </w:rPr>
              <w:t xml:space="preserve"> is a weak surrogate for </w:t>
            </w:r>
            <w:r>
              <w:rPr>
                <w:sz w:val="22"/>
                <w:szCs w:val="22"/>
              </w:rPr>
              <w:t>overall survival</w:t>
            </w:r>
            <w:r w:rsidRPr="00293394">
              <w:rPr>
                <w:sz w:val="22"/>
                <w:szCs w:val="22"/>
              </w:rPr>
              <w:t xml:space="preserve"> and is not suitable for use as an intermediate clinical end point to substitute for </w:t>
            </w:r>
            <w:r>
              <w:rPr>
                <w:sz w:val="22"/>
                <w:szCs w:val="22"/>
              </w:rPr>
              <w:t>overall survival</w:t>
            </w:r>
            <w:r w:rsidRPr="00293394">
              <w:rPr>
                <w:sz w:val="22"/>
                <w:szCs w:val="22"/>
              </w:rPr>
              <w:t>”</w:t>
            </w:r>
          </w:p>
        </w:tc>
      </w:tr>
      <w:tr w:rsidR="001A5D69" w:rsidRPr="006D7C80" w14:paraId="5B1D5F41" w14:textId="77777777" w:rsidTr="00293394">
        <w:trPr>
          <w:trHeight w:val="408"/>
        </w:trPr>
        <w:tc>
          <w:tcPr>
            <w:tcW w:w="1945" w:type="dxa"/>
          </w:tcPr>
          <w:p w14:paraId="33CE9C6B" w14:textId="638EE2B6" w:rsidR="001A5D69" w:rsidRPr="00293394" w:rsidRDefault="001A5D69" w:rsidP="00306D4B">
            <w:pPr>
              <w:autoSpaceDE w:val="0"/>
              <w:autoSpaceDN w:val="0"/>
              <w:adjustRightInd w:val="0"/>
              <w:rPr>
                <w:sz w:val="22"/>
                <w:szCs w:val="22"/>
              </w:rPr>
            </w:pPr>
            <w:r w:rsidRPr="00293394">
              <w:rPr>
                <w:sz w:val="22"/>
                <w:szCs w:val="22"/>
              </w:rPr>
              <w:t>HIV infection</w:t>
            </w:r>
            <w:r w:rsidR="005E1BEB" w:rsidRPr="00293394">
              <w:rPr>
                <w:sz w:val="22"/>
                <w:szCs w:val="22"/>
              </w:rPr>
              <w:t xml:space="preserve"> </w:t>
            </w:r>
            <w:r w:rsidR="005E1BEB" w:rsidRPr="00293394">
              <w:rPr>
                <w:sz w:val="22"/>
                <w:szCs w:val="22"/>
              </w:rPr>
              <w:fldChar w:fldCharType="begin"/>
            </w:r>
            <w:r w:rsidR="001D2160">
              <w:rPr>
                <w:sz w:val="22"/>
                <w:szCs w:val="22"/>
              </w:rPr>
              <w:instrText xml:space="preserve"> ADDIN ZOTERO_ITEM CSL_CITATION {"citationID":"DfQTOkS3","properties":{"formattedCitation":"[61]","plainCitation":"[61]","noteIndex":0},"citationItems":[{"id":74,"uris":["http://zotero.org/users/local/XzHhEqW9/items/CIUAUJNS"],"uri":["http://zotero.org/users/local/XzHhEqW9/items/CIUAUJNS"],"itemData":{"id":74,"type":"article-journal","container-title":"AIDS","journalAbbreviation":"AIDS","page":"1823-1832","title":"CD4 cell count as a surrogate endpoint in HIV clinical trials: a meta-analysis of studies of the AIDS Clinical Trials Group","volume":"12","author":[{"family":"Hughes","given":"MD"},{"family":"Daniels","given":"MJ"},{"family":"Fischl","given":"MA"},{"family":"Kim","given":"S"},{"family":"Schooley","given":"RT"}],"issued":{"date-parts":[["1998"]]}}}],"schema":"https://github.com/citation-style-language/schema/raw/master/csl-citation.json"} </w:instrText>
            </w:r>
            <w:r w:rsidR="005E1BEB" w:rsidRPr="00293394">
              <w:rPr>
                <w:sz w:val="22"/>
                <w:szCs w:val="22"/>
              </w:rPr>
              <w:fldChar w:fldCharType="separate"/>
            </w:r>
            <w:r w:rsidR="001D2160" w:rsidRPr="001D2160">
              <w:rPr>
                <w:sz w:val="22"/>
              </w:rPr>
              <w:t>[61]</w:t>
            </w:r>
            <w:r w:rsidR="005E1BEB" w:rsidRPr="00293394">
              <w:rPr>
                <w:sz w:val="22"/>
                <w:szCs w:val="22"/>
              </w:rPr>
              <w:fldChar w:fldCharType="end"/>
            </w:r>
          </w:p>
        </w:tc>
        <w:tc>
          <w:tcPr>
            <w:tcW w:w="2089" w:type="dxa"/>
          </w:tcPr>
          <w:p w14:paraId="1853869F" w14:textId="77777777" w:rsidR="001A5D69" w:rsidRPr="00293394" w:rsidRDefault="001A5D69" w:rsidP="00306D4B">
            <w:pPr>
              <w:autoSpaceDE w:val="0"/>
              <w:autoSpaceDN w:val="0"/>
              <w:adjustRightInd w:val="0"/>
              <w:rPr>
                <w:sz w:val="22"/>
                <w:szCs w:val="22"/>
              </w:rPr>
            </w:pPr>
            <w:r w:rsidRPr="00293394">
              <w:rPr>
                <w:sz w:val="22"/>
                <w:szCs w:val="22"/>
              </w:rPr>
              <w:t>CD4 count</w:t>
            </w:r>
          </w:p>
        </w:tc>
        <w:tc>
          <w:tcPr>
            <w:tcW w:w="2368" w:type="dxa"/>
          </w:tcPr>
          <w:p w14:paraId="57603BC1" w14:textId="77777777" w:rsidR="001A5D69" w:rsidRPr="00293394" w:rsidRDefault="001A5D69" w:rsidP="00306D4B">
            <w:pPr>
              <w:autoSpaceDE w:val="0"/>
              <w:autoSpaceDN w:val="0"/>
              <w:adjustRightInd w:val="0"/>
              <w:rPr>
                <w:sz w:val="22"/>
                <w:szCs w:val="22"/>
              </w:rPr>
            </w:pPr>
            <w:r w:rsidRPr="00293394">
              <w:rPr>
                <w:sz w:val="22"/>
                <w:szCs w:val="22"/>
              </w:rPr>
              <w:t>AIDS or death</w:t>
            </w:r>
          </w:p>
        </w:tc>
        <w:tc>
          <w:tcPr>
            <w:tcW w:w="7753" w:type="dxa"/>
          </w:tcPr>
          <w:p w14:paraId="21E14B95" w14:textId="4E43E533" w:rsidR="001A5D69" w:rsidRPr="00293394" w:rsidDel="004E2364" w:rsidRDefault="0048639A" w:rsidP="0048639A">
            <w:pPr>
              <w:autoSpaceDE w:val="0"/>
              <w:autoSpaceDN w:val="0"/>
              <w:adjustRightInd w:val="0"/>
              <w:rPr>
                <w:sz w:val="22"/>
                <w:szCs w:val="22"/>
              </w:rPr>
            </w:pPr>
            <w:r w:rsidRPr="00293394">
              <w:rPr>
                <w:sz w:val="22"/>
                <w:szCs w:val="22"/>
              </w:rPr>
              <w:t>“CD4 cell count is a weak surrogate endpoint”</w:t>
            </w:r>
          </w:p>
        </w:tc>
      </w:tr>
      <w:tr w:rsidR="009512FB" w:rsidRPr="006D7C80" w14:paraId="67666757" w14:textId="77777777" w:rsidTr="00293394">
        <w:trPr>
          <w:trHeight w:val="408"/>
        </w:trPr>
        <w:tc>
          <w:tcPr>
            <w:tcW w:w="1945" w:type="dxa"/>
          </w:tcPr>
          <w:p w14:paraId="01643039" w14:textId="735F8E67" w:rsidR="009512FB" w:rsidRPr="00293394" w:rsidRDefault="009512FB" w:rsidP="00306D4B">
            <w:pPr>
              <w:autoSpaceDE w:val="0"/>
              <w:autoSpaceDN w:val="0"/>
              <w:adjustRightInd w:val="0"/>
              <w:rPr>
                <w:sz w:val="22"/>
                <w:szCs w:val="22"/>
              </w:rPr>
            </w:pPr>
            <w:r w:rsidRPr="00293394">
              <w:rPr>
                <w:sz w:val="22"/>
                <w:szCs w:val="22"/>
              </w:rPr>
              <w:t>Alzheimer’s disease</w:t>
            </w:r>
            <w:r w:rsidR="00BE11A3">
              <w:rPr>
                <w:sz w:val="22"/>
                <w:szCs w:val="22"/>
              </w:rPr>
              <w:t xml:space="preserve"> </w:t>
            </w:r>
            <w:r w:rsidR="00BE11A3">
              <w:rPr>
                <w:sz w:val="22"/>
                <w:szCs w:val="22"/>
              </w:rPr>
              <w:fldChar w:fldCharType="begin"/>
            </w:r>
            <w:r w:rsidR="00BE11A3">
              <w:rPr>
                <w:sz w:val="22"/>
                <w:szCs w:val="22"/>
              </w:rPr>
              <w:instrText xml:space="preserve"> ADDIN ZOTERO_ITEM CSL_CITATION {"citationID":"2wlrzZlW","properties":{"formattedCitation":"[1]","plainCitation":"[1]","noteIndex":0},"citationItems":[{"id":161,"uris":["http://zotero.org/users/local/XzHhEqW9/items/5L9ERENU"],"uri":["http://zotero.org/users/local/XzHhEqW9/items/5L9ERENU"],"itemData":{"id":161,"type":"article-journal","abstract":"OBJECTIVE: To evaluate trials of drugs that target amyloid to determine whether reductions in amyloid levels are likely to improve cognition. DESIGN: Instrumental  variable meta-analysis. SETTING: 14 randomized controlled trials of drugs for the  prevention or treatment of Alzheimer's disease that targeted an amyloid mechanism,  identified from ClinicalTrials.gov. POPULATION: Adults enrolled in randomized  controlled trials of amyloid targeting drugs. Inclusion criteria for trials vary,  but typically include adults aged 50 years or older with a diagnosis of mild  cognitive impairment or Alzheimer's disease, and amyloid positivity at baseline.  MAIN OUTCOME MEASURES: Analyses included trials for which information could be  obtained on both change in brain amyloid levels measured with amyloid positron  emission tomography and change in at least one cognitive test score reported for  each randomization arm. RESULTS: Pooled results from the 14 randomized controlled  trials were more precise than estimates from any single trial. The pooled estimate  for the effect of reducing amyloid levels by 0.1 standardized uptake value ratio  units was an improvement in the mini-mental state examination score of 0.03 (95%  confidence interval -0.06 to 0.1) points. This study provides a web application that  allows for the re-estimation of the results when new data become available and  illustrates the magnitude of the new evidence that would be necessary to achieve a  pooled estimate supporting the benefit of reducing amyloid levels. CONCLUSIONS:  Pooled evidence from available trials reporting both reduction in amyloid levels and  change in cognition suggests that amyloid reduction strategies do not substantially  improve cognition.","container-title":"BMJ (Clinical research ed.)","DOI":"10.1136/bmj.n156","ISSN":"1756-1833 0959-8138","journalAbbreviation":"BMJ","language":"eng","note":"PMID: 33632704 \nPMCID: PMC7905687","page":"n156","title":"Effect of reductions in amyloid levels on cognitive change in randomized trials: instrumental variable meta-analysis.","volume":"372","author":[{"family":"Ackley","given":"Sarah F."},{"family":"Zimmerman","given":"Scott C."},{"family":"Brenowitz","given":"Willa D."},{"family":"Tchetgen Tchetgen","given":"Eric J."},{"family":"Gold","given":"Audra L."},{"family":"Manly","given":"Jennifer J."},{"family":"Mayeda","given":"Elizabeth Rose"},{"family":"Filshtein","given":"Teresa J."},{"family":"Power","given":"Melinda C."},{"family":"Elahi","given":"Fanny M."},{"family":"Brickman","given":"Adam M."},{"family":"Glymour","given":"M. Maria"}],"issued":{"date-parts":[["2021",2,25]]}}}],"schema":"https://github.com/citation-style-language/schema/raw/master/csl-citation.json"} </w:instrText>
            </w:r>
            <w:r w:rsidR="00BE11A3">
              <w:rPr>
                <w:sz w:val="22"/>
                <w:szCs w:val="22"/>
              </w:rPr>
              <w:fldChar w:fldCharType="separate"/>
            </w:r>
            <w:r w:rsidR="00BE11A3" w:rsidRPr="00BE11A3">
              <w:rPr>
                <w:sz w:val="22"/>
              </w:rPr>
              <w:t>[1]</w:t>
            </w:r>
            <w:r w:rsidR="00BE11A3">
              <w:rPr>
                <w:sz w:val="22"/>
                <w:szCs w:val="22"/>
              </w:rPr>
              <w:fldChar w:fldCharType="end"/>
            </w:r>
          </w:p>
        </w:tc>
        <w:tc>
          <w:tcPr>
            <w:tcW w:w="2089" w:type="dxa"/>
          </w:tcPr>
          <w:p w14:paraId="7B9AA88F" w14:textId="2D494D06" w:rsidR="009512FB" w:rsidRPr="00293394" w:rsidRDefault="009512FB" w:rsidP="00306D4B">
            <w:pPr>
              <w:autoSpaceDE w:val="0"/>
              <w:autoSpaceDN w:val="0"/>
              <w:adjustRightInd w:val="0"/>
              <w:rPr>
                <w:sz w:val="22"/>
                <w:szCs w:val="22"/>
              </w:rPr>
            </w:pPr>
            <w:r w:rsidRPr="00293394">
              <w:rPr>
                <w:sz w:val="22"/>
                <w:szCs w:val="22"/>
              </w:rPr>
              <w:t>Amyloid levels</w:t>
            </w:r>
          </w:p>
        </w:tc>
        <w:tc>
          <w:tcPr>
            <w:tcW w:w="2368" w:type="dxa"/>
          </w:tcPr>
          <w:p w14:paraId="77417C72" w14:textId="2F31FB7F" w:rsidR="009512FB" w:rsidRPr="00293394" w:rsidRDefault="009512FB" w:rsidP="00306D4B">
            <w:pPr>
              <w:autoSpaceDE w:val="0"/>
              <w:autoSpaceDN w:val="0"/>
              <w:adjustRightInd w:val="0"/>
              <w:rPr>
                <w:sz w:val="22"/>
                <w:szCs w:val="22"/>
              </w:rPr>
            </w:pPr>
            <w:r w:rsidRPr="00293394">
              <w:rPr>
                <w:sz w:val="22"/>
                <w:szCs w:val="22"/>
              </w:rPr>
              <w:t>Cognitive decline</w:t>
            </w:r>
          </w:p>
        </w:tc>
        <w:tc>
          <w:tcPr>
            <w:tcW w:w="7753" w:type="dxa"/>
          </w:tcPr>
          <w:p w14:paraId="26500898" w14:textId="79EDBDA7" w:rsidR="009512FB" w:rsidRPr="00293394" w:rsidRDefault="00970179" w:rsidP="00970179">
            <w:pPr>
              <w:autoSpaceDE w:val="0"/>
              <w:autoSpaceDN w:val="0"/>
              <w:adjustRightInd w:val="0"/>
              <w:rPr>
                <w:sz w:val="22"/>
                <w:szCs w:val="22"/>
              </w:rPr>
            </w:pPr>
            <w:r w:rsidRPr="00293394">
              <w:rPr>
                <w:sz w:val="22"/>
                <w:szCs w:val="22"/>
              </w:rPr>
              <w:t>“</w:t>
            </w:r>
            <w:proofErr w:type="gramStart"/>
            <w:r w:rsidRPr="00293394">
              <w:rPr>
                <w:sz w:val="22"/>
                <w:szCs w:val="22"/>
              </w:rPr>
              <w:t>reducing</w:t>
            </w:r>
            <w:proofErr w:type="gramEnd"/>
            <w:r w:rsidRPr="00293394">
              <w:rPr>
                <w:sz w:val="22"/>
                <w:szCs w:val="22"/>
              </w:rPr>
              <w:t xml:space="preserve"> amyloid levels with drug treatment has, at most, a small effect on cognition”</w:t>
            </w:r>
          </w:p>
        </w:tc>
      </w:tr>
    </w:tbl>
    <w:p w14:paraId="50AC4A7E" w14:textId="457DE008" w:rsidR="004057B9" w:rsidRDefault="004057B9" w:rsidP="00A70F82">
      <w:pPr>
        <w:rPr>
          <w:b/>
        </w:rPr>
      </w:pPr>
    </w:p>
    <w:p w14:paraId="5ECB6E1D" w14:textId="4D72B468" w:rsidR="001B4A04" w:rsidRDefault="001B4A04">
      <w:pPr>
        <w:rPr>
          <w:b/>
        </w:rPr>
      </w:pPr>
    </w:p>
    <w:p w14:paraId="1A47B6D6" w14:textId="2007B530" w:rsidR="00117CC9" w:rsidRPr="005D696F" w:rsidRDefault="00117CC9" w:rsidP="005D696F">
      <w:pPr>
        <w:rPr>
          <w:bCs/>
          <w:i/>
          <w:iCs/>
          <w:sz w:val="16"/>
          <w:szCs w:val="16"/>
        </w:rPr>
      </w:pPr>
    </w:p>
    <w:sectPr w:rsidR="00117CC9" w:rsidRPr="005D696F" w:rsidSect="008E6972">
      <w:pgSz w:w="16838" w:h="11906" w:orient="landscape"/>
      <w:pgMar w:top="707" w:right="1440" w:bottom="1440" w:left="1440"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2C0B" w14:textId="77777777" w:rsidR="00AD6152" w:rsidRDefault="00AD6152">
      <w:r>
        <w:separator/>
      </w:r>
    </w:p>
  </w:endnote>
  <w:endnote w:type="continuationSeparator" w:id="0">
    <w:p w14:paraId="65618A14" w14:textId="77777777" w:rsidR="00AD6152" w:rsidRDefault="00AD6152">
      <w:r>
        <w:continuationSeparator/>
      </w:r>
    </w:p>
  </w:endnote>
  <w:endnote w:type="continuationNotice" w:id="1">
    <w:p w14:paraId="603781AC" w14:textId="77777777" w:rsidR="00AD6152" w:rsidRDefault="00AD6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B37D" w14:textId="03E11FAE" w:rsidR="00E50459" w:rsidRDefault="00E50459">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15</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15</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4D03" w14:textId="77777777" w:rsidR="00AD6152" w:rsidRDefault="00AD6152">
      <w:r>
        <w:separator/>
      </w:r>
    </w:p>
  </w:footnote>
  <w:footnote w:type="continuationSeparator" w:id="0">
    <w:p w14:paraId="136D392A" w14:textId="77777777" w:rsidR="00AD6152" w:rsidRDefault="00AD6152">
      <w:r>
        <w:continuationSeparator/>
      </w:r>
    </w:p>
  </w:footnote>
  <w:footnote w:type="continuationNotice" w:id="1">
    <w:p w14:paraId="2D7A6665" w14:textId="77777777" w:rsidR="00AD6152" w:rsidRDefault="00AD61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F9"/>
    <w:multiLevelType w:val="hybridMultilevel"/>
    <w:tmpl w:val="121ADF78"/>
    <w:lvl w:ilvl="0" w:tplc="4EDEEB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6951"/>
    <w:multiLevelType w:val="hybridMultilevel"/>
    <w:tmpl w:val="3166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F70B0"/>
    <w:multiLevelType w:val="hybridMultilevel"/>
    <w:tmpl w:val="C6B24E1C"/>
    <w:lvl w:ilvl="0" w:tplc="CCF0C01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F60C5"/>
    <w:multiLevelType w:val="hybridMultilevel"/>
    <w:tmpl w:val="A8705394"/>
    <w:lvl w:ilvl="0" w:tplc="F42E21E0">
      <w:start w:val="1"/>
      <w:numFmt w:val="bullet"/>
      <w:pStyle w:val="Bullets"/>
      <w:lvlText w:val=""/>
      <w:lvlJc w:val="left"/>
      <w:pPr>
        <w:ind w:left="360" w:hanging="360"/>
      </w:pPr>
      <w:rPr>
        <w:rFonts w:ascii="Symbol" w:hAnsi="Symbol" w:hint="default"/>
      </w:rPr>
    </w:lvl>
    <w:lvl w:ilvl="1" w:tplc="CCF0C01E">
      <w:start w:val="1"/>
      <w:numFmt w:val="bullet"/>
      <w:lvlText w:val=""/>
      <w:lvlJc w:val="left"/>
      <w:pPr>
        <w:ind w:left="760" w:hanging="360"/>
      </w:pPr>
      <w:rPr>
        <w:rFonts w:ascii="Symbol" w:hAnsi="Symbol" w:hint="default"/>
      </w:rPr>
    </w:lvl>
    <w:lvl w:ilvl="2" w:tplc="08090005">
      <w:start w:val="1"/>
      <w:numFmt w:val="bullet"/>
      <w:lvlText w:val=""/>
      <w:lvlJc w:val="left"/>
      <w:pPr>
        <w:ind w:left="1480" w:hanging="360"/>
      </w:pPr>
      <w:rPr>
        <w:rFonts w:ascii="Wingdings" w:hAnsi="Wingdings" w:hint="default"/>
      </w:rPr>
    </w:lvl>
    <w:lvl w:ilvl="3" w:tplc="08090001">
      <w:start w:val="1"/>
      <w:numFmt w:val="bullet"/>
      <w:lvlText w:val=""/>
      <w:lvlJc w:val="left"/>
      <w:pPr>
        <w:ind w:left="2200" w:hanging="360"/>
      </w:pPr>
      <w:rPr>
        <w:rFonts w:ascii="Symbol" w:hAnsi="Symbol" w:hint="default"/>
      </w:rPr>
    </w:lvl>
    <w:lvl w:ilvl="4" w:tplc="08090003">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4" w15:restartNumberingAfterBreak="0">
    <w:nsid w:val="25EF00BA"/>
    <w:multiLevelType w:val="hybridMultilevel"/>
    <w:tmpl w:val="5C628194"/>
    <w:lvl w:ilvl="0" w:tplc="7CE6F3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55431"/>
    <w:multiLevelType w:val="multilevel"/>
    <w:tmpl w:val="4C944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786628"/>
    <w:multiLevelType w:val="hybridMultilevel"/>
    <w:tmpl w:val="F8A6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274D7A"/>
    <w:multiLevelType w:val="hybridMultilevel"/>
    <w:tmpl w:val="0DC6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483BCE"/>
    <w:multiLevelType w:val="hybridMultilevel"/>
    <w:tmpl w:val="2E086E2C"/>
    <w:lvl w:ilvl="0" w:tplc="00C002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D483C"/>
    <w:multiLevelType w:val="hybridMultilevel"/>
    <w:tmpl w:val="E7BA6962"/>
    <w:lvl w:ilvl="0" w:tplc="CCF0C01E">
      <w:start w:val="1"/>
      <w:numFmt w:val="bullet"/>
      <w:lvlText w:val=""/>
      <w:lvlJc w:val="left"/>
      <w:pPr>
        <w:ind w:left="360" w:hanging="360"/>
      </w:pPr>
      <w:rPr>
        <w:rFonts w:ascii="Symbol" w:hAnsi="Symbol" w:hint="default"/>
      </w:rPr>
    </w:lvl>
    <w:lvl w:ilvl="1" w:tplc="CCF0C01E">
      <w:start w:val="1"/>
      <w:numFmt w:val="bullet"/>
      <w:lvlText w:val=""/>
      <w:lvlJc w:val="left"/>
      <w:pPr>
        <w:ind w:left="760" w:hanging="360"/>
      </w:pPr>
      <w:rPr>
        <w:rFonts w:ascii="Symbol" w:hAnsi="Symbol" w:hint="default"/>
      </w:rPr>
    </w:lvl>
    <w:lvl w:ilvl="2" w:tplc="08090005">
      <w:start w:val="1"/>
      <w:numFmt w:val="bullet"/>
      <w:lvlText w:val=""/>
      <w:lvlJc w:val="left"/>
      <w:pPr>
        <w:ind w:left="1480" w:hanging="360"/>
      </w:pPr>
      <w:rPr>
        <w:rFonts w:ascii="Wingdings" w:hAnsi="Wingdings" w:hint="default"/>
      </w:rPr>
    </w:lvl>
    <w:lvl w:ilvl="3" w:tplc="08090001">
      <w:start w:val="1"/>
      <w:numFmt w:val="bullet"/>
      <w:lvlText w:val=""/>
      <w:lvlJc w:val="left"/>
      <w:pPr>
        <w:ind w:left="2200" w:hanging="360"/>
      </w:pPr>
      <w:rPr>
        <w:rFonts w:ascii="Symbol" w:hAnsi="Symbol" w:hint="default"/>
      </w:rPr>
    </w:lvl>
    <w:lvl w:ilvl="4" w:tplc="08090003">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0" w15:restartNumberingAfterBreak="0">
    <w:nsid w:val="54644727"/>
    <w:multiLevelType w:val="hybridMultilevel"/>
    <w:tmpl w:val="E3A4C03A"/>
    <w:lvl w:ilvl="0" w:tplc="CCF0C0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90F7F"/>
    <w:multiLevelType w:val="hybridMultilevel"/>
    <w:tmpl w:val="4AB221AC"/>
    <w:lvl w:ilvl="0" w:tplc="B9BC0BB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137A3"/>
    <w:multiLevelType w:val="hybridMultilevel"/>
    <w:tmpl w:val="49721092"/>
    <w:lvl w:ilvl="0" w:tplc="CCF0C0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37269"/>
    <w:multiLevelType w:val="hybridMultilevel"/>
    <w:tmpl w:val="D798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350A8"/>
    <w:multiLevelType w:val="multilevel"/>
    <w:tmpl w:val="14822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4F3F4C"/>
    <w:multiLevelType w:val="hybridMultilevel"/>
    <w:tmpl w:val="F0906C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77AF5"/>
    <w:multiLevelType w:val="hybridMultilevel"/>
    <w:tmpl w:val="B1DE0FC8"/>
    <w:lvl w:ilvl="0" w:tplc="CCF0C0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B7204A"/>
    <w:multiLevelType w:val="hybridMultilevel"/>
    <w:tmpl w:val="C90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7"/>
  </w:num>
  <w:num w:numId="5">
    <w:abstractNumId w:val="18"/>
  </w:num>
  <w:num w:numId="6">
    <w:abstractNumId w:val="11"/>
  </w:num>
  <w:num w:numId="7">
    <w:abstractNumId w:val="3"/>
  </w:num>
  <w:num w:numId="8">
    <w:abstractNumId w:val="17"/>
  </w:num>
  <w:num w:numId="9">
    <w:abstractNumId w:val="0"/>
  </w:num>
  <w:num w:numId="10">
    <w:abstractNumId w:val="10"/>
  </w:num>
  <w:num w:numId="11">
    <w:abstractNumId w:val="9"/>
  </w:num>
  <w:num w:numId="12">
    <w:abstractNumId w:val="12"/>
  </w:num>
  <w:num w:numId="13">
    <w:abstractNumId w:val="2"/>
  </w:num>
  <w:num w:numId="14">
    <w:abstractNumId w:val="8"/>
  </w:num>
  <w:num w:numId="15">
    <w:abstractNumId w:val="1"/>
  </w:num>
  <w:num w:numId="16">
    <w:abstractNumId w:val="16"/>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74"/>
    <w:rsid w:val="00007713"/>
    <w:rsid w:val="00013F59"/>
    <w:rsid w:val="000238B1"/>
    <w:rsid w:val="00025C03"/>
    <w:rsid w:val="00034482"/>
    <w:rsid w:val="00040D38"/>
    <w:rsid w:val="000533CE"/>
    <w:rsid w:val="000572AA"/>
    <w:rsid w:val="00057756"/>
    <w:rsid w:val="000605A4"/>
    <w:rsid w:val="000633D5"/>
    <w:rsid w:val="00066746"/>
    <w:rsid w:val="00072452"/>
    <w:rsid w:val="000742C4"/>
    <w:rsid w:val="00080649"/>
    <w:rsid w:val="00085F78"/>
    <w:rsid w:val="00086A6D"/>
    <w:rsid w:val="00087654"/>
    <w:rsid w:val="000972AB"/>
    <w:rsid w:val="000A78F8"/>
    <w:rsid w:val="000B3C41"/>
    <w:rsid w:val="000C70EF"/>
    <w:rsid w:val="000D437B"/>
    <w:rsid w:val="000E3F33"/>
    <w:rsid w:val="000F488B"/>
    <w:rsid w:val="000F72EE"/>
    <w:rsid w:val="000F75C5"/>
    <w:rsid w:val="00101F30"/>
    <w:rsid w:val="00106FCF"/>
    <w:rsid w:val="001117B7"/>
    <w:rsid w:val="00111919"/>
    <w:rsid w:val="001154A2"/>
    <w:rsid w:val="00116FFD"/>
    <w:rsid w:val="00117CC9"/>
    <w:rsid w:val="00130B9C"/>
    <w:rsid w:val="00132B46"/>
    <w:rsid w:val="00133F73"/>
    <w:rsid w:val="00135CD1"/>
    <w:rsid w:val="00151D82"/>
    <w:rsid w:val="00160BCB"/>
    <w:rsid w:val="00171478"/>
    <w:rsid w:val="001745BF"/>
    <w:rsid w:val="00183020"/>
    <w:rsid w:val="001838B2"/>
    <w:rsid w:val="001873EB"/>
    <w:rsid w:val="00191BEA"/>
    <w:rsid w:val="00193E6F"/>
    <w:rsid w:val="001A08C5"/>
    <w:rsid w:val="001A5D69"/>
    <w:rsid w:val="001A7612"/>
    <w:rsid w:val="001B007D"/>
    <w:rsid w:val="001B2BEC"/>
    <w:rsid w:val="001B4A04"/>
    <w:rsid w:val="001B697E"/>
    <w:rsid w:val="001C7555"/>
    <w:rsid w:val="001D0056"/>
    <w:rsid w:val="001D2160"/>
    <w:rsid w:val="001D6B61"/>
    <w:rsid w:val="001D749E"/>
    <w:rsid w:val="001D7A27"/>
    <w:rsid w:val="001D7CE6"/>
    <w:rsid w:val="001E364C"/>
    <w:rsid w:val="001E4DB9"/>
    <w:rsid w:val="00200EEE"/>
    <w:rsid w:val="00210921"/>
    <w:rsid w:val="0021784C"/>
    <w:rsid w:val="00222C48"/>
    <w:rsid w:val="0022411C"/>
    <w:rsid w:val="00226479"/>
    <w:rsid w:val="0023216F"/>
    <w:rsid w:val="00234225"/>
    <w:rsid w:val="00235F80"/>
    <w:rsid w:val="00237CD9"/>
    <w:rsid w:val="00251F2F"/>
    <w:rsid w:val="00255F96"/>
    <w:rsid w:val="00263DCC"/>
    <w:rsid w:val="00265D5B"/>
    <w:rsid w:val="002774D7"/>
    <w:rsid w:val="002845DA"/>
    <w:rsid w:val="00293394"/>
    <w:rsid w:val="002960FD"/>
    <w:rsid w:val="00296331"/>
    <w:rsid w:val="002A35E0"/>
    <w:rsid w:val="002A5251"/>
    <w:rsid w:val="002A6CF1"/>
    <w:rsid w:val="002A7211"/>
    <w:rsid w:val="002D4932"/>
    <w:rsid w:val="002E00B6"/>
    <w:rsid w:val="002E0888"/>
    <w:rsid w:val="002E26B0"/>
    <w:rsid w:val="002F681F"/>
    <w:rsid w:val="00302980"/>
    <w:rsid w:val="00306D4B"/>
    <w:rsid w:val="00311DE3"/>
    <w:rsid w:val="00314E41"/>
    <w:rsid w:val="00321EDE"/>
    <w:rsid w:val="003228C6"/>
    <w:rsid w:val="00323638"/>
    <w:rsid w:val="00325B67"/>
    <w:rsid w:val="00325D37"/>
    <w:rsid w:val="00336D5A"/>
    <w:rsid w:val="00337743"/>
    <w:rsid w:val="0034051C"/>
    <w:rsid w:val="00341855"/>
    <w:rsid w:val="00343F20"/>
    <w:rsid w:val="0034538B"/>
    <w:rsid w:val="00357E42"/>
    <w:rsid w:val="00361D6D"/>
    <w:rsid w:val="00364315"/>
    <w:rsid w:val="003654EF"/>
    <w:rsid w:val="00372238"/>
    <w:rsid w:val="00373A83"/>
    <w:rsid w:val="00374A99"/>
    <w:rsid w:val="003808D2"/>
    <w:rsid w:val="00393648"/>
    <w:rsid w:val="003A0061"/>
    <w:rsid w:val="003A6F13"/>
    <w:rsid w:val="003A7C41"/>
    <w:rsid w:val="003B2658"/>
    <w:rsid w:val="003C0618"/>
    <w:rsid w:val="003C35F9"/>
    <w:rsid w:val="003D4948"/>
    <w:rsid w:val="003D5FE8"/>
    <w:rsid w:val="003D7499"/>
    <w:rsid w:val="003E0187"/>
    <w:rsid w:val="003E6A26"/>
    <w:rsid w:val="003F10EA"/>
    <w:rsid w:val="004057B9"/>
    <w:rsid w:val="00405EAA"/>
    <w:rsid w:val="00413586"/>
    <w:rsid w:val="0043210A"/>
    <w:rsid w:val="00436393"/>
    <w:rsid w:val="00447932"/>
    <w:rsid w:val="00447B4A"/>
    <w:rsid w:val="00453A3A"/>
    <w:rsid w:val="00453CBE"/>
    <w:rsid w:val="0045541F"/>
    <w:rsid w:val="0045592B"/>
    <w:rsid w:val="0045797D"/>
    <w:rsid w:val="00460C06"/>
    <w:rsid w:val="00465AEB"/>
    <w:rsid w:val="00471D9B"/>
    <w:rsid w:val="004730F2"/>
    <w:rsid w:val="0048639A"/>
    <w:rsid w:val="00486E9A"/>
    <w:rsid w:val="00486F9A"/>
    <w:rsid w:val="0049041C"/>
    <w:rsid w:val="00490E22"/>
    <w:rsid w:val="004A295D"/>
    <w:rsid w:val="004B464B"/>
    <w:rsid w:val="004B4D33"/>
    <w:rsid w:val="004B7A38"/>
    <w:rsid w:val="004C0196"/>
    <w:rsid w:val="004E5592"/>
    <w:rsid w:val="004E596B"/>
    <w:rsid w:val="004F682C"/>
    <w:rsid w:val="0050134F"/>
    <w:rsid w:val="0051357E"/>
    <w:rsid w:val="005165C8"/>
    <w:rsid w:val="0052016F"/>
    <w:rsid w:val="0052576A"/>
    <w:rsid w:val="0052634F"/>
    <w:rsid w:val="00533AAF"/>
    <w:rsid w:val="0054164E"/>
    <w:rsid w:val="0055376A"/>
    <w:rsid w:val="005561F5"/>
    <w:rsid w:val="0055637E"/>
    <w:rsid w:val="0055665A"/>
    <w:rsid w:val="005732AB"/>
    <w:rsid w:val="005800C0"/>
    <w:rsid w:val="00580319"/>
    <w:rsid w:val="00580CB5"/>
    <w:rsid w:val="00581D33"/>
    <w:rsid w:val="00586BA9"/>
    <w:rsid w:val="005876D9"/>
    <w:rsid w:val="005A0935"/>
    <w:rsid w:val="005A55D0"/>
    <w:rsid w:val="005B3C5D"/>
    <w:rsid w:val="005B5531"/>
    <w:rsid w:val="005C30AA"/>
    <w:rsid w:val="005D2A5D"/>
    <w:rsid w:val="005D696F"/>
    <w:rsid w:val="005E07AC"/>
    <w:rsid w:val="005E0CE8"/>
    <w:rsid w:val="005E1BEB"/>
    <w:rsid w:val="005E208F"/>
    <w:rsid w:val="005E330A"/>
    <w:rsid w:val="005F14A3"/>
    <w:rsid w:val="005F3F23"/>
    <w:rsid w:val="006101D8"/>
    <w:rsid w:val="00614AF7"/>
    <w:rsid w:val="006150F0"/>
    <w:rsid w:val="00615591"/>
    <w:rsid w:val="0062364C"/>
    <w:rsid w:val="0062423D"/>
    <w:rsid w:val="006256FC"/>
    <w:rsid w:val="00626515"/>
    <w:rsid w:val="00626F51"/>
    <w:rsid w:val="00637791"/>
    <w:rsid w:val="00644BE6"/>
    <w:rsid w:val="00645386"/>
    <w:rsid w:val="00654BFB"/>
    <w:rsid w:val="00683B84"/>
    <w:rsid w:val="00685C32"/>
    <w:rsid w:val="00687998"/>
    <w:rsid w:val="006911DF"/>
    <w:rsid w:val="006937A7"/>
    <w:rsid w:val="006A0CE4"/>
    <w:rsid w:val="006A2C57"/>
    <w:rsid w:val="006A4EF1"/>
    <w:rsid w:val="006A578F"/>
    <w:rsid w:val="006A7206"/>
    <w:rsid w:val="006B7E92"/>
    <w:rsid w:val="006D3DBE"/>
    <w:rsid w:val="006D7C80"/>
    <w:rsid w:val="006E0EAE"/>
    <w:rsid w:val="006E4929"/>
    <w:rsid w:val="006E6F65"/>
    <w:rsid w:val="006F21E9"/>
    <w:rsid w:val="006F478E"/>
    <w:rsid w:val="0071378C"/>
    <w:rsid w:val="00716FD1"/>
    <w:rsid w:val="00723C67"/>
    <w:rsid w:val="00725655"/>
    <w:rsid w:val="00732526"/>
    <w:rsid w:val="00740CDA"/>
    <w:rsid w:val="00750D30"/>
    <w:rsid w:val="00751B99"/>
    <w:rsid w:val="00756B3E"/>
    <w:rsid w:val="007640FB"/>
    <w:rsid w:val="007653BB"/>
    <w:rsid w:val="007715D6"/>
    <w:rsid w:val="00773036"/>
    <w:rsid w:val="007767AF"/>
    <w:rsid w:val="00790043"/>
    <w:rsid w:val="00791417"/>
    <w:rsid w:val="00792269"/>
    <w:rsid w:val="007A1084"/>
    <w:rsid w:val="007A6761"/>
    <w:rsid w:val="007C29B7"/>
    <w:rsid w:val="007D0D03"/>
    <w:rsid w:val="007D2544"/>
    <w:rsid w:val="007D324D"/>
    <w:rsid w:val="007D5CD1"/>
    <w:rsid w:val="007D68B3"/>
    <w:rsid w:val="007E2811"/>
    <w:rsid w:val="007E379C"/>
    <w:rsid w:val="007F7A89"/>
    <w:rsid w:val="0080064C"/>
    <w:rsid w:val="00812FE3"/>
    <w:rsid w:val="00820C46"/>
    <w:rsid w:val="0082385A"/>
    <w:rsid w:val="00836F1F"/>
    <w:rsid w:val="00837A95"/>
    <w:rsid w:val="00841B09"/>
    <w:rsid w:val="0084311D"/>
    <w:rsid w:val="0085089E"/>
    <w:rsid w:val="00854374"/>
    <w:rsid w:val="00855C56"/>
    <w:rsid w:val="0086433C"/>
    <w:rsid w:val="00866565"/>
    <w:rsid w:val="00866EF9"/>
    <w:rsid w:val="008735EE"/>
    <w:rsid w:val="00874FBA"/>
    <w:rsid w:val="0088157E"/>
    <w:rsid w:val="008829FE"/>
    <w:rsid w:val="0088750B"/>
    <w:rsid w:val="00897D05"/>
    <w:rsid w:val="008A64D4"/>
    <w:rsid w:val="008B184B"/>
    <w:rsid w:val="008B4F24"/>
    <w:rsid w:val="008B793F"/>
    <w:rsid w:val="008B7ADB"/>
    <w:rsid w:val="008C6B57"/>
    <w:rsid w:val="008D1941"/>
    <w:rsid w:val="008E1C33"/>
    <w:rsid w:val="008E40D2"/>
    <w:rsid w:val="008E43BA"/>
    <w:rsid w:val="008E6972"/>
    <w:rsid w:val="008F4AE9"/>
    <w:rsid w:val="008F7EF0"/>
    <w:rsid w:val="009108D0"/>
    <w:rsid w:val="0091388E"/>
    <w:rsid w:val="00921C5F"/>
    <w:rsid w:val="00922E30"/>
    <w:rsid w:val="00923199"/>
    <w:rsid w:val="00932E0B"/>
    <w:rsid w:val="0093332C"/>
    <w:rsid w:val="00935275"/>
    <w:rsid w:val="00946F14"/>
    <w:rsid w:val="009512FB"/>
    <w:rsid w:val="00955F36"/>
    <w:rsid w:val="009570D3"/>
    <w:rsid w:val="0096073B"/>
    <w:rsid w:val="00964711"/>
    <w:rsid w:val="00970179"/>
    <w:rsid w:val="00974991"/>
    <w:rsid w:val="00977DE6"/>
    <w:rsid w:val="00980DCA"/>
    <w:rsid w:val="009865DF"/>
    <w:rsid w:val="00990089"/>
    <w:rsid w:val="009A6605"/>
    <w:rsid w:val="009B4104"/>
    <w:rsid w:val="009B6D09"/>
    <w:rsid w:val="009B71D0"/>
    <w:rsid w:val="009C21EE"/>
    <w:rsid w:val="009C3F17"/>
    <w:rsid w:val="009C53E3"/>
    <w:rsid w:val="009C5582"/>
    <w:rsid w:val="009D5C4E"/>
    <w:rsid w:val="009D5C9B"/>
    <w:rsid w:val="009D67F3"/>
    <w:rsid w:val="009E0EF5"/>
    <w:rsid w:val="009E30A2"/>
    <w:rsid w:val="009E3F80"/>
    <w:rsid w:val="009E6C96"/>
    <w:rsid w:val="00A05C48"/>
    <w:rsid w:val="00A17344"/>
    <w:rsid w:val="00A220D5"/>
    <w:rsid w:val="00A254E7"/>
    <w:rsid w:val="00A50641"/>
    <w:rsid w:val="00A51567"/>
    <w:rsid w:val="00A55732"/>
    <w:rsid w:val="00A603B7"/>
    <w:rsid w:val="00A659FA"/>
    <w:rsid w:val="00A67A24"/>
    <w:rsid w:val="00A70F82"/>
    <w:rsid w:val="00A771A1"/>
    <w:rsid w:val="00A83FB5"/>
    <w:rsid w:val="00A929BA"/>
    <w:rsid w:val="00A93651"/>
    <w:rsid w:val="00A94FAC"/>
    <w:rsid w:val="00A95F0D"/>
    <w:rsid w:val="00AA198E"/>
    <w:rsid w:val="00AA4B8F"/>
    <w:rsid w:val="00AC663D"/>
    <w:rsid w:val="00AD1EE7"/>
    <w:rsid w:val="00AD4438"/>
    <w:rsid w:val="00AD4CA3"/>
    <w:rsid w:val="00AD6152"/>
    <w:rsid w:val="00AE76C3"/>
    <w:rsid w:val="00AF43DD"/>
    <w:rsid w:val="00AF6014"/>
    <w:rsid w:val="00B2301B"/>
    <w:rsid w:val="00B30987"/>
    <w:rsid w:val="00B315B4"/>
    <w:rsid w:val="00B369B4"/>
    <w:rsid w:val="00B37EDA"/>
    <w:rsid w:val="00B40540"/>
    <w:rsid w:val="00B4780D"/>
    <w:rsid w:val="00B63393"/>
    <w:rsid w:val="00B70531"/>
    <w:rsid w:val="00B76FF2"/>
    <w:rsid w:val="00B77724"/>
    <w:rsid w:val="00B8129E"/>
    <w:rsid w:val="00B96FD7"/>
    <w:rsid w:val="00B97961"/>
    <w:rsid w:val="00B97F9F"/>
    <w:rsid w:val="00BA6EC1"/>
    <w:rsid w:val="00BB697E"/>
    <w:rsid w:val="00BD1940"/>
    <w:rsid w:val="00BD7C1B"/>
    <w:rsid w:val="00BE11A3"/>
    <w:rsid w:val="00BE1454"/>
    <w:rsid w:val="00BF6375"/>
    <w:rsid w:val="00C002D8"/>
    <w:rsid w:val="00C324E4"/>
    <w:rsid w:val="00C33276"/>
    <w:rsid w:val="00C3457A"/>
    <w:rsid w:val="00C36CFE"/>
    <w:rsid w:val="00C47748"/>
    <w:rsid w:val="00C51E90"/>
    <w:rsid w:val="00C525D6"/>
    <w:rsid w:val="00C5776A"/>
    <w:rsid w:val="00C7360D"/>
    <w:rsid w:val="00C85351"/>
    <w:rsid w:val="00C871C6"/>
    <w:rsid w:val="00CA1874"/>
    <w:rsid w:val="00CA1A3D"/>
    <w:rsid w:val="00CA58AE"/>
    <w:rsid w:val="00CB220F"/>
    <w:rsid w:val="00CB2B1B"/>
    <w:rsid w:val="00CB7104"/>
    <w:rsid w:val="00CB7F6F"/>
    <w:rsid w:val="00CD2981"/>
    <w:rsid w:val="00CD302D"/>
    <w:rsid w:val="00CD47E1"/>
    <w:rsid w:val="00CE035D"/>
    <w:rsid w:val="00CE738F"/>
    <w:rsid w:val="00CF265C"/>
    <w:rsid w:val="00CF4C84"/>
    <w:rsid w:val="00CF67C0"/>
    <w:rsid w:val="00D0553D"/>
    <w:rsid w:val="00D14810"/>
    <w:rsid w:val="00D222D6"/>
    <w:rsid w:val="00D23437"/>
    <w:rsid w:val="00D25303"/>
    <w:rsid w:val="00D27A6C"/>
    <w:rsid w:val="00D36C57"/>
    <w:rsid w:val="00D4110D"/>
    <w:rsid w:val="00D41BDE"/>
    <w:rsid w:val="00D6246E"/>
    <w:rsid w:val="00D64942"/>
    <w:rsid w:val="00D6528B"/>
    <w:rsid w:val="00D904B1"/>
    <w:rsid w:val="00D935D1"/>
    <w:rsid w:val="00D9594B"/>
    <w:rsid w:val="00D974B0"/>
    <w:rsid w:val="00DA1DAE"/>
    <w:rsid w:val="00DA3A16"/>
    <w:rsid w:val="00DA41DB"/>
    <w:rsid w:val="00DA614F"/>
    <w:rsid w:val="00DB3715"/>
    <w:rsid w:val="00DB3F9D"/>
    <w:rsid w:val="00DC2791"/>
    <w:rsid w:val="00DC3F65"/>
    <w:rsid w:val="00DC4D07"/>
    <w:rsid w:val="00DC5E42"/>
    <w:rsid w:val="00DC7B40"/>
    <w:rsid w:val="00DD51A2"/>
    <w:rsid w:val="00DE4B82"/>
    <w:rsid w:val="00DF5ACC"/>
    <w:rsid w:val="00DF766F"/>
    <w:rsid w:val="00E00FE3"/>
    <w:rsid w:val="00E02EC5"/>
    <w:rsid w:val="00E058F0"/>
    <w:rsid w:val="00E0692A"/>
    <w:rsid w:val="00E12FDD"/>
    <w:rsid w:val="00E212E6"/>
    <w:rsid w:val="00E32E82"/>
    <w:rsid w:val="00E4058B"/>
    <w:rsid w:val="00E41B0A"/>
    <w:rsid w:val="00E447A3"/>
    <w:rsid w:val="00E50459"/>
    <w:rsid w:val="00E536E8"/>
    <w:rsid w:val="00E56911"/>
    <w:rsid w:val="00E62D34"/>
    <w:rsid w:val="00E73C10"/>
    <w:rsid w:val="00E7474B"/>
    <w:rsid w:val="00E80F1F"/>
    <w:rsid w:val="00E832DC"/>
    <w:rsid w:val="00E836D5"/>
    <w:rsid w:val="00E84FFE"/>
    <w:rsid w:val="00EA2F7D"/>
    <w:rsid w:val="00EA3958"/>
    <w:rsid w:val="00EA6E9A"/>
    <w:rsid w:val="00EA72C7"/>
    <w:rsid w:val="00EB5E4A"/>
    <w:rsid w:val="00ED1DE2"/>
    <w:rsid w:val="00ED4C92"/>
    <w:rsid w:val="00EE3695"/>
    <w:rsid w:val="00EE4EF9"/>
    <w:rsid w:val="00EE55D8"/>
    <w:rsid w:val="00EF3EE2"/>
    <w:rsid w:val="00F02041"/>
    <w:rsid w:val="00F05451"/>
    <w:rsid w:val="00F06F25"/>
    <w:rsid w:val="00F11141"/>
    <w:rsid w:val="00F11921"/>
    <w:rsid w:val="00F156B5"/>
    <w:rsid w:val="00F206C4"/>
    <w:rsid w:val="00F23C63"/>
    <w:rsid w:val="00F31C99"/>
    <w:rsid w:val="00F35E96"/>
    <w:rsid w:val="00F40C53"/>
    <w:rsid w:val="00F42239"/>
    <w:rsid w:val="00F47A68"/>
    <w:rsid w:val="00F50304"/>
    <w:rsid w:val="00F576A4"/>
    <w:rsid w:val="00F57950"/>
    <w:rsid w:val="00F60528"/>
    <w:rsid w:val="00F67C61"/>
    <w:rsid w:val="00F70426"/>
    <w:rsid w:val="00F71489"/>
    <w:rsid w:val="00F73698"/>
    <w:rsid w:val="00F74124"/>
    <w:rsid w:val="00F83CA3"/>
    <w:rsid w:val="00F93FE2"/>
    <w:rsid w:val="00F948EB"/>
    <w:rsid w:val="00F94D83"/>
    <w:rsid w:val="00FA7D9C"/>
    <w:rsid w:val="00FB540D"/>
    <w:rsid w:val="00FB60D9"/>
    <w:rsid w:val="00FC3104"/>
    <w:rsid w:val="00FC3128"/>
    <w:rsid w:val="00FC35DF"/>
    <w:rsid w:val="00FC72DF"/>
    <w:rsid w:val="00FD1905"/>
    <w:rsid w:val="00FD3390"/>
    <w:rsid w:val="00FD544E"/>
    <w:rsid w:val="00FE308B"/>
    <w:rsid w:val="00FE5E3B"/>
    <w:rsid w:val="00FE6478"/>
    <w:rsid w:val="00FE6712"/>
    <w:rsid w:val="00FE737D"/>
    <w:rsid w:val="00FF02E7"/>
    <w:rsid w:val="00FF3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2459"/>
  <w15:docId w15:val="{178BFEAA-72EB-4410-A76F-8612C87E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DA"/>
  </w:style>
  <w:style w:type="paragraph" w:styleId="Heading1">
    <w:name w:val="heading 1"/>
    <w:basedOn w:val="Normal"/>
    <w:next w:val="Normal"/>
    <w:pPr>
      <w:keepNext/>
      <w:spacing w:before="240" w:after="120"/>
      <w:ind w:left="720" w:hanging="360"/>
      <w:outlineLvl w:val="0"/>
    </w:pPr>
    <w:rPr>
      <w:rFonts w:ascii="Arial" w:eastAsia="Arial" w:hAnsi="Arial" w:cs="Arial"/>
      <w:b/>
      <w:sz w:val="28"/>
      <w:szCs w:val="28"/>
    </w:rPr>
  </w:style>
  <w:style w:type="paragraph" w:styleId="Heading2">
    <w:name w:val="heading 2"/>
    <w:basedOn w:val="Normal"/>
    <w:next w:val="Normal"/>
    <w:pPr>
      <w:keepNext/>
      <w:spacing w:before="240" w:after="60"/>
      <w:ind w:left="720" w:hanging="360"/>
      <w:outlineLvl w:val="1"/>
    </w:pPr>
    <w:rPr>
      <w:rFonts w:ascii="Arial" w:eastAsia="Arial" w:hAnsi="Arial" w:cs="Arial"/>
      <w:b/>
    </w:rPr>
  </w:style>
  <w:style w:type="paragraph" w:styleId="Heading3">
    <w:name w:val="heading 3"/>
    <w:basedOn w:val="Normal"/>
    <w:next w:val="Normal"/>
    <w:pPr>
      <w:keepNext/>
      <w:spacing w:before="240" w:after="60"/>
      <w:ind w:left="720" w:hanging="360"/>
      <w:outlineLvl w:val="2"/>
    </w:pPr>
    <w:rPr>
      <w:rFonts w:ascii="Arial" w:eastAsia="Arial" w:hAnsi="Arial" w:cs="Arial"/>
      <w:b/>
      <w:i/>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12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4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7F9F"/>
    <w:rPr>
      <w:b/>
      <w:bCs/>
    </w:rPr>
  </w:style>
  <w:style w:type="character" w:customStyle="1" w:styleId="CommentSubjectChar">
    <w:name w:val="Comment Subject Char"/>
    <w:basedOn w:val="CommentTextChar"/>
    <w:link w:val="CommentSubject"/>
    <w:uiPriority w:val="99"/>
    <w:semiHidden/>
    <w:rsid w:val="00B97F9F"/>
    <w:rPr>
      <w:b/>
      <w:bCs/>
      <w:sz w:val="20"/>
      <w:szCs w:val="20"/>
    </w:rPr>
  </w:style>
  <w:style w:type="character" w:styleId="Hyperlink">
    <w:name w:val="Hyperlink"/>
    <w:basedOn w:val="DefaultParagraphFont"/>
    <w:uiPriority w:val="99"/>
    <w:unhideWhenUsed/>
    <w:rsid w:val="00364315"/>
    <w:rPr>
      <w:color w:val="0000FF"/>
      <w:u w:val="single"/>
    </w:rPr>
  </w:style>
  <w:style w:type="character" w:customStyle="1" w:styleId="UnresolvedMention1">
    <w:name w:val="Unresolved Mention1"/>
    <w:basedOn w:val="DefaultParagraphFont"/>
    <w:uiPriority w:val="99"/>
    <w:semiHidden/>
    <w:unhideWhenUsed/>
    <w:rsid w:val="00130B9C"/>
    <w:rPr>
      <w:color w:val="605E5C"/>
      <w:shd w:val="clear" w:color="auto" w:fill="E1DFDD"/>
    </w:rPr>
  </w:style>
  <w:style w:type="paragraph" w:customStyle="1" w:styleId="EndNoteBibliography">
    <w:name w:val="EndNote Bibliography"/>
    <w:basedOn w:val="Normal"/>
    <w:link w:val="EndNoteBibliographyChar"/>
    <w:rsid w:val="002E26B0"/>
    <w:pPr>
      <w:jc w:val="both"/>
    </w:pPr>
    <w:rPr>
      <w:rFonts w:ascii="Calibri" w:hAnsi="Calibri" w:cs="Calibri"/>
      <w:noProof/>
      <w:sz w:val="22"/>
      <w:lang w:val="en-US" w:eastAsia="en-US"/>
    </w:rPr>
  </w:style>
  <w:style w:type="character" w:customStyle="1" w:styleId="EndNoteBibliographyChar">
    <w:name w:val="EndNote Bibliography Char"/>
    <w:basedOn w:val="DefaultParagraphFont"/>
    <w:link w:val="EndNoteBibliography"/>
    <w:rsid w:val="002E26B0"/>
    <w:rPr>
      <w:rFonts w:ascii="Calibri" w:hAnsi="Calibri" w:cs="Calibri"/>
      <w:noProof/>
      <w:sz w:val="22"/>
      <w:lang w:val="en-US" w:eastAsia="en-US"/>
    </w:rPr>
  </w:style>
  <w:style w:type="paragraph" w:styleId="ListParagraph">
    <w:name w:val="List Paragraph"/>
    <w:basedOn w:val="Normal"/>
    <w:uiPriority w:val="34"/>
    <w:qFormat/>
    <w:rsid w:val="002E26B0"/>
    <w:pPr>
      <w:ind w:left="720"/>
      <w:contextualSpacing/>
    </w:pPr>
  </w:style>
  <w:style w:type="paragraph" w:styleId="Header">
    <w:name w:val="header"/>
    <w:basedOn w:val="Normal"/>
    <w:link w:val="HeaderChar"/>
    <w:uiPriority w:val="99"/>
    <w:unhideWhenUsed/>
    <w:rsid w:val="002E26B0"/>
    <w:pPr>
      <w:tabs>
        <w:tab w:val="center" w:pos="4513"/>
        <w:tab w:val="right" w:pos="9026"/>
      </w:tabs>
    </w:pPr>
  </w:style>
  <w:style w:type="character" w:customStyle="1" w:styleId="HeaderChar">
    <w:name w:val="Header Char"/>
    <w:basedOn w:val="DefaultParagraphFont"/>
    <w:link w:val="Header"/>
    <w:uiPriority w:val="99"/>
    <w:rsid w:val="002E26B0"/>
  </w:style>
  <w:style w:type="paragraph" w:styleId="Footer">
    <w:name w:val="footer"/>
    <w:basedOn w:val="Normal"/>
    <w:link w:val="FooterChar"/>
    <w:uiPriority w:val="99"/>
    <w:unhideWhenUsed/>
    <w:rsid w:val="008B793F"/>
    <w:pPr>
      <w:tabs>
        <w:tab w:val="center" w:pos="4513"/>
        <w:tab w:val="right" w:pos="9026"/>
      </w:tabs>
    </w:pPr>
  </w:style>
  <w:style w:type="character" w:customStyle="1" w:styleId="FooterChar">
    <w:name w:val="Footer Char"/>
    <w:basedOn w:val="DefaultParagraphFont"/>
    <w:link w:val="Footer"/>
    <w:uiPriority w:val="99"/>
    <w:rsid w:val="008B793F"/>
  </w:style>
  <w:style w:type="character" w:customStyle="1" w:styleId="orcid-id-https">
    <w:name w:val="orcid-id-https"/>
    <w:basedOn w:val="DefaultParagraphFont"/>
    <w:rsid w:val="00C7360D"/>
  </w:style>
  <w:style w:type="paragraph" w:styleId="Revision">
    <w:name w:val="Revision"/>
    <w:hidden/>
    <w:uiPriority w:val="99"/>
    <w:semiHidden/>
    <w:rsid w:val="00932E0B"/>
  </w:style>
  <w:style w:type="character" w:styleId="FollowedHyperlink">
    <w:name w:val="FollowedHyperlink"/>
    <w:basedOn w:val="DefaultParagraphFont"/>
    <w:uiPriority w:val="99"/>
    <w:semiHidden/>
    <w:unhideWhenUsed/>
    <w:rsid w:val="00533AAF"/>
    <w:rPr>
      <w:color w:val="800080" w:themeColor="followedHyperlink"/>
      <w:u w:val="single"/>
    </w:rPr>
  </w:style>
  <w:style w:type="character" w:customStyle="1" w:styleId="apple-converted-space">
    <w:name w:val="apple-converted-space"/>
    <w:basedOn w:val="DefaultParagraphFont"/>
    <w:rsid w:val="00465AEB"/>
  </w:style>
  <w:style w:type="character" w:styleId="Emphasis">
    <w:name w:val="Emphasis"/>
    <w:basedOn w:val="DefaultParagraphFont"/>
    <w:uiPriority w:val="20"/>
    <w:qFormat/>
    <w:rsid w:val="00465AEB"/>
    <w:rPr>
      <w:i/>
      <w:iCs/>
    </w:rPr>
  </w:style>
  <w:style w:type="character" w:customStyle="1" w:styleId="Subtitle1">
    <w:name w:val="Subtitle1"/>
    <w:basedOn w:val="DefaultParagraphFont"/>
    <w:rsid w:val="00413586"/>
  </w:style>
  <w:style w:type="character" w:customStyle="1" w:styleId="colon-for-citation-subtitle">
    <w:name w:val="colon-for-citation-subtitle"/>
    <w:basedOn w:val="DefaultParagraphFont"/>
    <w:rsid w:val="00413586"/>
  </w:style>
  <w:style w:type="paragraph" w:customStyle="1" w:styleId="NICEnormal">
    <w:name w:val="NICE normal"/>
    <w:link w:val="NICEnormalChar"/>
    <w:qFormat/>
    <w:rsid w:val="00117CC9"/>
    <w:pPr>
      <w:spacing w:after="240" w:line="360" w:lineRule="auto"/>
    </w:pPr>
    <w:rPr>
      <w:rFonts w:ascii="Arial" w:hAnsi="Arial"/>
      <w:lang w:eastAsia="en-US"/>
    </w:rPr>
  </w:style>
  <w:style w:type="character" w:customStyle="1" w:styleId="NICEnormalChar">
    <w:name w:val="NICE normal Char"/>
    <w:link w:val="NICEnormal"/>
    <w:locked/>
    <w:rsid w:val="00117CC9"/>
    <w:rPr>
      <w:rFonts w:ascii="Arial" w:hAnsi="Arial"/>
      <w:lang w:eastAsia="en-US"/>
    </w:rPr>
  </w:style>
  <w:style w:type="paragraph" w:customStyle="1" w:styleId="Bullets">
    <w:name w:val="Bullets"/>
    <w:basedOn w:val="Normal"/>
    <w:uiPriority w:val="5"/>
    <w:qFormat/>
    <w:rsid w:val="00117CC9"/>
    <w:pPr>
      <w:numPr>
        <w:numId w:val="7"/>
      </w:numPr>
      <w:spacing w:after="120" w:line="276" w:lineRule="auto"/>
    </w:pPr>
    <w:rPr>
      <w:rFonts w:ascii="Arial" w:hAnsi="Arial"/>
    </w:rPr>
  </w:style>
  <w:style w:type="paragraph" w:styleId="Bibliography">
    <w:name w:val="Bibliography"/>
    <w:basedOn w:val="Normal"/>
    <w:next w:val="Normal"/>
    <w:uiPriority w:val="37"/>
    <w:unhideWhenUsed/>
    <w:rsid w:val="003228C6"/>
    <w:pPr>
      <w:tabs>
        <w:tab w:val="left" w:pos="384"/>
      </w:tabs>
      <w:spacing w:after="240"/>
      <w:ind w:left="384" w:hanging="384"/>
    </w:pPr>
  </w:style>
  <w:style w:type="table" w:styleId="TableGrid">
    <w:name w:val="Table Grid"/>
    <w:basedOn w:val="TableNormal"/>
    <w:uiPriority w:val="39"/>
    <w:rsid w:val="006B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7EF0"/>
    <w:pPr>
      <w:spacing w:before="100" w:beforeAutospacing="1" w:after="100" w:afterAutospacing="1"/>
    </w:pPr>
  </w:style>
  <w:style w:type="character" w:customStyle="1" w:styleId="cf01">
    <w:name w:val="cf01"/>
    <w:basedOn w:val="DefaultParagraphFont"/>
    <w:rsid w:val="008F7EF0"/>
    <w:rPr>
      <w:rFonts w:ascii="Segoe UI" w:hAnsi="Segoe UI" w:cs="Segoe UI" w:hint="default"/>
      <w:sz w:val="18"/>
      <w:szCs w:val="18"/>
    </w:rPr>
  </w:style>
  <w:style w:type="table" w:customStyle="1" w:styleId="GridTable4-Accent11">
    <w:name w:val="Grid Table 4 - Accent 11"/>
    <w:basedOn w:val="TableNormal"/>
    <w:uiPriority w:val="49"/>
    <w:rsid w:val="00AC663D"/>
    <w:rPr>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ighwire-cite-authors">
    <w:name w:val="highwire-cite-authors"/>
    <w:basedOn w:val="DefaultParagraphFont"/>
    <w:rsid w:val="00836F1F"/>
  </w:style>
  <w:style w:type="character" w:customStyle="1" w:styleId="nlm-surname">
    <w:name w:val="nlm-surname"/>
    <w:basedOn w:val="DefaultParagraphFont"/>
    <w:rsid w:val="00836F1F"/>
  </w:style>
  <w:style w:type="character" w:customStyle="1" w:styleId="nlm-given-names">
    <w:name w:val="nlm-given-names"/>
    <w:basedOn w:val="DefaultParagraphFont"/>
    <w:rsid w:val="00836F1F"/>
  </w:style>
  <w:style w:type="character" w:customStyle="1" w:styleId="highwire-cite-title">
    <w:name w:val="highwire-cite-title"/>
    <w:basedOn w:val="DefaultParagraphFont"/>
    <w:rsid w:val="00836F1F"/>
  </w:style>
  <w:style w:type="character" w:customStyle="1" w:styleId="highwire-cite-metadata-journal">
    <w:name w:val="highwire-cite-metadata-journal"/>
    <w:basedOn w:val="DefaultParagraphFont"/>
    <w:rsid w:val="00836F1F"/>
  </w:style>
  <w:style w:type="character" w:customStyle="1" w:styleId="highwire-cite-metadata-date">
    <w:name w:val="highwire-cite-metadata-date"/>
    <w:basedOn w:val="DefaultParagraphFont"/>
    <w:rsid w:val="00836F1F"/>
  </w:style>
  <w:style w:type="character" w:customStyle="1" w:styleId="highwire-cite-metadata-volume">
    <w:name w:val="highwire-cite-metadata-volume"/>
    <w:basedOn w:val="DefaultParagraphFont"/>
    <w:rsid w:val="00836F1F"/>
  </w:style>
  <w:style w:type="character" w:customStyle="1" w:styleId="UnresolvedMention2">
    <w:name w:val="Unresolved Mention2"/>
    <w:basedOn w:val="DefaultParagraphFont"/>
    <w:uiPriority w:val="99"/>
    <w:semiHidden/>
    <w:unhideWhenUsed/>
    <w:rsid w:val="00CB7F6F"/>
    <w:rPr>
      <w:color w:val="605E5C"/>
      <w:shd w:val="clear" w:color="auto" w:fill="E1DFDD"/>
    </w:rPr>
  </w:style>
  <w:style w:type="character" w:customStyle="1" w:styleId="Subtitle2">
    <w:name w:val="Subtitle2"/>
    <w:basedOn w:val="DefaultParagraphFont"/>
    <w:rsid w:val="001B697E"/>
  </w:style>
  <w:style w:type="character" w:customStyle="1" w:styleId="UnresolvedMention3">
    <w:name w:val="Unresolved Mention3"/>
    <w:basedOn w:val="DefaultParagraphFont"/>
    <w:uiPriority w:val="99"/>
    <w:semiHidden/>
    <w:unhideWhenUsed/>
    <w:rsid w:val="00EA2F7D"/>
    <w:rPr>
      <w:color w:val="605E5C"/>
      <w:shd w:val="clear" w:color="auto" w:fill="E1DFDD"/>
    </w:rPr>
  </w:style>
  <w:style w:type="character" w:styleId="LineNumber">
    <w:name w:val="line number"/>
    <w:basedOn w:val="DefaultParagraphFont"/>
    <w:uiPriority w:val="99"/>
    <w:semiHidden/>
    <w:unhideWhenUsed/>
    <w:rsid w:val="00066746"/>
  </w:style>
  <w:style w:type="character" w:styleId="UnresolvedMention">
    <w:name w:val="Unresolved Mention"/>
    <w:basedOn w:val="DefaultParagraphFont"/>
    <w:uiPriority w:val="99"/>
    <w:semiHidden/>
    <w:unhideWhenUsed/>
    <w:rsid w:val="00DA3A16"/>
    <w:rPr>
      <w:color w:val="605E5C"/>
      <w:shd w:val="clear" w:color="auto" w:fill="E1DFDD"/>
    </w:rPr>
  </w:style>
  <w:style w:type="character" w:customStyle="1" w:styleId="ref-journal">
    <w:name w:val="ref-journal"/>
    <w:basedOn w:val="DefaultParagraphFont"/>
    <w:rsid w:val="00025C03"/>
  </w:style>
  <w:style w:type="character" w:customStyle="1" w:styleId="ref-vol">
    <w:name w:val="ref-vol"/>
    <w:basedOn w:val="DefaultParagraphFont"/>
    <w:rsid w:val="00025C03"/>
  </w:style>
  <w:style w:type="paragraph" w:customStyle="1" w:styleId="get-citation-citation">
    <w:name w:val="get-citation-citation"/>
    <w:basedOn w:val="Normal"/>
    <w:rsid w:val="00133F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951">
      <w:bodyDiv w:val="1"/>
      <w:marLeft w:val="0"/>
      <w:marRight w:val="0"/>
      <w:marTop w:val="0"/>
      <w:marBottom w:val="0"/>
      <w:divBdr>
        <w:top w:val="none" w:sz="0" w:space="0" w:color="auto"/>
        <w:left w:val="none" w:sz="0" w:space="0" w:color="auto"/>
        <w:bottom w:val="none" w:sz="0" w:space="0" w:color="auto"/>
        <w:right w:val="none" w:sz="0" w:space="0" w:color="auto"/>
      </w:divBdr>
    </w:div>
    <w:div w:id="82530816">
      <w:bodyDiv w:val="1"/>
      <w:marLeft w:val="0"/>
      <w:marRight w:val="0"/>
      <w:marTop w:val="0"/>
      <w:marBottom w:val="0"/>
      <w:divBdr>
        <w:top w:val="none" w:sz="0" w:space="0" w:color="auto"/>
        <w:left w:val="none" w:sz="0" w:space="0" w:color="auto"/>
        <w:bottom w:val="none" w:sz="0" w:space="0" w:color="auto"/>
        <w:right w:val="none" w:sz="0" w:space="0" w:color="auto"/>
      </w:divBdr>
    </w:div>
    <w:div w:id="86193449">
      <w:bodyDiv w:val="1"/>
      <w:marLeft w:val="0"/>
      <w:marRight w:val="0"/>
      <w:marTop w:val="0"/>
      <w:marBottom w:val="0"/>
      <w:divBdr>
        <w:top w:val="none" w:sz="0" w:space="0" w:color="auto"/>
        <w:left w:val="none" w:sz="0" w:space="0" w:color="auto"/>
        <w:bottom w:val="none" w:sz="0" w:space="0" w:color="auto"/>
        <w:right w:val="none" w:sz="0" w:space="0" w:color="auto"/>
      </w:divBdr>
      <w:divsChild>
        <w:div w:id="2032098557">
          <w:marLeft w:val="0"/>
          <w:marRight w:val="0"/>
          <w:marTop w:val="0"/>
          <w:marBottom w:val="0"/>
          <w:divBdr>
            <w:top w:val="none" w:sz="0" w:space="0" w:color="auto"/>
            <w:left w:val="none" w:sz="0" w:space="0" w:color="auto"/>
            <w:bottom w:val="none" w:sz="0" w:space="0" w:color="auto"/>
            <w:right w:val="none" w:sz="0" w:space="0" w:color="auto"/>
          </w:divBdr>
          <w:divsChild>
            <w:div w:id="161703983">
              <w:marLeft w:val="0"/>
              <w:marRight w:val="0"/>
              <w:marTop w:val="0"/>
              <w:marBottom w:val="0"/>
              <w:divBdr>
                <w:top w:val="none" w:sz="0" w:space="0" w:color="auto"/>
                <w:left w:val="none" w:sz="0" w:space="0" w:color="auto"/>
                <w:bottom w:val="none" w:sz="0" w:space="0" w:color="auto"/>
                <w:right w:val="none" w:sz="0" w:space="0" w:color="auto"/>
              </w:divBdr>
              <w:divsChild>
                <w:div w:id="1027174968">
                  <w:marLeft w:val="0"/>
                  <w:marRight w:val="0"/>
                  <w:marTop w:val="0"/>
                  <w:marBottom w:val="0"/>
                  <w:divBdr>
                    <w:top w:val="none" w:sz="0" w:space="0" w:color="auto"/>
                    <w:left w:val="none" w:sz="0" w:space="0" w:color="auto"/>
                    <w:bottom w:val="none" w:sz="0" w:space="0" w:color="auto"/>
                    <w:right w:val="none" w:sz="0" w:space="0" w:color="auto"/>
                  </w:divBdr>
                  <w:divsChild>
                    <w:div w:id="20136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0339">
      <w:bodyDiv w:val="1"/>
      <w:marLeft w:val="0"/>
      <w:marRight w:val="0"/>
      <w:marTop w:val="0"/>
      <w:marBottom w:val="0"/>
      <w:divBdr>
        <w:top w:val="none" w:sz="0" w:space="0" w:color="auto"/>
        <w:left w:val="none" w:sz="0" w:space="0" w:color="auto"/>
        <w:bottom w:val="none" w:sz="0" w:space="0" w:color="auto"/>
        <w:right w:val="none" w:sz="0" w:space="0" w:color="auto"/>
      </w:divBdr>
    </w:div>
    <w:div w:id="104544826">
      <w:bodyDiv w:val="1"/>
      <w:marLeft w:val="0"/>
      <w:marRight w:val="0"/>
      <w:marTop w:val="0"/>
      <w:marBottom w:val="0"/>
      <w:divBdr>
        <w:top w:val="none" w:sz="0" w:space="0" w:color="auto"/>
        <w:left w:val="none" w:sz="0" w:space="0" w:color="auto"/>
        <w:bottom w:val="none" w:sz="0" w:space="0" w:color="auto"/>
        <w:right w:val="none" w:sz="0" w:space="0" w:color="auto"/>
      </w:divBdr>
    </w:div>
    <w:div w:id="137040651">
      <w:bodyDiv w:val="1"/>
      <w:marLeft w:val="0"/>
      <w:marRight w:val="0"/>
      <w:marTop w:val="0"/>
      <w:marBottom w:val="0"/>
      <w:divBdr>
        <w:top w:val="none" w:sz="0" w:space="0" w:color="auto"/>
        <w:left w:val="none" w:sz="0" w:space="0" w:color="auto"/>
        <w:bottom w:val="none" w:sz="0" w:space="0" w:color="auto"/>
        <w:right w:val="none" w:sz="0" w:space="0" w:color="auto"/>
      </w:divBdr>
      <w:divsChild>
        <w:div w:id="12004058">
          <w:marLeft w:val="0"/>
          <w:marRight w:val="0"/>
          <w:marTop w:val="0"/>
          <w:marBottom w:val="0"/>
          <w:divBdr>
            <w:top w:val="none" w:sz="0" w:space="0" w:color="auto"/>
            <w:left w:val="none" w:sz="0" w:space="0" w:color="auto"/>
            <w:bottom w:val="none" w:sz="0" w:space="0" w:color="auto"/>
            <w:right w:val="none" w:sz="0" w:space="0" w:color="auto"/>
          </w:divBdr>
          <w:divsChild>
            <w:div w:id="325865554">
              <w:marLeft w:val="0"/>
              <w:marRight w:val="0"/>
              <w:marTop w:val="0"/>
              <w:marBottom w:val="0"/>
              <w:divBdr>
                <w:top w:val="none" w:sz="0" w:space="0" w:color="auto"/>
                <w:left w:val="none" w:sz="0" w:space="0" w:color="auto"/>
                <w:bottom w:val="none" w:sz="0" w:space="0" w:color="auto"/>
                <w:right w:val="none" w:sz="0" w:space="0" w:color="auto"/>
              </w:divBdr>
              <w:divsChild>
                <w:div w:id="12210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6871">
      <w:bodyDiv w:val="1"/>
      <w:marLeft w:val="0"/>
      <w:marRight w:val="0"/>
      <w:marTop w:val="0"/>
      <w:marBottom w:val="0"/>
      <w:divBdr>
        <w:top w:val="none" w:sz="0" w:space="0" w:color="auto"/>
        <w:left w:val="none" w:sz="0" w:space="0" w:color="auto"/>
        <w:bottom w:val="none" w:sz="0" w:space="0" w:color="auto"/>
        <w:right w:val="none" w:sz="0" w:space="0" w:color="auto"/>
      </w:divBdr>
    </w:div>
    <w:div w:id="205332444">
      <w:bodyDiv w:val="1"/>
      <w:marLeft w:val="0"/>
      <w:marRight w:val="0"/>
      <w:marTop w:val="0"/>
      <w:marBottom w:val="0"/>
      <w:divBdr>
        <w:top w:val="none" w:sz="0" w:space="0" w:color="auto"/>
        <w:left w:val="none" w:sz="0" w:space="0" w:color="auto"/>
        <w:bottom w:val="none" w:sz="0" w:space="0" w:color="auto"/>
        <w:right w:val="none" w:sz="0" w:space="0" w:color="auto"/>
      </w:divBdr>
    </w:div>
    <w:div w:id="213080155">
      <w:bodyDiv w:val="1"/>
      <w:marLeft w:val="0"/>
      <w:marRight w:val="0"/>
      <w:marTop w:val="0"/>
      <w:marBottom w:val="0"/>
      <w:divBdr>
        <w:top w:val="none" w:sz="0" w:space="0" w:color="auto"/>
        <w:left w:val="none" w:sz="0" w:space="0" w:color="auto"/>
        <w:bottom w:val="none" w:sz="0" w:space="0" w:color="auto"/>
        <w:right w:val="none" w:sz="0" w:space="0" w:color="auto"/>
      </w:divBdr>
    </w:div>
    <w:div w:id="218251817">
      <w:bodyDiv w:val="1"/>
      <w:marLeft w:val="0"/>
      <w:marRight w:val="0"/>
      <w:marTop w:val="0"/>
      <w:marBottom w:val="0"/>
      <w:divBdr>
        <w:top w:val="none" w:sz="0" w:space="0" w:color="auto"/>
        <w:left w:val="none" w:sz="0" w:space="0" w:color="auto"/>
        <w:bottom w:val="none" w:sz="0" w:space="0" w:color="auto"/>
        <w:right w:val="none" w:sz="0" w:space="0" w:color="auto"/>
      </w:divBdr>
    </w:div>
    <w:div w:id="252476734">
      <w:bodyDiv w:val="1"/>
      <w:marLeft w:val="0"/>
      <w:marRight w:val="0"/>
      <w:marTop w:val="0"/>
      <w:marBottom w:val="0"/>
      <w:divBdr>
        <w:top w:val="none" w:sz="0" w:space="0" w:color="auto"/>
        <w:left w:val="none" w:sz="0" w:space="0" w:color="auto"/>
        <w:bottom w:val="none" w:sz="0" w:space="0" w:color="auto"/>
        <w:right w:val="none" w:sz="0" w:space="0" w:color="auto"/>
      </w:divBdr>
    </w:div>
    <w:div w:id="326173998">
      <w:bodyDiv w:val="1"/>
      <w:marLeft w:val="0"/>
      <w:marRight w:val="0"/>
      <w:marTop w:val="0"/>
      <w:marBottom w:val="0"/>
      <w:divBdr>
        <w:top w:val="none" w:sz="0" w:space="0" w:color="auto"/>
        <w:left w:val="none" w:sz="0" w:space="0" w:color="auto"/>
        <w:bottom w:val="none" w:sz="0" w:space="0" w:color="auto"/>
        <w:right w:val="none" w:sz="0" w:space="0" w:color="auto"/>
      </w:divBdr>
    </w:div>
    <w:div w:id="387727180">
      <w:bodyDiv w:val="1"/>
      <w:marLeft w:val="0"/>
      <w:marRight w:val="0"/>
      <w:marTop w:val="0"/>
      <w:marBottom w:val="0"/>
      <w:divBdr>
        <w:top w:val="none" w:sz="0" w:space="0" w:color="auto"/>
        <w:left w:val="none" w:sz="0" w:space="0" w:color="auto"/>
        <w:bottom w:val="none" w:sz="0" w:space="0" w:color="auto"/>
        <w:right w:val="none" w:sz="0" w:space="0" w:color="auto"/>
      </w:divBdr>
    </w:div>
    <w:div w:id="398988992">
      <w:bodyDiv w:val="1"/>
      <w:marLeft w:val="0"/>
      <w:marRight w:val="0"/>
      <w:marTop w:val="0"/>
      <w:marBottom w:val="0"/>
      <w:divBdr>
        <w:top w:val="none" w:sz="0" w:space="0" w:color="auto"/>
        <w:left w:val="none" w:sz="0" w:space="0" w:color="auto"/>
        <w:bottom w:val="none" w:sz="0" w:space="0" w:color="auto"/>
        <w:right w:val="none" w:sz="0" w:space="0" w:color="auto"/>
      </w:divBdr>
    </w:div>
    <w:div w:id="430013878">
      <w:bodyDiv w:val="1"/>
      <w:marLeft w:val="0"/>
      <w:marRight w:val="0"/>
      <w:marTop w:val="0"/>
      <w:marBottom w:val="0"/>
      <w:divBdr>
        <w:top w:val="none" w:sz="0" w:space="0" w:color="auto"/>
        <w:left w:val="none" w:sz="0" w:space="0" w:color="auto"/>
        <w:bottom w:val="none" w:sz="0" w:space="0" w:color="auto"/>
        <w:right w:val="none" w:sz="0" w:space="0" w:color="auto"/>
      </w:divBdr>
    </w:div>
    <w:div w:id="457140074">
      <w:bodyDiv w:val="1"/>
      <w:marLeft w:val="0"/>
      <w:marRight w:val="0"/>
      <w:marTop w:val="0"/>
      <w:marBottom w:val="0"/>
      <w:divBdr>
        <w:top w:val="none" w:sz="0" w:space="0" w:color="auto"/>
        <w:left w:val="none" w:sz="0" w:space="0" w:color="auto"/>
        <w:bottom w:val="none" w:sz="0" w:space="0" w:color="auto"/>
        <w:right w:val="none" w:sz="0" w:space="0" w:color="auto"/>
      </w:divBdr>
    </w:div>
    <w:div w:id="461926051">
      <w:bodyDiv w:val="1"/>
      <w:marLeft w:val="0"/>
      <w:marRight w:val="0"/>
      <w:marTop w:val="0"/>
      <w:marBottom w:val="0"/>
      <w:divBdr>
        <w:top w:val="none" w:sz="0" w:space="0" w:color="auto"/>
        <w:left w:val="none" w:sz="0" w:space="0" w:color="auto"/>
        <w:bottom w:val="none" w:sz="0" w:space="0" w:color="auto"/>
        <w:right w:val="none" w:sz="0" w:space="0" w:color="auto"/>
      </w:divBdr>
    </w:div>
    <w:div w:id="534539162">
      <w:bodyDiv w:val="1"/>
      <w:marLeft w:val="0"/>
      <w:marRight w:val="0"/>
      <w:marTop w:val="0"/>
      <w:marBottom w:val="0"/>
      <w:divBdr>
        <w:top w:val="none" w:sz="0" w:space="0" w:color="auto"/>
        <w:left w:val="none" w:sz="0" w:space="0" w:color="auto"/>
        <w:bottom w:val="none" w:sz="0" w:space="0" w:color="auto"/>
        <w:right w:val="none" w:sz="0" w:space="0" w:color="auto"/>
      </w:divBdr>
    </w:div>
    <w:div w:id="555508158">
      <w:bodyDiv w:val="1"/>
      <w:marLeft w:val="0"/>
      <w:marRight w:val="0"/>
      <w:marTop w:val="0"/>
      <w:marBottom w:val="0"/>
      <w:divBdr>
        <w:top w:val="none" w:sz="0" w:space="0" w:color="auto"/>
        <w:left w:val="none" w:sz="0" w:space="0" w:color="auto"/>
        <w:bottom w:val="none" w:sz="0" w:space="0" w:color="auto"/>
        <w:right w:val="none" w:sz="0" w:space="0" w:color="auto"/>
      </w:divBdr>
    </w:div>
    <w:div w:id="562954466">
      <w:bodyDiv w:val="1"/>
      <w:marLeft w:val="0"/>
      <w:marRight w:val="0"/>
      <w:marTop w:val="0"/>
      <w:marBottom w:val="0"/>
      <w:divBdr>
        <w:top w:val="none" w:sz="0" w:space="0" w:color="auto"/>
        <w:left w:val="none" w:sz="0" w:space="0" w:color="auto"/>
        <w:bottom w:val="none" w:sz="0" w:space="0" w:color="auto"/>
        <w:right w:val="none" w:sz="0" w:space="0" w:color="auto"/>
      </w:divBdr>
    </w:div>
    <w:div w:id="576867721">
      <w:bodyDiv w:val="1"/>
      <w:marLeft w:val="0"/>
      <w:marRight w:val="0"/>
      <w:marTop w:val="0"/>
      <w:marBottom w:val="0"/>
      <w:divBdr>
        <w:top w:val="none" w:sz="0" w:space="0" w:color="auto"/>
        <w:left w:val="none" w:sz="0" w:space="0" w:color="auto"/>
        <w:bottom w:val="none" w:sz="0" w:space="0" w:color="auto"/>
        <w:right w:val="none" w:sz="0" w:space="0" w:color="auto"/>
      </w:divBdr>
    </w:div>
    <w:div w:id="590552089">
      <w:bodyDiv w:val="1"/>
      <w:marLeft w:val="0"/>
      <w:marRight w:val="0"/>
      <w:marTop w:val="0"/>
      <w:marBottom w:val="0"/>
      <w:divBdr>
        <w:top w:val="none" w:sz="0" w:space="0" w:color="auto"/>
        <w:left w:val="none" w:sz="0" w:space="0" w:color="auto"/>
        <w:bottom w:val="none" w:sz="0" w:space="0" w:color="auto"/>
        <w:right w:val="none" w:sz="0" w:space="0" w:color="auto"/>
      </w:divBdr>
    </w:div>
    <w:div w:id="623273324">
      <w:bodyDiv w:val="1"/>
      <w:marLeft w:val="0"/>
      <w:marRight w:val="0"/>
      <w:marTop w:val="0"/>
      <w:marBottom w:val="0"/>
      <w:divBdr>
        <w:top w:val="none" w:sz="0" w:space="0" w:color="auto"/>
        <w:left w:val="none" w:sz="0" w:space="0" w:color="auto"/>
        <w:bottom w:val="none" w:sz="0" w:space="0" w:color="auto"/>
        <w:right w:val="none" w:sz="0" w:space="0" w:color="auto"/>
      </w:divBdr>
    </w:div>
    <w:div w:id="623385952">
      <w:bodyDiv w:val="1"/>
      <w:marLeft w:val="0"/>
      <w:marRight w:val="0"/>
      <w:marTop w:val="0"/>
      <w:marBottom w:val="0"/>
      <w:divBdr>
        <w:top w:val="none" w:sz="0" w:space="0" w:color="auto"/>
        <w:left w:val="none" w:sz="0" w:space="0" w:color="auto"/>
        <w:bottom w:val="none" w:sz="0" w:space="0" w:color="auto"/>
        <w:right w:val="none" w:sz="0" w:space="0" w:color="auto"/>
      </w:divBdr>
    </w:div>
    <w:div w:id="659504570">
      <w:bodyDiv w:val="1"/>
      <w:marLeft w:val="0"/>
      <w:marRight w:val="0"/>
      <w:marTop w:val="0"/>
      <w:marBottom w:val="0"/>
      <w:divBdr>
        <w:top w:val="none" w:sz="0" w:space="0" w:color="auto"/>
        <w:left w:val="none" w:sz="0" w:space="0" w:color="auto"/>
        <w:bottom w:val="none" w:sz="0" w:space="0" w:color="auto"/>
        <w:right w:val="none" w:sz="0" w:space="0" w:color="auto"/>
      </w:divBdr>
    </w:div>
    <w:div w:id="719551952">
      <w:bodyDiv w:val="1"/>
      <w:marLeft w:val="0"/>
      <w:marRight w:val="0"/>
      <w:marTop w:val="0"/>
      <w:marBottom w:val="0"/>
      <w:divBdr>
        <w:top w:val="none" w:sz="0" w:space="0" w:color="auto"/>
        <w:left w:val="none" w:sz="0" w:space="0" w:color="auto"/>
        <w:bottom w:val="none" w:sz="0" w:space="0" w:color="auto"/>
        <w:right w:val="none" w:sz="0" w:space="0" w:color="auto"/>
      </w:divBdr>
    </w:div>
    <w:div w:id="723333840">
      <w:bodyDiv w:val="1"/>
      <w:marLeft w:val="0"/>
      <w:marRight w:val="0"/>
      <w:marTop w:val="0"/>
      <w:marBottom w:val="0"/>
      <w:divBdr>
        <w:top w:val="none" w:sz="0" w:space="0" w:color="auto"/>
        <w:left w:val="none" w:sz="0" w:space="0" w:color="auto"/>
        <w:bottom w:val="none" w:sz="0" w:space="0" w:color="auto"/>
        <w:right w:val="none" w:sz="0" w:space="0" w:color="auto"/>
      </w:divBdr>
    </w:div>
    <w:div w:id="729763756">
      <w:bodyDiv w:val="1"/>
      <w:marLeft w:val="0"/>
      <w:marRight w:val="0"/>
      <w:marTop w:val="0"/>
      <w:marBottom w:val="0"/>
      <w:divBdr>
        <w:top w:val="none" w:sz="0" w:space="0" w:color="auto"/>
        <w:left w:val="none" w:sz="0" w:space="0" w:color="auto"/>
        <w:bottom w:val="none" w:sz="0" w:space="0" w:color="auto"/>
        <w:right w:val="none" w:sz="0" w:space="0" w:color="auto"/>
      </w:divBdr>
    </w:div>
    <w:div w:id="731120718">
      <w:bodyDiv w:val="1"/>
      <w:marLeft w:val="0"/>
      <w:marRight w:val="0"/>
      <w:marTop w:val="0"/>
      <w:marBottom w:val="0"/>
      <w:divBdr>
        <w:top w:val="none" w:sz="0" w:space="0" w:color="auto"/>
        <w:left w:val="none" w:sz="0" w:space="0" w:color="auto"/>
        <w:bottom w:val="none" w:sz="0" w:space="0" w:color="auto"/>
        <w:right w:val="none" w:sz="0" w:space="0" w:color="auto"/>
      </w:divBdr>
    </w:div>
    <w:div w:id="739983379">
      <w:bodyDiv w:val="1"/>
      <w:marLeft w:val="0"/>
      <w:marRight w:val="0"/>
      <w:marTop w:val="0"/>
      <w:marBottom w:val="0"/>
      <w:divBdr>
        <w:top w:val="none" w:sz="0" w:space="0" w:color="auto"/>
        <w:left w:val="none" w:sz="0" w:space="0" w:color="auto"/>
        <w:bottom w:val="none" w:sz="0" w:space="0" w:color="auto"/>
        <w:right w:val="none" w:sz="0" w:space="0" w:color="auto"/>
      </w:divBdr>
    </w:div>
    <w:div w:id="820999861">
      <w:bodyDiv w:val="1"/>
      <w:marLeft w:val="0"/>
      <w:marRight w:val="0"/>
      <w:marTop w:val="0"/>
      <w:marBottom w:val="0"/>
      <w:divBdr>
        <w:top w:val="none" w:sz="0" w:space="0" w:color="auto"/>
        <w:left w:val="none" w:sz="0" w:space="0" w:color="auto"/>
        <w:bottom w:val="none" w:sz="0" w:space="0" w:color="auto"/>
        <w:right w:val="none" w:sz="0" w:space="0" w:color="auto"/>
      </w:divBdr>
    </w:div>
    <w:div w:id="843858059">
      <w:bodyDiv w:val="1"/>
      <w:marLeft w:val="0"/>
      <w:marRight w:val="0"/>
      <w:marTop w:val="0"/>
      <w:marBottom w:val="0"/>
      <w:divBdr>
        <w:top w:val="none" w:sz="0" w:space="0" w:color="auto"/>
        <w:left w:val="none" w:sz="0" w:space="0" w:color="auto"/>
        <w:bottom w:val="none" w:sz="0" w:space="0" w:color="auto"/>
        <w:right w:val="none" w:sz="0" w:space="0" w:color="auto"/>
      </w:divBdr>
    </w:div>
    <w:div w:id="898245288">
      <w:bodyDiv w:val="1"/>
      <w:marLeft w:val="0"/>
      <w:marRight w:val="0"/>
      <w:marTop w:val="0"/>
      <w:marBottom w:val="0"/>
      <w:divBdr>
        <w:top w:val="none" w:sz="0" w:space="0" w:color="auto"/>
        <w:left w:val="none" w:sz="0" w:space="0" w:color="auto"/>
        <w:bottom w:val="none" w:sz="0" w:space="0" w:color="auto"/>
        <w:right w:val="none" w:sz="0" w:space="0" w:color="auto"/>
      </w:divBdr>
    </w:div>
    <w:div w:id="932668653">
      <w:bodyDiv w:val="1"/>
      <w:marLeft w:val="0"/>
      <w:marRight w:val="0"/>
      <w:marTop w:val="0"/>
      <w:marBottom w:val="0"/>
      <w:divBdr>
        <w:top w:val="none" w:sz="0" w:space="0" w:color="auto"/>
        <w:left w:val="none" w:sz="0" w:space="0" w:color="auto"/>
        <w:bottom w:val="none" w:sz="0" w:space="0" w:color="auto"/>
        <w:right w:val="none" w:sz="0" w:space="0" w:color="auto"/>
      </w:divBdr>
    </w:div>
    <w:div w:id="954095368">
      <w:bodyDiv w:val="1"/>
      <w:marLeft w:val="0"/>
      <w:marRight w:val="0"/>
      <w:marTop w:val="0"/>
      <w:marBottom w:val="0"/>
      <w:divBdr>
        <w:top w:val="none" w:sz="0" w:space="0" w:color="auto"/>
        <w:left w:val="none" w:sz="0" w:space="0" w:color="auto"/>
        <w:bottom w:val="none" w:sz="0" w:space="0" w:color="auto"/>
        <w:right w:val="none" w:sz="0" w:space="0" w:color="auto"/>
      </w:divBdr>
    </w:div>
    <w:div w:id="1014921854">
      <w:bodyDiv w:val="1"/>
      <w:marLeft w:val="0"/>
      <w:marRight w:val="0"/>
      <w:marTop w:val="0"/>
      <w:marBottom w:val="0"/>
      <w:divBdr>
        <w:top w:val="none" w:sz="0" w:space="0" w:color="auto"/>
        <w:left w:val="none" w:sz="0" w:space="0" w:color="auto"/>
        <w:bottom w:val="none" w:sz="0" w:space="0" w:color="auto"/>
        <w:right w:val="none" w:sz="0" w:space="0" w:color="auto"/>
      </w:divBdr>
      <w:divsChild>
        <w:div w:id="1745642785">
          <w:marLeft w:val="0"/>
          <w:marRight w:val="0"/>
          <w:marTop w:val="0"/>
          <w:marBottom w:val="0"/>
          <w:divBdr>
            <w:top w:val="none" w:sz="0" w:space="0" w:color="auto"/>
            <w:left w:val="none" w:sz="0" w:space="0" w:color="auto"/>
            <w:bottom w:val="none" w:sz="0" w:space="0" w:color="auto"/>
            <w:right w:val="none" w:sz="0" w:space="0" w:color="auto"/>
          </w:divBdr>
          <w:divsChild>
            <w:div w:id="1242526787">
              <w:marLeft w:val="0"/>
              <w:marRight w:val="0"/>
              <w:marTop w:val="0"/>
              <w:marBottom w:val="0"/>
              <w:divBdr>
                <w:top w:val="none" w:sz="0" w:space="0" w:color="auto"/>
                <w:left w:val="none" w:sz="0" w:space="0" w:color="auto"/>
                <w:bottom w:val="none" w:sz="0" w:space="0" w:color="auto"/>
                <w:right w:val="none" w:sz="0" w:space="0" w:color="auto"/>
              </w:divBdr>
              <w:divsChild>
                <w:div w:id="18630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1690">
      <w:bodyDiv w:val="1"/>
      <w:marLeft w:val="0"/>
      <w:marRight w:val="0"/>
      <w:marTop w:val="0"/>
      <w:marBottom w:val="0"/>
      <w:divBdr>
        <w:top w:val="none" w:sz="0" w:space="0" w:color="auto"/>
        <w:left w:val="none" w:sz="0" w:space="0" w:color="auto"/>
        <w:bottom w:val="none" w:sz="0" w:space="0" w:color="auto"/>
        <w:right w:val="none" w:sz="0" w:space="0" w:color="auto"/>
      </w:divBdr>
    </w:div>
    <w:div w:id="1073430219">
      <w:bodyDiv w:val="1"/>
      <w:marLeft w:val="0"/>
      <w:marRight w:val="0"/>
      <w:marTop w:val="0"/>
      <w:marBottom w:val="0"/>
      <w:divBdr>
        <w:top w:val="none" w:sz="0" w:space="0" w:color="auto"/>
        <w:left w:val="none" w:sz="0" w:space="0" w:color="auto"/>
        <w:bottom w:val="none" w:sz="0" w:space="0" w:color="auto"/>
        <w:right w:val="none" w:sz="0" w:space="0" w:color="auto"/>
      </w:divBdr>
    </w:div>
    <w:div w:id="1087844974">
      <w:bodyDiv w:val="1"/>
      <w:marLeft w:val="0"/>
      <w:marRight w:val="0"/>
      <w:marTop w:val="0"/>
      <w:marBottom w:val="0"/>
      <w:divBdr>
        <w:top w:val="none" w:sz="0" w:space="0" w:color="auto"/>
        <w:left w:val="none" w:sz="0" w:space="0" w:color="auto"/>
        <w:bottom w:val="none" w:sz="0" w:space="0" w:color="auto"/>
        <w:right w:val="none" w:sz="0" w:space="0" w:color="auto"/>
      </w:divBdr>
    </w:div>
    <w:div w:id="1104349103">
      <w:bodyDiv w:val="1"/>
      <w:marLeft w:val="0"/>
      <w:marRight w:val="0"/>
      <w:marTop w:val="0"/>
      <w:marBottom w:val="0"/>
      <w:divBdr>
        <w:top w:val="none" w:sz="0" w:space="0" w:color="auto"/>
        <w:left w:val="none" w:sz="0" w:space="0" w:color="auto"/>
        <w:bottom w:val="none" w:sz="0" w:space="0" w:color="auto"/>
        <w:right w:val="none" w:sz="0" w:space="0" w:color="auto"/>
      </w:divBdr>
    </w:div>
    <w:div w:id="1112629340">
      <w:bodyDiv w:val="1"/>
      <w:marLeft w:val="0"/>
      <w:marRight w:val="0"/>
      <w:marTop w:val="0"/>
      <w:marBottom w:val="0"/>
      <w:divBdr>
        <w:top w:val="none" w:sz="0" w:space="0" w:color="auto"/>
        <w:left w:val="none" w:sz="0" w:space="0" w:color="auto"/>
        <w:bottom w:val="none" w:sz="0" w:space="0" w:color="auto"/>
        <w:right w:val="none" w:sz="0" w:space="0" w:color="auto"/>
      </w:divBdr>
    </w:div>
    <w:div w:id="1146970378">
      <w:bodyDiv w:val="1"/>
      <w:marLeft w:val="0"/>
      <w:marRight w:val="0"/>
      <w:marTop w:val="0"/>
      <w:marBottom w:val="0"/>
      <w:divBdr>
        <w:top w:val="none" w:sz="0" w:space="0" w:color="auto"/>
        <w:left w:val="none" w:sz="0" w:space="0" w:color="auto"/>
        <w:bottom w:val="none" w:sz="0" w:space="0" w:color="auto"/>
        <w:right w:val="none" w:sz="0" w:space="0" w:color="auto"/>
      </w:divBdr>
    </w:div>
    <w:div w:id="1149638886">
      <w:bodyDiv w:val="1"/>
      <w:marLeft w:val="0"/>
      <w:marRight w:val="0"/>
      <w:marTop w:val="0"/>
      <w:marBottom w:val="0"/>
      <w:divBdr>
        <w:top w:val="none" w:sz="0" w:space="0" w:color="auto"/>
        <w:left w:val="none" w:sz="0" w:space="0" w:color="auto"/>
        <w:bottom w:val="none" w:sz="0" w:space="0" w:color="auto"/>
        <w:right w:val="none" w:sz="0" w:space="0" w:color="auto"/>
      </w:divBdr>
    </w:div>
    <w:div w:id="1223247664">
      <w:bodyDiv w:val="1"/>
      <w:marLeft w:val="0"/>
      <w:marRight w:val="0"/>
      <w:marTop w:val="0"/>
      <w:marBottom w:val="0"/>
      <w:divBdr>
        <w:top w:val="none" w:sz="0" w:space="0" w:color="auto"/>
        <w:left w:val="none" w:sz="0" w:space="0" w:color="auto"/>
        <w:bottom w:val="none" w:sz="0" w:space="0" w:color="auto"/>
        <w:right w:val="none" w:sz="0" w:space="0" w:color="auto"/>
      </w:divBdr>
    </w:div>
    <w:div w:id="1226143098">
      <w:bodyDiv w:val="1"/>
      <w:marLeft w:val="0"/>
      <w:marRight w:val="0"/>
      <w:marTop w:val="0"/>
      <w:marBottom w:val="0"/>
      <w:divBdr>
        <w:top w:val="none" w:sz="0" w:space="0" w:color="auto"/>
        <w:left w:val="none" w:sz="0" w:space="0" w:color="auto"/>
        <w:bottom w:val="none" w:sz="0" w:space="0" w:color="auto"/>
        <w:right w:val="none" w:sz="0" w:space="0" w:color="auto"/>
      </w:divBdr>
    </w:div>
    <w:div w:id="1261986235">
      <w:bodyDiv w:val="1"/>
      <w:marLeft w:val="0"/>
      <w:marRight w:val="0"/>
      <w:marTop w:val="0"/>
      <w:marBottom w:val="0"/>
      <w:divBdr>
        <w:top w:val="none" w:sz="0" w:space="0" w:color="auto"/>
        <w:left w:val="none" w:sz="0" w:space="0" w:color="auto"/>
        <w:bottom w:val="none" w:sz="0" w:space="0" w:color="auto"/>
        <w:right w:val="none" w:sz="0" w:space="0" w:color="auto"/>
      </w:divBdr>
    </w:div>
    <w:div w:id="1267034193">
      <w:bodyDiv w:val="1"/>
      <w:marLeft w:val="0"/>
      <w:marRight w:val="0"/>
      <w:marTop w:val="0"/>
      <w:marBottom w:val="0"/>
      <w:divBdr>
        <w:top w:val="none" w:sz="0" w:space="0" w:color="auto"/>
        <w:left w:val="none" w:sz="0" w:space="0" w:color="auto"/>
        <w:bottom w:val="none" w:sz="0" w:space="0" w:color="auto"/>
        <w:right w:val="none" w:sz="0" w:space="0" w:color="auto"/>
      </w:divBdr>
    </w:div>
    <w:div w:id="1337684910">
      <w:bodyDiv w:val="1"/>
      <w:marLeft w:val="0"/>
      <w:marRight w:val="0"/>
      <w:marTop w:val="0"/>
      <w:marBottom w:val="0"/>
      <w:divBdr>
        <w:top w:val="none" w:sz="0" w:space="0" w:color="auto"/>
        <w:left w:val="none" w:sz="0" w:space="0" w:color="auto"/>
        <w:bottom w:val="none" w:sz="0" w:space="0" w:color="auto"/>
        <w:right w:val="none" w:sz="0" w:space="0" w:color="auto"/>
      </w:divBdr>
    </w:div>
    <w:div w:id="1362779880">
      <w:bodyDiv w:val="1"/>
      <w:marLeft w:val="0"/>
      <w:marRight w:val="0"/>
      <w:marTop w:val="0"/>
      <w:marBottom w:val="0"/>
      <w:divBdr>
        <w:top w:val="none" w:sz="0" w:space="0" w:color="auto"/>
        <w:left w:val="none" w:sz="0" w:space="0" w:color="auto"/>
        <w:bottom w:val="none" w:sz="0" w:space="0" w:color="auto"/>
        <w:right w:val="none" w:sz="0" w:space="0" w:color="auto"/>
      </w:divBdr>
    </w:div>
    <w:div w:id="1363095625">
      <w:bodyDiv w:val="1"/>
      <w:marLeft w:val="0"/>
      <w:marRight w:val="0"/>
      <w:marTop w:val="0"/>
      <w:marBottom w:val="0"/>
      <w:divBdr>
        <w:top w:val="none" w:sz="0" w:space="0" w:color="auto"/>
        <w:left w:val="none" w:sz="0" w:space="0" w:color="auto"/>
        <w:bottom w:val="none" w:sz="0" w:space="0" w:color="auto"/>
        <w:right w:val="none" w:sz="0" w:space="0" w:color="auto"/>
      </w:divBdr>
    </w:div>
    <w:div w:id="1387795383">
      <w:bodyDiv w:val="1"/>
      <w:marLeft w:val="0"/>
      <w:marRight w:val="0"/>
      <w:marTop w:val="0"/>
      <w:marBottom w:val="0"/>
      <w:divBdr>
        <w:top w:val="none" w:sz="0" w:space="0" w:color="auto"/>
        <w:left w:val="none" w:sz="0" w:space="0" w:color="auto"/>
        <w:bottom w:val="none" w:sz="0" w:space="0" w:color="auto"/>
        <w:right w:val="none" w:sz="0" w:space="0" w:color="auto"/>
      </w:divBdr>
    </w:div>
    <w:div w:id="1394887262">
      <w:bodyDiv w:val="1"/>
      <w:marLeft w:val="0"/>
      <w:marRight w:val="0"/>
      <w:marTop w:val="0"/>
      <w:marBottom w:val="0"/>
      <w:divBdr>
        <w:top w:val="none" w:sz="0" w:space="0" w:color="auto"/>
        <w:left w:val="none" w:sz="0" w:space="0" w:color="auto"/>
        <w:bottom w:val="none" w:sz="0" w:space="0" w:color="auto"/>
        <w:right w:val="none" w:sz="0" w:space="0" w:color="auto"/>
      </w:divBdr>
    </w:div>
    <w:div w:id="1411854073">
      <w:bodyDiv w:val="1"/>
      <w:marLeft w:val="0"/>
      <w:marRight w:val="0"/>
      <w:marTop w:val="0"/>
      <w:marBottom w:val="0"/>
      <w:divBdr>
        <w:top w:val="none" w:sz="0" w:space="0" w:color="auto"/>
        <w:left w:val="none" w:sz="0" w:space="0" w:color="auto"/>
        <w:bottom w:val="none" w:sz="0" w:space="0" w:color="auto"/>
        <w:right w:val="none" w:sz="0" w:space="0" w:color="auto"/>
      </w:divBdr>
    </w:div>
    <w:div w:id="1414936079">
      <w:bodyDiv w:val="1"/>
      <w:marLeft w:val="0"/>
      <w:marRight w:val="0"/>
      <w:marTop w:val="0"/>
      <w:marBottom w:val="0"/>
      <w:divBdr>
        <w:top w:val="none" w:sz="0" w:space="0" w:color="auto"/>
        <w:left w:val="none" w:sz="0" w:space="0" w:color="auto"/>
        <w:bottom w:val="none" w:sz="0" w:space="0" w:color="auto"/>
        <w:right w:val="none" w:sz="0" w:space="0" w:color="auto"/>
      </w:divBdr>
    </w:div>
    <w:div w:id="1418481725">
      <w:bodyDiv w:val="1"/>
      <w:marLeft w:val="0"/>
      <w:marRight w:val="0"/>
      <w:marTop w:val="0"/>
      <w:marBottom w:val="0"/>
      <w:divBdr>
        <w:top w:val="none" w:sz="0" w:space="0" w:color="auto"/>
        <w:left w:val="none" w:sz="0" w:space="0" w:color="auto"/>
        <w:bottom w:val="none" w:sz="0" w:space="0" w:color="auto"/>
        <w:right w:val="none" w:sz="0" w:space="0" w:color="auto"/>
      </w:divBdr>
    </w:div>
    <w:div w:id="1480029909">
      <w:bodyDiv w:val="1"/>
      <w:marLeft w:val="0"/>
      <w:marRight w:val="0"/>
      <w:marTop w:val="0"/>
      <w:marBottom w:val="0"/>
      <w:divBdr>
        <w:top w:val="none" w:sz="0" w:space="0" w:color="auto"/>
        <w:left w:val="none" w:sz="0" w:space="0" w:color="auto"/>
        <w:bottom w:val="none" w:sz="0" w:space="0" w:color="auto"/>
        <w:right w:val="none" w:sz="0" w:space="0" w:color="auto"/>
      </w:divBdr>
    </w:div>
    <w:div w:id="1488588833">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23785342">
      <w:bodyDiv w:val="1"/>
      <w:marLeft w:val="0"/>
      <w:marRight w:val="0"/>
      <w:marTop w:val="0"/>
      <w:marBottom w:val="0"/>
      <w:divBdr>
        <w:top w:val="none" w:sz="0" w:space="0" w:color="auto"/>
        <w:left w:val="none" w:sz="0" w:space="0" w:color="auto"/>
        <w:bottom w:val="none" w:sz="0" w:space="0" w:color="auto"/>
        <w:right w:val="none" w:sz="0" w:space="0" w:color="auto"/>
      </w:divBdr>
    </w:div>
    <w:div w:id="1532917255">
      <w:bodyDiv w:val="1"/>
      <w:marLeft w:val="0"/>
      <w:marRight w:val="0"/>
      <w:marTop w:val="0"/>
      <w:marBottom w:val="0"/>
      <w:divBdr>
        <w:top w:val="none" w:sz="0" w:space="0" w:color="auto"/>
        <w:left w:val="none" w:sz="0" w:space="0" w:color="auto"/>
        <w:bottom w:val="none" w:sz="0" w:space="0" w:color="auto"/>
        <w:right w:val="none" w:sz="0" w:space="0" w:color="auto"/>
      </w:divBdr>
    </w:div>
    <w:div w:id="1538079474">
      <w:bodyDiv w:val="1"/>
      <w:marLeft w:val="0"/>
      <w:marRight w:val="0"/>
      <w:marTop w:val="0"/>
      <w:marBottom w:val="0"/>
      <w:divBdr>
        <w:top w:val="none" w:sz="0" w:space="0" w:color="auto"/>
        <w:left w:val="none" w:sz="0" w:space="0" w:color="auto"/>
        <w:bottom w:val="none" w:sz="0" w:space="0" w:color="auto"/>
        <w:right w:val="none" w:sz="0" w:space="0" w:color="auto"/>
      </w:divBdr>
    </w:div>
    <w:div w:id="1569075384">
      <w:bodyDiv w:val="1"/>
      <w:marLeft w:val="0"/>
      <w:marRight w:val="0"/>
      <w:marTop w:val="0"/>
      <w:marBottom w:val="0"/>
      <w:divBdr>
        <w:top w:val="none" w:sz="0" w:space="0" w:color="auto"/>
        <w:left w:val="none" w:sz="0" w:space="0" w:color="auto"/>
        <w:bottom w:val="none" w:sz="0" w:space="0" w:color="auto"/>
        <w:right w:val="none" w:sz="0" w:space="0" w:color="auto"/>
      </w:divBdr>
    </w:div>
    <w:div w:id="1589390910">
      <w:bodyDiv w:val="1"/>
      <w:marLeft w:val="0"/>
      <w:marRight w:val="0"/>
      <w:marTop w:val="0"/>
      <w:marBottom w:val="0"/>
      <w:divBdr>
        <w:top w:val="none" w:sz="0" w:space="0" w:color="auto"/>
        <w:left w:val="none" w:sz="0" w:space="0" w:color="auto"/>
        <w:bottom w:val="none" w:sz="0" w:space="0" w:color="auto"/>
        <w:right w:val="none" w:sz="0" w:space="0" w:color="auto"/>
      </w:divBdr>
    </w:div>
    <w:div w:id="1607811783">
      <w:bodyDiv w:val="1"/>
      <w:marLeft w:val="0"/>
      <w:marRight w:val="0"/>
      <w:marTop w:val="0"/>
      <w:marBottom w:val="0"/>
      <w:divBdr>
        <w:top w:val="none" w:sz="0" w:space="0" w:color="auto"/>
        <w:left w:val="none" w:sz="0" w:space="0" w:color="auto"/>
        <w:bottom w:val="none" w:sz="0" w:space="0" w:color="auto"/>
        <w:right w:val="none" w:sz="0" w:space="0" w:color="auto"/>
      </w:divBdr>
      <w:divsChild>
        <w:div w:id="341471382">
          <w:marLeft w:val="0"/>
          <w:marRight w:val="0"/>
          <w:marTop w:val="0"/>
          <w:marBottom w:val="0"/>
          <w:divBdr>
            <w:top w:val="none" w:sz="0" w:space="0" w:color="auto"/>
            <w:left w:val="none" w:sz="0" w:space="0" w:color="auto"/>
            <w:bottom w:val="none" w:sz="0" w:space="0" w:color="auto"/>
            <w:right w:val="none" w:sz="0" w:space="0" w:color="auto"/>
          </w:divBdr>
          <w:divsChild>
            <w:div w:id="715741404">
              <w:marLeft w:val="0"/>
              <w:marRight w:val="0"/>
              <w:marTop w:val="0"/>
              <w:marBottom w:val="0"/>
              <w:divBdr>
                <w:top w:val="none" w:sz="0" w:space="0" w:color="auto"/>
                <w:left w:val="none" w:sz="0" w:space="0" w:color="auto"/>
                <w:bottom w:val="none" w:sz="0" w:space="0" w:color="auto"/>
                <w:right w:val="none" w:sz="0" w:space="0" w:color="auto"/>
              </w:divBdr>
              <w:divsChild>
                <w:div w:id="15871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4943">
      <w:bodyDiv w:val="1"/>
      <w:marLeft w:val="0"/>
      <w:marRight w:val="0"/>
      <w:marTop w:val="0"/>
      <w:marBottom w:val="0"/>
      <w:divBdr>
        <w:top w:val="none" w:sz="0" w:space="0" w:color="auto"/>
        <w:left w:val="none" w:sz="0" w:space="0" w:color="auto"/>
        <w:bottom w:val="none" w:sz="0" w:space="0" w:color="auto"/>
        <w:right w:val="none" w:sz="0" w:space="0" w:color="auto"/>
      </w:divBdr>
    </w:div>
    <w:div w:id="1648826779">
      <w:bodyDiv w:val="1"/>
      <w:marLeft w:val="0"/>
      <w:marRight w:val="0"/>
      <w:marTop w:val="0"/>
      <w:marBottom w:val="0"/>
      <w:divBdr>
        <w:top w:val="none" w:sz="0" w:space="0" w:color="auto"/>
        <w:left w:val="none" w:sz="0" w:space="0" w:color="auto"/>
        <w:bottom w:val="none" w:sz="0" w:space="0" w:color="auto"/>
        <w:right w:val="none" w:sz="0" w:space="0" w:color="auto"/>
      </w:divBdr>
    </w:div>
    <w:div w:id="1651404153">
      <w:bodyDiv w:val="1"/>
      <w:marLeft w:val="0"/>
      <w:marRight w:val="0"/>
      <w:marTop w:val="0"/>
      <w:marBottom w:val="0"/>
      <w:divBdr>
        <w:top w:val="none" w:sz="0" w:space="0" w:color="auto"/>
        <w:left w:val="none" w:sz="0" w:space="0" w:color="auto"/>
        <w:bottom w:val="none" w:sz="0" w:space="0" w:color="auto"/>
        <w:right w:val="none" w:sz="0" w:space="0" w:color="auto"/>
      </w:divBdr>
    </w:div>
    <w:div w:id="1703356319">
      <w:bodyDiv w:val="1"/>
      <w:marLeft w:val="0"/>
      <w:marRight w:val="0"/>
      <w:marTop w:val="0"/>
      <w:marBottom w:val="0"/>
      <w:divBdr>
        <w:top w:val="none" w:sz="0" w:space="0" w:color="auto"/>
        <w:left w:val="none" w:sz="0" w:space="0" w:color="auto"/>
        <w:bottom w:val="none" w:sz="0" w:space="0" w:color="auto"/>
        <w:right w:val="none" w:sz="0" w:space="0" w:color="auto"/>
      </w:divBdr>
    </w:div>
    <w:div w:id="1732843546">
      <w:bodyDiv w:val="1"/>
      <w:marLeft w:val="0"/>
      <w:marRight w:val="0"/>
      <w:marTop w:val="0"/>
      <w:marBottom w:val="0"/>
      <w:divBdr>
        <w:top w:val="none" w:sz="0" w:space="0" w:color="auto"/>
        <w:left w:val="none" w:sz="0" w:space="0" w:color="auto"/>
        <w:bottom w:val="none" w:sz="0" w:space="0" w:color="auto"/>
        <w:right w:val="none" w:sz="0" w:space="0" w:color="auto"/>
      </w:divBdr>
    </w:div>
    <w:div w:id="1765607031">
      <w:bodyDiv w:val="1"/>
      <w:marLeft w:val="0"/>
      <w:marRight w:val="0"/>
      <w:marTop w:val="0"/>
      <w:marBottom w:val="0"/>
      <w:divBdr>
        <w:top w:val="none" w:sz="0" w:space="0" w:color="auto"/>
        <w:left w:val="none" w:sz="0" w:space="0" w:color="auto"/>
        <w:bottom w:val="none" w:sz="0" w:space="0" w:color="auto"/>
        <w:right w:val="none" w:sz="0" w:space="0" w:color="auto"/>
      </w:divBdr>
    </w:div>
    <w:div w:id="1813861463">
      <w:bodyDiv w:val="1"/>
      <w:marLeft w:val="0"/>
      <w:marRight w:val="0"/>
      <w:marTop w:val="0"/>
      <w:marBottom w:val="0"/>
      <w:divBdr>
        <w:top w:val="none" w:sz="0" w:space="0" w:color="auto"/>
        <w:left w:val="none" w:sz="0" w:space="0" w:color="auto"/>
        <w:bottom w:val="none" w:sz="0" w:space="0" w:color="auto"/>
        <w:right w:val="none" w:sz="0" w:space="0" w:color="auto"/>
      </w:divBdr>
    </w:div>
    <w:div w:id="1820614451">
      <w:bodyDiv w:val="1"/>
      <w:marLeft w:val="0"/>
      <w:marRight w:val="0"/>
      <w:marTop w:val="0"/>
      <w:marBottom w:val="0"/>
      <w:divBdr>
        <w:top w:val="none" w:sz="0" w:space="0" w:color="auto"/>
        <w:left w:val="none" w:sz="0" w:space="0" w:color="auto"/>
        <w:bottom w:val="none" w:sz="0" w:space="0" w:color="auto"/>
        <w:right w:val="none" w:sz="0" w:space="0" w:color="auto"/>
      </w:divBdr>
    </w:div>
    <w:div w:id="1904869796">
      <w:bodyDiv w:val="1"/>
      <w:marLeft w:val="0"/>
      <w:marRight w:val="0"/>
      <w:marTop w:val="0"/>
      <w:marBottom w:val="0"/>
      <w:divBdr>
        <w:top w:val="none" w:sz="0" w:space="0" w:color="auto"/>
        <w:left w:val="none" w:sz="0" w:space="0" w:color="auto"/>
        <w:bottom w:val="none" w:sz="0" w:space="0" w:color="auto"/>
        <w:right w:val="none" w:sz="0" w:space="0" w:color="auto"/>
      </w:divBdr>
    </w:div>
    <w:div w:id="1924142395">
      <w:bodyDiv w:val="1"/>
      <w:marLeft w:val="0"/>
      <w:marRight w:val="0"/>
      <w:marTop w:val="0"/>
      <w:marBottom w:val="0"/>
      <w:divBdr>
        <w:top w:val="none" w:sz="0" w:space="0" w:color="auto"/>
        <w:left w:val="none" w:sz="0" w:space="0" w:color="auto"/>
        <w:bottom w:val="none" w:sz="0" w:space="0" w:color="auto"/>
        <w:right w:val="none" w:sz="0" w:space="0" w:color="auto"/>
      </w:divBdr>
    </w:div>
    <w:div w:id="1932467856">
      <w:bodyDiv w:val="1"/>
      <w:marLeft w:val="0"/>
      <w:marRight w:val="0"/>
      <w:marTop w:val="0"/>
      <w:marBottom w:val="0"/>
      <w:divBdr>
        <w:top w:val="none" w:sz="0" w:space="0" w:color="auto"/>
        <w:left w:val="none" w:sz="0" w:space="0" w:color="auto"/>
        <w:bottom w:val="none" w:sz="0" w:space="0" w:color="auto"/>
        <w:right w:val="none" w:sz="0" w:space="0" w:color="auto"/>
      </w:divBdr>
    </w:div>
    <w:div w:id="1974941429">
      <w:bodyDiv w:val="1"/>
      <w:marLeft w:val="0"/>
      <w:marRight w:val="0"/>
      <w:marTop w:val="0"/>
      <w:marBottom w:val="0"/>
      <w:divBdr>
        <w:top w:val="none" w:sz="0" w:space="0" w:color="auto"/>
        <w:left w:val="none" w:sz="0" w:space="0" w:color="auto"/>
        <w:bottom w:val="none" w:sz="0" w:space="0" w:color="auto"/>
        <w:right w:val="none" w:sz="0" w:space="0" w:color="auto"/>
      </w:divBdr>
    </w:div>
    <w:div w:id="1982076460">
      <w:bodyDiv w:val="1"/>
      <w:marLeft w:val="0"/>
      <w:marRight w:val="0"/>
      <w:marTop w:val="0"/>
      <w:marBottom w:val="0"/>
      <w:divBdr>
        <w:top w:val="none" w:sz="0" w:space="0" w:color="auto"/>
        <w:left w:val="none" w:sz="0" w:space="0" w:color="auto"/>
        <w:bottom w:val="none" w:sz="0" w:space="0" w:color="auto"/>
        <w:right w:val="none" w:sz="0" w:space="0" w:color="auto"/>
      </w:divBdr>
    </w:div>
    <w:div w:id="1983805237">
      <w:bodyDiv w:val="1"/>
      <w:marLeft w:val="0"/>
      <w:marRight w:val="0"/>
      <w:marTop w:val="0"/>
      <w:marBottom w:val="0"/>
      <w:divBdr>
        <w:top w:val="none" w:sz="0" w:space="0" w:color="auto"/>
        <w:left w:val="none" w:sz="0" w:space="0" w:color="auto"/>
        <w:bottom w:val="none" w:sz="0" w:space="0" w:color="auto"/>
        <w:right w:val="none" w:sz="0" w:space="0" w:color="auto"/>
      </w:divBdr>
    </w:div>
    <w:div w:id="2004505958">
      <w:bodyDiv w:val="1"/>
      <w:marLeft w:val="0"/>
      <w:marRight w:val="0"/>
      <w:marTop w:val="0"/>
      <w:marBottom w:val="0"/>
      <w:divBdr>
        <w:top w:val="none" w:sz="0" w:space="0" w:color="auto"/>
        <w:left w:val="none" w:sz="0" w:space="0" w:color="auto"/>
        <w:bottom w:val="none" w:sz="0" w:space="0" w:color="auto"/>
        <w:right w:val="none" w:sz="0" w:space="0" w:color="auto"/>
      </w:divBdr>
    </w:div>
    <w:div w:id="2010401301">
      <w:bodyDiv w:val="1"/>
      <w:marLeft w:val="0"/>
      <w:marRight w:val="0"/>
      <w:marTop w:val="0"/>
      <w:marBottom w:val="0"/>
      <w:divBdr>
        <w:top w:val="none" w:sz="0" w:space="0" w:color="auto"/>
        <w:left w:val="none" w:sz="0" w:space="0" w:color="auto"/>
        <w:bottom w:val="none" w:sz="0" w:space="0" w:color="auto"/>
        <w:right w:val="none" w:sz="0" w:space="0" w:color="auto"/>
      </w:divBdr>
    </w:div>
    <w:div w:id="2032685757">
      <w:bodyDiv w:val="1"/>
      <w:marLeft w:val="0"/>
      <w:marRight w:val="0"/>
      <w:marTop w:val="0"/>
      <w:marBottom w:val="0"/>
      <w:divBdr>
        <w:top w:val="none" w:sz="0" w:space="0" w:color="auto"/>
        <w:left w:val="none" w:sz="0" w:space="0" w:color="auto"/>
        <w:bottom w:val="none" w:sz="0" w:space="0" w:color="auto"/>
        <w:right w:val="none" w:sz="0" w:space="0" w:color="auto"/>
      </w:divBdr>
    </w:div>
    <w:div w:id="2040429491">
      <w:bodyDiv w:val="1"/>
      <w:marLeft w:val="0"/>
      <w:marRight w:val="0"/>
      <w:marTop w:val="0"/>
      <w:marBottom w:val="0"/>
      <w:divBdr>
        <w:top w:val="none" w:sz="0" w:space="0" w:color="auto"/>
        <w:left w:val="none" w:sz="0" w:space="0" w:color="auto"/>
        <w:bottom w:val="none" w:sz="0" w:space="0" w:color="auto"/>
        <w:right w:val="none" w:sz="0" w:space="0" w:color="auto"/>
      </w:divBdr>
    </w:div>
    <w:div w:id="2050523127">
      <w:bodyDiv w:val="1"/>
      <w:marLeft w:val="0"/>
      <w:marRight w:val="0"/>
      <w:marTop w:val="0"/>
      <w:marBottom w:val="0"/>
      <w:divBdr>
        <w:top w:val="none" w:sz="0" w:space="0" w:color="auto"/>
        <w:left w:val="none" w:sz="0" w:space="0" w:color="auto"/>
        <w:bottom w:val="none" w:sz="0" w:space="0" w:color="auto"/>
        <w:right w:val="none" w:sz="0" w:space="0" w:color="auto"/>
      </w:divBdr>
    </w:div>
    <w:div w:id="2063555491">
      <w:bodyDiv w:val="1"/>
      <w:marLeft w:val="0"/>
      <w:marRight w:val="0"/>
      <w:marTop w:val="0"/>
      <w:marBottom w:val="0"/>
      <w:divBdr>
        <w:top w:val="none" w:sz="0" w:space="0" w:color="auto"/>
        <w:left w:val="none" w:sz="0" w:space="0" w:color="auto"/>
        <w:bottom w:val="none" w:sz="0" w:space="0" w:color="auto"/>
        <w:right w:val="none" w:sz="0" w:space="0" w:color="auto"/>
      </w:divBdr>
    </w:div>
    <w:div w:id="2083985283">
      <w:bodyDiv w:val="1"/>
      <w:marLeft w:val="0"/>
      <w:marRight w:val="0"/>
      <w:marTop w:val="0"/>
      <w:marBottom w:val="0"/>
      <w:divBdr>
        <w:top w:val="none" w:sz="0" w:space="0" w:color="auto"/>
        <w:left w:val="none" w:sz="0" w:space="0" w:color="auto"/>
        <w:bottom w:val="none" w:sz="0" w:space="0" w:color="auto"/>
        <w:right w:val="none" w:sz="0" w:space="0" w:color="auto"/>
      </w:divBdr>
    </w:div>
    <w:div w:id="2115976854">
      <w:bodyDiv w:val="1"/>
      <w:marLeft w:val="0"/>
      <w:marRight w:val="0"/>
      <w:marTop w:val="0"/>
      <w:marBottom w:val="0"/>
      <w:divBdr>
        <w:top w:val="none" w:sz="0" w:space="0" w:color="auto"/>
        <w:left w:val="none" w:sz="0" w:space="0" w:color="auto"/>
        <w:bottom w:val="none" w:sz="0" w:space="0" w:color="auto"/>
        <w:right w:val="none" w:sz="0" w:space="0" w:color="auto"/>
      </w:divBdr>
    </w:div>
    <w:div w:id="2118869288">
      <w:bodyDiv w:val="1"/>
      <w:marLeft w:val="0"/>
      <w:marRight w:val="0"/>
      <w:marTop w:val="0"/>
      <w:marBottom w:val="0"/>
      <w:divBdr>
        <w:top w:val="none" w:sz="0" w:space="0" w:color="auto"/>
        <w:left w:val="none" w:sz="0" w:space="0" w:color="auto"/>
        <w:bottom w:val="none" w:sz="0" w:space="0" w:color="auto"/>
        <w:right w:val="none" w:sz="0" w:space="0" w:color="auto"/>
      </w:divBdr>
    </w:div>
    <w:div w:id="2132165714">
      <w:bodyDiv w:val="1"/>
      <w:marLeft w:val="0"/>
      <w:marRight w:val="0"/>
      <w:marTop w:val="0"/>
      <w:marBottom w:val="0"/>
      <w:divBdr>
        <w:top w:val="none" w:sz="0" w:space="0" w:color="auto"/>
        <w:left w:val="none" w:sz="0" w:space="0" w:color="auto"/>
        <w:bottom w:val="none" w:sz="0" w:space="0" w:color="auto"/>
        <w:right w:val="none" w:sz="0" w:space="0" w:color="auto"/>
      </w:divBdr>
    </w:div>
    <w:div w:id="213301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aci@ls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oup.bmj.com/products/journals/instructions-for-authors/lice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3201-D220-469D-919F-CEC17203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32244</Words>
  <Characters>183791</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Dawoud</dc:creator>
  <cp:keywords/>
  <dc:description/>
  <cp:lastModifiedBy>Naci,H</cp:lastModifiedBy>
  <cp:revision>2</cp:revision>
  <dcterms:created xsi:type="dcterms:W3CDTF">2021-10-12T12:54:00Z</dcterms:created>
  <dcterms:modified xsi:type="dcterms:W3CDTF">2021-10-12T12:54:00Z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id="95qlnu3S"/&gt;&lt;style id="http://www.zotero.org/styles/bmj" hasBibliography="1" bibliographyStyleHasBeenSet="1"/&gt;&lt;prefs&gt;&lt;pref name="fieldType" value="Field"/&gt;&lt;/prefs&gt;&lt;/data&gt;</vt:lpwstr>
  </property>
</Properties>
</file>