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F78FE" w14:textId="77777777" w:rsidR="00764B26" w:rsidRDefault="00E11A8B">
      <w:pPr>
        <w:rPr>
          <w:b/>
          <w:color w:val="5B9BD5" w:themeColor="accent1"/>
          <w:sz w:val="24"/>
          <w:szCs w:val="24"/>
        </w:rPr>
      </w:pPr>
      <w:r>
        <w:rPr>
          <w:b/>
          <w:color w:val="5B9BD5" w:themeColor="accent1"/>
          <w:sz w:val="24"/>
          <w:szCs w:val="24"/>
        </w:rPr>
        <w:t xml:space="preserve"> </w:t>
      </w:r>
    </w:p>
    <w:p w14:paraId="56218D47" w14:textId="77777777" w:rsidR="00764B26" w:rsidRDefault="00E11A8B">
      <w:pPr>
        <w:jc w:val="center"/>
        <w:rPr>
          <w:b/>
          <w:sz w:val="28"/>
          <w:szCs w:val="28"/>
        </w:rPr>
      </w:pPr>
      <w:bookmarkStart w:id="0" w:name="__DdeLink__96630_3796147136"/>
      <w:r>
        <w:rPr>
          <w:b/>
          <w:sz w:val="28"/>
          <w:szCs w:val="28"/>
        </w:rPr>
        <w:t xml:space="preserve">How prepared are we for the Serious Violence Duty?  </w:t>
      </w:r>
      <w:bookmarkEnd w:id="0"/>
    </w:p>
    <w:p w14:paraId="6035B0F0" w14:textId="77777777" w:rsidR="00764B26" w:rsidRDefault="00E11A8B">
      <w:pPr>
        <w:jc w:val="center"/>
        <w:rPr>
          <w:b/>
          <w:sz w:val="24"/>
          <w:szCs w:val="24"/>
        </w:rPr>
      </w:pPr>
      <w:r>
        <w:rPr>
          <w:b/>
          <w:sz w:val="24"/>
          <w:szCs w:val="24"/>
        </w:rPr>
        <w:t>Authors</w:t>
      </w:r>
    </w:p>
    <w:p w14:paraId="37CD1C61" w14:textId="77777777" w:rsidR="00481B35" w:rsidRDefault="00481B35">
      <w:pPr>
        <w:tabs>
          <w:tab w:val="left" w:pos="7380"/>
        </w:tabs>
        <w:rPr>
          <w:b/>
        </w:rPr>
      </w:pPr>
    </w:p>
    <w:p w14:paraId="52C68D5A" w14:textId="77777777" w:rsidR="00764B26" w:rsidRDefault="00E11A8B">
      <w:pPr>
        <w:tabs>
          <w:tab w:val="left" w:pos="7380"/>
        </w:tabs>
        <w:rPr>
          <w:b/>
          <w:color w:val="2E74B5" w:themeColor="accent1" w:themeShade="BF"/>
          <w:sz w:val="24"/>
          <w:szCs w:val="24"/>
        </w:rPr>
      </w:pPr>
      <w:r>
        <w:rPr>
          <w:b/>
        </w:rPr>
        <w:t>Abstract</w:t>
      </w:r>
      <w:r>
        <w:rPr>
          <w:b/>
          <w:color w:val="2E74B5" w:themeColor="accent1" w:themeShade="BF"/>
          <w:sz w:val="24"/>
          <w:szCs w:val="24"/>
        </w:rPr>
        <w:tab/>
      </w:r>
    </w:p>
    <w:p w14:paraId="26F52418" w14:textId="31F589AD" w:rsidR="00764B26" w:rsidRPr="00CC1841" w:rsidRDefault="00E11A8B" w:rsidP="00CC1841">
      <w:pPr>
        <w:pStyle w:val="NoSpacing"/>
        <w:jc w:val="both"/>
        <w:rPr>
          <w:i/>
        </w:rPr>
        <w:sectPr w:rsidR="00764B26" w:rsidRPr="00CC1841">
          <w:footerReference w:type="default" r:id="rId8"/>
          <w:pgSz w:w="11906" w:h="16838"/>
          <w:pgMar w:top="1440" w:right="1440" w:bottom="1440" w:left="1440" w:header="0" w:footer="708" w:gutter="0"/>
          <w:cols w:space="720"/>
          <w:formProt w:val="0"/>
          <w:docGrid w:linePitch="312" w:charSpace="1842"/>
        </w:sectPr>
      </w:pPr>
      <w:r w:rsidRPr="00CC1841">
        <w:rPr>
          <w:i/>
        </w:rPr>
        <w:t>This paper analyses the delivery of violence reduction and preparations for the Serious Violence Duty in one region in the United Kingdom. Using Bath &amp; O’</w:t>
      </w:r>
      <w:r w:rsidR="00CC1841" w:rsidRPr="00CC1841">
        <w:rPr>
          <w:i/>
        </w:rPr>
        <w:t xml:space="preserve"> </w:t>
      </w:r>
      <w:r w:rsidRPr="00CC1841">
        <w:rPr>
          <w:i/>
        </w:rPr>
        <w:t>Moore’s 5c’s approach as an analytical framework, we explore the response to the Government Serious Violence Strategy (Home Office, 2018), Public Health approaches to violence reduction and how prepared the reg</w:t>
      </w:r>
      <w:r w:rsidR="009A6388" w:rsidRPr="00CC1841">
        <w:rPr>
          <w:i/>
        </w:rPr>
        <w:t>ion appears to be for the</w:t>
      </w:r>
      <w:r w:rsidRPr="00CC1841">
        <w:rPr>
          <w:i/>
        </w:rPr>
        <w:t xml:space="preserve"> implementation of the Serious Violence Duty. The evidence suggests the development of Violence Reduction Units has led to a two tiered approach to violence reduction, resourcing is a major concern and partnership arrangements will need to evolve in order to deliver the Serious Violence Duty.</w:t>
      </w:r>
      <w:r w:rsidR="00CC1841" w:rsidRPr="00CC1841">
        <w:rPr>
          <w:i/>
        </w:rPr>
        <w:t xml:space="preserve"> However, it is also evident that the duty represents an opportunity for the development of new knowledge around </w:t>
      </w:r>
      <w:r w:rsidR="00CC1841">
        <w:rPr>
          <w:i/>
        </w:rPr>
        <w:t xml:space="preserve">the implementation of </w:t>
      </w:r>
      <w:r w:rsidR="00CC1841" w:rsidRPr="00CC1841">
        <w:rPr>
          <w:i/>
        </w:rPr>
        <w:t>partnership and public health approaches to violence reduction</w:t>
      </w:r>
      <w:r w:rsidR="00CC1841">
        <w:rPr>
          <w:i/>
        </w:rPr>
        <w:t xml:space="preserve"> a</w:t>
      </w:r>
      <w:r w:rsidR="0000582B">
        <w:rPr>
          <w:i/>
        </w:rPr>
        <w:t>n</w:t>
      </w:r>
      <w:r w:rsidR="00CC1841">
        <w:rPr>
          <w:i/>
        </w:rPr>
        <w:t>d ‘what works’ in this space</w:t>
      </w:r>
      <w:r w:rsidR="0000582B">
        <w:rPr>
          <w:i/>
        </w:rPr>
        <w:t>.</w:t>
      </w:r>
    </w:p>
    <w:p w14:paraId="32F4C4F1" w14:textId="77777777" w:rsidR="00CC1841" w:rsidRDefault="00CC1841" w:rsidP="00BB2F20">
      <w:pPr>
        <w:rPr>
          <w:b/>
          <w:sz w:val="24"/>
          <w:szCs w:val="24"/>
        </w:rPr>
      </w:pPr>
    </w:p>
    <w:p w14:paraId="25767254" w14:textId="5AA62560" w:rsidR="00481B35" w:rsidRDefault="00E11A8B" w:rsidP="00BB2F20">
      <w:pPr>
        <w:rPr>
          <w:b/>
          <w:sz w:val="24"/>
          <w:szCs w:val="24"/>
        </w:rPr>
      </w:pPr>
      <w:r>
        <w:rPr>
          <w:b/>
          <w:sz w:val="24"/>
          <w:szCs w:val="24"/>
        </w:rPr>
        <w:t>Introduction</w:t>
      </w:r>
    </w:p>
    <w:p w14:paraId="2B899774" w14:textId="433341DC" w:rsidR="00400889" w:rsidRDefault="00E11A8B">
      <w:pPr>
        <w:jc w:val="both"/>
      </w:pPr>
      <w:r>
        <w:t xml:space="preserve">It would be true to suggest that advancing crime prevention knowledge not only involves understanding whether specific interventions ‘work’ to reduce crime, but also </w:t>
      </w:r>
      <w:r>
        <w:rPr>
          <w:i/>
        </w:rPr>
        <w:t>how</w:t>
      </w:r>
      <w:r>
        <w:t xml:space="preserve"> crime prevention is delivered (</w:t>
      </w:r>
      <w:proofErr w:type="spellStart"/>
      <w:r>
        <w:t>Homel</w:t>
      </w:r>
      <w:proofErr w:type="spellEnd"/>
      <w:r>
        <w:t xml:space="preserve"> &amp; Brown, 2017).</w:t>
      </w:r>
      <w:r w:rsidR="00481B35">
        <w:t xml:space="preserve"> Since the flag</w:t>
      </w:r>
      <w:r w:rsidR="00460636">
        <w:t>ship Morgan Report of 1991</w:t>
      </w:r>
      <w:r w:rsidR="00481B35">
        <w:t>, it has often been asserted that the development of crime prevention strategies and their delivery requires partnership approaches or inter</w:t>
      </w:r>
      <w:r w:rsidR="00717F49">
        <w:t>-</w:t>
      </w:r>
      <w:r w:rsidR="00481B35">
        <w:t xml:space="preserve">agency working </w:t>
      </w:r>
      <w:r w:rsidR="00460636">
        <w:t>(</w:t>
      </w:r>
      <w:r w:rsidR="00460636" w:rsidRPr="00056DF2">
        <w:t xml:space="preserve">Tierney, </w:t>
      </w:r>
      <w:r w:rsidR="00460636">
        <w:t xml:space="preserve">2001; Tilley, 2002; Berry et al, 2009; Rosenbaum &amp; </w:t>
      </w:r>
      <w:proofErr w:type="spellStart"/>
      <w:r w:rsidR="00460636">
        <w:t>Schuck</w:t>
      </w:r>
      <w:proofErr w:type="spellEnd"/>
      <w:r w:rsidR="00460636">
        <w:t>, 2011</w:t>
      </w:r>
      <w:r w:rsidR="009A6388">
        <w:t xml:space="preserve">; </w:t>
      </w:r>
      <w:proofErr w:type="spellStart"/>
      <w:r w:rsidR="009A6388">
        <w:t>Homel</w:t>
      </w:r>
      <w:proofErr w:type="spellEnd"/>
      <w:r w:rsidR="009A6388">
        <w:t xml:space="preserve"> &amp; Brown 2017</w:t>
      </w:r>
      <w:r w:rsidR="00481B35">
        <w:t xml:space="preserve">).  Partnership approaches to crime prevention have been developed globally </w:t>
      </w:r>
      <w:r w:rsidR="00377894">
        <w:t>and in England and Wales the 1998 Crime and Disorder Act made such inter-agency working a statutory requirement (</w:t>
      </w:r>
      <w:proofErr w:type="spellStart"/>
      <w:r w:rsidR="00460636">
        <w:t>Homel</w:t>
      </w:r>
      <w:proofErr w:type="spellEnd"/>
      <w:r w:rsidR="00460636">
        <w:t xml:space="preserve"> &amp; Brown, 2017</w:t>
      </w:r>
      <w:r w:rsidR="00377894">
        <w:t>).</w:t>
      </w:r>
      <w:r w:rsidR="00481B35">
        <w:t xml:space="preserve">   </w:t>
      </w:r>
      <w:r w:rsidR="00023C56">
        <w:t xml:space="preserve">While </w:t>
      </w:r>
      <w:r w:rsidR="00D9281D">
        <w:t>a body</w:t>
      </w:r>
      <w:r w:rsidR="00377894">
        <w:t xml:space="preserve"> of literature has outlined the challenges with partnership working</w:t>
      </w:r>
      <w:r w:rsidR="00023C56">
        <w:t>, this paper primarily focuses on (1)</w:t>
      </w:r>
      <w:r w:rsidR="00377894">
        <w:t xml:space="preserve"> </w:t>
      </w:r>
      <w:r w:rsidR="00023C56">
        <w:t xml:space="preserve">the development of inter-agency approaches to the reduction of violence </w:t>
      </w:r>
      <w:r w:rsidR="00377894">
        <w:t>across England and</w:t>
      </w:r>
      <w:r w:rsidR="009A6388">
        <w:t xml:space="preserve"> Wales and</w:t>
      </w:r>
      <w:r w:rsidR="00717F49">
        <w:t xml:space="preserve"> </w:t>
      </w:r>
      <w:r w:rsidR="00D9281D">
        <w:t xml:space="preserve">(2) </w:t>
      </w:r>
      <w:r w:rsidR="00023C56">
        <w:t xml:space="preserve">how prepared areas are for the </w:t>
      </w:r>
      <w:r>
        <w:t>Serious Violence Duty (SVD)</w:t>
      </w:r>
      <w:r w:rsidR="00023C56">
        <w:t xml:space="preserve"> </w:t>
      </w:r>
      <w:r w:rsidR="00400889">
        <w:t>as legislated for in the recent</w:t>
      </w:r>
      <w:r w:rsidR="001B12E2">
        <w:t xml:space="preserve"> </w:t>
      </w:r>
      <w:r w:rsidR="00400889">
        <w:t>Police, Crime</w:t>
      </w:r>
      <w:r w:rsidR="00400889">
        <w:t>, S</w:t>
      </w:r>
      <w:r w:rsidR="00400889">
        <w:t>entencing and Courts Act (2022).</w:t>
      </w:r>
    </w:p>
    <w:p w14:paraId="69F88CD0" w14:textId="48B9AD04" w:rsidR="00793258" w:rsidRDefault="00023C56">
      <w:pPr>
        <w:jc w:val="both"/>
      </w:pPr>
      <w:r w:rsidRPr="00056DF2">
        <w:t xml:space="preserve">While the </w:t>
      </w:r>
      <w:r w:rsidR="00D9281D" w:rsidRPr="00056DF2">
        <w:t>challenges of</w:t>
      </w:r>
      <w:r w:rsidRPr="00056DF2">
        <w:t xml:space="preserve"> partnership approaches to crime prev</w:t>
      </w:r>
      <w:r w:rsidR="00A81EEC" w:rsidRPr="00056DF2">
        <w:t>ention are well documented (</w:t>
      </w:r>
      <w:r w:rsidR="00460636" w:rsidRPr="00056DF2">
        <w:t xml:space="preserve">Tierney, </w:t>
      </w:r>
      <w:r w:rsidR="00460636">
        <w:t>2001; Tilley, 2002; Berry et al, 2009</w:t>
      </w:r>
      <w:r w:rsidR="00400889">
        <w:t xml:space="preserve">; </w:t>
      </w:r>
      <w:proofErr w:type="spellStart"/>
      <w:r w:rsidR="00400889">
        <w:t>Homel</w:t>
      </w:r>
      <w:proofErr w:type="spellEnd"/>
      <w:r w:rsidR="00400889">
        <w:t xml:space="preserve"> &amp; Brown 2017</w:t>
      </w:r>
      <w:r w:rsidRPr="00056DF2">
        <w:t xml:space="preserve">), </w:t>
      </w:r>
      <w:r w:rsidR="001B12E2" w:rsidRPr="00056DF2">
        <w:t xml:space="preserve">it has been recognised </w:t>
      </w:r>
      <w:r w:rsidR="00717F49" w:rsidRPr="00056DF2">
        <w:t>that partnerships are required for</w:t>
      </w:r>
      <w:r w:rsidR="001B12E2" w:rsidRPr="00056DF2">
        <w:t xml:space="preserve"> </w:t>
      </w:r>
      <w:r w:rsidR="00400889">
        <w:t xml:space="preserve">the </w:t>
      </w:r>
      <w:r w:rsidR="001B12E2" w:rsidRPr="00056DF2">
        <w:t>successful delivery of</w:t>
      </w:r>
      <w:r w:rsidRPr="00056DF2">
        <w:t xml:space="preserve"> </w:t>
      </w:r>
      <w:r w:rsidR="00717F49" w:rsidRPr="00056DF2">
        <w:t xml:space="preserve">public health approaches to </w:t>
      </w:r>
      <w:r w:rsidRPr="00056DF2">
        <w:t>violence reduction</w:t>
      </w:r>
      <w:r w:rsidR="009B5B45" w:rsidRPr="009B5B45">
        <w:t xml:space="preserve"> </w:t>
      </w:r>
      <w:r w:rsidR="009B5B45">
        <w:t>(</w:t>
      </w:r>
      <w:proofErr w:type="spellStart"/>
      <w:r w:rsidR="009B5B45">
        <w:t>Craston</w:t>
      </w:r>
      <w:proofErr w:type="spellEnd"/>
      <w:r w:rsidR="009B5B45">
        <w:t xml:space="preserve"> </w:t>
      </w:r>
      <w:r w:rsidR="009B5B45">
        <w:rPr>
          <w:iCs/>
        </w:rPr>
        <w:t>et al</w:t>
      </w:r>
      <w:r w:rsidR="009B5B45">
        <w:t>, 2020)</w:t>
      </w:r>
      <w:r w:rsidRPr="00056DF2">
        <w:t>.</w:t>
      </w:r>
      <w:r w:rsidR="00D9281D" w:rsidRPr="00056DF2">
        <w:t xml:space="preserve"> </w:t>
      </w:r>
      <w:r w:rsidR="00A36FD4">
        <w:t xml:space="preserve">Rosenbaum &amp; </w:t>
      </w:r>
      <w:proofErr w:type="spellStart"/>
      <w:r w:rsidR="00A36FD4">
        <w:t>Schuck</w:t>
      </w:r>
      <w:proofErr w:type="spellEnd"/>
      <w:r w:rsidR="00A36FD4">
        <w:t xml:space="preserve">, (2011) point to the efficacy of community partnerships </w:t>
      </w:r>
      <w:r w:rsidR="00400889">
        <w:t xml:space="preserve">in </w:t>
      </w:r>
      <w:r w:rsidR="00A36FD4">
        <w:t xml:space="preserve">reducing gang violence in the USA and </w:t>
      </w:r>
      <w:r w:rsidR="00D9281D" w:rsidRPr="00056DF2">
        <w:t>the success</w:t>
      </w:r>
      <w:r w:rsidR="00B913FA">
        <w:t xml:space="preserve">ful approach to violence reduction in Scotland </w:t>
      </w:r>
      <w:r w:rsidR="006161C5">
        <w:t>(</w:t>
      </w:r>
      <w:r w:rsidR="006161C5">
        <w:rPr>
          <w:rFonts w:cstheme="minorHAnsi"/>
        </w:rPr>
        <w:t xml:space="preserve">Scottish Violence Reduction Unit, </w:t>
      </w:r>
      <w:proofErr w:type="spellStart"/>
      <w:r w:rsidR="006161C5">
        <w:rPr>
          <w:rFonts w:cstheme="minorHAnsi"/>
        </w:rPr>
        <w:t>nd</w:t>
      </w:r>
      <w:proofErr w:type="spellEnd"/>
      <w:r w:rsidR="006161C5">
        <w:rPr>
          <w:rFonts w:cstheme="minorHAnsi"/>
        </w:rPr>
        <w:t>)</w:t>
      </w:r>
      <w:r w:rsidR="00D9281D" w:rsidRPr="00056DF2">
        <w:t xml:space="preserve"> has been held as an exemplar of what can be achieved</w:t>
      </w:r>
      <w:r w:rsidR="006161C5">
        <w:t xml:space="preserve"> through public health approaches</w:t>
      </w:r>
      <w:r w:rsidR="00D9281D" w:rsidRPr="00056DF2">
        <w:t xml:space="preserve">. </w:t>
      </w:r>
      <w:r w:rsidRPr="00056DF2">
        <w:t xml:space="preserve">  </w:t>
      </w:r>
      <w:r w:rsidRPr="00717F49">
        <w:t xml:space="preserve"> </w:t>
      </w:r>
      <w:r w:rsidR="001B12E2">
        <w:t>While much violence reduction delivery in England and Wales has been piecemeal and complete</w:t>
      </w:r>
      <w:r w:rsidR="00717F49">
        <w:t>d</w:t>
      </w:r>
      <w:r w:rsidR="001B12E2">
        <w:t xml:space="preserve"> in addition to the substantial requirements of the 1998 Crime and Disorder Act, it was the </w:t>
      </w:r>
      <w:r w:rsidR="00E11A8B">
        <w:t xml:space="preserve">Serious Violence Strategy (Home Office, 2018) </w:t>
      </w:r>
      <w:r w:rsidR="001B12E2">
        <w:t>that</w:t>
      </w:r>
      <w:r w:rsidR="00A36FD4">
        <w:t xml:space="preserve"> </w:t>
      </w:r>
      <w:r w:rsidR="00E11A8B">
        <w:t xml:space="preserve">laid the foundations for much of the current activity across England and Wales. The strategy </w:t>
      </w:r>
      <w:r w:rsidR="008F4EC6">
        <w:t xml:space="preserve">not only </w:t>
      </w:r>
      <w:r w:rsidR="00E11A8B">
        <w:t>set out an approach for tackling violence through interventions (such as early interventions, community responses and law enforcement)</w:t>
      </w:r>
      <w:r w:rsidR="008F4EC6">
        <w:t xml:space="preserve">, but also presented </w:t>
      </w:r>
      <w:r w:rsidR="00E11A8B">
        <w:t>an opportunity to rethink how violence is tackled (see Youth Endowment Fund, 2021)</w:t>
      </w:r>
      <w:r w:rsidR="008F4EC6">
        <w:t xml:space="preserve"> and</w:t>
      </w:r>
      <w:r w:rsidR="00B758EF">
        <w:t xml:space="preserve"> build a body of know</w:t>
      </w:r>
      <w:r w:rsidR="008F4EC6">
        <w:t>ledge</w:t>
      </w:r>
      <w:r w:rsidR="00B758EF">
        <w:t xml:space="preserve"> around what works in this space</w:t>
      </w:r>
      <w:r w:rsidR="00E11A8B">
        <w:t>. Th</w:t>
      </w:r>
      <w:r w:rsidR="00B758EF">
        <w:t xml:space="preserve">e Strategy </w:t>
      </w:r>
      <w:r w:rsidR="00E11A8B">
        <w:t xml:space="preserve"> emphasises </w:t>
      </w:r>
      <w:r w:rsidR="00B758EF">
        <w:t xml:space="preserve">a </w:t>
      </w:r>
      <w:r w:rsidR="00E11A8B">
        <w:t>need for further partnership working</w:t>
      </w:r>
      <w:r w:rsidR="008F4EC6">
        <w:t xml:space="preserve"> </w:t>
      </w:r>
      <w:r w:rsidR="00E11A8B">
        <w:t>(Home Office, 2018, p.9)</w:t>
      </w:r>
      <w:r w:rsidR="00B758EF">
        <w:t xml:space="preserve"> and </w:t>
      </w:r>
      <w:r w:rsidR="008F4EC6">
        <w:t xml:space="preserve">made a </w:t>
      </w:r>
      <w:r w:rsidR="00E11A8B">
        <w:t xml:space="preserve">commitment </w:t>
      </w:r>
      <w:r w:rsidR="00E11A8B">
        <w:lastRenderedPageBreak/>
        <w:t xml:space="preserve">to fund interventions </w:t>
      </w:r>
      <w:r w:rsidR="008F4EC6">
        <w:t>that would be implemented through</w:t>
      </w:r>
      <w:r w:rsidR="00793258">
        <w:t xml:space="preserve"> </w:t>
      </w:r>
      <w:r w:rsidR="00E11A8B">
        <w:t>Violence Reduction Units (VRU) in the eighteen police areas worst affected by violence</w:t>
      </w:r>
      <w:r w:rsidR="00400889">
        <w:rPr>
          <w:rStyle w:val="FootnoteAnchor"/>
        </w:rPr>
        <w:footnoteReference w:id="1"/>
      </w:r>
      <w:r w:rsidR="00E11A8B">
        <w:t xml:space="preserve">. The expectation was that the VRU’s would tackle ‘the root causes’ of serious violence through interagency working and public health focused interventions. </w:t>
      </w:r>
      <w:r w:rsidR="00793258">
        <w:t xml:space="preserve">Public health approaches </w:t>
      </w:r>
      <w:r w:rsidR="00A36FD4">
        <w:t>consider viol</w:t>
      </w:r>
      <w:r w:rsidR="006161C5">
        <w:t xml:space="preserve">ence to be a treatable disease </w:t>
      </w:r>
      <w:r w:rsidR="00A36FD4">
        <w:t xml:space="preserve">and require that strategies consider the role of the </w:t>
      </w:r>
      <w:r w:rsidR="00793258">
        <w:t xml:space="preserve">individual, </w:t>
      </w:r>
      <w:r w:rsidR="00A36FD4">
        <w:t xml:space="preserve">their </w:t>
      </w:r>
      <w:r w:rsidR="00793258">
        <w:t>relationship</w:t>
      </w:r>
      <w:r w:rsidR="00A36FD4">
        <w:t>s</w:t>
      </w:r>
      <w:r w:rsidR="00793258">
        <w:t xml:space="preserve">, community and </w:t>
      </w:r>
      <w:r w:rsidR="00A36FD4">
        <w:t xml:space="preserve">wider </w:t>
      </w:r>
      <w:r w:rsidR="00793258">
        <w:t>societal factors</w:t>
      </w:r>
      <w:r w:rsidR="00A36FD4">
        <w:t xml:space="preserve"> in both the production and methods to prevent violence </w:t>
      </w:r>
      <w:r w:rsidR="00793258">
        <w:t>(</w:t>
      </w:r>
      <w:r w:rsidR="006161C5">
        <w:t>Krug et al, 2002</w:t>
      </w:r>
      <w:r w:rsidR="00793258">
        <w:t xml:space="preserve">). </w:t>
      </w:r>
      <w:r w:rsidR="00E11A8B">
        <w:t xml:space="preserve">As </w:t>
      </w:r>
      <w:proofErr w:type="spellStart"/>
      <w:r w:rsidR="00E11A8B">
        <w:t>Grimshaw</w:t>
      </w:r>
      <w:proofErr w:type="spellEnd"/>
      <w:r w:rsidR="00E11A8B">
        <w:t xml:space="preserve"> &amp; Ford (2018, p. 15) identify, the risk factors for violence are </w:t>
      </w:r>
      <w:r w:rsidR="008F4EC6">
        <w:t>‘</w:t>
      </w:r>
      <w:r w:rsidR="00E11A8B">
        <w:t>crosscutting</w:t>
      </w:r>
      <w:r w:rsidR="008F4EC6">
        <w:t>’</w:t>
      </w:r>
      <w:r w:rsidR="00E11A8B">
        <w:t xml:space="preserve"> and </w:t>
      </w:r>
      <w:r w:rsidR="00793258">
        <w:t xml:space="preserve">with this in mind, </w:t>
      </w:r>
      <w:r w:rsidR="00E11A8B">
        <w:t>any comprehensive approach to violence reduction</w:t>
      </w:r>
      <w:r w:rsidR="00793258">
        <w:t xml:space="preserve"> would require input from a number of agencies. </w:t>
      </w:r>
      <w:r w:rsidR="00E11A8B">
        <w:t xml:space="preserve"> </w:t>
      </w:r>
    </w:p>
    <w:p w14:paraId="67017BA4" w14:textId="592A43F1" w:rsidR="000E071D" w:rsidRDefault="00E11A8B" w:rsidP="00B758EF">
      <w:pPr>
        <w:jc w:val="both"/>
      </w:pPr>
      <w:r>
        <w:t xml:space="preserve">In addition to the developments outlined above, future </w:t>
      </w:r>
      <w:r w:rsidR="00793258">
        <w:t xml:space="preserve">inter-agency working </w:t>
      </w:r>
      <w:r>
        <w:t>will largely be drive</w:t>
      </w:r>
      <w:r w:rsidR="00400889">
        <w:t>n by the SVD</w:t>
      </w:r>
      <w:r>
        <w:t xml:space="preserve"> (see Home Office, 2019; Home Office, 2021). The duty, as outlined in the Police, C</w:t>
      </w:r>
      <w:r w:rsidR="00400889">
        <w:t>rime</w:t>
      </w:r>
      <w:r>
        <w:t>, S</w:t>
      </w:r>
      <w:r w:rsidR="00400889">
        <w:t>entencing and Courts</w:t>
      </w:r>
      <w:r>
        <w:t xml:space="preserve"> Act (2022)</w:t>
      </w:r>
      <w:r>
        <w:rPr>
          <w:rStyle w:val="FootnoteAnchor"/>
        </w:rPr>
        <w:footnoteReference w:id="2"/>
      </w:r>
      <w:r>
        <w:t>, places a new statutory duty on a number of public sector agencies</w:t>
      </w:r>
      <w:r w:rsidR="00F00707">
        <w:t xml:space="preserve"> </w:t>
      </w:r>
      <w:r>
        <w:t xml:space="preserve">to tackle and prevent serious violence and is part of a range of government initiatives aimed to develop whole system multi-agency approaches to violence prevention (see Bath &amp; O’ Moore, 2019, p. 5). </w:t>
      </w:r>
      <w:r w:rsidRPr="000E071D">
        <w:t xml:space="preserve">The essence of the SVD is </w:t>
      </w:r>
      <w:r w:rsidR="008F4EC6">
        <w:t xml:space="preserve">in </w:t>
      </w:r>
      <w:r w:rsidRPr="000E071D">
        <w:t>making the prevention of serious violence a legal requirement</w:t>
      </w:r>
      <w:r w:rsidR="003B3323" w:rsidRPr="000E071D">
        <w:t xml:space="preserve"> with</w:t>
      </w:r>
      <w:r w:rsidR="000E071D" w:rsidRPr="000E071D">
        <w:t xml:space="preserve"> </w:t>
      </w:r>
      <w:r w:rsidR="001F5266" w:rsidRPr="008F4EC6">
        <w:t>d</w:t>
      </w:r>
      <w:r w:rsidR="00793258" w:rsidRPr="008F4EC6">
        <w:t xml:space="preserve">uty holders </w:t>
      </w:r>
      <w:r w:rsidR="001F5266" w:rsidRPr="008F4EC6">
        <w:t>including</w:t>
      </w:r>
      <w:r w:rsidR="00793258" w:rsidRPr="008F4EC6">
        <w:t xml:space="preserve"> the police, local authorities, </w:t>
      </w:r>
      <w:r w:rsidR="000E071D" w:rsidRPr="008F4EC6">
        <w:t>y</w:t>
      </w:r>
      <w:r w:rsidR="00793258" w:rsidRPr="008F4EC6">
        <w:t xml:space="preserve">outh </w:t>
      </w:r>
      <w:r w:rsidR="000E071D" w:rsidRPr="008F4EC6">
        <w:t>o</w:t>
      </w:r>
      <w:r w:rsidR="00793258" w:rsidRPr="008F4EC6">
        <w:t xml:space="preserve">ffending </w:t>
      </w:r>
      <w:r w:rsidR="000E071D" w:rsidRPr="008F4EC6">
        <w:t>t</w:t>
      </w:r>
      <w:r w:rsidR="00793258" w:rsidRPr="008F4EC6">
        <w:t xml:space="preserve">eams, </w:t>
      </w:r>
      <w:r w:rsidR="000E071D" w:rsidRPr="008F4EC6">
        <w:t>p</w:t>
      </w:r>
      <w:r w:rsidR="00793258" w:rsidRPr="008F4EC6">
        <w:t xml:space="preserve">robation, </w:t>
      </w:r>
      <w:r w:rsidR="000E071D" w:rsidRPr="008F4EC6">
        <w:t>f</w:t>
      </w:r>
      <w:r w:rsidR="00793258" w:rsidRPr="008F4EC6">
        <w:t xml:space="preserve">ire and </w:t>
      </w:r>
      <w:r w:rsidR="000E071D" w:rsidRPr="008F4EC6">
        <w:t>r</w:t>
      </w:r>
      <w:r w:rsidR="00793258" w:rsidRPr="008F4EC6">
        <w:t xml:space="preserve">escue and </w:t>
      </w:r>
      <w:r w:rsidR="000E071D" w:rsidRPr="008F4EC6">
        <w:t>h</w:t>
      </w:r>
      <w:r w:rsidR="00793258" w:rsidRPr="008F4EC6">
        <w:t xml:space="preserve">ealth </w:t>
      </w:r>
      <w:r w:rsidR="000E071D" w:rsidRPr="008F4EC6">
        <w:t>a</w:t>
      </w:r>
      <w:r w:rsidR="00793258" w:rsidRPr="008F4EC6">
        <w:t>uthorities</w:t>
      </w:r>
      <w:r w:rsidR="00F00707">
        <w:rPr>
          <w:rStyle w:val="FootnoteAnchor"/>
        </w:rPr>
        <w:footnoteReference w:id="3"/>
      </w:r>
      <w:r w:rsidR="00793258" w:rsidRPr="008F4EC6">
        <w:t>.</w:t>
      </w:r>
      <w:r w:rsidR="00793258" w:rsidRPr="007C0236">
        <w:rPr>
          <w:sz w:val="20"/>
          <w:szCs w:val="20"/>
        </w:rPr>
        <w:t xml:space="preserve">  </w:t>
      </w:r>
      <w:r w:rsidR="00793258">
        <w:t xml:space="preserve"> </w:t>
      </w:r>
      <w:r w:rsidR="001F5266">
        <w:t xml:space="preserve">As Bath &amp; </w:t>
      </w:r>
      <w:r w:rsidR="00BB2F20">
        <w:t xml:space="preserve">O’ </w:t>
      </w:r>
      <w:r w:rsidR="001F5266">
        <w:t>Moore (2019</w:t>
      </w:r>
      <w:r w:rsidR="000E071D" w:rsidRPr="002F627D">
        <w:t>:</w:t>
      </w:r>
      <w:r w:rsidR="002F627D" w:rsidRPr="002F627D">
        <w:t>5</w:t>
      </w:r>
      <w:r w:rsidR="001F5266" w:rsidRPr="002F627D">
        <w:t>)</w:t>
      </w:r>
      <w:r w:rsidR="001F5266">
        <w:t xml:space="preserve"> assert this </w:t>
      </w:r>
      <w:r w:rsidR="002F627D">
        <w:t>‘</w:t>
      </w:r>
      <w:r>
        <w:t xml:space="preserve">will </w:t>
      </w:r>
      <w:r w:rsidR="002F627D">
        <w:t xml:space="preserve">help create the conditions for collaboration and regular communication to share data and intelligence to understand and tackle the root causes of serious violence’. </w:t>
      </w:r>
    </w:p>
    <w:p w14:paraId="2ECED3A6" w14:textId="4B066BC5" w:rsidR="00076AD0" w:rsidRDefault="00B758EF">
      <w:pPr>
        <w:jc w:val="both"/>
        <w:rPr>
          <w:b/>
        </w:rPr>
      </w:pPr>
      <w:r>
        <w:t xml:space="preserve">The </w:t>
      </w:r>
      <w:r w:rsidR="00056DF2">
        <w:t xml:space="preserve">current </w:t>
      </w:r>
      <w:r>
        <w:t xml:space="preserve">plethora of activity makes this a good time to </w:t>
      </w:r>
      <w:r w:rsidR="00E11A8B">
        <w:t xml:space="preserve">explore </w:t>
      </w:r>
      <w:r w:rsidR="000E071D">
        <w:t>interagency approaches to violence reduction</w:t>
      </w:r>
      <w:r>
        <w:t xml:space="preserve"> as are</w:t>
      </w:r>
      <w:r w:rsidR="00056DF2">
        <w:t>a</w:t>
      </w:r>
      <w:r>
        <w:t xml:space="preserve">s prepare for the Serious Violence Duty. </w:t>
      </w:r>
      <w:r w:rsidR="00E11A8B">
        <w:t xml:space="preserve"> </w:t>
      </w:r>
      <w:r>
        <w:t xml:space="preserve">The </w:t>
      </w:r>
      <w:r w:rsidR="00056DF2">
        <w:t>findings</w:t>
      </w:r>
      <w:r>
        <w:t xml:space="preserve"> focus on </w:t>
      </w:r>
      <w:r w:rsidR="00E11A8B">
        <w:t>the East Midlands region</w:t>
      </w:r>
      <w:r w:rsidR="000E071D">
        <w:t xml:space="preserve"> of the United Kingdom</w:t>
      </w:r>
      <w:r>
        <w:t>, which</w:t>
      </w:r>
      <w:r w:rsidR="00E11A8B">
        <w:t xml:space="preserve"> comprises five police force areas (Derbyshire, Leicestershire, Lincolnshire, Northamptonshire and Nottinghamshire) that serve 8% (n=4.8 million) of the population of England and Wales</w:t>
      </w:r>
      <w:r w:rsidR="00E11A8B">
        <w:rPr>
          <w:rStyle w:val="FootnoteAnchor"/>
        </w:rPr>
        <w:footnoteReference w:id="4"/>
      </w:r>
      <w:r w:rsidR="00E11A8B">
        <w:t>.   The fieldwork explore</w:t>
      </w:r>
      <w:r w:rsidR="000E071D">
        <w:t>d</w:t>
      </w:r>
      <w:r w:rsidR="00E11A8B">
        <w:t xml:space="preserve"> the development and delivery of violence reduction strategies through the lens of Bath &amp; O’ Moore’s (2019) 5c’s approach (see below). </w:t>
      </w:r>
      <w:r w:rsidR="001F5266">
        <w:t xml:space="preserve"> </w:t>
      </w:r>
      <w:r w:rsidR="00076AD0">
        <w:t>Bath &amp; O’</w:t>
      </w:r>
      <w:r w:rsidR="004E7069">
        <w:t xml:space="preserve"> </w:t>
      </w:r>
      <w:r w:rsidR="00076AD0">
        <w:t xml:space="preserve">Moore, not only build upon the </w:t>
      </w:r>
      <w:r w:rsidR="001F5266">
        <w:t>idea of the centrality of partnerships to</w:t>
      </w:r>
      <w:r w:rsidR="00076AD0">
        <w:t xml:space="preserve"> success</w:t>
      </w:r>
      <w:r w:rsidR="00111B56">
        <w:t>ful</w:t>
      </w:r>
      <w:r w:rsidR="001F5266">
        <w:t xml:space="preserve"> </w:t>
      </w:r>
      <w:r w:rsidR="00076AD0">
        <w:t>crime prevention delivery, but develop a ‘whole-system multi-agency’ approach to viole</w:t>
      </w:r>
      <w:r w:rsidR="00EF7500">
        <w:t xml:space="preserve">nce prevention </w:t>
      </w:r>
      <w:r w:rsidR="00BB2F20">
        <w:t xml:space="preserve">which </w:t>
      </w:r>
      <w:r w:rsidR="00EF7500">
        <w:t xml:space="preserve">provides a </w:t>
      </w:r>
      <w:r w:rsidR="00076AD0">
        <w:t xml:space="preserve">framework for our </w:t>
      </w:r>
      <w:r w:rsidR="00111B56">
        <w:t xml:space="preserve">data collection and </w:t>
      </w:r>
      <w:r w:rsidR="00EF7500">
        <w:t xml:space="preserve">analysis. This allows us </w:t>
      </w:r>
      <w:r>
        <w:t xml:space="preserve">to bring together some important findings </w:t>
      </w:r>
      <w:r w:rsidR="00C1541F">
        <w:t>that reveal</w:t>
      </w:r>
      <w:r w:rsidR="00111B56">
        <w:t xml:space="preserve"> much about current partnership arrangements</w:t>
      </w:r>
      <w:r w:rsidR="00DB37C6">
        <w:t xml:space="preserve">, </w:t>
      </w:r>
      <w:r w:rsidR="00111B56" w:rsidRPr="00056DF2">
        <w:t>working</w:t>
      </w:r>
      <w:r w:rsidR="00DB37C6">
        <w:t>s</w:t>
      </w:r>
      <w:r w:rsidR="00DB37C6" w:rsidRPr="00DB37C6">
        <w:t xml:space="preserve"> and preparedness </w:t>
      </w:r>
      <w:r w:rsidR="00400889">
        <w:t>for the SVD</w:t>
      </w:r>
      <w:r w:rsidR="00DB37C6" w:rsidRPr="00056DF2">
        <w:t xml:space="preserve">. </w:t>
      </w:r>
      <w:r w:rsidR="00F2074D">
        <w:t xml:space="preserve">As two of the five areas have Home Office funded VRU’s, this also represents an opportunity to compare the experience of those areas with VRU’s to those without. </w:t>
      </w:r>
      <w:r w:rsidR="00DB37C6" w:rsidRPr="00056DF2">
        <w:t>U</w:t>
      </w:r>
      <w:r w:rsidR="00C1541F" w:rsidRPr="00056DF2">
        <w:t>ltimately</w:t>
      </w:r>
      <w:r w:rsidR="00DB37C6" w:rsidRPr="00056DF2">
        <w:t>, this has implications for the delivery of public health approaches</w:t>
      </w:r>
      <w:r w:rsidR="00056DF2">
        <w:t xml:space="preserve"> to violence reduction</w:t>
      </w:r>
      <w:r w:rsidR="00DB37C6" w:rsidRPr="00DF3D79">
        <w:t xml:space="preserve">. </w:t>
      </w:r>
      <w:r w:rsidR="00C1541F" w:rsidRPr="00DF3D79">
        <w:t xml:space="preserve"> </w:t>
      </w:r>
      <w:r w:rsidR="00111B56" w:rsidRPr="00DF3D79">
        <w:t xml:space="preserve">  </w:t>
      </w:r>
    </w:p>
    <w:p w14:paraId="7C3059D8" w14:textId="7882038B" w:rsidR="00764B26" w:rsidRDefault="00E11A8B">
      <w:pPr>
        <w:jc w:val="both"/>
        <w:rPr>
          <w:b/>
        </w:rPr>
      </w:pPr>
      <w:r>
        <w:rPr>
          <w:b/>
        </w:rPr>
        <w:t xml:space="preserve">Methodology and analytical framework </w:t>
      </w:r>
    </w:p>
    <w:p w14:paraId="65F3B05F" w14:textId="523A31EA" w:rsidR="00764B26" w:rsidRDefault="00E11A8B">
      <w:pPr>
        <w:jc w:val="both"/>
      </w:pPr>
      <w:r>
        <w:t xml:space="preserve">The data presented in this paper were collected from each of the five policing areas across the East Midlands region of the United Kingdom through fieldwork completed with relevant stakeholders in the autumn of 2021. Detailed interviews were conducted with </w:t>
      </w:r>
      <w:r>
        <w:rPr>
          <w:color w:val="000000" w:themeColor="text1"/>
        </w:rPr>
        <w:t>thirteen</w:t>
      </w:r>
      <w:r>
        <w:rPr>
          <w:color w:val="FF0000"/>
        </w:rPr>
        <w:t xml:space="preserve"> </w:t>
      </w:r>
      <w:r>
        <w:t xml:space="preserve">participants responsible for violence reduction, ranging from police officers and analysts, </w:t>
      </w:r>
      <w:r w:rsidR="00DB3EB0">
        <w:t>VRU</w:t>
      </w:r>
      <w:r>
        <w:t xml:space="preserve"> and Police and Crime Commissioner staff to council and health representatives. Due to restrictions in meeting face-to-face imposed by the Covid19 pandemic all interviews were conducted virtually using the Microsoft Teams platform. Due to the broad range of subject knowledge covered by the interview questions, each area’s representatives were interviewed jointly. This allowed the most comprehensive answers to be </w:t>
      </w:r>
      <w:r>
        <w:lastRenderedPageBreak/>
        <w:t xml:space="preserve">obtained as partnership knowledge was aggregated. The interviews took place following granting of ethical approval and all participants provided their informed consent. The interviews were structured around the five core elements of the whole-system multi-agency approach to serious violence prevention (the 5c’s) as outlined by Bath &amp; O’ Moore (2019) and focused upon: </w:t>
      </w:r>
    </w:p>
    <w:p w14:paraId="50C224EC" w14:textId="77777777" w:rsidR="00764B26" w:rsidRDefault="00E11A8B">
      <w:pPr>
        <w:pStyle w:val="ListParagraph"/>
        <w:numPr>
          <w:ilvl w:val="0"/>
          <w:numId w:val="1"/>
        </w:numPr>
        <w:jc w:val="both"/>
      </w:pPr>
      <w:r>
        <w:rPr>
          <w:b/>
        </w:rPr>
        <w:t>Collaboration:</w:t>
      </w:r>
      <w:r>
        <w:t xml:space="preserve"> how areas bring partners and system leaders together;</w:t>
      </w:r>
    </w:p>
    <w:p w14:paraId="430F479A" w14:textId="77777777" w:rsidR="00764B26" w:rsidRDefault="00E11A8B">
      <w:pPr>
        <w:pStyle w:val="ListParagraph"/>
        <w:numPr>
          <w:ilvl w:val="0"/>
          <w:numId w:val="1"/>
        </w:numPr>
        <w:jc w:val="both"/>
      </w:pPr>
      <w:r>
        <w:rPr>
          <w:b/>
        </w:rPr>
        <w:t>Co-production:</w:t>
      </w:r>
      <w:r>
        <w:t xml:space="preserve"> multi-agency strategy and intervention development, co-location and establishing collaborative working;      </w:t>
      </w:r>
    </w:p>
    <w:p w14:paraId="3C3ABEEE" w14:textId="77777777" w:rsidR="00764B26" w:rsidRDefault="00E11A8B">
      <w:pPr>
        <w:pStyle w:val="ListParagraph"/>
        <w:numPr>
          <w:ilvl w:val="0"/>
          <w:numId w:val="1"/>
        </w:numPr>
        <w:jc w:val="both"/>
      </w:pPr>
      <w:r>
        <w:rPr>
          <w:b/>
        </w:rPr>
        <w:t>Co-operation in data and intelligence sharing:</w:t>
      </w:r>
      <w:r>
        <w:t xml:space="preserve"> understanding what data are collected across relevant agencies and challenges with this;   </w:t>
      </w:r>
    </w:p>
    <w:p w14:paraId="34BB7E16" w14:textId="77777777" w:rsidR="00764B26" w:rsidRDefault="00E11A8B">
      <w:pPr>
        <w:pStyle w:val="ListParagraph"/>
        <w:numPr>
          <w:ilvl w:val="0"/>
          <w:numId w:val="1"/>
        </w:numPr>
        <w:jc w:val="both"/>
      </w:pPr>
      <w:r>
        <w:rPr>
          <w:b/>
        </w:rPr>
        <w:t>Counter-narratives:</w:t>
      </w:r>
      <w:r>
        <w:t xml:space="preserve"> identifying risk and protective factors in local populations and working with communities to produce alternatives to criminal activities. </w:t>
      </w:r>
    </w:p>
    <w:p w14:paraId="17E0F2BA" w14:textId="77777777" w:rsidR="00764B26" w:rsidRDefault="00E11A8B">
      <w:pPr>
        <w:pStyle w:val="ListParagraph"/>
        <w:numPr>
          <w:ilvl w:val="0"/>
          <w:numId w:val="1"/>
        </w:numPr>
        <w:jc w:val="both"/>
      </w:pPr>
      <w:r>
        <w:rPr>
          <w:b/>
        </w:rPr>
        <w:t>Community consensus approach:</w:t>
      </w:r>
      <w:r>
        <w:t xml:space="preserve"> how areas recognise that communities are key assets, knowledge providers and able to provide solutions. </w:t>
      </w:r>
    </w:p>
    <w:p w14:paraId="2BCC9028" w14:textId="77777777" w:rsidR="00764B26" w:rsidRDefault="00E11A8B">
      <w:pPr>
        <w:jc w:val="both"/>
      </w:pPr>
      <w:r>
        <w:t xml:space="preserve">In addition to these detailed interviews, further conversations and feedback sessions were run with each of the areas between late 2021 and early 2022 to ensure the findings were accurate. </w:t>
      </w:r>
    </w:p>
    <w:p w14:paraId="32EBF8B7" w14:textId="5BCEF06E" w:rsidR="00056DF2" w:rsidRDefault="00AE05C1">
      <w:pPr>
        <w:jc w:val="both"/>
      </w:pPr>
      <w:r>
        <w:t>While the interview method was able to reveal much about the development of the 5c’s approach across each area, t</w:t>
      </w:r>
      <w:r w:rsidR="005711C9">
        <w:t xml:space="preserve">here are </w:t>
      </w:r>
      <w:r w:rsidR="00EF7500">
        <w:t xml:space="preserve">two primary </w:t>
      </w:r>
      <w:r w:rsidR="005711C9">
        <w:t>l</w:t>
      </w:r>
      <w:r w:rsidR="00A923B6">
        <w:t>imitations</w:t>
      </w:r>
      <w:r>
        <w:t xml:space="preserve"> that need to be observed. First, as data were only collected across five </w:t>
      </w:r>
      <w:r w:rsidR="00EF7500">
        <w:t xml:space="preserve">police </w:t>
      </w:r>
      <w:r>
        <w:t xml:space="preserve">areas, they cannot be generalised to be </w:t>
      </w:r>
      <w:r w:rsidR="00EF7500">
        <w:t xml:space="preserve">considered </w:t>
      </w:r>
      <w:r>
        <w:t>representative of all</w:t>
      </w:r>
      <w:r w:rsidR="00DB3EB0">
        <w:t xml:space="preserve"> community safety partners</w:t>
      </w:r>
      <w:r>
        <w:t xml:space="preserve">, VRU or police areas in England and Wales.  </w:t>
      </w:r>
      <w:r w:rsidR="000B6997">
        <w:t>S</w:t>
      </w:r>
      <w:r w:rsidR="00133C7A">
        <w:t>econd, perspectives are</w:t>
      </w:r>
      <w:r w:rsidR="000B6997">
        <w:t xml:space="preserve"> only gained from thirteen interviewees, most of whom represent police/ OPCCs, so care has to be taken in claiming the findings represent those of all potential partners. </w:t>
      </w:r>
    </w:p>
    <w:p w14:paraId="11CC116B" w14:textId="57E2CD54" w:rsidR="00764B26" w:rsidRDefault="00E11A8B">
      <w:pPr>
        <w:jc w:val="both"/>
        <w:rPr>
          <w:b/>
        </w:rPr>
      </w:pPr>
      <w:r>
        <w:rPr>
          <w:b/>
        </w:rPr>
        <w:t xml:space="preserve">Findings </w:t>
      </w:r>
    </w:p>
    <w:p w14:paraId="5CC4F08A" w14:textId="77777777" w:rsidR="00764B26" w:rsidRDefault="00764B26">
      <w:pPr>
        <w:sectPr w:rsidR="00764B26">
          <w:type w:val="continuous"/>
          <w:pgSz w:w="11906" w:h="16838"/>
          <w:pgMar w:top="1440" w:right="1440" w:bottom="1440" w:left="1440" w:header="0" w:footer="708" w:gutter="0"/>
          <w:cols w:space="720"/>
          <w:formProt w:val="0"/>
          <w:docGrid w:linePitch="312" w:charSpace="1842"/>
        </w:sectPr>
      </w:pPr>
    </w:p>
    <w:p w14:paraId="5AAEE752" w14:textId="2DA0519C" w:rsidR="00E77359" w:rsidRDefault="006F2867">
      <w:pPr>
        <w:jc w:val="both"/>
        <w:rPr>
          <w:rFonts w:cstheme="minorHAnsi"/>
        </w:rPr>
      </w:pPr>
      <w:r>
        <w:rPr>
          <w:rFonts w:cstheme="minorHAnsi"/>
        </w:rPr>
        <w:t>A requirem</w:t>
      </w:r>
      <w:r w:rsidR="004E7069">
        <w:rPr>
          <w:rFonts w:cstheme="minorHAnsi"/>
        </w:rPr>
        <w:t>ent of the SVD</w:t>
      </w:r>
      <w:r>
        <w:rPr>
          <w:rFonts w:cstheme="minorHAnsi"/>
        </w:rPr>
        <w:t xml:space="preserve"> is for local authorities to </w:t>
      </w:r>
      <w:r>
        <w:rPr>
          <w:rFonts w:cstheme="minorHAnsi"/>
          <w:color w:val="000000"/>
          <w:shd w:val="clear" w:color="auto" w:fill="FFFFFF"/>
        </w:rPr>
        <w:t>prepare and implement a strategy for exercising their functions to</w:t>
      </w:r>
      <w:r>
        <w:rPr>
          <w:rFonts w:cstheme="minorHAnsi"/>
          <w:color w:val="000000"/>
        </w:rPr>
        <w:t xml:space="preserve"> </w:t>
      </w:r>
      <w:r>
        <w:rPr>
          <w:rFonts w:cstheme="minorHAnsi"/>
          <w:color w:val="000000"/>
          <w:shd w:val="clear" w:color="auto" w:fill="FFFFFF"/>
        </w:rPr>
        <w:t>prevent and reduce serious violence in their area (</w:t>
      </w:r>
      <w:r w:rsidR="004E7069">
        <w:rPr>
          <w:rFonts w:cstheme="minorHAnsi"/>
          <w:color w:val="000000"/>
          <w:shd w:val="clear" w:color="auto" w:fill="FFFFFF"/>
        </w:rPr>
        <w:t xml:space="preserve">Part 1, </w:t>
      </w:r>
      <w:r>
        <w:rPr>
          <w:rFonts w:cstheme="minorHAnsi"/>
          <w:color w:val="000000"/>
          <w:shd w:val="clear" w:color="auto" w:fill="FFFFFF"/>
        </w:rPr>
        <w:t>C</w:t>
      </w:r>
      <w:r w:rsidR="0067634C">
        <w:rPr>
          <w:rFonts w:cstheme="minorHAnsi"/>
          <w:color w:val="000000"/>
          <w:shd w:val="clear" w:color="auto" w:fill="FFFFFF"/>
        </w:rPr>
        <w:t xml:space="preserve">hapter </w:t>
      </w:r>
      <w:r w:rsidR="004E7069">
        <w:rPr>
          <w:rFonts w:cstheme="minorHAnsi"/>
          <w:color w:val="000000"/>
          <w:shd w:val="clear" w:color="auto" w:fill="FFFFFF"/>
        </w:rPr>
        <w:t xml:space="preserve">1 </w:t>
      </w:r>
      <w:r w:rsidR="0067634C">
        <w:rPr>
          <w:rFonts w:cstheme="minorHAnsi"/>
          <w:color w:val="000000"/>
          <w:shd w:val="clear" w:color="auto" w:fill="FFFFFF"/>
        </w:rPr>
        <w:t>S</w:t>
      </w:r>
      <w:r>
        <w:rPr>
          <w:rFonts w:cstheme="minorHAnsi"/>
          <w:color w:val="000000"/>
          <w:shd w:val="clear" w:color="auto" w:fill="FFFFFF"/>
        </w:rPr>
        <w:t>ection</w:t>
      </w:r>
      <w:r w:rsidR="004E7069">
        <w:rPr>
          <w:rFonts w:cstheme="minorHAnsi"/>
          <w:color w:val="000000"/>
          <w:shd w:val="clear" w:color="auto" w:fill="FFFFFF"/>
        </w:rPr>
        <w:t xml:space="preserve"> 8</w:t>
      </w:r>
      <w:r>
        <w:rPr>
          <w:rFonts w:cstheme="minorHAnsi"/>
          <w:color w:val="000000"/>
          <w:shd w:val="clear" w:color="auto" w:fill="FFFFFF"/>
        </w:rPr>
        <w:t xml:space="preserve">: </w:t>
      </w:r>
      <w:r w:rsidR="004E7069">
        <w:t xml:space="preserve">Police, Crime, </w:t>
      </w:r>
      <w:r>
        <w:t>Sentencing</w:t>
      </w:r>
      <w:r w:rsidR="004E7069">
        <w:t xml:space="preserve"> and Courts</w:t>
      </w:r>
      <w:r>
        <w:t xml:space="preserve"> </w:t>
      </w:r>
      <w:r w:rsidR="004E7069">
        <w:t>Act</w:t>
      </w:r>
      <w:r>
        <w:rPr>
          <w:rFonts w:cstheme="minorHAnsi"/>
          <w:color w:val="000000"/>
          <w:shd w:val="clear" w:color="auto" w:fill="FFFFFF"/>
        </w:rPr>
        <w:t>)</w:t>
      </w:r>
      <w:r>
        <w:rPr>
          <w:rStyle w:val="FootnoteAnchor"/>
          <w:rFonts w:cstheme="minorHAnsi"/>
          <w:color w:val="000000"/>
          <w:shd w:val="clear" w:color="auto" w:fill="FFFFFF"/>
        </w:rPr>
        <w:footnoteReference w:id="5"/>
      </w:r>
      <w:r>
        <w:rPr>
          <w:rFonts w:cstheme="minorHAnsi"/>
          <w:color w:val="000000"/>
          <w:shd w:val="clear" w:color="auto" w:fill="FFFFFF"/>
        </w:rPr>
        <w:t xml:space="preserve">. </w:t>
      </w:r>
      <w:r>
        <w:t xml:space="preserve"> </w:t>
      </w:r>
      <w:r w:rsidR="00E11A8B">
        <w:rPr>
          <w:rFonts w:cstheme="minorHAnsi"/>
        </w:rPr>
        <w:t xml:space="preserve">How far advanced areas were in relation to the development of formalised violence reduction strategies was largely dependent on what funding had been secured to raise serious violence as a key priority within the area. </w:t>
      </w:r>
      <w:r w:rsidR="00E11A8B">
        <w:t xml:space="preserve">At present, </w:t>
      </w:r>
      <w:r w:rsidR="00E11A8B">
        <w:rPr>
          <w:rFonts w:cstheme="minorHAnsi"/>
        </w:rPr>
        <w:t>the VRU areas were the most advanced here. As</w:t>
      </w:r>
      <w:r w:rsidR="00056DF2">
        <w:rPr>
          <w:rFonts w:cstheme="minorHAnsi"/>
        </w:rPr>
        <w:t xml:space="preserve"> a condition of VRU funding</w:t>
      </w:r>
      <w:r w:rsidR="00E11A8B">
        <w:rPr>
          <w:rFonts w:cstheme="minorHAnsi"/>
        </w:rPr>
        <w:t xml:space="preserve"> both </w:t>
      </w:r>
      <w:r>
        <w:rPr>
          <w:rFonts w:cstheme="minorHAnsi"/>
        </w:rPr>
        <w:t>VRU</w:t>
      </w:r>
      <w:r w:rsidR="00E77359">
        <w:rPr>
          <w:rFonts w:cstheme="minorHAnsi"/>
        </w:rPr>
        <w:t>s</w:t>
      </w:r>
      <w:r>
        <w:rPr>
          <w:rFonts w:cstheme="minorHAnsi"/>
        </w:rPr>
        <w:t xml:space="preserve"> </w:t>
      </w:r>
      <w:r w:rsidR="00E11A8B">
        <w:rPr>
          <w:rFonts w:cstheme="minorHAnsi"/>
        </w:rPr>
        <w:t xml:space="preserve">had </w:t>
      </w:r>
      <w:r>
        <w:rPr>
          <w:rFonts w:cstheme="minorHAnsi"/>
        </w:rPr>
        <w:t xml:space="preserve">a </w:t>
      </w:r>
      <w:r w:rsidR="00E11A8B">
        <w:rPr>
          <w:rFonts w:cstheme="minorHAnsi"/>
        </w:rPr>
        <w:t xml:space="preserve">Strategic Needs Assessment (SNA) in place </w:t>
      </w:r>
      <w:r>
        <w:rPr>
          <w:rFonts w:cstheme="minorHAnsi"/>
        </w:rPr>
        <w:t xml:space="preserve">that set a plan for the delivery of violence reduction </w:t>
      </w:r>
      <w:r w:rsidR="00505D0A">
        <w:rPr>
          <w:rFonts w:cstheme="minorHAnsi"/>
        </w:rPr>
        <w:t>interventions</w:t>
      </w:r>
      <w:r>
        <w:rPr>
          <w:rFonts w:cstheme="minorHAnsi"/>
        </w:rPr>
        <w:t xml:space="preserve">. </w:t>
      </w:r>
      <w:r w:rsidR="00E77359">
        <w:rPr>
          <w:rFonts w:cstheme="minorHAnsi"/>
        </w:rPr>
        <w:t>R</w:t>
      </w:r>
      <w:r>
        <w:rPr>
          <w:rFonts w:cstheme="minorHAnsi"/>
        </w:rPr>
        <w:t xml:space="preserve">epresentatives from both </w:t>
      </w:r>
      <w:r w:rsidR="00E11A8B">
        <w:rPr>
          <w:rFonts w:cstheme="minorHAnsi"/>
        </w:rPr>
        <w:t>VRU areas spoke about developing plans that were focused on public health approaches and they integrated system level theory of change in to the SNAs.</w:t>
      </w:r>
      <w:r w:rsidR="003A4CD4">
        <w:rPr>
          <w:rFonts w:cstheme="minorHAnsi"/>
        </w:rPr>
        <w:t xml:space="preserve"> </w:t>
      </w:r>
      <w:r>
        <w:rPr>
          <w:rFonts w:cstheme="minorHAnsi"/>
        </w:rPr>
        <w:t xml:space="preserve">While the </w:t>
      </w:r>
      <w:r w:rsidR="00E11A8B">
        <w:rPr>
          <w:rFonts w:cstheme="minorHAnsi"/>
        </w:rPr>
        <w:t xml:space="preserve">non-VRU areas had </w:t>
      </w:r>
      <w:r>
        <w:rPr>
          <w:rFonts w:cstheme="minorHAnsi"/>
        </w:rPr>
        <w:t xml:space="preserve">often </w:t>
      </w:r>
      <w:r w:rsidR="00E11A8B">
        <w:rPr>
          <w:rFonts w:cstheme="minorHAnsi"/>
        </w:rPr>
        <w:t xml:space="preserve">developed plans that were focused on specific local authority areas where serious violence was identified as a problem, </w:t>
      </w:r>
      <w:r>
        <w:rPr>
          <w:rFonts w:cstheme="minorHAnsi"/>
        </w:rPr>
        <w:t xml:space="preserve">these </w:t>
      </w:r>
      <w:r w:rsidR="00E77359">
        <w:rPr>
          <w:rFonts w:cstheme="minorHAnsi"/>
        </w:rPr>
        <w:t>often faced</w:t>
      </w:r>
      <w:r>
        <w:rPr>
          <w:rFonts w:cstheme="minorHAnsi"/>
        </w:rPr>
        <w:t xml:space="preserve"> significant </w:t>
      </w:r>
      <w:r w:rsidR="00E77359">
        <w:rPr>
          <w:rFonts w:cstheme="minorHAnsi"/>
        </w:rPr>
        <w:t xml:space="preserve">challenges with partnership arrangements (see below) </w:t>
      </w:r>
      <w:r w:rsidR="00056DF2">
        <w:rPr>
          <w:rFonts w:cstheme="minorHAnsi"/>
        </w:rPr>
        <w:t xml:space="preserve">and </w:t>
      </w:r>
      <w:r w:rsidR="00E11A8B">
        <w:rPr>
          <w:rFonts w:cstheme="minorHAnsi"/>
        </w:rPr>
        <w:t xml:space="preserve">did not include a fully integrated public health approach. </w:t>
      </w:r>
      <w:r w:rsidR="00505D0A">
        <w:rPr>
          <w:rFonts w:cstheme="minorHAnsi"/>
        </w:rPr>
        <w:t>T</w:t>
      </w:r>
      <w:r w:rsidR="00E77359">
        <w:rPr>
          <w:rFonts w:cstheme="minorHAnsi"/>
        </w:rPr>
        <w:t xml:space="preserve">he disparity in intervention activity across the VRU areas as compared to the non-VRU areas is evidenced by an audit of intervention activity completed alongside the interviews. </w:t>
      </w:r>
      <w:r w:rsidR="00E77359" w:rsidRPr="00460636">
        <w:rPr>
          <w:rFonts w:cstheme="minorHAnsi"/>
        </w:rPr>
        <w:t>This revealed that</w:t>
      </w:r>
      <w:r w:rsidR="00460636" w:rsidRPr="00460636">
        <w:rPr>
          <w:rFonts w:cstheme="minorHAnsi"/>
        </w:rPr>
        <w:t xml:space="preserve"> there were 47 interventions being implemented across</w:t>
      </w:r>
      <w:r w:rsidR="00460636">
        <w:rPr>
          <w:rFonts w:cstheme="minorHAnsi"/>
        </w:rPr>
        <w:t xml:space="preserve"> the region to reduce violence, with </w:t>
      </w:r>
      <w:r w:rsidR="002A35E3">
        <w:rPr>
          <w:rFonts w:cstheme="minorHAnsi"/>
        </w:rPr>
        <w:t>62</w:t>
      </w:r>
      <w:r w:rsidR="00460636" w:rsidRPr="00460636">
        <w:rPr>
          <w:rFonts w:cstheme="minorHAnsi"/>
        </w:rPr>
        <w:t xml:space="preserve">% (n=29) </w:t>
      </w:r>
      <w:r w:rsidR="00460636">
        <w:rPr>
          <w:rFonts w:cstheme="minorHAnsi"/>
        </w:rPr>
        <w:t xml:space="preserve">of these </w:t>
      </w:r>
      <w:r w:rsidR="00460636" w:rsidRPr="00460636">
        <w:rPr>
          <w:rFonts w:cstheme="minorHAnsi"/>
        </w:rPr>
        <w:t xml:space="preserve">being implemented in the two VRU locations. </w:t>
      </w:r>
    </w:p>
    <w:p w14:paraId="7355D9A4" w14:textId="6B4FC7A2" w:rsidR="006F2867" w:rsidRPr="00056DF2" w:rsidRDefault="006F2867">
      <w:pPr>
        <w:jc w:val="both"/>
        <w:rPr>
          <w:rFonts w:cstheme="minorHAnsi"/>
        </w:rPr>
      </w:pPr>
      <w:r>
        <w:rPr>
          <w:rFonts w:cstheme="minorHAnsi"/>
        </w:rPr>
        <w:t xml:space="preserve">The reminder of the findings are presented below through </w:t>
      </w:r>
      <w:r w:rsidR="00056DF2">
        <w:rPr>
          <w:rFonts w:cstheme="minorHAnsi"/>
        </w:rPr>
        <w:t xml:space="preserve">the lens of </w:t>
      </w:r>
      <w:r>
        <w:rPr>
          <w:rFonts w:cstheme="minorHAnsi"/>
        </w:rPr>
        <w:t>Bath &amp; O’</w:t>
      </w:r>
      <w:r w:rsidR="00DB3EB0">
        <w:rPr>
          <w:rFonts w:cstheme="minorHAnsi"/>
        </w:rPr>
        <w:t xml:space="preserve"> </w:t>
      </w:r>
      <w:r>
        <w:rPr>
          <w:rFonts w:cstheme="minorHAnsi"/>
        </w:rPr>
        <w:t xml:space="preserve">Moore’s </w:t>
      </w:r>
      <w:r w:rsidR="00056DF2">
        <w:rPr>
          <w:rFonts w:cstheme="minorHAnsi"/>
        </w:rPr>
        <w:t xml:space="preserve">5c’s </w:t>
      </w:r>
      <w:r>
        <w:rPr>
          <w:rFonts w:cstheme="minorHAnsi"/>
        </w:rPr>
        <w:t xml:space="preserve">framework.  </w:t>
      </w:r>
    </w:p>
    <w:p w14:paraId="36827863" w14:textId="77777777" w:rsidR="00505D0A" w:rsidRDefault="00505D0A">
      <w:pPr>
        <w:pStyle w:val="ListParagraph"/>
        <w:ind w:left="0"/>
        <w:jc w:val="both"/>
        <w:rPr>
          <w:b/>
          <w:i/>
        </w:rPr>
      </w:pPr>
    </w:p>
    <w:p w14:paraId="59F3B58B" w14:textId="77777777" w:rsidR="00505D0A" w:rsidRDefault="00505D0A">
      <w:pPr>
        <w:pStyle w:val="ListParagraph"/>
        <w:ind w:left="0"/>
        <w:jc w:val="both"/>
        <w:rPr>
          <w:b/>
          <w:i/>
        </w:rPr>
      </w:pPr>
    </w:p>
    <w:p w14:paraId="31FFDC15" w14:textId="21B93A06" w:rsidR="00764B26" w:rsidRDefault="00E11A8B">
      <w:pPr>
        <w:pStyle w:val="ListParagraph"/>
        <w:ind w:left="0"/>
        <w:jc w:val="both"/>
        <w:rPr>
          <w:b/>
          <w:i/>
        </w:rPr>
      </w:pPr>
      <w:r>
        <w:rPr>
          <w:b/>
          <w:i/>
        </w:rPr>
        <w:t xml:space="preserve">Collaboration with partners </w:t>
      </w:r>
    </w:p>
    <w:p w14:paraId="3FAAD66A" w14:textId="77777777" w:rsidR="00764B26" w:rsidRDefault="00764B26">
      <w:pPr>
        <w:pStyle w:val="ListParagraph"/>
        <w:ind w:left="0"/>
        <w:jc w:val="both"/>
        <w:rPr>
          <w:b/>
          <w:color w:val="2E74B5" w:themeColor="accent1" w:themeShade="BF"/>
        </w:rPr>
      </w:pPr>
    </w:p>
    <w:p w14:paraId="7E1CCAD0" w14:textId="761FD573" w:rsidR="00764B26" w:rsidRDefault="00E11A8B">
      <w:pPr>
        <w:pStyle w:val="ListParagraph"/>
        <w:ind w:left="0"/>
        <w:jc w:val="both"/>
      </w:pPr>
      <w:r>
        <w:t xml:space="preserve">Collaboration is noted by Bath &amp; O’ Moore </w:t>
      </w:r>
      <w:r w:rsidR="0055647F">
        <w:t>(2019, p.21) as ‘</w:t>
      </w:r>
      <w:r>
        <w:t>bringing partners together from a broad range of functions who have a shared goal of t</w:t>
      </w:r>
      <w:r w:rsidR="0055647F">
        <w:t>ackling and preventing violence’</w:t>
      </w:r>
      <w:r>
        <w:t xml:space="preserve">. Indeed, the sentiments expressed by Bath &amp; O’ Moore (2019) seem to reiterate the notion of partnership working that has been well-ingrained in the crime prevention literature for over two decades (see Berry et al., 2009; </w:t>
      </w:r>
      <w:proofErr w:type="spellStart"/>
      <w:r>
        <w:t>Homel</w:t>
      </w:r>
      <w:proofErr w:type="spellEnd"/>
      <w:r>
        <w:t xml:space="preserve"> &amp; Brown, 2017).  These sentiments were also considered important by our interviewees. All areas ha</w:t>
      </w:r>
      <w:r w:rsidR="0046110F">
        <w:t>d</w:t>
      </w:r>
      <w:r>
        <w:t xml:space="preserve"> done a great deal to build partnerships – much of which is a legacy of the requirements of the 1998 Crime &amp; Disorder Act. However, there was a distinction between the VRU and non-VRU areas. The VRU areas had </w:t>
      </w:r>
      <w:r w:rsidR="0046110F">
        <w:t xml:space="preserve">developed </w:t>
      </w:r>
      <w:r>
        <w:t xml:space="preserve">robust governance arrangements </w:t>
      </w:r>
      <w:r w:rsidR="0046110F">
        <w:t xml:space="preserve">in relation to violence reduction, </w:t>
      </w:r>
      <w:r>
        <w:t>with strong Office of Police and Crime Commissioner (OPCC) buy-in, strategic boards and violence delivery groups</w:t>
      </w:r>
      <w:r w:rsidR="0046110F">
        <w:t xml:space="preserve"> in place</w:t>
      </w:r>
      <w:r>
        <w:t xml:space="preserve"> (indeed, there </w:t>
      </w:r>
      <w:r w:rsidR="00E77359">
        <w:t>i</w:t>
      </w:r>
      <w:r>
        <w:t xml:space="preserve">s already close involvement of the partners required to comply with the SVD legislation). A constant theme from all respondents was the desire to move away from ‘silo working’ and </w:t>
      </w:r>
      <w:r w:rsidR="0046110F">
        <w:t xml:space="preserve">‘to bring all the right people together’ </w:t>
      </w:r>
      <w:r w:rsidR="0046110F" w:rsidRPr="00D51C5D">
        <w:t>(</w:t>
      </w:r>
      <w:r w:rsidR="00D51C5D" w:rsidRPr="00D51C5D">
        <w:t>Int</w:t>
      </w:r>
      <w:r w:rsidR="00DB3EB0">
        <w:t>erview</w:t>
      </w:r>
      <w:r w:rsidR="002C5CCD" w:rsidRPr="00D51C5D">
        <w:t xml:space="preserve"> </w:t>
      </w:r>
      <w:r w:rsidR="00D51C5D" w:rsidRPr="00D51C5D">
        <w:t>1</w:t>
      </w:r>
      <w:r w:rsidR="0046110F" w:rsidRPr="00D51C5D">
        <w:t>),</w:t>
      </w:r>
      <w:r w:rsidR="0046110F">
        <w:t xml:space="preserve"> though current arrangements presented some significant challenges for the non-VRU areas.</w:t>
      </w:r>
      <w:r>
        <w:t xml:space="preserve">  </w:t>
      </w:r>
      <w:r w:rsidR="0046110F">
        <w:t>T</w:t>
      </w:r>
      <w:r>
        <w:t>he non-VRU areas are currently working to the legislation outlined in the 1998 Crime and Disorder Act (section 17), which focus</w:t>
      </w:r>
      <w:r w:rsidR="001D33BE">
        <w:t>es</w:t>
      </w:r>
      <w:r>
        <w:t xml:space="preserve"> on crime and disorder, rather than serious violence.</w:t>
      </w:r>
      <w:r w:rsidR="00124237">
        <w:t xml:space="preserve"> </w:t>
      </w:r>
      <w:r>
        <w:t>This mean</w:t>
      </w:r>
      <w:r w:rsidR="001D33BE">
        <w:t>s that violence prevention can</w:t>
      </w:r>
      <w:r>
        <w:t xml:space="preserve"> often be side-lined over other priorities. One non-VRU area noted that as ‘serious violence’ is not a ‘heading’ </w:t>
      </w:r>
      <w:r w:rsidR="00E77359" w:rsidRPr="00D51C5D">
        <w:t>(</w:t>
      </w:r>
      <w:r w:rsidR="00D51C5D" w:rsidRPr="00D51C5D">
        <w:t>Int</w:t>
      </w:r>
      <w:r w:rsidR="002A35E3">
        <w:t>erview</w:t>
      </w:r>
      <w:bookmarkStart w:id="1" w:name="_GoBack"/>
      <w:bookmarkEnd w:id="1"/>
      <w:r w:rsidR="00D51C5D" w:rsidRPr="00D51C5D">
        <w:t xml:space="preserve"> 4</w:t>
      </w:r>
      <w:r w:rsidR="00E77359" w:rsidRPr="00D51C5D">
        <w:t xml:space="preserve">) </w:t>
      </w:r>
      <w:r w:rsidRPr="00D51C5D">
        <w:t>in</w:t>
      </w:r>
      <w:r>
        <w:t xml:space="preserve"> the</w:t>
      </w:r>
      <w:r w:rsidR="0046110F">
        <w:t>ir</w:t>
      </w:r>
      <w:r>
        <w:t xml:space="preserve"> </w:t>
      </w:r>
      <w:r w:rsidR="00E77359">
        <w:t xml:space="preserve">current </w:t>
      </w:r>
      <w:r>
        <w:t xml:space="preserve">community safety plans, only aspects of serious violence get prioritised. It was felt that this can be a hindrance to developing a </w:t>
      </w:r>
      <w:r w:rsidR="00E77359">
        <w:t xml:space="preserve">public health </w:t>
      </w:r>
      <w:r>
        <w:t xml:space="preserve">approach to violence – which </w:t>
      </w:r>
      <w:r w:rsidR="00E77359">
        <w:t xml:space="preserve">bringing partners together </w:t>
      </w:r>
      <w:r>
        <w:t xml:space="preserve">under </w:t>
      </w:r>
      <w:r w:rsidR="00124237">
        <w:t>a</w:t>
      </w:r>
      <w:r>
        <w:t xml:space="preserve"> SVD or a VRU banner could possibly remedy. While it was acknowledged that the SVD might help overcome some of these issues, the development of collaboration was also said to be hindered by other issues – </w:t>
      </w:r>
      <w:r w:rsidR="0046110F">
        <w:t xml:space="preserve">especially </w:t>
      </w:r>
      <w:r>
        <w:t>budgetary constraints</w:t>
      </w:r>
      <w:r w:rsidR="0046110F">
        <w:t xml:space="preserve"> and</w:t>
      </w:r>
      <w:r>
        <w:t xml:space="preserve"> </w:t>
      </w:r>
      <w:r w:rsidR="00376AFE">
        <w:t>competing priorities of agencies</w:t>
      </w:r>
      <w:r w:rsidR="001D33BE">
        <w:t>.</w:t>
      </w:r>
      <w:r w:rsidR="00376AFE">
        <w:t xml:space="preserve"> </w:t>
      </w:r>
      <w:r w:rsidR="0046110F">
        <w:t xml:space="preserve"> This resonates with findings of previous </w:t>
      </w:r>
      <w:r w:rsidR="001D33BE" w:rsidRPr="001D33BE">
        <w:t xml:space="preserve">research which has noted how resource </w:t>
      </w:r>
      <w:r w:rsidR="00505D0A">
        <w:t xml:space="preserve">limitations </w:t>
      </w:r>
      <w:r w:rsidR="001D33BE" w:rsidRPr="001D33BE">
        <w:t xml:space="preserve">and getting agencies to all pull together in the same direction can be a challenge (see for example, Rosenbaum &amp; </w:t>
      </w:r>
      <w:proofErr w:type="spellStart"/>
      <w:r w:rsidR="001D33BE" w:rsidRPr="001D33BE">
        <w:t>Schuck</w:t>
      </w:r>
      <w:proofErr w:type="spellEnd"/>
      <w:r w:rsidR="001D33BE" w:rsidRPr="001D33BE">
        <w:t>, 2011)</w:t>
      </w:r>
      <w:r w:rsidR="0046110F">
        <w:t xml:space="preserve"> </w:t>
      </w:r>
    </w:p>
    <w:p w14:paraId="319D8BF8" w14:textId="77777777" w:rsidR="00764B26" w:rsidRDefault="00764B26">
      <w:pPr>
        <w:pStyle w:val="ListParagraph"/>
        <w:ind w:left="0"/>
        <w:jc w:val="both"/>
        <w:rPr>
          <w:b/>
          <w:color w:val="2E74B5" w:themeColor="accent1" w:themeShade="BF"/>
        </w:rPr>
      </w:pPr>
    </w:p>
    <w:p w14:paraId="040F6D0F" w14:textId="77777777" w:rsidR="00764B26" w:rsidRDefault="00E11A8B">
      <w:pPr>
        <w:pStyle w:val="ListParagraph"/>
        <w:ind w:left="0"/>
        <w:jc w:val="both"/>
        <w:rPr>
          <w:rFonts w:cstheme="minorHAnsi"/>
          <w:i/>
        </w:rPr>
      </w:pPr>
      <w:r>
        <w:rPr>
          <w:b/>
          <w:i/>
        </w:rPr>
        <w:t xml:space="preserve">Co-production of strategy and interventions  </w:t>
      </w:r>
    </w:p>
    <w:p w14:paraId="5ED78242" w14:textId="77777777" w:rsidR="00764B26" w:rsidRDefault="00764B26">
      <w:pPr>
        <w:pStyle w:val="ListParagraph"/>
        <w:ind w:left="0"/>
        <w:jc w:val="both"/>
        <w:rPr>
          <w:b/>
          <w:color w:val="2E74B5" w:themeColor="accent1" w:themeShade="BF"/>
        </w:rPr>
      </w:pPr>
    </w:p>
    <w:p w14:paraId="67B0C913" w14:textId="1EC45C7F" w:rsidR="001D33BE" w:rsidRDefault="00E11A8B">
      <w:pPr>
        <w:pStyle w:val="ListParagraph"/>
        <w:ind w:left="0"/>
        <w:jc w:val="both"/>
      </w:pPr>
      <w:r>
        <w:t xml:space="preserve">Co-production includes developing approaches that are informed by all partners.  As Bath &amp; O’ Moore </w:t>
      </w:r>
      <w:r w:rsidR="001D33BE">
        <w:t>(2019, p. 28) suggest this ‘</w:t>
      </w:r>
      <w:r>
        <w:t>should be informed by the multi-agen</w:t>
      </w:r>
      <w:r w:rsidR="001D33BE">
        <w:t>cy perspectives of all partners’</w:t>
      </w:r>
      <w:r>
        <w:t>. However, it was clear in the interviews that the areas are at different stages of development here and many of the issues observed in relation to collaboration surface again when considering co-production. While all areas noted that some strong local working relationships had developed, the non-VRU areas were most likely to suggest that co-production was hindered by a lack of strategy and a lack of accountability, which again could potentially be overcome through the SVD and/or the development of a VRU. Indeed, one non-VRU area commented on the willingness of some partners to engage, but how the area had been ‘plagued</w:t>
      </w:r>
      <w:r w:rsidR="001D33BE">
        <w:t xml:space="preserve">’ </w:t>
      </w:r>
      <w:r>
        <w:t xml:space="preserve"> by a lack of strategic direction and letting partners know </w:t>
      </w:r>
      <w:r w:rsidR="00505D0A">
        <w:t>‘</w:t>
      </w:r>
      <w:r>
        <w:t>exactly what it is they needed to do</w:t>
      </w:r>
      <w:r w:rsidR="00A04DBF">
        <w:t xml:space="preserve">’ </w:t>
      </w:r>
      <w:r w:rsidR="00D51C5D" w:rsidRPr="00D51C5D">
        <w:t>(Int</w:t>
      </w:r>
      <w:r w:rsidR="00DB3EB0">
        <w:t>erview</w:t>
      </w:r>
      <w:r w:rsidR="00D51C5D" w:rsidRPr="00D51C5D">
        <w:t xml:space="preserve"> 4</w:t>
      </w:r>
      <w:r w:rsidR="00A04DBF" w:rsidRPr="00D51C5D">
        <w:t>)</w:t>
      </w:r>
      <w:r>
        <w:t>. Another non-VRU area also commented that co-location is problematic where there is no VRU as the VRU banner enables and fosters the view that collaboration and co-location is required.</w:t>
      </w:r>
      <w:r w:rsidR="00701BFB" w:rsidRPr="00701BFB">
        <w:t xml:space="preserve"> </w:t>
      </w:r>
    </w:p>
    <w:p w14:paraId="3F4292A2" w14:textId="77777777" w:rsidR="001D33BE" w:rsidRDefault="001D33BE">
      <w:pPr>
        <w:pStyle w:val="ListParagraph"/>
        <w:ind w:left="0"/>
        <w:jc w:val="both"/>
      </w:pPr>
    </w:p>
    <w:p w14:paraId="64B7070F" w14:textId="5886B6EC" w:rsidR="00764B26" w:rsidRDefault="001D33BE">
      <w:pPr>
        <w:pStyle w:val="ListParagraph"/>
        <w:ind w:left="0"/>
        <w:jc w:val="both"/>
      </w:pPr>
      <w:r>
        <w:t xml:space="preserve">While </w:t>
      </w:r>
      <w:proofErr w:type="spellStart"/>
      <w:r w:rsidR="00701BFB">
        <w:t>Homel</w:t>
      </w:r>
      <w:proofErr w:type="spellEnd"/>
      <w:r w:rsidR="00701BFB">
        <w:t xml:space="preserve"> &amp; Brown</w:t>
      </w:r>
      <w:r>
        <w:t xml:space="preserve"> (2017) note how a lack of </w:t>
      </w:r>
      <w:r w:rsidR="00701BFB" w:rsidRPr="00EF5792">
        <w:t>integration between partners</w:t>
      </w:r>
      <w:r>
        <w:t xml:space="preserve"> can be a challenge, o</w:t>
      </w:r>
      <w:r w:rsidR="00E11A8B">
        <w:t xml:space="preserve">ne VRU suggested what was required was not just ‘multi-agency’ </w:t>
      </w:r>
      <w:r w:rsidR="00C809FD">
        <w:t>integration,</w:t>
      </w:r>
      <w:r w:rsidR="00E11A8B">
        <w:t xml:space="preserve"> but the correct multi-disciplinary knowledge. </w:t>
      </w:r>
      <w:r w:rsidR="00A04DBF">
        <w:t xml:space="preserve">While previous research often </w:t>
      </w:r>
      <w:r w:rsidR="00C809FD">
        <w:t>advocates</w:t>
      </w:r>
      <w:r w:rsidR="00A04DBF">
        <w:t xml:space="preserve"> ‘mu</w:t>
      </w:r>
      <w:r w:rsidR="00C809FD">
        <w:t>l</w:t>
      </w:r>
      <w:r w:rsidR="00A04DBF">
        <w:t>ti-agency working</w:t>
      </w:r>
      <w:r w:rsidR="00C809FD">
        <w:t>’</w:t>
      </w:r>
      <w:r w:rsidR="00A04DBF">
        <w:t xml:space="preserve">, </w:t>
      </w:r>
      <w:r w:rsidR="00C809FD">
        <w:t xml:space="preserve">public health approaches require </w:t>
      </w:r>
      <w:r w:rsidR="00A04DBF">
        <w:t xml:space="preserve">‘knowledge that is </w:t>
      </w:r>
      <w:r w:rsidR="00E11A8B">
        <w:t>multi-</w:t>
      </w:r>
      <w:r w:rsidR="00E11A8B" w:rsidRPr="00D51C5D">
        <w:t>disciplinary</w:t>
      </w:r>
      <w:r w:rsidR="00A04DBF" w:rsidRPr="00D51C5D">
        <w:t xml:space="preserve">’ </w:t>
      </w:r>
      <w:r w:rsidR="00D51C5D" w:rsidRPr="00D51C5D">
        <w:t>(Int</w:t>
      </w:r>
      <w:r w:rsidR="00DB3EB0">
        <w:t>erview</w:t>
      </w:r>
      <w:r w:rsidR="00D51C5D" w:rsidRPr="00D51C5D">
        <w:t xml:space="preserve"> 3</w:t>
      </w:r>
      <w:r w:rsidR="00A04DBF" w:rsidRPr="00D51C5D">
        <w:t>)</w:t>
      </w:r>
      <w:r w:rsidR="00C809FD" w:rsidRPr="00D51C5D">
        <w:t>.</w:t>
      </w:r>
      <w:r w:rsidR="00C809FD">
        <w:t xml:space="preserve"> </w:t>
      </w:r>
      <w:r w:rsidR="00E11A8B">
        <w:t xml:space="preserve"> Generally, there was a view that the SVD should help remove silo working, but in order to achieve this it would be necessary to </w:t>
      </w:r>
      <w:r w:rsidR="00E11A8B">
        <w:lastRenderedPageBreak/>
        <w:t>have partne</w:t>
      </w:r>
      <w:r w:rsidR="001D48E5">
        <w:t>rs working together to tackle a</w:t>
      </w:r>
      <w:r w:rsidR="00A04DBF">
        <w:t xml:space="preserve"> </w:t>
      </w:r>
      <w:r w:rsidR="00E11A8B">
        <w:t>range of risk factors (and</w:t>
      </w:r>
      <w:r w:rsidR="001D48E5">
        <w:t xml:space="preserve"> build protective factors) required for </w:t>
      </w:r>
      <w:r w:rsidR="00A04DBF">
        <w:t xml:space="preserve"> a public health approach</w:t>
      </w:r>
      <w:r w:rsidR="00E11A8B">
        <w:t>. Indeed, it was suggested part of the challenge going forward will be in i</w:t>
      </w:r>
      <w:r w:rsidR="001D48E5">
        <w:t>dentifying how partners can</w:t>
      </w:r>
      <w:r w:rsidR="00E11A8B">
        <w:t xml:space="preserve"> </w:t>
      </w:r>
      <w:r w:rsidR="00C809FD">
        <w:t xml:space="preserve">‘pool together’ </w:t>
      </w:r>
      <w:r w:rsidR="00C809FD" w:rsidRPr="00D51C5D">
        <w:t>(</w:t>
      </w:r>
      <w:r w:rsidR="00D51C5D" w:rsidRPr="00D51C5D">
        <w:t>Int</w:t>
      </w:r>
      <w:r w:rsidR="00DB3EB0">
        <w:t>erview</w:t>
      </w:r>
      <w:r w:rsidR="00D51C5D" w:rsidRPr="00D51C5D">
        <w:t xml:space="preserve"> 3</w:t>
      </w:r>
      <w:r w:rsidR="00C809FD" w:rsidRPr="00D51C5D">
        <w:t>)</w:t>
      </w:r>
      <w:r w:rsidR="00C809FD">
        <w:t xml:space="preserve"> </w:t>
      </w:r>
      <w:r w:rsidR="00A04DBF">
        <w:t>the required ‘</w:t>
      </w:r>
      <w:r w:rsidR="00E11A8B">
        <w:t>multi-disciplinary</w:t>
      </w:r>
      <w:r w:rsidR="00A04DBF">
        <w:t>’</w:t>
      </w:r>
      <w:r w:rsidR="00E11A8B">
        <w:t xml:space="preserve"> knowledge to build effective </w:t>
      </w:r>
      <w:r w:rsidR="00A04DBF">
        <w:t xml:space="preserve">public health </w:t>
      </w:r>
      <w:r w:rsidR="00C809FD">
        <w:t xml:space="preserve">focused </w:t>
      </w:r>
      <w:r w:rsidR="00E11A8B">
        <w:t xml:space="preserve">strategies. </w:t>
      </w:r>
    </w:p>
    <w:p w14:paraId="5C96B512" w14:textId="77777777" w:rsidR="00764B26" w:rsidRDefault="00E11A8B">
      <w:pPr>
        <w:pStyle w:val="ListParagraph"/>
        <w:ind w:left="0"/>
        <w:jc w:val="both"/>
        <w:rPr>
          <w:rFonts w:cstheme="minorHAnsi"/>
        </w:rPr>
      </w:pPr>
      <w:r>
        <w:t xml:space="preserve">      </w:t>
      </w:r>
      <w:r>
        <w:rPr>
          <w:rFonts w:cstheme="minorHAnsi"/>
        </w:rPr>
        <w:t xml:space="preserve"> </w:t>
      </w:r>
      <w:r>
        <w:t xml:space="preserve">   </w:t>
      </w:r>
    </w:p>
    <w:p w14:paraId="1CAD5F97" w14:textId="77777777" w:rsidR="00764B26" w:rsidRDefault="00E11A8B">
      <w:pPr>
        <w:pStyle w:val="ListParagraph"/>
        <w:ind w:left="0"/>
        <w:jc w:val="both"/>
        <w:rPr>
          <w:b/>
          <w:i/>
        </w:rPr>
      </w:pPr>
      <w:r>
        <w:rPr>
          <w:b/>
          <w:i/>
        </w:rPr>
        <w:t xml:space="preserve">Co-operation in data and intelligence sharing </w:t>
      </w:r>
    </w:p>
    <w:p w14:paraId="4238D47C" w14:textId="77777777" w:rsidR="00764B26" w:rsidRDefault="00764B26">
      <w:pPr>
        <w:pStyle w:val="ListParagraph"/>
        <w:ind w:left="0"/>
        <w:jc w:val="both"/>
      </w:pPr>
    </w:p>
    <w:p w14:paraId="193C6E78" w14:textId="4B43AF8C" w:rsidR="00764B26" w:rsidRDefault="00A04DBF">
      <w:pPr>
        <w:pStyle w:val="ListParagraph"/>
        <w:ind w:left="0"/>
        <w:jc w:val="both"/>
      </w:pPr>
      <w:r>
        <w:t>I</w:t>
      </w:r>
      <w:r w:rsidR="00E11A8B">
        <w:t>f multi-disciplinary knowledge is to be produced it is evident that data and information sharing is required (Bath &amp; O’ Moore, 2019). Responden</w:t>
      </w:r>
      <w:r w:rsidR="00C809FD">
        <w:t>ts spoke about (1) what data were</w:t>
      </w:r>
      <w:r w:rsidR="00E11A8B">
        <w:t xml:space="preserve"> required; (2) issues with data sharing; and (3) achieving partnership data ‘buy-in’</w:t>
      </w:r>
      <w:r w:rsidR="00B26CED">
        <w:t xml:space="preserve"> for data sharing</w:t>
      </w:r>
      <w:r w:rsidR="00E11A8B">
        <w:t xml:space="preserve">. Whilst most areas were clear about what data they would like to have access to, one non-VRU admitted that they still had a depth of learning to go through to understand what data were held by partners that could help them develop a strategy. Others held a better understanding, with one VRU area </w:t>
      </w:r>
      <w:r w:rsidR="00B26CED">
        <w:t xml:space="preserve">even being able to </w:t>
      </w:r>
      <w:r w:rsidR="00E11A8B">
        <w:t>develop a multi-agency data dashboard for monitoring and evaluation purposes and another non-VRU area giving an example of a similar data hub they were developing (also with the help of partners).</w:t>
      </w:r>
    </w:p>
    <w:p w14:paraId="3007738D" w14:textId="77777777" w:rsidR="00B26CED" w:rsidRDefault="00B26CED">
      <w:pPr>
        <w:pStyle w:val="ListParagraph"/>
        <w:ind w:left="0"/>
        <w:jc w:val="both"/>
      </w:pPr>
    </w:p>
    <w:p w14:paraId="3E66A7C4" w14:textId="53E31479" w:rsidR="00764B26" w:rsidRDefault="00C809FD">
      <w:pPr>
        <w:pStyle w:val="ListParagraph"/>
        <w:ind w:left="0"/>
        <w:jc w:val="both"/>
      </w:pPr>
      <w:r>
        <w:t>The c</w:t>
      </w:r>
      <w:r w:rsidR="00B26CED">
        <w:t xml:space="preserve">hallenges of partnership data sharing </w:t>
      </w:r>
      <w:r>
        <w:t xml:space="preserve">are nothing new and </w:t>
      </w:r>
      <w:r w:rsidR="00B26CED">
        <w:t xml:space="preserve">have been </w:t>
      </w:r>
      <w:r>
        <w:t>observed</w:t>
      </w:r>
      <w:r w:rsidR="00B26CED">
        <w:t xml:space="preserve"> in previous research.  </w:t>
      </w:r>
      <w:r>
        <w:t xml:space="preserve">For example, writing in relation to the formation of crime and disorder partners in 1998, </w:t>
      </w:r>
      <w:r w:rsidR="00701BFB" w:rsidRPr="003649B4">
        <w:t xml:space="preserve">Tilley (2002: 32) notes </w:t>
      </w:r>
      <w:r w:rsidR="00701BFB">
        <w:t xml:space="preserve">the requirement for </w:t>
      </w:r>
      <w:r>
        <w:t xml:space="preserve">partnerships </w:t>
      </w:r>
      <w:r w:rsidR="00701BFB">
        <w:t xml:space="preserve">to have </w:t>
      </w:r>
      <w:r w:rsidR="00701BFB" w:rsidRPr="00492DBD">
        <w:t xml:space="preserve">reliable data that can be shared across agencies and routinely analysed. </w:t>
      </w:r>
      <w:r>
        <w:t xml:space="preserve">However, </w:t>
      </w:r>
      <w:proofErr w:type="spellStart"/>
      <w:r w:rsidR="00701BFB" w:rsidRPr="003649B4">
        <w:t>Homel</w:t>
      </w:r>
      <w:proofErr w:type="spellEnd"/>
      <w:r w:rsidR="00701BFB" w:rsidRPr="003649B4">
        <w:t xml:space="preserve"> &amp; Brown (2017</w:t>
      </w:r>
      <w:r w:rsidR="001D48E5">
        <w:t xml:space="preserve">: 551) observe </w:t>
      </w:r>
      <w:r w:rsidR="00701BFB" w:rsidRPr="003649B4">
        <w:t xml:space="preserve">the challenges that </w:t>
      </w:r>
      <w:r>
        <w:t xml:space="preserve">such partnerships </w:t>
      </w:r>
      <w:r w:rsidR="00701BFB" w:rsidRPr="003649B4">
        <w:t xml:space="preserve">faced from the outset </w:t>
      </w:r>
      <w:r>
        <w:t xml:space="preserve">with </w:t>
      </w:r>
      <w:r w:rsidR="00701BFB" w:rsidRPr="00701BFB">
        <w:t>data sharing</w:t>
      </w:r>
      <w:r>
        <w:t xml:space="preserve">, which led to a </w:t>
      </w:r>
      <w:r w:rsidR="00701BFB" w:rsidRPr="00492DBD">
        <w:t>lac</w:t>
      </w:r>
      <w:r w:rsidR="00701BFB" w:rsidRPr="00701BFB">
        <w:t xml:space="preserve">k of available data for audits. </w:t>
      </w:r>
      <w:r w:rsidR="00701BFB" w:rsidRPr="00492DBD">
        <w:t>A</w:t>
      </w:r>
      <w:r>
        <w:t xml:space="preserve"> key issue that surfaced in our research was that data </w:t>
      </w:r>
      <w:r w:rsidR="00492DBD">
        <w:t xml:space="preserve">sharing is not only required to develop </w:t>
      </w:r>
      <w:r w:rsidR="00701BFB" w:rsidRPr="003649B4">
        <w:t>strateg</w:t>
      </w:r>
      <w:r w:rsidR="00492DBD">
        <w:t xml:space="preserve">y, it is also required for day-to-day </w:t>
      </w:r>
      <w:r w:rsidR="00701BFB" w:rsidRPr="003649B4">
        <w:t xml:space="preserve">operational </w:t>
      </w:r>
      <w:r w:rsidR="00492DBD">
        <w:t>reasons and evaluation.</w:t>
      </w:r>
      <w:r w:rsidR="00701BFB" w:rsidRPr="003649B4">
        <w:t xml:space="preserve"> </w:t>
      </w:r>
      <w:r w:rsidR="00492DBD">
        <w:t xml:space="preserve">Therefore, when one key partner is unable to share data this can become a significant issue. For example, </w:t>
      </w:r>
      <w:r w:rsidR="00E11A8B">
        <w:t>one VRU not</w:t>
      </w:r>
      <w:r w:rsidR="00B26CED">
        <w:t>ed</w:t>
      </w:r>
      <w:r w:rsidR="00E11A8B">
        <w:t xml:space="preserve"> </w:t>
      </w:r>
      <w:r w:rsidR="00B26CED">
        <w:t xml:space="preserve">‘constant </w:t>
      </w:r>
      <w:r w:rsidR="00E11A8B" w:rsidRPr="00D51C5D">
        <w:t>challenges</w:t>
      </w:r>
      <w:r w:rsidR="00B26CED" w:rsidRPr="00D51C5D">
        <w:t xml:space="preserve">’ </w:t>
      </w:r>
      <w:r w:rsidR="00D51C5D" w:rsidRPr="00D51C5D">
        <w:t>(Int</w:t>
      </w:r>
      <w:r w:rsidR="00DB3EB0">
        <w:t>erview</w:t>
      </w:r>
      <w:r w:rsidR="00D51C5D" w:rsidRPr="00D51C5D">
        <w:t xml:space="preserve"> 1</w:t>
      </w:r>
      <w:r w:rsidR="00B26CED" w:rsidRPr="00D51C5D">
        <w:t>)</w:t>
      </w:r>
      <w:r w:rsidR="00492DBD" w:rsidRPr="00D51C5D">
        <w:t xml:space="preserve"> in</w:t>
      </w:r>
      <w:r w:rsidR="00E11A8B">
        <w:t xml:space="preserve"> accessing health datasets (which are needed for information on survivors of knife crime).  One non-VRU area did mention that they had few issues with data sharing as they had often referred to the legislation set out in section 115 of the Crime and Disorder Act (1998) </w:t>
      </w:r>
      <w:r w:rsidR="001D48E5">
        <w:t xml:space="preserve">which </w:t>
      </w:r>
      <w:r w:rsidR="00E11A8B">
        <w:t xml:space="preserve">gives partners the power to share data for the purpose of crime and disorder reduction. Further to this, it was also suggested that issues with data sharing could be overcome if (1) there was a dedicated person centrally in the VRU tasked with this and (2) if partners are able to clearly understand </w:t>
      </w:r>
      <w:r w:rsidR="00E11A8B" w:rsidRPr="006E4AE0">
        <w:rPr>
          <w:i/>
        </w:rPr>
        <w:t>why</w:t>
      </w:r>
      <w:r w:rsidR="00E11A8B">
        <w:t xml:space="preserve"> the data are required. </w:t>
      </w:r>
    </w:p>
    <w:p w14:paraId="033EF08F" w14:textId="77777777" w:rsidR="00764B26" w:rsidRDefault="00764B26">
      <w:pPr>
        <w:pStyle w:val="ListParagraph"/>
        <w:ind w:left="0"/>
        <w:jc w:val="both"/>
      </w:pPr>
    </w:p>
    <w:p w14:paraId="1BB5CC42" w14:textId="0B87D251" w:rsidR="00764B26" w:rsidRDefault="00E11A8B">
      <w:pPr>
        <w:pStyle w:val="ListParagraph"/>
        <w:ind w:left="0"/>
        <w:jc w:val="both"/>
        <w:rPr>
          <w:b/>
          <w:i/>
        </w:rPr>
      </w:pPr>
      <w:r>
        <w:rPr>
          <w:b/>
          <w:i/>
        </w:rPr>
        <w:t>Counter-narratives</w:t>
      </w:r>
      <w:r w:rsidR="006F2B7F">
        <w:rPr>
          <w:b/>
          <w:i/>
        </w:rPr>
        <w:t xml:space="preserve"> </w:t>
      </w:r>
    </w:p>
    <w:p w14:paraId="2869B0AF" w14:textId="77777777" w:rsidR="00764B26" w:rsidRDefault="00764B26">
      <w:pPr>
        <w:pStyle w:val="ListParagraph"/>
        <w:rPr>
          <w:b/>
          <w:color w:val="2E74B5" w:themeColor="accent1" w:themeShade="BF"/>
        </w:rPr>
      </w:pPr>
    </w:p>
    <w:p w14:paraId="0FEA5926" w14:textId="7273BFEA" w:rsidR="00DF3A40" w:rsidRDefault="00E11A8B">
      <w:pPr>
        <w:pStyle w:val="ListParagraph"/>
        <w:ind w:left="0"/>
        <w:jc w:val="both"/>
      </w:pPr>
      <w:r>
        <w:t>The whole system</w:t>
      </w:r>
      <w:r w:rsidR="00492DBD">
        <w:t>s approach requires that there ‘</w:t>
      </w:r>
      <w:r>
        <w:t xml:space="preserve">has to be a commitment to creating environments </w:t>
      </w:r>
      <w:r w:rsidR="00492DBD">
        <w:t>that nurture protective factors’</w:t>
      </w:r>
      <w:r>
        <w:t xml:space="preserve"> (Bath and O’ Moore, 2019, p. 38).</w:t>
      </w:r>
      <w:r w:rsidR="00FB5523" w:rsidRPr="00FB5523">
        <w:t xml:space="preserve"> </w:t>
      </w:r>
      <w:r w:rsidR="00B45C3D">
        <w:t>This involves moving away from traditional reactive criminal justice appr</w:t>
      </w:r>
      <w:r w:rsidR="003447B5">
        <w:t>o</w:t>
      </w:r>
      <w:r w:rsidR="00B45C3D">
        <w:t xml:space="preserve">aches to a public health focused one that builds protective factors within communities. Such approaches emphasise tackling root causes of violence that involve working with communities and those at risk of violence (as perpetrators or survivors).    </w:t>
      </w:r>
      <w:r w:rsidR="00FB5523">
        <w:t xml:space="preserve">Of course, there is nothing new about engaging with communities to develop crime prevention strategies. As Tilley (2002:31) notes a key principle of crime reduction </w:t>
      </w:r>
      <w:r w:rsidR="004D5398">
        <w:t>is in acknowledging</w:t>
      </w:r>
      <w:r w:rsidR="00FB5523">
        <w:t xml:space="preserve"> ‘members of communities know something about their own crime and disorder problems’. </w:t>
      </w:r>
      <w:r>
        <w:t>All areas were mindful of identifying risk factors and w</w:t>
      </w:r>
      <w:r w:rsidR="004D5398">
        <w:t>orking with</w:t>
      </w:r>
      <w:r>
        <w:t xml:space="preserve"> communities to develop protective factors against violence. </w:t>
      </w:r>
      <w:r w:rsidR="00FB5523">
        <w:t xml:space="preserve">Indeed, one </w:t>
      </w:r>
      <w:r>
        <w:t xml:space="preserve">VRU area had several community ambassadors working across a city to help connect with local communities. The other VRU area spoke about their strong efforts to engage with communities </w:t>
      </w:r>
      <w:r w:rsidR="00DF3A40">
        <w:t xml:space="preserve">through events </w:t>
      </w:r>
      <w:r>
        <w:t xml:space="preserve">and </w:t>
      </w:r>
      <w:r w:rsidR="00DF3A40">
        <w:t xml:space="preserve">trying to </w:t>
      </w:r>
      <w:r>
        <w:t xml:space="preserve">integrate community involvement.  One non-VRU area spoke about their efforts to do community mapping to try to reach the </w:t>
      </w:r>
      <w:r w:rsidR="00B45C3D">
        <w:t>‘</w:t>
      </w:r>
      <w:r>
        <w:t>correct people</w:t>
      </w:r>
      <w:r w:rsidR="00B45C3D">
        <w:t xml:space="preserve">’ </w:t>
      </w:r>
      <w:r w:rsidR="00D51C5D" w:rsidRPr="00D51C5D">
        <w:t>(Int</w:t>
      </w:r>
      <w:r w:rsidR="00DB3EB0">
        <w:t>erview</w:t>
      </w:r>
      <w:r w:rsidR="00D51C5D" w:rsidRPr="00D51C5D">
        <w:t xml:space="preserve"> 5</w:t>
      </w:r>
      <w:r w:rsidR="00B45C3D" w:rsidRPr="00D51C5D">
        <w:t>)</w:t>
      </w:r>
      <w:r w:rsidRPr="00D51C5D">
        <w:t>.</w:t>
      </w:r>
      <w:r>
        <w:t xml:space="preserve"> </w:t>
      </w:r>
    </w:p>
    <w:p w14:paraId="790FABA8" w14:textId="77777777" w:rsidR="00DF3A40" w:rsidRDefault="00DF3A40">
      <w:pPr>
        <w:pStyle w:val="ListParagraph"/>
        <w:ind w:left="0"/>
        <w:jc w:val="both"/>
      </w:pPr>
    </w:p>
    <w:p w14:paraId="79ABDF98" w14:textId="011481AF" w:rsidR="00764B26" w:rsidRDefault="00E11A8B">
      <w:pPr>
        <w:pStyle w:val="ListParagraph"/>
        <w:ind w:left="0"/>
        <w:jc w:val="both"/>
      </w:pPr>
      <w:r>
        <w:lastRenderedPageBreak/>
        <w:t xml:space="preserve">Overall, there was a clear message from all areas that </w:t>
      </w:r>
      <w:r w:rsidR="00DF3A40">
        <w:t xml:space="preserve">new approaches to violence reduction were required, </w:t>
      </w:r>
      <w:r w:rsidR="00FB5523">
        <w:t>but that</w:t>
      </w:r>
      <w:r>
        <w:t xml:space="preserve"> the development of </w:t>
      </w:r>
      <w:r w:rsidR="00DF3A40">
        <w:t xml:space="preserve">such </w:t>
      </w:r>
      <w:r>
        <w:t>counter-narratives can be challenging</w:t>
      </w:r>
      <w:r w:rsidR="00B45C3D">
        <w:t>. Indeed, four out of the five fieldwork locations had large urban centres, with c</w:t>
      </w:r>
      <w:r w:rsidR="00FB5523">
        <w:t>onc</w:t>
      </w:r>
      <w:r w:rsidR="00B45C3D">
        <w:t>entrations of public space violence</w:t>
      </w:r>
      <w:r w:rsidR="00DF3A40">
        <w:t xml:space="preserve"> where development of counter-narratives were thought necessary.</w:t>
      </w:r>
      <w:r w:rsidR="00B45C3D">
        <w:t xml:space="preserve"> </w:t>
      </w:r>
      <w:r w:rsidR="00FB5523">
        <w:t>In these areas, i</w:t>
      </w:r>
      <w:r w:rsidR="00B45C3D">
        <w:t xml:space="preserve">t was generally noted that gathering knowledge can be </w:t>
      </w:r>
      <w:r>
        <w:t>resource intensive</w:t>
      </w:r>
      <w:r w:rsidR="003447B5">
        <w:t xml:space="preserve"> and</w:t>
      </w:r>
      <w:r w:rsidR="00B45C3D">
        <w:t xml:space="preserve"> know</w:t>
      </w:r>
      <w:r w:rsidR="003447B5">
        <w:t>ing</w:t>
      </w:r>
      <w:r w:rsidR="00B45C3D">
        <w:t xml:space="preserve"> who to engage with and how</w:t>
      </w:r>
      <w:r w:rsidR="00FB5523">
        <w:t xml:space="preserve"> to engage with them is a challenge.  </w:t>
      </w:r>
      <w:r w:rsidR="00B45C3D">
        <w:t xml:space="preserve"> </w:t>
      </w:r>
      <w:r w:rsidR="00DF3D79">
        <w:t>Despite</w:t>
      </w:r>
      <w:r w:rsidR="00FB5523">
        <w:t xml:space="preserve"> this</w:t>
      </w:r>
      <w:r w:rsidR="00DF3D79">
        <w:t>,</w:t>
      </w:r>
      <w:r w:rsidR="00FB5523">
        <w:t xml:space="preserve"> there was clear evidence that counter-narratives (or moves away</w:t>
      </w:r>
      <w:r w:rsidR="00DF3D79">
        <w:t xml:space="preserve"> from traditional CJS approaches</w:t>
      </w:r>
      <w:r w:rsidR="00FB5523">
        <w:t xml:space="preserve"> were being developed). </w:t>
      </w:r>
      <w:r w:rsidR="00DF3D79">
        <w:t>O</w:t>
      </w:r>
      <w:r w:rsidR="00DF3D79" w:rsidRPr="00DF3D79">
        <w:t xml:space="preserve">f the </w:t>
      </w:r>
      <w:r w:rsidR="002C5CCD" w:rsidRPr="00DF3D79">
        <w:t>47</w:t>
      </w:r>
      <w:r w:rsidR="00DF3A40" w:rsidRPr="00DF3D79">
        <w:t xml:space="preserve"> interventions </w:t>
      </w:r>
      <w:r w:rsidR="004D5398">
        <w:t xml:space="preserve">that </w:t>
      </w:r>
      <w:r w:rsidR="0050794A" w:rsidRPr="00DF3D79">
        <w:t xml:space="preserve">were </w:t>
      </w:r>
      <w:r w:rsidR="00DF3D79" w:rsidRPr="00DF3D79">
        <w:t>being</w:t>
      </w:r>
      <w:r w:rsidR="00DF3D79">
        <w:t xml:space="preserve"> implemented, </w:t>
      </w:r>
      <w:r w:rsidR="004D5398">
        <w:t xml:space="preserve">the majority </w:t>
      </w:r>
      <w:r w:rsidR="004D5398">
        <w:t xml:space="preserve">(62%: n=29) </w:t>
      </w:r>
      <w:r w:rsidR="004D5398">
        <w:t>involved working with a range of partners (such as schools and young people’s services) to provide interventions and activities for those thought to be at risk of involvement in violence or providing universal delivery to those with no known involvement (via schools and social media for example)</w:t>
      </w:r>
      <w:r w:rsidR="004D5398">
        <w:t xml:space="preserve">. A further </w:t>
      </w:r>
      <w:r w:rsidR="006D205B">
        <w:t>(38%: n=18) involved working with people who were in the criminal justice system (such as providing mentoring and support in custody settings or working with Integrated Offender management Teams</w:t>
      </w:r>
      <w:r w:rsidR="004D5398">
        <w:t>)</w:t>
      </w:r>
      <w:r w:rsidR="006D205B">
        <w:t xml:space="preserve">. </w:t>
      </w:r>
      <w:r w:rsidR="00DF3D79">
        <w:t xml:space="preserve"> </w:t>
      </w:r>
    </w:p>
    <w:p w14:paraId="51ADC8FF" w14:textId="77777777" w:rsidR="00764B26" w:rsidRDefault="00764B26">
      <w:pPr>
        <w:pStyle w:val="ListParagraph"/>
        <w:ind w:left="0"/>
        <w:jc w:val="both"/>
        <w:rPr>
          <w:b/>
          <w:color w:val="2E74B5" w:themeColor="accent1" w:themeShade="BF"/>
        </w:rPr>
      </w:pPr>
    </w:p>
    <w:p w14:paraId="1304C55E" w14:textId="77777777" w:rsidR="00764B26" w:rsidRDefault="00E11A8B">
      <w:pPr>
        <w:pStyle w:val="ListParagraph"/>
        <w:ind w:left="0"/>
        <w:jc w:val="both"/>
        <w:rPr>
          <w:b/>
          <w:i/>
        </w:rPr>
      </w:pPr>
      <w:r>
        <w:rPr>
          <w:b/>
          <w:i/>
        </w:rPr>
        <w:t xml:space="preserve">Community consensus approach </w:t>
      </w:r>
    </w:p>
    <w:p w14:paraId="39145BC0" w14:textId="77777777" w:rsidR="00764B26" w:rsidRDefault="00764B26">
      <w:pPr>
        <w:pStyle w:val="ListParagraph"/>
        <w:ind w:left="0"/>
        <w:jc w:val="both"/>
        <w:rPr>
          <w:b/>
          <w:color w:val="2E74B5" w:themeColor="accent1" w:themeShade="BF"/>
        </w:rPr>
      </w:pPr>
    </w:p>
    <w:p w14:paraId="0AA0F7D0" w14:textId="4521C0C2" w:rsidR="0014451E" w:rsidRDefault="00E11A8B">
      <w:pPr>
        <w:pStyle w:val="ListParagraph"/>
        <w:ind w:left="0"/>
        <w:jc w:val="both"/>
      </w:pPr>
      <w:r>
        <w:t>Community consensus builds on counter-narratives and re</w:t>
      </w:r>
      <w:r w:rsidR="00DA780C">
        <w:t>quires that approaches must be ‘with and for local communities’</w:t>
      </w:r>
      <w:r>
        <w:t xml:space="preserve"> (Bath &amp; O’ Moore, 2019, p. 46).  There was a clear sense across all-areas that approaches to serious violence reduction needed to empower communities and help them to produce solutions. </w:t>
      </w:r>
      <w:r>
        <w:rPr>
          <w:b/>
        </w:rPr>
        <w:t xml:space="preserve"> </w:t>
      </w:r>
      <w:r w:rsidR="0050794A" w:rsidRPr="006E4AE0">
        <w:t>While the</w:t>
      </w:r>
      <w:r w:rsidR="00DF3A40" w:rsidRPr="006E4AE0">
        <w:t xml:space="preserve"> notion of co-production and </w:t>
      </w:r>
      <w:r w:rsidR="002252D1" w:rsidRPr="006E4AE0">
        <w:t xml:space="preserve">community </w:t>
      </w:r>
      <w:r w:rsidR="00DF3A40" w:rsidRPr="006E4AE0">
        <w:t>census</w:t>
      </w:r>
      <w:r w:rsidR="004D5398">
        <w:t xml:space="preserve"> is not new</w:t>
      </w:r>
      <w:r w:rsidR="0050794A" w:rsidRPr="006E4AE0">
        <w:t xml:space="preserve">, how to achieve community consensus </w:t>
      </w:r>
      <w:r w:rsidR="0050794A" w:rsidRPr="0050794A">
        <w:t>provides</w:t>
      </w:r>
      <w:r w:rsidR="0050794A" w:rsidRPr="006E4AE0">
        <w:t xml:space="preserve"> a set of challenges</w:t>
      </w:r>
      <w:r w:rsidR="002C5CCD" w:rsidRPr="006E4AE0">
        <w:t>.</w:t>
      </w:r>
      <w:r w:rsidR="002C5CCD">
        <w:rPr>
          <w:b/>
        </w:rPr>
        <w:t xml:space="preserve"> </w:t>
      </w:r>
      <w:r w:rsidR="00DF3A40">
        <w:rPr>
          <w:b/>
        </w:rPr>
        <w:t xml:space="preserve"> </w:t>
      </w:r>
      <w:r>
        <w:t>As one respondent said, ‘you don’t do to communities, you have to take them with you’ (</w:t>
      </w:r>
      <w:r w:rsidR="004D5398">
        <w:t>Interview</w:t>
      </w:r>
      <w:r>
        <w:t xml:space="preserve"> 5)</w:t>
      </w:r>
      <w:r w:rsidR="0050794A">
        <w:t xml:space="preserve">, but </w:t>
      </w:r>
      <w:r w:rsidR="00364129">
        <w:t xml:space="preserve">then </w:t>
      </w:r>
      <w:r w:rsidR="0050794A">
        <w:t xml:space="preserve">also observed that </w:t>
      </w:r>
      <w:r>
        <w:t xml:space="preserve">partnerships needed to understand and work </w:t>
      </w:r>
      <w:r w:rsidR="004D5398">
        <w:t xml:space="preserve">together </w:t>
      </w:r>
      <w:r>
        <w:t>with communities to</w:t>
      </w:r>
      <w:r w:rsidR="0050794A">
        <w:t xml:space="preserve"> generate trust and</w:t>
      </w:r>
      <w:r>
        <w:t xml:space="preserve"> provide tools for change.</w:t>
      </w:r>
      <w:r w:rsidR="0050794A">
        <w:t xml:space="preserve"> Indeed, </w:t>
      </w:r>
      <w:r w:rsidR="0050794A" w:rsidRPr="00DA780C">
        <w:t xml:space="preserve">Rosenbaum &amp; </w:t>
      </w:r>
      <w:proofErr w:type="spellStart"/>
      <w:r w:rsidR="0050794A" w:rsidRPr="00DA780C">
        <w:t>Schuck</w:t>
      </w:r>
      <w:proofErr w:type="spellEnd"/>
      <w:r w:rsidR="0050794A" w:rsidRPr="00DA780C">
        <w:t>, (2011:240) note that effective partnerships require a common unifying purpose and respect across agencies</w:t>
      </w:r>
      <w:r w:rsidR="004D5398">
        <w:t xml:space="preserve"> that link into communities</w:t>
      </w:r>
      <w:r w:rsidR="0050794A" w:rsidRPr="00DA780C">
        <w:t xml:space="preserve">. </w:t>
      </w:r>
      <w:r w:rsidR="00364129">
        <w:t xml:space="preserve">The interviewees also pointed to the need to have a common purpose with communities, </w:t>
      </w:r>
      <w:r w:rsidR="00B4022C">
        <w:t>though the</w:t>
      </w:r>
      <w:r w:rsidR="00DA780C">
        <w:t xml:space="preserve"> </w:t>
      </w:r>
      <w:r w:rsidR="004660E5">
        <w:t>fieldwork areas</w:t>
      </w:r>
      <w:r w:rsidR="00364129">
        <w:t xml:space="preserve"> </w:t>
      </w:r>
      <w:r w:rsidR="0050794A">
        <w:t xml:space="preserve">were at different stages in building consensus.    </w:t>
      </w:r>
      <w:r w:rsidR="00364129">
        <w:t xml:space="preserve">Indeed, building consensus involves </w:t>
      </w:r>
      <w:r>
        <w:t xml:space="preserve">collaborating with the </w:t>
      </w:r>
      <w:r w:rsidR="00364129">
        <w:t xml:space="preserve">correct people – the </w:t>
      </w:r>
      <w:r>
        <w:t>vulnerable</w:t>
      </w:r>
      <w:r w:rsidR="00364129">
        <w:t>, those at risk</w:t>
      </w:r>
      <w:r>
        <w:t xml:space="preserve"> and tapping into community networks and </w:t>
      </w:r>
      <w:r w:rsidR="00364129">
        <w:t xml:space="preserve">local </w:t>
      </w:r>
      <w:r>
        <w:t xml:space="preserve">social capital. </w:t>
      </w:r>
      <w:r w:rsidR="00364129">
        <w:t xml:space="preserve">In order to do this, one </w:t>
      </w:r>
      <w:r>
        <w:t xml:space="preserve">VRU had a separate community engagement and participation strategy with a communications plan (which links into the police communications team). The other VRU had invested in a communication and campaigns officer to </w:t>
      </w:r>
      <w:r w:rsidR="00364129">
        <w:t>engage and build networks. However, the non-VRU areas suggested they lacked the resource to be able to engage with communities, but</w:t>
      </w:r>
      <w:r w:rsidR="00364129" w:rsidRPr="00364129">
        <w:t xml:space="preserve"> </w:t>
      </w:r>
      <w:r w:rsidR="00364129">
        <w:t xml:space="preserve">generally spoke about the need to develop better communications with key vulnerable communities in their locations. Indeed, across all areas </w:t>
      </w:r>
      <w:r>
        <w:t>there was a general view that partnerships had to develop a shared understanding of community needs to help them to build stronger links with communities</w:t>
      </w:r>
      <w:r w:rsidR="00291402">
        <w:t xml:space="preserve">, </w:t>
      </w:r>
      <w:r w:rsidR="00364129">
        <w:t xml:space="preserve">but concerns were </w:t>
      </w:r>
      <w:r w:rsidR="00291402">
        <w:t>raised</w:t>
      </w:r>
      <w:r w:rsidR="00364129">
        <w:t xml:space="preserve"> about effective ways of actually doing this</w:t>
      </w:r>
      <w:r>
        <w:t xml:space="preserve">. </w:t>
      </w:r>
      <w:r w:rsidR="00291402">
        <w:t xml:space="preserve">In line with Crawford (1998) </w:t>
      </w:r>
      <w:r w:rsidR="00B4022C">
        <w:t>t</w:t>
      </w:r>
      <w:r w:rsidR="00291402">
        <w:t xml:space="preserve">here </w:t>
      </w:r>
      <w:r w:rsidR="00717F49">
        <w:t xml:space="preserve">were </w:t>
      </w:r>
      <w:r w:rsidR="00DB3EB0">
        <w:t>worries</w:t>
      </w:r>
      <w:r w:rsidR="00291402">
        <w:t xml:space="preserve"> that targeting specific communities can </w:t>
      </w:r>
      <w:r w:rsidR="00717F49">
        <w:t xml:space="preserve">lead </w:t>
      </w:r>
      <w:r w:rsidR="00291402">
        <w:t>to the same</w:t>
      </w:r>
      <w:r w:rsidR="004660E5">
        <w:t xml:space="preserve"> ‘community voices’ being heard.</w:t>
      </w:r>
      <w:r w:rsidR="00291402">
        <w:t xml:space="preserve"> </w:t>
      </w:r>
      <w:r w:rsidR="00B4022C">
        <w:t xml:space="preserve">Indeed, </w:t>
      </w:r>
      <w:r w:rsidR="004660E5">
        <w:t xml:space="preserve">there is a risk </w:t>
      </w:r>
      <w:r w:rsidR="00B4022C">
        <w:t>this can lead to partnership working being what</w:t>
      </w:r>
      <w:r w:rsidR="004660E5">
        <w:t xml:space="preserve"> </w:t>
      </w:r>
      <w:r w:rsidR="0014451E" w:rsidRPr="00717F49">
        <w:t xml:space="preserve">Crawford (1998:263) refers </w:t>
      </w:r>
      <w:r w:rsidR="00B4022C" w:rsidRPr="006E4AE0">
        <w:t xml:space="preserve">more of a </w:t>
      </w:r>
      <w:r w:rsidR="0014451E" w:rsidRPr="00717F49">
        <w:t>‘club good’ rather than a ‘social good’ for the community at large.</w:t>
      </w:r>
      <w:r w:rsidR="0014451E">
        <w:t xml:space="preserve"> </w:t>
      </w:r>
    </w:p>
    <w:p w14:paraId="613808DB" w14:textId="77777777" w:rsidR="00764B26" w:rsidRDefault="00E11A8B">
      <w:pPr>
        <w:pStyle w:val="ListParagraph"/>
        <w:ind w:left="0"/>
        <w:jc w:val="both"/>
        <w:rPr>
          <w:b/>
          <w:color w:val="2E74B5" w:themeColor="accent1" w:themeShade="BF"/>
        </w:rPr>
      </w:pPr>
      <w:r>
        <w:rPr>
          <w:b/>
          <w:color w:val="2E74B5" w:themeColor="accent1" w:themeShade="BF"/>
        </w:rPr>
        <w:t xml:space="preserve">  </w:t>
      </w:r>
    </w:p>
    <w:p w14:paraId="19A564ED" w14:textId="10C778A9" w:rsidR="00764B26" w:rsidRDefault="00E11A8B">
      <w:pPr>
        <w:rPr>
          <w:b/>
          <w:sz w:val="24"/>
          <w:szCs w:val="24"/>
        </w:rPr>
      </w:pPr>
      <w:r>
        <w:rPr>
          <w:b/>
        </w:rPr>
        <w:t xml:space="preserve">Preparing for the Serious Violence Duty: </w:t>
      </w:r>
      <w:r w:rsidR="006E4AE0">
        <w:rPr>
          <w:b/>
          <w:sz w:val="24"/>
          <w:szCs w:val="24"/>
        </w:rPr>
        <w:t xml:space="preserve">Discussion, </w:t>
      </w:r>
      <w:r>
        <w:rPr>
          <w:b/>
          <w:sz w:val="24"/>
          <w:szCs w:val="24"/>
        </w:rPr>
        <w:t>Implications</w:t>
      </w:r>
      <w:r w:rsidR="006E4AE0">
        <w:rPr>
          <w:b/>
          <w:sz w:val="24"/>
          <w:szCs w:val="24"/>
        </w:rPr>
        <w:t xml:space="preserve"> and Conclusions </w:t>
      </w:r>
      <w:r>
        <w:rPr>
          <w:b/>
          <w:sz w:val="24"/>
          <w:szCs w:val="24"/>
        </w:rPr>
        <w:t xml:space="preserve"> </w:t>
      </w:r>
    </w:p>
    <w:p w14:paraId="6FFB9EE1" w14:textId="7C30CDC2" w:rsidR="00EE5579" w:rsidRDefault="00BF53E3">
      <w:pPr>
        <w:jc w:val="both"/>
      </w:pPr>
      <w:r>
        <w:t xml:space="preserve">Several authors have noted how the development of local crime prevention partnerships builds on a policy of </w:t>
      </w:r>
      <w:proofErr w:type="spellStart"/>
      <w:r>
        <w:t>responsibilization</w:t>
      </w:r>
      <w:proofErr w:type="spellEnd"/>
      <w:r>
        <w:t xml:space="preserve">, where </w:t>
      </w:r>
      <w:r w:rsidR="00B002FE">
        <w:t xml:space="preserve">provision for </w:t>
      </w:r>
      <w:r>
        <w:t xml:space="preserve">crime prevention is </w:t>
      </w:r>
      <w:r w:rsidR="00B002FE">
        <w:t xml:space="preserve">largely </w:t>
      </w:r>
      <w:r>
        <w:t>moved from the central state to the local level (</w:t>
      </w:r>
      <w:r w:rsidR="005C742C">
        <w:t xml:space="preserve">Anderson &amp; </w:t>
      </w:r>
      <w:proofErr w:type="spellStart"/>
      <w:r w:rsidR="005C742C">
        <w:t>Wahlgren</w:t>
      </w:r>
      <w:proofErr w:type="spellEnd"/>
      <w:r>
        <w:t xml:space="preserve">, </w:t>
      </w:r>
      <w:r w:rsidR="005C742C">
        <w:t>2022)</w:t>
      </w:r>
      <w:r>
        <w:t xml:space="preserve">. Shearing  (as cited in Crawford, 1998: 252) observed this move in </w:t>
      </w:r>
      <w:r w:rsidR="003649B4">
        <w:t>relation</w:t>
      </w:r>
      <w:r>
        <w:t xml:space="preserve"> to the creation of Crime and Disorder</w:t>
      </w:r>
      <w:r w:rsidR="00DB3EB0">
        <w:t xml:space="preserve"> Partnerships in England/ Wales</w:t>
      </w:r>
      <w:r>
        <w:t xml:space="preserve"> </w:t>
      </w:r>
      <w:r w:rsidR="00DB3EB0">
        <w:t xml:space="preserve">and </w:t>
      </w:r>
      <w:r>
        <w:t xml:space="preserve">noted how the central state retained a level of control, referring to this as ‘state rule at a distance’. The development of VRUs, follows this pattern. There is a degree of local autonomy, though the </w:t>
      </w:r>
      <w:r w:rsidR="003649B4">
        <w:t xml:space="preserve">policy </w:t>
      </w:r>
      <w:r w:rsidR="003649B4">
        <w:lastRenderedPageBreak/>
        <w:t>approach as set out in the Serious Violence Strategy and</w:t>
      </w:r>
      <w:r w:rsidR="00EE5579">
        <w:t xml:space="preserve"> the conditions of</w:t>
      </w:r>
      <w:r>
        <w:t xml:space="preserve"> funding </w:t>
      </w:r>
      <w:r w:rsidR="003649B4">
        <w:t>mean</w:t>
      </w:r>
      <w:r w:rsidR="00EE5579">
        <w:t xml:space="preserve"> that the state can largely retain control over </w:t>
      </w:r>
      <w:r w:rsidR="00EE5579" w:rsidRPr="00AC39DB">
        <w:t>what VRUs do.</w:t>
      </w:r>
      <w:r w:rsidR="00EE5579">
        <w:t xml:space="preserve"> The </w:t>
      </w:r>
      <w:r>
        <w:t>requirements</w:t>
      </w:r>
      <w:r w:rsidR="00DB3EB0">
        <w:t xml:space="preserve"> of the SVD</w:t>
      </w:r>
      <w:r w:rsidR="00EE5579">
        <w:t xml:space="preserve"> can be viewed as an extension of this control from</w:t>
      </w:r>
      <w:r w:rsidR="00DB3EB0">
        <w:t xml:space="preserve"> the current VRUs to all 322 community safety partnership</w:t>
      </w:r>
      <w:r w:rsidR="00EE5579">
        <w:t>s, whe</w:t>
      </w:r>
      <w:r w:rsidR="003649B4">
        <w:t>re there</w:t>
      </w:r>
      <w:r w:rsidR="00EE5579">
        <w:t xml:space="preserve"> will be a statutory duty </w:t>
      </w:r>
      <w:r w:rsidR="00B002FE">
        <w:t xml:space="preserve">for a range of agencies to come together in partnerships </w:t>
      </w:r>
      <w:r w:rsidR="00EE5579">
        <w:t xml:space="preserve">to address serious violence. </w:t>
      </w:r>
    </w:p>
    <w:p w14:paraId="0162274F" w14:textId="3FFDFF0D" w:rsidR="0011284C" w:rsidRDefault="00DB3EB0" w:rsidP="0011284C">
      <w:pPr>
        <w:pStyle w:val="ListParagraph"/>
        <w:ind w:left="0"/>
        <w:jc w:val="both"/>
        <w:rPr>
          <w:color w:val="2E74B5" w:themeColor="accent1" w:themeShade="BF"/>
        </w:rPr>
      </w:pPr>
      <w:r>
        <w:t>Most</w:t>
      </w:r>
      <w:r w:rsidR="00EE5579">
        <w:t xml:space="preserve"> scholars </w:t>
      </w:r>
      <w:r>
        <w:t xml:space="preserve">would </w:t>
      </w:r>
      <w:r w:rsidR="00AC39DB">
        <w:t>support</w:t>
      </w:r>
      <w:r w:rsidR="00EE5579">
        <w:t xml:space="preserve"> the </w:t>
      </w:r>
      <w:r w:rsidR="009B5B45">
        <w:t>view that</w:t>
      </w:r>
      <w:r w:rsidR="00EE5579">
        <w:t xml:space="preserve"> crime prevention requires locally developed strategies (</w:t>
      </w:r>
      <w:r w:rsidR="00B002FE">
        <w:t xml:space="preserve">see for example, Tilley, 2002; Rosenbaum &amp; </w:t>
      </w:r>
      <w:proofErr w:type="spellStart"/>
      <w:r w:rsidR="00B002FE">
        <w:t>Schuck</w:t>
      </w:r>
      <w:proofErr w:type="spellEnd"/>
      <w:r w:rsidR="00B002FE">
        <w:t>, 2011</w:t>
      </w:r>
      <w:r w:rsidR="00EE5579">
        <w:t>)</w:t>
      </w:r>
      <w:r w:rsidR="00B002FE">
        <w:t>. T</w:t>
      </w:r>
      <w:r w:rsidR="00EE5579">
        <w:t>he evidence from our fieldwork would</w:t>
      </w:r>
      <w:r w:rsidR="00B002FE">
        <w:t xml:space="preserve"> also </w:t>
      </w:r>
      <w:r w:rsidR="00EE5579">
        <w:t>concur with this</w:t>
      </w:r>
      <w:r w:rsidR="00B002FE">
        <w:t xml:space="preserve"> view</w:t>
      </w:r>
      <w:r w:rsidR="00EE5579">
        <w:t xml:space="preserve">. Indeed, the development of public health approaches require close working across partnerships and </w:t>
      </w:r>
      <w:r w:rsidR="00B002FE">
        <w:t>local communities</w:t>
      </w:r>
      <w:r w:rsidR="00EE5579">
        <w:t xml:space="preserve"> to co-produce and achieve consensus about what needs to be done</w:t>
      </w:r>
      <w:r w:rsidR="00B002FE">
        <w:t xml:space="preserve"> to tackle violence</w:t>
      </w:r>
      <w:r w:rsidR="00EE5579">
        <w:t xml:space="preserve">. </w:t>
      </w:r>
      <w:r>
        <w:t>The SVD</w:t>
      </w:r>
      <w:r w:rsidR="0011284C">
        <w:t xml:space="preserve"> might be considered a route to the delivery of these partnersh</w:t>
      </w:r>
      <w:r w:rsidR="00B002FE">
        <w:t xml:space="preserve">ip approaches and ultimately, the development of </w:t>
      </w:r>
      <w:r w:rsidR="0011284C">
        <w:t>more holistic public health approach. Indeed, the SVD was generally welcomed across all areas in this study as it was seen as having the potential to facilitate the change required to deliver violence reduction. T</w:t>
      </w:r>
      <w:r w:rsidR="0011284C">
        <w:rPr>
          <w:bCs/>
          <w:iCs/>
        </w:rPr>
        <w:t xml:space="preserve">he SVD could help to generate stronger inter-agency ownership of serious violence issues, accountability for serious violence and change the perception held by some that this is just a police responsibility. It also has the potential to embed VRU expectations and a public health approach nationally. </w:t>
      </w:r>
    </w:p>
    <w:p w14:paraId="1AD6B1B8" w14:textId="77777777" w:rsidR="0011284C" w:rsidRDefault="0011284C" w:rsidP="0011284C">
      <w:pPr>
        <w:pStyle w:val="ListParagraph"/>
        <w:ind w:left="0"/>
        <w:jc w:val="both"/>
      </w:pPr>
    </w:p>
    <w:p w14:paraId="362FDB67" w14:textId="01AD0093" w:rsidR="0011284C" w:rsidRDefault="00B002FE" w:rsidP="0011284C">
      <w:pPr>
        <w:pStyle w:val="ListParagraph"/>
        <w:ind w:left="0"/>
        <w:jc w:val="both"/>
      </w:pPr>
      <w:r>
        <w:t xml:space="preserve">Although the SVD seems to underline the centrality of partnerships to the delivery of violence reduction, </w:t>
      </w:r>
      <w:r w:rsidR="00DB3EB0">
        <w:t xml:space="preserve">there are </w:t>
      </w:r>
      <w:r w:rsidR="0011284C">
        <w:t xml:space="preserve">three </w:t>
      </w:r>
      <w:r w:rsidR="00D36A19">
        <w:t xml:space="preserve">key </w:t>
      </w:r>
      <w:r w:rsidR="0011284C">
        <w:t xml:space="preserve">areas of concern as we move towards </w:t>
      </w:r>
      <w:r>
        <w:t xml:space="preserve">its </w:t>
      </w:r>
      <w:r w:rsidR="0011284C">
        <w:t xml:space="preserve">implementation. Firstly it is apparent that, </w:t>
      </w:r>
      <w:r>
        <w:t xml:space="preserve">the current arrangements for violence reduction have allow for </w:t>
      </w:r>
      <w:r w:rsidR="0011284C">
        <w:t>a two-tiered approach to</w:t>
      </w:r>
      <w:r>
        <w:t xml:space="preserve"> develop. </w:t>
      </w:r>
      <w:r w:rsidR="0011284C">
        <w:t xml:space="preserve">When viewed through the lens of the 5c’s approach, our research identifies that – due to a number of factors – the VRU and non-VRU areas are at different stages in the development and delivery of the process. The VRU areas have </w:t>
      </w:r>
      <w:r w:rsidR="00DB3EB0">
        <w:t xml:space="preserve">started to develop a violence reduction culture. They have </w:t>
      </w:r>
      <w:r w:rsidR="0011284C">
        <w:t xml:space="preserve">better developed strategies that aim to address violence as a public health issue; have </w:t>
      </w:r>
      <w:r w:rsidR="00DB3EB0">
        <w:t>developing</w:t>
      </w:r>
      <w:r w:rsidR="0011284C">
        <w:t xml:space="preserve"> governance structures in place to monitor progress and more integrated partnership collaboration</w:t>
      </w:r>
      <w:r>
        <w:t xml:space="preserve"> (and are delivering more interventions)</w:t>
      </w:r>
      <w:r w:rsidR="0011284C">
        <w:t xml:space="preserve">. </w:t>
      </w:r>
      <w:r w:rsidR="0011284C">
        <w:rPr>
          <w:bCs/>
          <w:iCs/>
        </w:rPr>
        <w:t>Secondly</w:t>
      </w:r>
      <w:r w:rsidR="0011284C">
        <w:t xml:space="preserve">, </w:t>
      </w:r>
      <w:r w:rsidR="00A3028B">
        <w:t xml:space="preserve">the current arrangements have created division in available </w:t>
      </w:r>
      <w:r w:rsidR="0011284C">
        <w:t>resourcing and fu</w:t>
      </w:r>
      <w:r w:rsidR="00D36A19">
        <w:t xml:space="preserve">nding for violence reduction </w:t>
      </w:r>
      <w:r w:rsidR="00A3028B">
        <w:t>activities</w:t>
      </w:r>
      <w:r w:rsidR="0011284C">
        <w:t xml:space="preserve">. While the VRU areas were funded on the basis of the extent of serious violence problems in their areas, it needs to be borne in mind that serious violence also concentrates in non-VRU funded locations across the region and at present, there is a risk that provision for violence reduction in these areas could be lacking in the future. </w:t>
      </w:r>
      <w:r w:rsidR="00A3028B">
        <w:t>I</w:t>
      </w:r>
      <w:r w:rsidR="0011284C">
        <w:t>n</w:t>
      </w:r>
      <w:r w:rsidR="00A3028B">
        <w:t xml:space="preserve"> interview,</w:t>
      </w:r>
      <w:r w:rsidR="0011284C">
        <w:t xml:space="preserve"> one non-VRU area expressed</w:t>
      </w:r>
      <w:r w:rsidR="00A3028B">
        <w:t xml:space="preserve"> concerns</w:t>
      </w:r>
      <w:r w:rsidR="0011284C">
        <w:t xml:space="preserve"> over additional work:   ‘</w:t>
      </w:r>
      <w:r w:rsidR="0011284C">
        <w:rPr>
          <w:bCs/>
          <w:iCs/>
        </w:rPr>
        <w:t>What we are being asked to do is quite a lot on top of the day job. I’ve not got staff for knife crime, I’ve not got the budget, winging it is effectively what I am doing’ (Int</w:t>
      </w:r>
      <w:r w:rsidR="004D5398">
        <w:rPr>
          <w:bCs/>
          <w:iCs/>
        </w:rPr>
        <w:t>erview</w:t>
      </w:r>
      <w:r w:rsidR="0011284C">
        <w:rPr>
          <w:bCs/>
          <w:iCs/>
        </w:rPr>
        <w:t xml:space="preserve"> 5).</w:t>
      </w:r>
      <w:r w:rsidR="0011284C">
        <w:t xml:space="preserve"> Thirdly, many of the challenges associated with partnership arrangements that </w:t>
      </w:r>
      <w:r w:rsidR="00FF379D">
        <w:t>were observed</w:t>
      </w:r>
      <w:r w:rsidR="0011284C">
        <w:t xml:space="preserve"> after the implementation of the 1998 Crime and Disorder Act </w:t>
      </w:r>
      <w:r w:rsidR="00FF379D">
        <w:t xml:space="preserve">still </w:t>
      </w:r>
      <w:r w:rsidR="0011284C">
        <w:t xml:space="preserve">appear to exist today. </w:t>
      </w:r>
      <w:r w:rsidR="00A3028B">
        <w:t xml:space="preserve">As we move towards the SVD, in the non-VRU areas, </w:t>
      </w:r>
      <w:r w:rsidR="0011284C">
        <w:t xml:space="preserve">some worries </w:t>
      </w:r>
      <w:r w:rsidR="00A3028B">
        <w:t xml:space="preserve">were also expressed </w:t>
      </w:r>
      <w:r w:rsidR="0011284C">
        <w:t xml:space="preserve">around </w:t>
      </w:r>
      <w:r w:rsidR="0011284C">
        <w:rPr>
          <w:bCs/>
          <w:iCs/>
        </w:rPr>
        <w:t>‘historically…. poor partnership buy in’ (Int</w:t>
      </w:r>
      <w:r w:rsidR="004D5398">
        <w:rPr>
          <w:bCs/>
          <w:iCs/>
        </w:rPr>
        <w:t>erview</w:t>
      </w:r>
      <w:r w:rsidR="0011284C">
        <w:rPr>
          <w:bCs/>
          <w:iCs/>
        </w:rPr>
        <w:t xml:space="preserve"> 4)</w:t>
      </w:r>
      <w:r w:rsidR="00A3028B">
        <w:rPr>
          <w:bCs/>
          <w:iCs/>
        </w:rPr>
        <w:t xml:space="preserve"> and how these might be addressed</w:t>
      </w:r>
      <w:r w:rsidR="0011284C">
        <w:rPr>
          <w:bCs/>
          <w:iCs/>
        </w:rPr>
        <w:t>.</w:t>
      </w:r>
      <w:r w:rsidR="0011284C">
        <w:t xml:space="preserve"> </w:t>
      </w:r>
    </w:p>
    <w:p w14:paraId="3E7A48E8" w14:textId="090582CC" w:rsidR="00E21E23" w:rsidRPr="005F23C8" w:rsidRDefault="005B53C1">
      <w:pPr>
        <w:jc w:val="both"/>
        <w:rPr>
          <w:rFonts w:cstheme="minorHAnsi"/>
        </w:rPr>
      </w:pPr>
      <w:r>
        <w:t xml:space="preserve">While previous research has highlighted some of the </w:t>
      </w:r>
      <w:r w:rsidR="009F0A61">
        <w:t>issues in</w:t>
      </w:r>
      <w:r>
        <w:t xml:space="preserve"> making local partnerships central to crime prevention delivery, developing a public health approach also generates further challenges.    </w:t>
      </w:r>
      <w:r w:rsidR="0011284C">
        <w:t xml:space="preserve">It also needs to be borne in mind that the VRU’s are operating with a slightly different remit to previous Community Safety Partnerships (as legislated for in the 1998 Crime and Disorder Act). They are being tasked with implementing a public health approach, which not only represents a shift from the crime reduction remit of Community Safety Partnerships, but an expectation to impact on a broad range of public health outcomes. This requires developing counter-narratives and building community consensus.  </w:t>
      </w:r>
      <w:r w:rsidR="00D36A19">
        <w:t>In a</w:t>
      </w:r>
      <w:r w:rsidR="003D50D3">
        <w:t xml:space="preserve"> process evaluation of the 18 VRU areas, </w:t>
      </w:r>
      <w:proofErr w:type="spellStart"/>
      <w:r w:rsidR="003D50D3">
        <w:t>Craston</w:t>
      </w:r>
      <w:proofErr w:type="spellEnd"/>
      <w:r w:rsidR="003D50D3">
        <w:t xml:space="preserve"> </w:t>
      </w:r>
      <w:r w:rsidR="003D50D3">
        <w:rPr>
          <w:iCs/>
        </w:rPr>
        <w:t xml:space="preserve">et al. </w:t>
      </w:r>
      <w:r w:rsidR="003D50D3">
        <w:t xml:space="preserve">(2020) noted there are considerable differences in understanding what a public health approach is. Our evidence suggests </w:t>
      </w:r>
      <w:r w:rsidR="00D36A19">
        <w:t>all</w:t>
      </w:r>
      <w:r>
        <w:t xml:space="preserve"> areas (especially the VRUs) are</w:t>
      </w:r>
      <w:r w:rsidR="00D36A19">
        <w:t xml:space="preserve"> making strides to develop</w:t>
      </w:r>
      <w:r w:rsidR="003D50D3">
        <w:t xml:space="preserve"> </w:t>
      </w:r>
      <w:r w:rsidR="00D36A19">
        <w:t xml:space="preserve">interventions that tackle the root causes of </w:t>
      </w:r>
      <w:r w:rsidR="00D36A19">
        <w:lastRenderedPageBreak/>
        <w:t xml:space="preserve">violence. </w:t>
      </w:r>
      <w:r w:rsidR="005F23C8">
        <w:t xml:space="preserve">However, there are still uncertainties around how to co-produce with communities and build community consensus. Crawford (1998: 89) notes that community consensus can, if care is not taken, start </w:t>
      </w:r>
      <w:r w:rsidR="005F23C8">
        <w:rPr>
          <w:rFonts w:cstheme="minorHAnsi"/>
        </w:rPr>
        <w:t xml:space="preserve">echo the </w:t>
      </w:r>
      <w:r w:rsidR="00F32B06">
        <w:t>mor</w:t>
      </w:r>
      <w:r w:rsidR="005F23C8">
        <w:t>a</w:t>
      </w:r>
      <w:r w:rsidR="00F32B06">
        <w:t xml:space="preserve">l voice </w:t>
      </w:r>
      <w:r w:rsidR="005F23C8">
        <w:t>of</w:t>
      </w:r>
      <w:r w:rsidR="00F32B06">
        <w:t xml:space="preserve"> key interest </w:t>
      </w:r>
      <w:r w:rsidR="0019225D">
        <w:t>groups</w:t>
      </w:r>
      <w:r w:rsidR="00F32B06">
        <w:t xml:space="preserve"> rather than the concerned citizen. </w:t>
      </w:r>
      <w:r>
        <w:t>This is something that all agencies delivering the SVD</w:t>
      </w:r>
      <w:r w:rsidR="00FF379D">
        <w:t xml:space="preserve"> will need to be mindful of or public health approaches will lack credibility in the communities they aim to help.  </w:t>
      </w:r>
      <w:r w:rsidR="00F32B06">
        <w:t xml:space="preserve"> </w:t>
      </w:r>
    </w:p>
    <w:p w14:paraId="35EDEE47" w14:textId="67EA2964" w:rsidR="005F23C8" w:rsidRPr="002E582B" w:rsidRDefault="005F23C8" w:rsidP="00F109C0">
      <w:pPr>
        <w:pStyle w:val="ListParagraph"/>
        <w:ind w:left="0"/>
        <w:jc w:val="both"/>
        <w:rPr>
          <w:color w:val="2E74B5" w:themeColor="accent1" w:themeShade="BF"/>
        </w:rPr>
      </w:pPr>
      <w:r>
        <w:t xml:space="preserve">The Serious Violence Duty does, however, present an opportunity to build a national body of evidence about the development of partnership structures designed to </w:t>
      </w:r>
      <w:r w:rsidR="001A35A2">
        <w:t>implement</w:t>
      </w:r>
      <w:r>
        <w:t xml:space="preserve"> public health approaches to violence reduction and also to build a wider body of evidence around what works in preventing violence.</w:t>
      </w:r>
      <w:r w:rsidRPr="005F23C8">
        <w:t xml:space="preserve"> </w:t>
      </w:r>
      <w:r>
        <w:t xml:space="preserve">The VRU’s </w:t>
      </w:r>
      <w:r w:rsidR="009D2C90">
        <w:t xml:space="preserve">included in the fieldwork for this study </w:t>
      </w:r>
      <w:r>
        <w:t xml:space="preserve">had a clear package of evaluation work related to their funding requirements. </w:t>
      </w:r>
      <w:r w:rsidR="009D2C90">
        <w:t>However, f</w:t>
      </w:r>
      <w:r>
        <w:t xml:space="preserve">or the non-VRU areas, </w:t>
      </w:r>
      <w:r w:rsidR="001A35A2">
        <w:t>t</w:t>
      </w:r>
      <w:r>
        <w:t>he lack of a central ‘violence reduction identity’ (Int</w:t>
      </w:r>
      <w:r w:rsidR="004D5398">
        <w:t>erview</w:t>
      </w:r>
      <w:r>
        <w:t xml:space="preserve"> 2) sometimes meant evaluation could be a little more</w:t>
      </w:r>
      <w:r w:rsidR="001A35A2">
        <w:t xml:space="preserve"> piecemeal and </w:t>
      </w:r>
      <w:r>
        <w:t xml:space="preserve">haphazard.     </w:t>
      </w:r>
      <w:r w:rsidR="001A35A2">
        <w:t xml:space="preserve">Another </w:t>
      </w:r>
      <w:r w:rsidR="009F0A61">
        <w:t>non-VRU area</w:t>
      </w:r>
      <w:r w:rsidR="001A35A2">
        <w:t xml:space="preserve"> also </w:t>
      </w:r>
      <w:r>
        <w:t>raised concerns about a rigid ‘hard-nosed’ (Int</w:t>
      </w:r>
      <w:r w:rsidR="004D5398">
        <w:t>erview</w:t>
      </w:r>
      <w:r>
        <w:t xml:space="preserve"> 5) performance culture linked to police targets</w:t>
      </w:r>
      <w:r w:rsidR="009F0A61">
        <w:t>. They</w:t>
      </w:r>
      <w:r w:rsidR="002D3F5B">
        <w:t xml:space="preserve"> noted </w:t>
      </w:r>
      <w:r>
        <w:t>how positive outcomes from violence reduction might focus on harms and helping the vulnerable in ways not always eas</w:t>
      </w:r>
      <w:r w:rsidR="009F0A61">
        <w:t>il</w:t>
      </w:r>
      <w:r>
        <w:t xml:space="preserve">y </w:t>
      </w:r>
      <w:r w:rsidR="001A35A2">
        <w:t>measure</w:t>
      </w:r>
      <w:r w:rsidR="009F0A61">
        <w:t>d</w:t>
      </w:r>
      <w:r w:rsidR="001A35A2">
        <w:t xml:space="preserve"> through police targets</w:t>
      </w:r>
      <w:r w:rsidR="009F0A61">
        <w:t>,</w:t>
      </w:r>
      <w:r w:rsidR="001A35A2">
        <w:t xml:space="preserve"> but</w:t>
      </w:r>
      <w:r>
        <w:t xml:space="preserve"> </w:t>
      </w:r>
      <w:r w:rsidR="009F0A61">
        <w:t>that</w:t>
      </w:r>
      <w:r>
        <w:t xml:space="preserve"> possibly fit better with a more public health focused approach.</w:t>
      </w:r>
      <w:r w:rsidR="001A35A2">
        <w:t xml:space="preserve"> Indeed, a potential drawback </w:t>
      </w:r>
      <w:r w:rsidR="001A35A2" w:rsidRPr="002D3F5B">
        <w:t xml:space="preserve">of ‘state rule at a distance’ is that the desire for short-term </w:t>
      </w:r>
      <w:r w:rsidR="002D3F5B">
        <w:t xml:space="preserve">performance </w:t>
      </w:r>
      <w:r w:rsidR="001A35A2" w:rsidRPr="002D3F5B">
        <w:t xml:space="preserve">measures of success and lack of funding </w:t>
      </w:r>
      <w:r w:rsidR="00EC6A97">
        <w:t xml:space="preserve">might </w:t>
      </w:r>
      <w:r w:rsidR="001A35A2" w:rsidRPr="002D3F5B">
        <w:t>re</w:t>
      </w:r>
      <w:r w:rsidR="001A35A2">
        <w:t xml:space="preserve">sult in missed opportunities for robust evaluation </w:t>
      </w:r>
      <w:r w:rsidR="002D3F5B">
        <w:t xml:space="preserve">of new public health focused interventions. </w:t>
      </w:r>
      <w:r w:rsidR="001A35A2">
        <w:t xml:space="preserve">  </w:t>
      </w:r>
      <w:r w:rsidR="00E024D0">
        <w:t xml:space="preserve">Therefore, the SVD might be viewed as an opportunity for the </w:t>
      </w:r>
      <w:r w:rsidR="002D3F5B">
        <w:t>state to</w:t>
      </w:r>
      <w:r w:rsidR="00C87598">
        <w:t xml:space="preserve"> facilitate the development of a </w:t>
      </w:r>
      <w:r w:rsidR="00E024D0">
        <w:t xml:space="preserve">vast </w:t>
      </w:r>
      <w:r w:rsidR="00C87598">
        <w:t xml:space="preserve">body of </w:t>
      </w:r>
      <w:r w:rsidR="002D3F5B">
        <w:t>robust evidence</w:t>
      </w:r>
      <w:r w:rsidR="00C87598">
        <w:t xml:space="preserve"> </w:t>
      </w:r>
      <w:r w:rsidR="00EC6A97">
        <w:t xml:space="preserve">through funding evaluation and disseminating findings. </w:t>
      </w:r>
      <w:r w:rsidR="009F0A61">
        <w:t>This would not only help to build on the existing evidence base</w:t>
      </w:r>
      <w:r w:rsidR="00EC6A97">
        <w:t>, but ensure the Serious Violence Duty yields long term benefits for crime prevention</w:t>
      </w:r>
      <w:r w:rsidR="00E024D0">
        <w:t xml:space="preserve"> practice for years to come</w:t>
      </w:r>
      <w:r w:rsidR="00EC6A97">
        <w:t xml:space="preserve">. </w:t>
      </w:r>
      <w:r w:rsidR="009F0A61">
        <w:t xml:space="preserve"> </w:t>
      </w:r>
    </w:p>
    <w:p w14:paraId="282830D9" w14:textId="77777777" w:rsidR="00764B26" w:rsidRDefault="00E11A8B">
      <w:pPr>
        <w:rPr>
          <w:b/>
          <w:sz w:val="24"/>
          <w:szCs w:val="24"/>
        </w:rPr>
      </w:pPr>
      <w:r>
        <w:rPr>
          <w:b/>
          <w:sz w:val="24"/>
          <w:szCs w:val="24"/>
        </w:rPr>
        <w:t>Acknowledgements</w:t>
      </w:r>
    </w:p>
    <w:p w14:paraId="28E6AA68" w14:textId="77777777" w:rsidR="00764B26" w:rsidRDefault="00E11A8B">
      <w:pPr>
        <w:spacing w:line="240" w:lineRule="auto"/>
        <w:jc w:val="both"/>
      </w:pPr>
      <w:r>
        <w:t>We would like to thank all the participants, stakeholders and support staff in the five counties for their time making the interview arrangements in difficult circumstances. Without their cooperation writing this paper would have been impossible.</w:t>
      </w:r>
    </w:p>
    <w:p w14:paraId="34242CC0" w14:textId="77777777" w:rsidR="00764B26" w:rsidRDefault="00E11A8B">
      <w:pPr>
        <w:spacing w:line="240" w:lineRule="auto"/>
        <w:jc w:val="both"/>
        <w:rPr>
          <w:b/>
          <w:sz w:val="24"/>
          <w:szCs w:val="24"/>
        </w:rPr>
      </w:pPr>
      <w:r>
        <w:rPr>
          <w:b/>
          <w:sz w:val="24"/>
          <w:szCs w:val="24"/>
        </w:rPr>
        <w:t xml:space="preserve">Funding </w:t>
      </w:r>
    </w:p>
    <w:p w14:paraId="6AD59AD6" w14:textId="77777777" w:rsidR="00764B26" w:rsidRDefault="00E11A8B">
      <w:pPr>
        <w:spacing w:line="240" w:lineRule="auto"/>
        <w:jc w:val="both"/>
      </w:pPr>
      <w:r>
        <w:t>This work was supported by an ESRC IAA Strategic Partnership grant.</w:t>
      </w:r>
    </w:p>
    <w:p w14:paraId="1FA202D3" w14:textId="77777777" w:rsidR="00764B26" w:rsidRDefault="00764B26">
      <w:pPr>
        <w:sectPr w:rsidR="00764B26">
          <w:type w:val="continuous"/>
          <w:pgSz w:w="11906" w:h="16838"/>
          <w:pgMar w:top="1440" w:right="1440" w:bottom="1440" w:left="1440" w:header="0" w:footer="708" w:gutter="0"/>
          <w:cols w:space="720"/>
          <w:formProt w:val="0"/>
          <w:docGrid w:linePitch="312" w:charSpace="1842"/>
        </w:sectPr>
      </w:pPr>
    </w:p>
    <w:p w14:paraId="018C80F7" w14:textId="324D37BB" w:rsidR="005C742C" w:rsidRPr="002F627D" w:rsidRDefault="00E11A8B" w:rsidP="002F627D">
      <w:pPr>
        <w:rPr>
          <w:b/>
          <w:sz w:val="24"/>
          <w:szCs w:val="24"/>
        </w:rPr>
      </w:pPr>
      <w:r>
        <w:rPr>
          <w:b/>
          <w:sz w:val="24"/>
          <w:szCs w:val="24"/>
        </w:rPr>
        <w:t xml:space="preserve">References </w:t>
      </w:r>
    </w:p>
    <w:p w14:paraId="54BEF5F7" w14:textId="6D162025" w:rsidR="005C742C" w:rsidRPr="006E4AE0" w:rsidRDefault="0025331C">
      <w:pPr>
        <w:jc w:val="both"/>
        <w:rPr>
          <w:rFonts w:ascii="Calibri" w:hAnsi="Calibri" w:cs="Calibri"/>
        </w:rPr>
      </w:pPr>
      <w:proofErr w:type="spellStart"/>
      <w:r w:rsidRPr="006E4AE0">
        <w:rPr>
          <w:rFonts w:ascii="Calibri" w:hAnsi="Calibri" w:cs="Calibri"/>
          <w:color w:val="333333"/>
          <w:shd w:val="clear" w:color="auto" w:fill="FCFCFC"/>
        </w:rPr>
        <w:t>Andersson</w:t>
      </w:r>
      <w:proofErr w:type="spellEnd"/>
      <w:r w:rsidRPr="006E4AE0">
        <w:rPr>
          <w:rFonts w:ascii="Calibri" w:hAnsi="Calibri" w:cs="Calibri"/>
          <w:color w:val="333333"/>
          <w:shd w:val="clear" w:color="auto" w:fill="FCFCFC"/>
        </w:rPr>
        <w:t>, R.</w:t>
      </w:r>
      <w:r w:rsidR="005C742C" w:rsidRPr="006E4AE0">
        <w:rPr>
          <w:rFonts w:ascii="Calibri" w:hAnsi="Calibri" w:cs="Calibri"/>
          <w:color w:val="333333"/>
          <w:shd w:val="clear" w:color="auto" w:fill="FCFCFC"/>
        </w:rPr>
        <w:t xml:space="preserve"> </w:t>
      </w:r>
      <w:r w:rsidRPr="006E4AE0">
        <w:rPr>
          <w:rFonts w:ascii="Calibri" w:hAnsi="Calibri" w:cs="Calibri"/>
          <w:color w:val="333333"/>
          <w:shd w:val="clear" w:color="auto" w:fill="FCFCFC"/>
        </w:rPr>
        <w:t xml:space="preserve">&amp; </w:t>
      </w:r>
      <w:proofErr w:type="spellStart"/>
      <w:r w:rsidR="005C742C" w:rsidRPr="006E4AE0">
        <w:rPr>
          <w:rFonts w:ascii="Calibri" w:hAnsi="Calibri" w:cs="Calibri"/>
          <w:color w:val="333333"/>
          <w:shd w:val="clear" w:color="auto" w:fill="FCFCFC"/>
        </w:rPr>
        <w:t>Wahlgren</w:t>
      </w:r>
      <w:proofErr w:type="spellEnd"/>
      <w:r w:rsidR="005C742C" w:rsidRPr="006E4AE0">
        <w:rPr>
          <w:rFonts w:ascii="Calibri" w:hAnsi="Calibri" w:cs="Calibri"/>
          <w:color w:val="333333"/>
          <w:shd w:val="clear" w:color="auto" w:fill="FCFCFC"/>
        </w:rPr>
        <w:t xml:space="preserve">, P. </w:t>
      </w:r>
      <w:r w:rsidRPr="006E4AE0">
        <w:rPr>
          <w:rFonts w:ascii="Calibri" w:hAnsi="Calibri" w:cs="Calibri"/>
          <w:color w:val="333333"/>
          <w:shd w:val="clear" w:color="auto" w:fill="FCFCFC"/>
        </w:rPr>
        <w:t xml:space="preserve">(2022) </w:t>
      </w:r>
      <w:r w:rsidR="005C742C" w:rsidRPr="006E4AE0">
        <w:rPr>
          <w:rFonts w:ascii="Calibri" w:hAnsi="Calibri" w:cs="Calibri"/>
          <w:color w:val="333333"/>
          <w:shd w:val="clear" w:color="auto" w:fill="FCFCFC"/>
        </w:rPr>
        <w:t>Local crime prevention work: cultivating a political profile at a municipal level. </w:t>
      </w:r>
      <w:r w:rsidR="005C742C" w:rsidRPr="006E4AE0">
        <w:rPr>
          <w:rFonts w:ascii="Calibri" w:hAnsi="Calibri" w:cs="Calibri"/>
          <w:i/>
          <w:iCs/>
          <w:color w:val="333333"/>
          <w:shd w:val="clear" w:color="auto" w:fill="FCFCFC"/>
        </w:rPr>
        <w:t>Crime Prev</w:t>
      </w:r>
      <w:r w:rsidRPr="006E4AE0">
        <w:rPr>
          <w:rFonts w:ascii="Calibri" w:hAnsi="Calibri" w:cs="Calibri"/>
          <w:i/>
          <w:iCs/>
          <w:color w:val="333333"/>
          <w:shd w:val="clear" w:color="auto" w:fill="FCFCFC"/>
        </w:rPr>
        <w:t>ention &amp;</w:t>
      </w:r>
      <w:r w:rsidR="005C742C" w:rsidRPr="006E4AE0">
        <w:rPr>
          <w:rFonts w:ascii="Calibri" w:hAnsi="Calibri" w:cs="Calibri"/>
          <w:i/>
          <w:iCs/>
          <w:color w:val="333333"/>
          <w:shd w:val="clear" w:color="auto" w:fill="FCFCFC"/>
        </w:rPr>
        <w:t xml:space="preserve"> Community Saf</w:t>
      </w:r>
      <w:r w:rsidRPr="006E4AE0">
        <w:rPr>
          <w:rFonts w:ascii="Calibri" w:hAnsi="Calibri" w:cs="Calibri"/>
          <w:i/>
          <w:iCs/>
          <w:color w:val="333333"/>
          <w:shd w:val="clear" w:color="auto" w:fill="FCFCFC"/>
        </w:rPr>
        <w:t xml:space="preserve">ety </w:t>
      </w:r>
      <w:r w:rsidR="005C742C" w:rsidRPr="006E4AE0">
        <w:rPr>
          <w:rFonts w:ascii="Calibri" w:hAnsi="Calibri" w:cs="Calibri"/>
          <w:color w:val="333333"/>
          <w:shd w:val="clear" w:color="auto" w:fill="FCFCFC"/>
        </w:rPr>
        <w:t> </w:t>
      </w:r>
      <w:r w:rsidR="005C742C" w:rsidRPr="006E4AE0">
        <w:rPr>
          <w:rFonts w:ascii="Calibri" w:hAnsi="Calibri" w:cs="Calibri"/>
          <w:b/>
          <w:bCs/>
          <w:color w:val="333333"/>
          <w:shd w:val="clear" w:color="auto" w:fill="FCFCFC"/>
        </w:rPr>
        <w:t>24, </w:t>
      </w:r>
      <w:r w:rsidR="005C742C" w:rsidRPr="006E4AE0">
        <w:rPr>
          <w:rFonts w:ascii="Calibri" w:hAnsi="Calibri" w:cs="Calibri"/>
          <w:color w:val="333333"/>
          <w:shd w:val="clear" w:color="auto" w:fill="FCFCFC"/>
        </w:rPr>
        <w:t>78–92. https://doi.org/10.1057/s41300-021-00133-x</w:t>
      </w:r>
    </w:p>
    <w:p w14:paraId="7E611B85" w14:textId="51235D4B" w:rsidR="00764B26" w:rsidRDefault="00E11A8B">
      <w:pPr>
        <w:jc w:val="both"/>
      </w:pPr>
      <w:r>
        <w:rPr>
          <w:rFonts w:cstheme="minorHAnsi"/>
        </w:rPr>
        <w:t xml:space="preserve">Bath, R. &amp; O’ Moore, E. (2019) </w:t>
      </w:r>
      <w:r>
        <w:rPr>
          <w:rFonts w:cstheme="minorHAnsi"/>
          <w:i/>
        </w:rPr>
        <w:t>A whole-system multi-agency approach to serious violence prevention A resource for local system leaders in England.</w:t>
      </w:r>
      <w:r>
        <w:rPr>
          <w:rFonts w:cstheme="minorHAnsi"/>
        </w:rPr>
        <w:t xml:space="preserve"> Public Health England. </w:t>
      </w:r>
      <w:hyperlink r:id="rId9">
        <w:r>
          <w:rPr>
            <w:rStyle w:val="InternetLink"/>
            <w:rFonts w:cstheme="minorHAnsi"/>
          </w:rPr>
          <w:t>e-link to report</w:t>
        </w:r>
      </w:hyperlink>
      <w:r>
        <w:rPr>
          <w:rFonts w:cstheme="minorHAnsi"/>
        </w:rPr>
        <w:t xml:space="preserve"> [accessed 19th April 2022]. </w:t>
      </w:r>
    </w:p>
    <w:p w14:paraId="6E69AC48" w14:textId="77777777" w:rsidR="00764B26" w:rsidRDefault="00E11A8B">
      <w:pPr>
        <w:jc w:val="both"/>
      </w:pPr>
      <w:r>
        <w:rPr>
          <w:rFonts w:cstheme="minorHAnsi"/>
        </w:rPr>
        <w:t xml:space="preserve">Berry, G., Briggs, P., </w:t>
      </w:r>
      <w:proofErr w:type="spellStart"/>
      <w:r>
        <w:rPr>
          <w:rFonts w:cstheme="minorHAnsi"/>
        </w:rPr>
        <w:t>Erol</w:t>
      </w:r>
      <w:proofErr w:type="spellEnd"/>
      <w:r>
        <w:rPr>
          <w:rFonts w:cstheme="minorHAnsi"/>
        </w:rPr>
        <w:t xml:space="preserve">, R. &amp; van </w:t>
      </w:r>
      <w:proofErr w:type="spellStart"/>
      <w:r>
        <w:rPr>
          <w:rFonts w:cstheme="minorHAnsi"/>
        </w:rPr>
        <w:t>Staden</w:t>
      </w:r>
      <w:proofErr w:type="spellEnd"/>
      <w:r>
        <w:rPr>
          <w:rFonts w:cstheme="minorHAnsi"/>
        </w:rPr>
        <w:t xml:space="preserve">, L. (2009) </w:t>
      </w:r>
      <w:r>
        <w:rPr>
          <w:rFonts w:cstheme="minorHAnsi"/>
          <w:i/>
        </w:rPr>
        <w:t xml:space="preserve">The effectiveness of partnership working in a crime and disorder context A rapid evidence assessment. </w:t>
      </w:r>
      <w:r>
        <w:rPr>
          <w:rFonts w:cstheme="minorHAnsi"/>
        </w:rPr>
        <w:t>Home Office Research Report 52.</w:t>
      </w:r>
      <w:r>
        <w:rPr>
          <w:rFonts w:cstheme="minorHAnsi"/>
          <w:i/>
        </w:rPr>
        <w:t xml:space="preserve">  </w:t>
      </w:r>
      <w:r>
        <w:rPr>
          <w:rFonts w:cstheme="minorHAnsi"/>
        </w:rPr>
        <w:t xml:space="preserve"> </w:t>
      </w:r>
      <w:hyperlink r:id="rId10">
        <w:r>
          <w:rPr>
            <w:rStyle w:val="InternetLink"/>
            <w:rFonts w:cstheme="minorHAnsi"/>
          </w:rPr>
          <w:t>e-link to report</w:t>
        </w:r>
      </w:hyperlink>
      <w:r>
        <w:rPr>
          <w:rFonts w:cstheme="minorHAnsi"/>
        </w:rPr>
        <w:t xml:space="preserve"> (accessed 19th April 2022).</w:t>
      </w:r>
    </w:p>
    <w:p w14:paraId="670346CE" w14:textId="4614918D" w:rsidR="00764B26" w:rsidRDefault="00E11A8B">
      <w:pPr>
        <w:jc w:val="both"/>
        <w:rPr>
          <w:rFonts w:cstheme="minorHAnsi"/>
        </w:rPr>
      </w:pPr>
      <w:proofErr w:type="spellStart"/>
      <w:r>
        <w:t>Craston</w:t>
      </w:r>
      <w:proofErr w:type="spellEnd"/>
      <w:r>
        <w:t xml:space="preserve">, M., Balfour, R., Henley, M., Baxendale, J. &amp; Fullick, S.  (2020) </w:t>
      </w:r>
      <w:r>
        <w:rPr>
          <w:i/>
        </w:rPr>
        <w:t>Process evaluation of the Violence Reduction Units,</w:t>
      </w:r>
      <w:r>
        <w:t xml:space="preserve"> Research Report 116. London: Home Office. </w:t>
      </w:r>
      <w:hyperlink r:id="rId11">
        <w:r>
          <w:rPr>
            <w:rStyle w:val="InternetLink"/>
            <w:rFonts w:cstheme="minorHAnsi"/>
          </w:rPr>
          <w:t>https://assets.publishing.service.gov.uk/government/uploads/system/uploads/attachment_data/file/910822/process-evaluation-of-the-violence-reduction-units-horr116.pdf</w:t>
        </w:r>
      </w:hyperlink>
      <w:r>
        <w:rPr>
          <w:rFonts w:cstheme="minorHAnsi"/>
        </w:rPr>
        <w:t xml:space="preserve"> (Accessed 15th January 2021).</w:t>
      </w:r>
    </w:p>
    <w:p w14:paraId="1E20A39B" w14:textId="58C89BB5" w:rsidR="00821EAF" w:rsidRDefault="00821EAF">
      <w:pPr>
        <w:jc w:val="both"/>
      </w:pPr>
      <w:r>
        <w:rPr>
          <w:rFonts w:cstheme="minorHAnsi"/>
        </w:rPr>
        <w:lastRenderedPageBreak/>
        <w:t xml:space="preserve">Crawford, A. (1998) </w:t>
      </w:r>
      <w:r w:rsidRPr="006E4AE0">
        <w:rPr>
          <w:rFonts w:cstheme="minorHAnsi"/>
          <w:i/>
        </w:rPr>
        <w:t>Crime Prevention and Community Safety: Politics, Policies &amp; Practices.</w:t>
      </w:r>
      <w:r>
        <w:rPr>
          <w:rFonts w:cstheme="minorHAnsi"/>
        </w:rPr>
        <w:t xml:space="preserve"> London: Longman.  </w:t>
      </w:r>
    </w:p>
    <w:p w14:paraId="02A61254" w14:textId="77777777" w:rsidR="00764B26" w:rsidRDefault="00E11A8B">
      <w:pPr>
        <w:jc w:val="both"/>
      </w:pPr>
      <w:proofErr w:type="spellStart"/>
      <w:r>
        <w:rPr>
          <w:rFonts w:cstheme="minorHAnsi"/>
        </w:rPr>
        <w:t>Grimshaw</w:t>
      </w:r>
      <w:proofErr w:type="spellEnd"/>
      <w:r>
        <w:rPr>
          <w:rFonts w:cstheme="minorHAnsi"/>
        </w:rPr>
        <w:t xml:space="preserve">, R. &amp; Ford, M. (2018). </w:t>
      </w:r>
      <w:r>
        <w:rPr>
          <w:rFonts w:cstheme="minorHAnsi"/>
          <w:i/>
        </w:rPr>
        <w:t>Young people, violence and knives – revisiting the evidence and policy discussions.</w:t>
      </w:r>
      <w:r>
        <w:rPr>
          <w:rFonts w:cstheme="minorHAnsi"/>
        </w:rPr>
        <w:t xml:space="preserve"> UK Justice Policy Review Focus Issues 3. Centre for Crime and Justice Studies. </w:t>
      </w:r>
      <w:hyperlink r:id="rId12">
        <w:r>
          <w:rPr>
            <w:rStyle w:val="InternetLink"/>
            <w:rFonts w:cstheme="minorHAnsi"/>
          </w:rPr>
          <w:t>https://www.crimeandjustice.org.uk/publications/young-people-violence-and-knives-revisiting-evidence-and-policy-discussions</w:t>
        </w:r>
      </w:hyperlink>
      <w:r>
        <w:rPr>
          <w:rFonts w:cstheme="minorHAnsi"/>
        </w:rPr>
        <w:t xml:space="preserve"> (Accessed 22nd January 2021).</w:t>
      </w:r>
    </w:p>
    <w:p w14:paraId="4FE1203A" w14:textId="77777777" w:rsidR="00764B26" w:rsidRDefault="00E11A8B">
      <w:pPr>
        <w:jc w:val="both"/>
      </w:pPr>
      <w:r>
        <w:rPr>
          <w:rFonts w:cstheme="minorHAnsi"/>
        </w:rPr>
        <w:t xml:space="preserve">Home Office (2018) </w:t>
      </w:r>
      <w:r>
        <w:rPr>
          <w:rFonts w:cstheme="minorHAnsi"/>
          <w:i/>
        </w:rPr>
        <w:t>Serious Violence Strategy April 2018.</w:t>
      </w:r>
      <w:r>
        <w:rPr>
          <w:rFonts w:cstheme="minorHAnsi"/>
        </w:rPr>
        <w:t xml:space="preserve"> London: Home Office.</w:t>
      </w:r>
      <w:r>
        <w:rPr>
          <w:rFonts w:cstheme="minorHAnsi"/>
          <w:b/>
        </w:rPr>
        <w:t xml:space="preserve"> </w:t>
      </w:r>
      <w:hyperlink r:id="rId13">
        <w:r>
          <w:rPr>
            <w:rStyle w:val="InternetLink"/>
            <w:rFonts w:cstheme="minorHAnsi"/>
          </w:rPr>
          <w:t>e-link to strategy</w:t>
        </w:r>
      </w:hyperlink>
      <w:r>
        <w:rPr>
          <w:rFonts w:cstheme="minorHAnsi"/>
        </w:rPr>
        <w:t xml:space="preserve"> (accessed 19th April 2022)</w:t>
      </w:r>
    </w:p>
    <w:p w14:paraId="0A9E27FE" w14:textId="77777777" w:rsidR="00764B26" w:rsidRDefault="00E11A8B">
      <w:pPr>
        <w:jc w:val="both"/>
      </w:pPr>
      <w:r>
        <w:rPr>
          <w:rFonts w:cstheme="minorHAnsi"/>
        </w:rPr>
        <w:t xml:space="preserve">Home Office (2019) </w:t>
      </w:r>
      <w:r>
        <w:rPr>
          <w:rFonts w:cstheme="minorHAnsi"/>
          <w:i/>
        </w:rPr>
        <w:t xml:space="preserve">Consultation on a new legal duty to support a multi-agency approach to preventing and tackling serious violence Government response. </w:t>
      </w:r>
      <w:hyperlink r:id="rId14">
        <w:r>
          <w:rPr>
            <w:rStyle w:val="InternetLink"/>
            <w:rFonts w:cstheme="minorHAnsi"/>
          </w:rPr>
          <w:t>e-link to report</w:t>
        </w:r>
      </w:hyperlink>
      <w:r>
        <w:rPr>
          <w:rFonts w:cstheme="minorHAnsi"/>
          <w:i/>
        </w:rPr>
        <w:t xml:space="preserve"> </w:t>
      </w:r>
      <w:r>
        <w:rPr>
          <w:rFonts w:cstheme="minorHAnsi"/>
        </w:rPr>
        <w:t>(accessed 19th April 2022).</w:t>
      </w:r>
    </w:p>
    <w:p w14:paraId="7070E35C" w14:textId="77777777" w:rsidR="00764B26" w:rsidRDefault="00E11A8B">
      <w:pPr>
        <w:jc w:val="both"/>
      </w:pPr>
      <w:r>
        <w:rPr>
          <w:rFonts w:cstheme="minorHAnsi"/>
        </w:rPr>
        <w:t xml:space="preserve">Home Office (2021) </w:t>
      </w:r>
      <w:r>
        <w:rPr>
          <w:rFonts w:cstheme="minorHAnsi"/>
          <w:i/>
        </w:rPr>
        <w:t>Serious Violence Duty Preventing and reducing serious violence Draft Guidance for responsible authorities. Draft Guidance for Responsible Authorities</w:t>
      </w:r>
      <w:r>
        <w:rPr>
          <w:rFonts w:cstheme="minorHAnsi"/>
        </w:rPr>
        <w:t xml:space="preserve"> [accessed 18</w:t>
      </w:r>
      <w:r>
        <w:rPr>
          <w:rFonts w:cstheme="minorHAnsi"/>
          <w:vertAlign w:val="superscript"/>
        </w:rPr>
        <w:t>th</w:t>
      </w:r>
      <w:r>
        <w:rPr>
          <w:rFonts w:cstheme="minorHAnsi"/>
        </w:rPr>
        <w:t xml:space="preserve"> April 2022). </w:t>
      </w:r>
      <w:hyperlink r:id="rId15">
        <w:r>
          <w:rPr>
            <w:rStyle w:val="InternetLink"/>
            <w:rFonts w:cstheme="minorHAnsi"/>
          </w:rPr>
          <w:t xml:space="preserve">e-link to report </w:t>
        </w:r>
      </w:hyperlink>
      <w:r>
        <w:rPr>
          <w:rStyle w:val="InternetLink"/>
          <w:rFonts w:cstheme="minorHAnsi"/>
          <w:b/>
        </w:rPr>
        <w:t xml:space="preserve"> </w:t>
      </w:r>
    </w:p>
    <w:p w14:paraId="6634E264" w14:textId="02434796" w:rsidR="00764B26" w:rsidRDefault="00E11A8B">
      <w:pPr>
        <w:jc w:val="both"/>
        <w:rPr>
          <w:rFonts w:cstheme="minorHAnsi"/>
        </w:rPr>
      </w:pPr>
      <w:proofErr w:type="spellStart"/>
      <w:r>
        <w:rPr>
          <w:rStyle w:val="InternetLink"/>
          <w:rFonts w:cstheme="minorHAnsi"/>
          <w:color w:val="auto"/>
          <w:u w:val="none"/>
        </w:rPr>
        <w:t>Homel</w:t>
      </w:r>
      <w:proofErr w:type="spellEnd"/>
      <w:r>
        <w:rPr>
          <w:rStyle w:val="InternetLink"/>
          <w:rFonts w:cstheme="minorHAnsi"/>
          <w:color w:val="auto"/>
          <w:u w:val="none"/>
        </w:rPr>
        <w:t>, P. &amp; Brown, R. (2017) ‘Implementation: partnership and leverage in crime prevention’. In N. Tilley &amp; A. Sidebottom. (</w:t>
      </w:r>
      <w:proofErr w:type="spellStart"/>
      <w:r>
        <w:rPr>
          <w:rStyle w:val="InternetLink"/>
          <w:rFonts w:cstheme="minorHAnsi"/>
          <w:color w:val="auto"/>
          <w:u w:val="none"/>
        </w:rPr>
        <w:t>eds</w:t>
      </w:r>
      <w:proofErr w:type="spellEnd"/>
      <w:r>
        <w:rPr>
          <w:rStyle w:val="InternetLink"/>
          <w:rFonts w:cstheme="minorHAnsi"/>
          <w:color w:val="auto"/>
          <w:u w:val="none"/>
        </w:rPr>
        <w:t xml:space="preserve">) </w:t>
      </w:r>
      <w:r>
        <w:rPr>
          <w:rStyle w:val="InternetLink"/>
          <w:rFonts w:cstheme="minorHAnsi"/>
          <w:i/>
          <w:color w:val="auto"/>
          <w:u w:val="none"/>
        </w:rPr>
        <w:t>Crime Prevention and Community Safety</w:t>
      </w:r>
      <w:r>
        <w:rPr>
          <w:rStyle w:val="InternetLink"/>
          <w:rFonts w:cstheme="minorHAnsi"/>
          <w:color w:val="auto"/>
          <w:u w:val="none"/>
        </w:rPr>
        <w:t xml:space="preserve">, Second Edition. London, Routledge, 536-560. </w:t>
      </w:r>
      <w:r w:rsidR="00B913FA">
        <w:rPr>
          <w:rFonts w:cstheme="minorHAnsi"/>
        </w:rPr>
        <w:t>Krug, E, G.</w:t>
      </w:r>
      <w:r>
        <w:rPr>
          <w:rFonts w:cstheme="minorHAnsi"/>
        </w:rPr>
        <w:t xml:space="preserve">, Dahlberg, L.L., Mercy, J. A., </w:t>
      </w:r>
      <w:proofErr w:type="spellStart"/>
      <w:r>
        <w:rPr>
          <w:rFonts w:cstheme="minorHAnsi"/>
        </w:rPr>
        <w:t>Zwi</w:t>
      </w:r>
      <w:proofErr w:type="spellEnd"/>
      <w:r>
        <w:rPr>
          <w:rFonts w:cstheme="minorHAnsi"/>
        </w:rPr>
        <w:t xml:space="preserve">, A.B. &amp; Lozano, R. (2002) World report on violence and health: World Health Organization </w:t>
      </w:r>
      <w:hyperlink r:id="rId16">
        <w:r>
          <w:rPr>
            <w:rStyle w:val="InternetLink"/>
            <w:rFonts w:cstheme="minorHAnsi"/>
          </w:rPr>
          <w:t>e-link to report</w:t>
        </w:r>
      </w:hyperlink>
      <w:r>
        <w:rPr>
          <w:rFonts w:cstheme="minorHAnsi"/>
        </w:rPr>
        <w:t xml:space="preserve"> [Accessed 18</w:t>
      </w:r>
      <w:r>
        <w:rPr>
          <w:rFonts w:cstheme="minorHAnsi"/>
          <w:vertAlign w:val="superscript"/>
        </w:rPr>
        <w:t>th</w:t>
      </w:r>
      <w:r>
        <w:rPr>
          <w:rFonts w:cstheme="minorHAnsi"/>
        </w:rPr>
        <w:t xml:space="preserve"> April 2022].   </w:t>
      </w:r>
    </w:p>
    <w:p w14:paraId="42746E2F" w14:textId="259E132A" w:rsidR="00D43735" w:rsidRDefault="00D43735">
      <w:pPr>
        <w:jc w:val="both"/>
        <w:rPr>
          <w:rFonts w:cstheme="minorHAnsi"/>
        </w:rPr>
      </w:pPr>
      <w:proofErr w:type="spellStart"/>
      <w:r>
        <w:rPr>
          <w:rFonts w:cstheme="minorHAnsi"/>
        </w:rPr>
        <w:t>Rosebaum</w:t>
      </w:r>
      <w:proofErr w:type="spellEnd"/>
      <w:r>
        <w:rPr>
          <w:rFonts w:cstheme="minorHAnsi"/>
        </w:rPr>
        <w:t xml:space="preserve">, D. &amp; </w:t>
      </w:r>
      <w:proofErr w:type="spellStart"/>
      <w:r>
        <w:rPr>
          <w:rFonts w:cstheme="minorHAnsi"/>
        </w:rPr>
        <w:t>Schuck</w:t>
      </w:r>
      <w:proofErr w:type="spellEnd"/>
      <w:r>
        <w:rPr>
          <w:rFonts w:cstheme="minorHAnsi"/>
        </w:rPr>
        <w:t>, A. (2012) ‘Comprehensive Community Partnerships for Preventing Crime’. In B, Welsh. &amp; D. Farrington (</w:t>
      </w:r>
      <w:proofErr w:type="spellStart"/>
      <w:r>
        <w:rPr>
          <w:rFonts w:cstheme="minorHAnsi"/>
        </w:rPr>
        <w:t>eds</w:t>
      </w:r>
      <w:proofErr w:type="spellEnd"/>
      <w:r>
        <w:rPr>
          <w:rFonts w:cstheme="minorHAnsi"/>
        </w:rPr>
        <w:t xml:space="preserve">) </w:t>
      </w:r>
      <w:r w:rsidRPr="006E4AE0">
        <w:rPr>
          <w:rFonts w:cstheme="minorHAnsi"/>
          <w:i/>
        </w:rPr>
        <w:t>The Oxford handbook of Crime Prevention.</w:t>
      </w:r>
      <w:r>
        <w:rPr>
          <w:rFonts w:cstheme="minorHAnsi"/>
        </w:rPr>
        <w:t xml:space="preserve"> Oxford: Oxford University Press. Pp 226-247. </w:t>
      </w:r>
    </w:p>
    <w:p w14:paraId="3C51EE0D" w14:textId="19D66C39" w:rsidR="00B913FA" w:rsidRDefault="00B913FA">
      <w:pPr>
        <w:jc w:val="both"/>
      </w:pPr>
      <w:r>
        <w:rPr>
          <w:rFonts w:cstheme="minorHAnsi"/>
        </w:rPr>
        <w:t>Scottish Violence Reduction Unit (</w:t>
      </w:r>
      <w:proofErr w:type="spellStart"/>
      <w:r>
        <w:rPr>
          <w:rFonts w:cstheme="minorHAnsi"/>
        </w:rPr>
        <w:t>nd</w:t>
      </w:r>
      <w:proofErr w:type="spellEnd"/>
      <w:r>
        <w:rPr>
          <w:rFonts w:cstheme="minorHAnsi"/>
        </w:rPr>
        <w:t xml:space="preserve">) Scottish Violence Reduction Unit Webpages: </w:t>
      </w:r>
      <w:hyperlink r:id="rId17" w:history="1">
        <w:r w:rsidRPr="006D38AD">
          <w:rPr>
            <w:rStyle w:val="Hyperlink"/>
            <w:rFonts w:cstheme="minorHAnsi"/>
          </w:rPr>
          <w:t>http://www.svru.co.uk/</w:t>
        </w:r>
      </w:hyperlink>
      <w:r>
        <w:rPr>
          <w:rFonts w:cstheme="minorHAnsi"/>
        </w:rPr>
        <w:t xml:space="preserve"> (Accessed 3</w:t>
      </w:r>
      <w:r w:rsidRPr="00B913FA">
        <w:rPr>
          <w:rFonts w:cstheme="minorHAnsi"/>
          <w:vertAlign w:val="superscript"/>
        </w:rPr>
        <w:t>rd</w:t>
      </w:r>
      <w:r>
        <w:rPr>
          <w:rFonts w:cstheme="minorHAnsi"/>
        </w:rPr>
        <w:t xml:space="preserve"> August 2021).</w:t>
      </w:r>
    </w:p>
    <w:p w14:paraId="15DE0646" w14:textId="12C659BA" w:rsidR="00764B26" w:rsidRPr="006E4AE0" w:rsidRDefault="00E11A8B">
      <w:pPr>
        <w:jc w:val="both"/>
        <w:rPr>
          <w:rStyle w:val="InternetLink"/>
          <w:rFonts w:ascii="Calibri" w:hAnsi="Calibri" w:cs="Calibri"/>
        </w:rPr>
      </w:pPr>
      <w:r w:rsidRPr="006E4AE0">
        <w:rPr>
          <w:rFonts w:ascii="Calibri" w:hAnsi="Calibri" w:cs="Calibri"/>
        </w:rPr>
        <w:t xml:space="preserve">Sherman, L., </w:t>
      </w:r>
      <w:proofErr w:type="spellStart"/>
      <w:r w:rsidRPr="006E4AE0">
        <w:rPr>
          <w:rFonts w:ascii="Calibri" w:hAnsi="Calibri" w:cs="Calibri"/>
        </w:rPr>
        <w:t>Neyroud</w:t>
      </w:r>
      <w:proofErr w:type="spellEnd"/>
      <w:r w:rsidRPr="006E4AE0">
        <w:rPr>
          <w:rFonts w:ascii="Calibri" w:hAnsi="Calibri" w:cs="Calibri"/>
        </w:rPr>
        <w:t xml:space="preserve">, P. &amp; </w:t>
      </w:r>
      <w:proofErr w:type="spellStart"/>
      <w:r w:rsidRPr="006E4AE0">
        <w:rPr>
          <w:rFonts w:ascii="Calibri" w:hAnsi="Calibri" w:cs="Calibri"/>
        </w:rPr>
        <w:t>Neyroud</w:t>
      </w:r>
      <w:proofErr w:type="spellEnd"/>
      <w:r w:rsidRPr="006E4AE0">
        <w:rPr>
          <w:rFonts w:ascii="Calibri" w:hAnsi="Calibri" w:cs="Calibri"/>
        </w:rPr>
        <w:t>, E. (2016) ‘The Cambridge Crime Harm Index: Measuring Total Harm from Crime Based on Sentencing Guidelines’, </w:t>
      </w:r>
      <w:r w:rsidRPr="006E4AE0">
        <w:rPr>
          <w:rFonts w:ascii="Calibri" w:hAnsi="Calibri" w:cs="Calibri"/>
          <w:i/>
        </w:rPr>
        <w:t>Policing: A Journal of Policy and Practice</w:t>
      </w:r>
      <w:r w:rsidRPr="006E4AE0">
        <w:rPr>
          <w:rFonts w:ascii="Calibri" w:hAnsi="Calibri" w:cs="Calibri"/>
        </w:rPr>
        <w:t>, Volume 10, Issue 3, pp. 171–183, </w:t>
      </w:r>
      <w:hyperlink r:id="rId18">
        <w:r w:rsidRPr="006E4AE0">
          <w:rPr>
            <w:rStyle w:val="InternetLink"/>
            <w:rFonts w:ascii="Calibri" w:hAnsi="Calibri" w:cs="Calibri"/>
          </w:rPr>
          <w:t>https://doi.org/10.1093/police/paw003</w:t>
        </w:r>
      </w:hyperlink>
    </w:p>
    <w:p w14:paraId="5E6CEC8A" w14:textId="485ABAED" w:rsidR="0025331C" w:rsidRPr="006E4AE0" w:rsidRDefault="0025331C">
      <w:pPr>
        <w:jc w:val="both"/>
        <w:rPr>
          <w:rStyle w:val="InternetLink"/>
          <w:rFonts w:ascii="Calibri" w:hAnsi="Calibri" w:cs="Calibri"/>
        </w:rPr>
      </w:pPr>
      <w:r w:rsidRPr="006E4AE0">
        <w:rPr>
          <w:rFonts w:ascii="Calibri" w:hAnsi="Calibri" w:cs="Calibri"/>
          <w:color w:val="333333"/>
          <w:shd w:val="clear" w:color="auto" w:fill="FCFCFC"/>
        </w:rPr>
        <w:t>Tierney, J. (2001) Audits of Crime and Disorder: Some Lessons from Research. </w:t>
      </w:r>
      <w:r w:rsidRPr="006E4AE0">
        <w:rPr>
          <w:rFonts w:ascii="Calibri" w:hAnsi="Calibri" w:cs="Calibri"/>
          <w:i/>
          <w:iCs/>
          <w:color w:val="333333"/>
          <w:shd w:val="clear" w:color="auto" w:fill="FCFCFC"/>
        </w:rPr>
        <w:t xml:space="preserve">Crime Prevention and Community Safety </w:t>
      </w:r>
      <w:r w:rsidRPr="006E4AE0">
        <w:rPr>
          <w:rFonts w:ascii="Calibri" w:hAnsi="Calibri" w:cs="Calibri"/>
          <w:color w:val="333333"/>
          <w:shd w:val="clear" w:color="auto" w:fill="FCFCFC"/>
        </w:rPr>
        <w:t> </w:t>
      </w:r>
      <w:r w:rsidRPr="006E4AE0">
        <w:rPr>
          <w:rFonts w:ascii="Calibri" w:hAnsi="Calibri" w:cs="Calibri"/>
          <w:b/>
          <w:bCs/>
          <w:color w:val="333333"/>
          <w:shd w:val="clear" w:color="auto" w:fill="FCFCFC"/>
        </w:rPr>
        <w:t>3, </w:t>
      </w:r>
      <w:r w:rsidRPr="006E4AE0">
        <w:rPr>
          <w:rFonts w:ascii="Calibri" w:hAnsi="Calibri" w:cs="Calibri"/>
          <w:color w:val="333333"/>
          <w:shd w:val="clear" w:color="auto" w:fill="FCFCFC"/>
        </w:rPr>
        <w:t>7–17. https://doi.org/10.1057/palgrave.cpcs.8140086</w:t>
      </w:r>
    </w:p>
    <w:p w14:paraId="6C455862" w14:textId="77777777" w:rsidR="00E47969" w:rsidRDefault="00D43735">
      <w:pPr>
        <w:jc w:val="both"/>
        <w:rPr>
          <w:rStyle w:val="InternetLink"/>
          <w:rFonts w:ascii="Calibri" w:hAnsi="Calibri" w:cs="Calibri"/>
          <w:color w:val="auto"/>
          <w:u w:val="none"/>
        </w:rPr>
      </w:pPr>
      <w:r w:rsidRPr="006E4AE0">
        <w:rPr>
          <w:rStyle w:val="InternetLink"/>
          <w:rFonts w:ascii="Calibri" w:hAnsi="Calibri" w:cs="Calibri"/>
          <w:color w:val="auto"/>
          <w:u w:val="none"/>
        </w:rPr>
        <w:t>Tilley, N. (2002) ‘Crime Prevention in Britain, 1975-2010: breaking out, breaking in and breaking down’. In G, Hughes., E, McLaughlin. &amp; J, Muncie. (</w:t>
      </w:r>
      <w:proofErr w:type="spellStart"/>
      <w:r w:rsidRPr="006E4AE0">
        <w:rPr>
          <w:rStyle w:val="InternetLink"/>
          <w:rFonts w:ascii="Calibri" w:hAnsi="Calibri" w:cs="Calibri"/>
          <w:color w:val="auto"/>
          <w:u w:val="none"/>
        </w:rPr>
        <w:t>eds</w:t>
      </w:r>
      <w:proofErr w:type="spellEnd"/>
      <w:r w:rsidRPr="006E4AE0">
        <w:rPr>
          <w:rStyle w:val="InternetLink"/>
          <w:rFonts w:ascii="Calibri" w:hAnsi="Calibri" w:cs="Calibri"/>
          <w:color w:val="auto"/>
          <w:u w:val="none"/>
        </w:rPr>
        <w:t xml:space="preserve">). </w:t>
      </w:r>
      <w:r w:rsidRPr="006E4AE0">
        <w:rPr>
          <w:rStyle w:val="InternetLink"/>
          <w:rFonts w:ascii="Calibri" w:hAnsi="Calibri" w:cs="Calibri"/>
          <w:i/>
          <w:color w:val="auto"/>
          <w:u w:val="none"/>
        </w:rPr>
        <w:t xml:space="preserve">Crime Prevention and Community Safety New Directions. </w:t>
      </w:r>
      <w:r w:rsidRPr="006E4AE0">
        <w:rPr>
          <w:rStyle w:val="InternetLink"/>
          <w:rFonts w:ascii="Calibri" w:hAnsi="Calibri" w:cs="Calibri"/>
          <w:color w:val="auto"/>
          <w:u w:val="none"/>
        </w:rPr>
        <w:t xml:space="preserve">London: The Open University. pp. 12-37.   </w:t>
      </w:r>
    </w:p>
    <w:p w14:paraId="01A36D25" w14:textId="329A80A0" w:rsidR="00764B26" w:rsidRPr="006E4AE0" w:rsidRDefault="00E11A8B">
      <w:pPr>
        <w:jc w:val="both"/>
        <w:rPr>
          <w:rFonts w:ascii="Calibri" w:hAnsi="Calibri" w:cs="Calibri"/>
        </w:rPr>
      </w:pPr>
      <w:r w:rsidRPr="006E4AE0">
        <w:rPr>
          <w:rFonts w:ascii="Calibri" w:hAnsi="Calibri" w:cs="Calibri"/>
        </w:rPr>
        <w:t xml:space="preserve">Youth Endowment Fund (2021) Evidence and Gap Map to Prevent Children Getting Involved in Violence. Website: </w:t>
      </w:r>
      <w:r w:rsidRPr="006E4AE0">
        <w:rPr>
          <w:rFonts w:ascii="Calibri" w:hAnsi="Calibri" w:cs="Calibri"/>
          <w:color w:val="2E74B5" w:themeColor="accent1" w:themeShade="BF"/>
        </w:rPr>
        <w:t xml:space="preserve"> </w:t>
      </w:r>
      <w:hyperlink r:id="rId19">
        <w:r w:rsidRPr="006E4AE0">
          <w:rPr>
            <w:rStyle w:val="InternetLink"/>
            <w:rFonts w:ascii="Calibri" w:hAnsi="Calibri" w:cs="Calibri"/>
          </w:rPr>
          <w:t>e-link to webpage</w:t>
        </w:r>
      </w:hyperlink>
      <w:r w:rsidRPr="006E4AE0">
        <w:rPr>
          <w:rFonts w:ascii="Calibri" w:hAnsi="Calibri" w:cs="Calibri"/>
          <w:b/>
          <w:color w:val="2E74B5" w:themeColor="accent1" w:themeShade="BF"/>
        </w:rPr>
        <w:t xml:space="preserve"> </w:t>
      </w:r>
      <w:r w:rsidRPr="006E4AE0">
        <w:rPr>
          <w:rFonts w:ascii="Calibri" w:hAnsi="Calibri" w:cs="Calibri"/>
        </w:rPr>
        <w:t>[accessed 19th April 2022].</w:t>
      </w:r>
      <w:r w:rsidRPr="006E4AE0">
        <w:rPr>
          <w:rFonts w:ascii="Calibri" w:hAnsi="Calibri" w:cs="Calibri"/>
          <w:b/>
        </w:rPr>
        <w:t xml:space="preserve"> </w:t>
      </w:r>
    </w:p>
    <w:sectPr w:rsidR="00764B26" w:rsidRPr="006E4AE0">
      <w:type w:val="continuous"/>
      <w:pgSz w:w="11906" w:h="16838"/>
      <w:pgMar w:top="1440" w:right="1440" w:bottom="1440" w:left="1440" w:header="0" w:footer="708" w:gutter="0"/>
      <w:cols w:space="720"/>
      <w:formProt w:val="0"/>
      <w:docGrid w:linePitch="312"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46CEE" w14:textId="77777777" w:rsidR="00364129" w:rsidRDefault="00364129">
      <w:pPr>
        <w:spacing w:after="0" w:line="240" w:lineRule="auto"/>
      </w:pPr>
      <w:r>
        <w:separator/>
      </w:r>
    </w:p>
  </w:endnote>
  <w:endnote w:type="continuationSeparator" w:id="0">
    <w:p w14:paraId="65A0D730" w14:textId="77777777" w:rsidR="00364129" w:rsidRDefault="0036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785754"/>
      <w:docPartObj>
        <w:docPartGallery w:val="Page Numbers (Bottom of Page)"/>
        <w:docPartUnique/>
      </w:docPartObj>
    </w:sdtPr>
    <w:sdtEndPr/>
    <w:sdtContent>
      <w:p w14:paraId="630469EA" w14:textId="01DD8124" w:rsidR="00364129" w:rsidRDefault="00364129">
        <w:pPr>
          <w:pStyle w:val="Footer"/>
          <w:jc w:val="center"/>
        </w:pPr>
        <w:r>
          <w:fldChar w:fldCharType="begin"/>
        </w:r>
        <w:r>
          <w:instrText>PAGE</w:instrText>
        </w:r>
        <w:r>
          <w:fldChar w:fldCharType="separate"/>
        </w:r>
        <w:r w:rsidR="002A35E3">
          <w:rPr>
            <w:noProof/>
          </w:rPr>
          <w:t>9</w:t>
        </w:r>
        <w:r>
          <w:fldChar w:fldCharType="end"/>
        </w:r>
      </w:p>
      <w:p w14:paraId="3B6016F7" w14:textId="77777777" w:rsidR="00364129" w:rsidRDefault="002A35E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945DA" w14:textId="77777777" w:rsidR="00364129" w:rsidRDefault="00364129">
      <w:r>
        <w:separator/>
      </w:r>
    </w:p>
  </w:footnote>
  <w:footnote w:type="continuationSeparator" w:id="0">
    <w:p w14:paraId="158BC1D5" w14:textId="77777777" w:rsidR="00364129" w:rsidRDefault="00364129">
      <w:r>
        <w:continuationSeparator/>
      </w:r>
    </w:p>
  </w:footnote>
  <w:footnote w:id="1">
    <w:p w14:paraId="162F5F67" w14:textId="7DE8422E" w:rsidR="00400889" w:rsidRDefault="00400889" w:rsidP="00400889">
      <w:pPr>
        <w:pStyle w:val="FootnoteText"/>
        <w:jc w:val="both"/>
      </w:pPr>
      <w:r>
        <w:rPr>
          <w:rStyle w:val="FootnoteCharacters"/>
        </w:rPr>
        <w:footnoteRef/>
      </w:r>
      <w:r>
        <w:t xml:space="preserve"> </w:t>
      </w:r>
      <w:r>
        <w:t>This</w:t>
      </w:r>
      <w:r>
        <w:t xml:space="preserve"> include</w:t>
      </w:r>
      <w:r>
        <w:t>d</w:t>
      </w:r>
      <w:r w:rsidR="00F00707">
        <w:t xml:space="preserve"> </w:t>
      </w:r>
      <w:r>
        <w:t xml:space="preserve">funding through Youth Endowment Funding to tackle the development of interventions to address risk factors in young people/ children. </w:t>
      </w:r>
    </w:p>
  </w:footnote>
  <w:footnote w:id="2">
    <w:p w14:paraId="009BD61B" w14:textId="77777777" w:rsidR="00364129" w:rsidRDefault="00364129">
      <w:pPr>
        <w:pStyle w:val="FootnoteText"/>
      </w:pPr>
      <w:r>
        <w:rPr>
          <w:rStyle w:val="FootnoteCharacters"/>
        </w:rPr>
        <w:footnoteRef/>
      </w:r>
      <w:r>
        <w:t xml:space="preserve"> The Act received Royal Assent on 28</w:t>
      </w:r>
      <w:r>
        <w:rPr>
          <w:vertAlign w:val="superscript"/>
        </w:rPr>
        <w:t>th</w:t>
      </w:r>
      <w:r>
        <w:t xml:space="preserve"> April 2022 </w:t>
      </w:r>
      <w:hyperlink r:id="rId1">
        <w:r>
          <w:rPr>
            <w:rStyle w:val="InternetLink"/>
          </w:rPr>
          <w:t>https://bills.parliament.uk/bills/2839</w:t>
        </w:r>
      </w:hyperlink>
      <w:r>
        <w:t xml:space="preserve"> </w:t>
      </w:r>
    </w:p>
  </w:footnote>
  <w:footnote w:id="3">
    <w:p w14:paraId="457D5EE0" w14:textId="77777777" w:rsidR="00F00707" w:rsidRDefault="00F00707" w:rsidP="00F00707">
      <w:pPr>
        <w:spacing w:after="0" w:line="240" w:lineRule="auto"/>
        <w:jc w:val="both"/>
      </w:pPr>
      <w:r>
        <w:rPr>
          <w:rStyle w:val="FootnoteCharacters"/>
        </w:rPr>
        <w:footnoteRef/>
      </w:r>
      <w:r>
        <w:rPr>
          <w:sz w:val="20"/>
          <w:szCs w:val="20"/>
        </w:rPr>
        <w:t xml:space="preserve"> It will be expected for a local strategy to be published that will be reviewed annually.  </w:t>
      </w:r>
    </w:p>
  </w:footnote>
  <w:footnote w:id="4">
    <w:p w14:paraId="59853EB9" w14:textId="77777777" w:rsidR="00364129" w:rsidRDefault="00364129">
      <w:pPr>
        <w:pStyle w:val="FootnoteText"/>
      </w:pPr>
      <w:r>
        <w:rPr>
          <w:rStyle w:val="FootnoteCharacters"/>
        </w:rPr>
        <w:footnoteRef/>
      </w:r>
      <w:r>
        <w:t xml:space="preserve"> Based on ONS Population Estimates Mid 2020: see </w:t>
      </w:r>
      <w:hyperlink r:id="rId2" w:anchor="the-uk-population-at-mid-2020" w:history="1">
        <w:r>
          <w:rPr>
            <w:rStyle w:val="InternetLink"/>
          </w:rPr>
          <w:t>ONS Population Estimates Mid 2020</w:t>
        </w:r>
      </w:hyperlink>
    </w:p>
  </w:footnote>
  <w:footnote w:id="5">
    <w:p w14:paraId="6E61DDCC" w14:textId="77777777" w:rsidR="00364129" w:rsidRDefault="00364129" w:rsidP="006F2867">
      <w:pPr>
        <w:pStyle w:val="FootnoteText"/>
      </w:pPr>
      <w:r>
        <w:rPr>
          <w:rStyle w:val="FootnoteCharacters"/>
        </w:rPr>
        <w:footnoteRef/>
      </w:r>
      <w:r>
        <w:t xml:space="preserve"> This builds upon what was already in place in the Crime &amp; Disorder Act, by specifically including serious violence.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F84"/>
    <w:multiLevelType w:val="multilevel"/>
    <w:tmpl w:val="417E13B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4CE7A40"/>
    <w:multiLevelType w:val="hybridMultilevel"/>
    <w:tmpl w:val="2C22A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831423"/>
    <w:multiLevelType w:val="multilevel"/>
    <w:tmpl w:val="5CF0D9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26"/>
    <w:rsid w:val="0000582B"/>
    <w:rsid w:val="000165BA"/>
    <w:rsid w:val="00023C56"/>
    <w:rsid w:val="00056DF2"/>
    <w:rsid w:val="00076AD0"/>
    <w:rsid w:val="000B6997"/>
    <w:rsid w:val="000E071D"/>
    <w:rsid w:val="00111B56"/>
    <w:rsid w:val="0011284C"/>
    <w:rsid w:val="00124237"/>
    <w:rsid w:val="00133C7A"/>
    <w:rsid w:val="0014451E"/>
    <w:rsid w:val="0019225D"/>
    <w:rsid w:val="001A1CBC"/>
    <w:rsid w:val="001A35A2"/>
    <w:rsid w:val="001B12E2"/>
    <w:rsid w:val="001D33BE"/>
    <w:rsid w:val="001D48E5"/>
    <w:rsid w:val="001F5266"/>
    <w:rsid w:val="001F62C7"/>
    <w:rsid w:val="00215576"/>
    <w:rsid w:val="002219D2"/>
    <w:rsid w:val="002252D1"/>
    <w:rsid w:val="00245DD1"/>
    <w:rsid w:val="0025331C"/>
    <w:rsid w:val="00291402"/>
    <w:rsid w:val="0029681A"/>
    <w:rsid w:val="002A35E3"/>
    <w:rsid w:val="002C2C92"/>
    <w:rsid w:val="002C5CCD"/>
    <w:rsid w:val="002D3F5B"/>
    <w:rsid w:val="002D674A"/>
    <w:rsid w:val="002E582B"/>
    <w:rsid w:val="002F627D"/>
    <w:rsid w:val="0030318C"/>
    <w:rsid w:val="003447B5"/>
    <w:rsid w:val="00364129"/>
    <w:rsid w:val="003649B4"/>
    <w:rsid w:val="00376AFE"/>
    <w:rsid w:val="00377894"/>
    <w:rsid w:val="003A4CD4"/>
    <w:rsid w:val="003B3323"/>
    <w:rsid w:val="003D50D3"/>
    <w:rsid w:val="00400889"/>
    <w:rsid w:val="00460636"/>
    <w:rsid w:val="0046110F"/>
    <w:rsid w:val="004660E5"/>
    <w:rsid w:val="00472241"/>
    <w:rsid w:val="00481B35"/>
    <w:rsid w:val="00492DBD"/>
    <w:rsid w:val="004942F2"/>
    <w:rsid w:val="004B0B3A"/>
    <w:rsid w:val="004D5398"/>
    <w:rsid w:val="004E7069"/>
    <w:rsid w:val="00505D0A"/>
    <w:rsid w:val="0050794A"/>
    <w:rsid w:val="0055647F"/>
    <w:rsid w:val="005711C9"/>
    <w:rsid w:val="005B47AD"/>
    <w:rsid w:val="005B53C1"/>
    <w:rsid w:val="005C544D"/>
    <w:rsid w:val="005C742C"/>
    <w:rsid w:val="005F23C8"/>
    <w:rsid w:val="0061602E"/>
    <w:rsid w:val="006161C5"/>
    <w:rsid w:val="0067634C"/>
    <w:rsid w:val="006D205B"/>
    <w:rsid w:val="006E4AE0"/>
    <w:rsid w:val="006F2867"/>
    <w:rsid w:val="006F2B7F"/>
    <w:rsid w:val="00701BFB"/>
    <w:rsid w:val="00717F49"/>
    <w:rsid w:val="00732BBD"/>
    <w:rsid w:val="00764B26"/>
    <w:rsid w:val="00793258"/>
    <w:rsid w:val="007C0236"/>
    <w:rsid w:val="008012EA"/>
    <w:rsid w:val="00821EAF"/>
    <w:rsid w:val="00831D80"/>
    <w:rsid w:val="0087608C"/>
    <w:rsid w:val="008B4358"/>
    <w:rsid w:val="008F4EC6"/>
    <w:rsid w:val="00931BFD"/>
    <w:rsid w:val="0095702A"/>
    <w:rsid w:val="009A6388"/>
    <w:rsid w:val="009B5B45"/>
    <w:rsid w:val="009C7DD9"/>
    <w:rsid w:val="009C7EE0"/>
    <w:rsid w:val="009D2C90"/>
    <w:rsid w:val="009F0A61"/>
    <w:rsid w:val="00A04DBF"/>
    <w:rsid w:val="00A3028B"/>
    <w:rsid w:val="00A36FD4"/>
    <w:rsid w:val="00A81EEC"/>
    <w:rsid w:val="00A86261"/>
    <w:rsid w:val="00A923B6"/>
    <w:rsid w:val="00AC39DB"/>
    <w:rsid w:val="00AE05C1"/>
    <w:rsid w:val="00B002FE"/>
    <w:rsid w:val="00B26CED"/>
    <w:rsid w:val="00B4022C"/>
    <w:rsid w:val="00B45C3D"/>
    <w:rsid w:val="00B548C9"/>
    <w:rsid w:val="00B758EF"/>
    <w:rsid w:val="00B913FA"/>
    <w:rsid w:val="00BB2F20"/>
    <w:rsid w:val="00BF53E3"/>
    <w:rsid w:val="00C1541F"/>
    <w:rsid w:val="00C72A30"/>
    <w:rsid w:val="00C76441"/>
    <w:rsid w:val="00C809FD"/>
    <w:rsid w:val="00C87598"/>
    <w:rsid w:val="00CC1841"/>
    <w:rsid w:val="00D36A19"/>
    <w:rsid w:val="00D373BE"/>
    <w:rsid w:val="00D43735"/>
    <w:rsid w:val="00D51C5D"/>
    <w:rsid w:val="00D73192"/>
    <w:rsid w:val="00D9281D"/>
    <w:rsid w:val="00DA780C"/>
    <w:rsid w:val="00DB37C6"/>
    <w:rsid w:val="00DB3EB0"/>
    <w:rsid w:val="00DE79D1"/>
    <w:rsid w:val="00DF3A40"/>
    <w:rsid w:val="00DF3D79"/>
    <w:rsid w:val="00E024D0"/>
    <w:rsid w:val="00E11A8B"/>
    <w:rsid w:val="00E21E23"/>
    <w:rsid w:val="00E47969"/>
    <w:rsid w:val="00E77359"/>
    <w:rsid w:val="00EC6A97"/>
    <w:rsid w:val="00ED4B82"/>
    <w:rsid w:val="00EE2428"/>
    <w:rsid w:val="00EE5579"/>
    <w:rsid w:val="00EF7500"/>
    <w:rsid w:val="00F00707"/>
    <w:rsid w:val="00F109C0"/>
    <w:rsid w:val="00F2074D"/>
    <w:rsid w:val="00F32B06"/>
    <w:rsid w:val="00FB5523"/>
    <w:rsid w:val="00FF282D"/>
    <w:rsid w:val="00FF379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4577"/>
  <w15:docId w15:val="{621B43E8-96F6-4258-92EC-FC702C29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B25E67"/>
    <w:pPr>
      <w:spacing w:beforeAutospacing="1" w:afterAutospacing="1" w:line="240" w:lineRule="auto"/>
      <w:outlineLvl w:val="0"/>
    </w:pPr>
    <w:rPr>
      <w:rFonts w:ascii="Times New Roman" w:eastAsia="Times New Roman" w:hAnsi="Times New Roman" w:cs="Times New Roman"/>
      <w:b/>
      <w:bCs/>
      <w:kern w:val="2"/>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9004CD"/>
    <w:rPr>
      <w:sz w:val="16"/>
      <w:szCs w:val="16"/>
    </w:rPr>
  </w:style>
  <w:style w:type="character" w:customStyle="1" w:styleId="CommentTextChar">
    <w:name w:val="Comment Text Char"/>
    <w:basedOn w:val="DefaultParagraphFont"/>
    <w:link w:val="CommentText"/>
    <w:uiPriority w:val="99"/>
    <w:semiHidden/>
    <w:qFormat/>
    <w:rsid w:val="009004CD"/>
    <w:rPr>
      <w:sz w:val="20"/>
      <w:szCs w:val="20"/>
    </w:rPr>
  </w:style>
  <w:style w:type="character" w:customStyle="1" w:styleId="CommentSubjectChar">
    <w:name w:val="Comment Subject Char"/>
    <w:basedOn w:val="CommentTextChar"/>
    <w:link w:val="CommentSubject"/>
    <w:uiPriority w:val="99"/>
    <w:semiHidden/>
    <w:qFormat/>
    <w:rsid w:val="009004CD"/>
    <w:rPr>
      <w:b/>
      <w:bCs/>
      <w:sz w:val="20"/>
      <w:szCs w:val="20"/>
    </w:rPr>
  </w:style>
  <w:style w:type="character" w:customStyle="1" w:styleId="BalloonTextChar">
    <w:name w:val="Balloon Text Char"/>
    <w:basedOn w:val="DefaultParagraphFont"/>
    <w:link w:val="BalloonText"/>
    <w:uiPriority w:val="99"/>
    <w:semiHidden/>
    <w:qFormat/>
    <w:rsid w:val="009004CD"/>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8B41EB"/>
    <w:rPr>
      <w:sz w:val="20"/>
      <w:szCs w:val="20"/>
    </w:rPr>
  </w:style>
  <w:style w:type="character" w:customStyle="1" w:styleId="FootnoteCharacters">
    <w:name w:val="Footnote Characters"/>
    <w:basedOn w:val="DefaultParagraphFont"/>
    <w:uiPriority w:val="99"/>
    <w:semiHidden/>
    <w:unhideWhenUsed/>
    <w:qFormat/>
    <w:rsid w:val="008B41EB"/>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sid w:val="00A76BBE"/>
  </w:style>
  <w:style w:type="character" w:customStyle="1" w:styleId="FooterChar">
    <w:name w:val="Footer Char"/>
    <w:basedOn w:val="DefaultParagraphFont"/>
    <w:link w:val="Footer"/>
    <w:uiPriority w:val="99"/>
    <w:qFormat/>
    <w:rsid w:val="00A76BBE"/>
  </w:style>
  <w:style w:type="character" w:customStyle="1" w:styleId="InternetLink">
    <w:name w:val="Internet Link"/>
    <w:basedOn w:val="DefaultParagraphFont"/>
    <w:uiPriority w:val="99"/>
    <w:unhideWhenUsed/>
    <w:rsid w:val="003A0AC6"/>
    <w:rPr>
      <w:color w:val="0000FF"/>
      <w:u w:val="single"/>
    </w:rPr>
  </w:style>
  <w:style w:type="character" w:customStyle="1" w:styleId="UnresolvedMention1">
    <w:name w:val="Unresolved Mention1"/>
    <w:basedOn w:val="DefaultParagraphFont"/>
    <w:uiPriority w:val="99"/>
    <w:semiHidden/>
    <w:unhideWhenUsed/>
    <w:qFormat/>
    <w:rsid w:val="00407350"/>
    <w:rPr>
      <w:color w:val="605E5C"/>
      <w:shd w:val="clear" w:color="auto" w:fill="E1DFDD"/>
    </w:rPr>
  </w:style>
  <w:style w:type="character" w:styleId="FollowedHyperlink">
    <w:name w:val="FollowedHyperlink"/>
    <w:basedOn w:val="DefaultParagraphFont"/>
    <w:uiPriority w:val="99"/>
    <w:semiHidden/>
    <w:unhideWhenUsed/>
    <w:qFormat/>
    <w:rsid w:val="003B3285"/>
    <w:rPr>
      <w:color w:val="954F72" w:themeColor="followedHyperlink"/>
      <w:u w:val="single"/>
    </w:rPr>
  </w:style>
  <w:style w:type="character" w:customStyle="1" w:styleId="Heading1Char">
    <w:name w:val="Heading 1 Char"/>
    <w:basedOn w:val="DefaultParagraphFont"/>
    <w:link w:val="Heading1"/>
    <w:uiPriority w:val="9"/>
    <w:qFormat/>
    <w:rsid w:val="00B25E67"/>
    <w:rPr>
      <w:rFonts w:ascii="Times New Roman" w:eastAsia="Times New Roman" w:hAnsi="Times New Roman" w:cs="Times New Roman"/>
      <w:b/>
      <w:bCs/>
      <w:kern w:val="2"/>
      <w:sz w:val="48"/>
      <w:szCs w:val="48"/>
      <w:lang w:eastAsia="en-GB"/>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72B89"/>
    <w:pPr>
      <w:ind w:left="720"/>
      <w:contextualSpacing/>
    </w:pPr>
  </w:style>
  <w:style w:type="paragraph" w:styleId="CommentText">
    <w:name w:val="annotation text"/>
    <w:basedOn w:val="Normal"/>
    <w:link w:val="CommentTextChar"/>
    <w:uiPriority w:val="99"/>
    <w:semiHidden/>
    <w:unhideWhenUsed/>
    <w:qFormat/>
    <w:rsid w:val="009004C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9004CD"/>
    <w:rPr>
      <w:b/>
      <w:bCs/>
    </w:rPr>
  </w:style>
  <w:style w:type="paragraph" w:styleId="BalloonText">
    <w:name w:val="Balloon Text"/>
    <w:basedOn w:val="Normal"/>
    <w:link w:val="BalloonTextChar"/>
    <w:uiPriority w:val="99"/>
    <w:semiHidden/>
    <w:unhideWhenUsed/>
    <w:qFormat/>
    <w:rsid w:val="009004CD"/>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rsid w:val="008B41EB"/>
    <w:pPr>
      <w:spacing w:after="0" w:line="240" w:lineRule="auto"/>
    </w:pPr>
    <w:rPr>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76BBE"/>
    <w:pPr>
      <w:tabs>
        <w:tab w:val="center" w:pos="4513"/>
        <w:tab w:val="right" w:pos="9026"/>
      </w:tabs>
      <w:spacing w:after="0" w:line="240" w:lineRule="auto"/>
    </w:pPr>
  </w:style>
  <w:style w:type="paragraph" w:styleId="Footer">
    <w:name w:val="footer"/>
    <w:basedOn w:val="Normal"/>
    <w:link w:val="FooterChar"/>
    <w:uiPriority w:val="99"/>
    <w:unhideWhenUsed/>
    <w:rsid w:val="00A76BBE"/>
    <w:pPr>
      <w:tabs>
        <w:tab w:val="center" w:pos="4513"/>
        <w:tab w:val="right" w:pos="9026"/>
      </w:tabs>
      <w:spacing w:after="0" w:line="240" w:lineRule="auto"/>
    </w:pPr>
  </w:style>
  <w:style w:type="table" w:styleId="TableGrid">
    <w:name w:val="Table Grid"/>
    <w:basedOn w:val="TableNormal"/>
    <w:uiPriority w:val="39"/>
    <w:rsid w:val="00A26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C37DA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4472C4" w:themeColor="accent5"/>
        </w:tcBorders>
      </w:tcPr>
    </w:tblStylePr>
    <w:tblStylePr w:type="lastRow">
      <w:rPr>
        <w:b/>
        <w:bCs/>
      </w:rPr>
      <w:tblPr/>
      <w:tcPr>
        <w:tcBorders>
          <w:top w:val="double" w:sz="2" w:space="0" w:color="4472C4" w:themeColor="accent5"/>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C37DA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C37D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otnoteReference">
    <w:name w:val="footnote reference"/>
    <w:basedOn w:val="DefaultParagraphFont"/>
    <w:uiPriority w:val="99"/>
    <w:semiHidden/>
    <w:unhideWhenUsed/>
    <w:rsid w:val="005711C9"/>
    <w:rPr>
      <w:vertAlign w:val="superscript"/>
    </w:rPr>
  </w:style>
  <w:style w:type="character" w:styleId="Hyperlink">
    <w:name w:val="Hyperlink"/>
    <w:basedOn w:val="DefaultParagraphFont"/>
    <w:uiPriority w:val="99"/>
    <w:unhideWhenUsed/>
    <w:rsid w:val="00B913FA"/>
    <w:rPr>
      <w:color w:val="0563C1" w:themeColor="hyperlink"/>
      <w:u w:val="single"/>
    </w:rPr>
  </w:style>
  <w:style w:type="paragraph" w:styleId="NoSpacing">
    <w:name w:val="No Spacing"/>
    <w:uiPriority w:val="1"/>
    <w:qFormat/>
    <w:rsid w:val="00CC1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ssets.publishing.service.gov.uk/government/uploads/system/uploads/attachment_data/file/698009/serious-violence-strategy.pdf" TargetMode="External"/><Relationship Id="rId18" Type="http://schemas.openxmlformats.org/officeDocument/2006/relationships/hyperlink" Target="https://doi.org/10.1093/police/paw00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rimeandjustice.org.uk/publications/young-people-violence-and-knives-revisiting-evidence-and-policy-discussions" TargetMode="External"/><Relationship Id="rId17" Type="http://schemas.openxmlformats.org/officeDocument/2006/relationships/hyperlink" Target="http://www.svru.co.uk/" TargetMode="External"/><Relationship Id="rId2" Type="http://schemas.openxmlformats.org/officeDocument/2006/relationships/numbering" Target="numbering.xml"/><Relationship Id="rId16" Type="http://schemas.openxmlformats.org/officeDocument/2006/relationships/hyperlink" Target="http://apps.who.int/iris/bitstream/handle/10665/42495/9241545615_eng.pdf;sequence=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10822/process-evaluation-of-the-violence-reduction-units-horr116.pdf"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986086/Draft_Guidance_-_Serious_Violence_Duty.pdf" TargetMode="External"/><Relationship Id="rId10" Type="http://schemas.openxmlformats.org/officeDocument/2006/relationships/hyperlink" Target="https://assets.publishing.service.gov.uk/government/uploads/system/uploads/attachment_data/file/116549/horr52-report.pdf" TargetMode="External"/><Relationship Id="rId19" Type="http://schemas.openxmlformats.org/officeDocument/2006/relationships/hyperlink" Target="https://youthendowmentfund.org.uk/wp-content/uploads/YEF-EGM-27.01.21.html"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62794/multi-agency_approach_to_serious_violence_prevention.pdf" TargetMode="External"/><Relationship Id="rId14" Type="http://schemas.openxmlformats.org/officeDocument/2006/relationships/hyperlink" Target="https://assets.publishing.service.gov.uk/government/uploads/system/uploads/attachment_data/file/816885/Government_Response_-_Serious_Violence_Consultation_Final.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ns.gov.uk/peoplepopulationandcommunity/populationandmigration/populationestimates/bulletins/annualmidyearpopulationestimates/mid2020" TargetMode="External"/><Relationship Id="rId1" Type="http://schemas.openxmlformats.org/officeDocument/2006/relationships/hyperlink" Target="https://bills.parliament.uk/bills/2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61EA0-D111-4A4E-A1B7-65640076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5170</Words>
  <Characters>29470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Matt (Dr.)</dc:creator>
  <dc:description/>
  <cp:lastModifiedBy>Hopkins, Matt (Dr.)</cp:lastModifiedBy>
  <cp:revision>9</cp:revision>
  <cp:lastPrinted>2022-08-04T08:34:00Z</cp:lastPrinted>
  <dcterms:created xsi:type="dcterms:W3CDTF">2022-08-04T09:12:00Z</dcterms:created>
  <dcterms:modified xsi:type="dcterms:W3CDTF">2022-08-11T13:45:00Z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-1135204512</vt:i4>
  </property>
</Properties>
</file>