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2BF0" w14:textId="77777777" w:rsidR="00087D8E" w:rsidRPr="00C54FA5" w:rsidRDefault="00087D8E" w:rsidP="0090122C">
      <w:pPr>
        <w:pStyle w:val="MDPI11articletype"/>
      </w:pPr>
      <w:bookmarkStart w:id="0" w:name="_GoBack"/>
      <w:bookmarkEnd w:id="0"/>
      <w:r w:rsidRPr="00C54FA5">
        <w:t>Editorial</w:t>
      </w:r>
    </w:p>
    <w:p w14:paraId="574672F3" w14:textId="427BB551" w:rsidR="00087D8E" w:rsidRPr="00C54FA5" w:rsidRDefault="00087D8E" w:rsidP="0090122C">
      <w:pPr>
        <w:pStyle w:val="MDPI12title"/>
      </w:pPr>
      <w:r w:rsidRPr="00C54FA5">
        <w:t>Catalysis</w:t>
      </w:r>
      <w:r w:rsidR="00A76D92">
        <w:t xml:space="preserve"> in Plastics for the 21</w:t>
      </w:r>
      <w:r w:rsidR="00A76D92" w:rsidRPr="00A76D92">
        <w:rPr>
          <w:vertAlign w:val="superscript"/>
        </w:rPr>
        <w:t>st</w:t>
      </w:r>
      <w:r w:rsidR="00A76D92">
        <w:t xml:space="preserve"> Century</w:t>
      </w:r>
    </w:p>
    <w:p w14:paraId="1026260E" w14:textId="3F16FD5F" w:rsidR="00B36348" w:rsidRDefault="00087D8E" w:rsidP="0090122C">
      <w:pPr>
        <w:pStyle w:val="MDPI13authornames"/>
      </w:pPr>
      <w:r w:rsidRPr="00F9014C">
        <w:t xml:space="preserve">Carl Redshaw </w:t>
      </w:r>
      <w:r w:rsidR="00A76D92">
        <w:rPr>
          <w:vertAlign w:val="superscript"/>
        </w:rPr>
        <w:t>1</w:t>
      </w:r>
      <w:r w:rsidRPr="00F9014C">
        <w:t xml:space="preserve"> and </w:t>
      </w:r>
      <w:r w:rsidR="00A76D92">
        <w:t>Gregory A. Solan</w:t>
      </w:r>
      <w:r w:rsidR="007F76A0">
        <w:t xml:space="preserve"> </w:t>
      </w:r>
      <w:r w:rsidRPr="00F43B1C">
        <w:rPr>
          <w:vertAlign w:val="superscript"/>
        </w:rPr>
        <w:t>2</w:t>
      </w:r>
    </w:p>
    <w:tbl>
      <w:tblPr>
        <w:tblStyle w:val="MDPITable"/>
        <w:tblpPr w:leftFromText="198" w:rightFromText="198" w:vertAnchor="page" w:horzAnchor="margin" w:tblpY="9522"/>
        <w:tblW w:w="2409" w:type="dxa"/>
        <w:tblLayout w:type="fixed"/>
        <w:tblLook w:val="04A0" w:firstRow="1" w:lastRow="0" w:firstColumn="1" w:lastColumn="0" w:noHBand="0" w:noVBand="1"/>
      </w:tblPr>
      <w:tblGrid>
        <w:gridCol w:w="2409"/>
      </w:tblGrid>
      <w:tr w:rsidR="00B36348" w14:paraId="5CCFC12A" w14:textId="77777777" w:rsidTr="00B36348">
        <w:trPr>
          <w:cantSplit/>
        </w:trPr>
        <w:tc>
          <w:tcPr>
            <w:tcW w:w="2409" w:type="dxa"/>
          </w:tcPr>
          <w:p w14:paraId="4D1FEFDA" w14:textId="19B9419E" w:rsidR="00B36348" w:rsidRPr="00B36348" w:rsidRDefault="00B36348" w:rsidP="00B36348">
            <w:pPr>
              <w:pStyle w:val="MDPI61Citation"/>
            </w:pPr>
            <w:r w:rsidRPr="00070C63">
              <w:rPr>
                <w:b/>
              </w:rPr>
              <w:t>Citation:</w:t>
            </w:r>
            <w:r w:rsidR="001C6D57">
              <w:t xml:space="preserve"> Redshaw C.; Solan G.A.</w:t>
            </w:r>
            <w:r>
              <w:t xml:space="preserve"> </w:t>
            </w:r>
            <w:r w:rsidR="001C6D57">
              <w:t>Catalysi</w:t>
            </w:r>
            <w:r w:rsidRPr="00C54FA5">
              <w:t>s</w:t>
            </w:r>
            <w:r w:rsidR="001C6D57">
              <w:t xml:space="preserve"> in Plastics for the 21</w:t>
            </w:r>
            <w:r w:rsidR="001C6D57" w:rsidRPr="001C6D57">
              <w:rPr>
                <w:vertAlign w:val="superscript"/>
              </w:rPr>
              <w:t>st</w:t>
            </w:r>
            <w:r w:rsidR="001C6D57">
              <w:t xml:space="preserve"> Century</w:t>
            </w:r>
            <w:r>
              <w:t xml:space="preserve">. </w:t>
            </w:r>
            <w:r>
              <w:rPr>
                <w:i/>
              </w:rPr>
              <w:t xml:space="preserve">Catalysts </w:t>
            </w:r>
            <w:r>
              <w:rPr>
                <w:b/>
              </w:rPr>
              <w:t>2022</w:t>
            </w:r>
            <w:r>
              <w:t xml:space="preserve">, </w:t>
            </w:r>
            <w:r>
              <w:rPr>
                <w:i/>
              </w:rPr>
              <w:t>12</w:t>
            </w:r>
            <w:r>
              <w:t>, x. https://doi.org/10.3390/xxxxx</w:t>
            </w:r>
          </w:p>
          <w:p w14:paraId="5B80001C" w14:textId="6128C23B" w:rsidR="00B36348" w:rsidRPr="00D836B9" w:rsidRDefault="00B36348" w:rsidP="00B36348">
            <w:pPr>
              <w:pStyle w:val="MDPI15academiceditor"/>
              <w:spacing w:after="120"/>
            </w:pPr>
            <w:r w:rsidRPr="00D836B9">
              <w:t xml:space="preserve">Academic Editor: </w:t>
            </w:r>
            <w:r w:rsidR="00070C63" w:rsidRPr="00D836B9">
              <w:t xml:space="preserve">Keith </w:t>
            </w:r>
            <w:proofErr w:type="spellStart"/>
            <w:r w:rsidR="00070C63" w:rsidRPr="00D836B9">
              <w:t>Hohn</w:t>
            </w:r>
            <w:proofErr w:type="spellEnd"/>
          </w:p>
          <w:p w14:paraId="4B3E3AB5" w14:textId="465CB7DD" w:rsidR="00B36348" w:rsidRPr="00D836B9" w:rsidRDefault="00B36348" w:rsidP="00B36348">
            <w:pPr>
              <w:pStyle w:val="MDPI14history"/>
              <w:spacing w:before="120"/>
            </w:pPr>
            <w:r w:rsidRPr="00D836B9">
              <w:t xml:space="preserve">Received: </w:t>
            </w:r>
            <w:r w:rsidR="00D836B9">
              <w:t xml:space="preserve">30 November 2022 </w:t>
            </w:r>
          </w:p>
          <w:p w14:paraId="30C2C99C" w14:textId="248481AE" w:rsidR="00B36348" w:rsidRPr="00D836B9" w:rsidRDefault="00B36348" w:rsidP="00B36348">
            <w:pPr>
              <w:pStyle w:val="MDPI14history"/>
            </w:pPr>
            <w:r w:rsidRPr="00D836B9">
              <w:t xml:space="preserve">Accepted: </w:t>
            </w:r>
            <w:r w:rsidR="00D836B9">
              <w:t xml:space="preserve">2 December 2022 </w:t>
            </w:r>
          </w:p>
          <w:p w14:paraId="648849CA" w14:textId="77777777" w:rsidR="00B36348" w:rsidRPr="00B36348" w:rsidRDefault="00B36348" w:rsidP="00B36348">
            <w:pPr>
              <w:pStyle w:val="MDPI14history"/>
              <w:spacing w:after="120"/>
            </w:pPr>
            <w:r w:rsidRPr="00D836B9">
              <w:t>Published: date</w:t>
            </w:r>
          </w:p>
          <w:p w14:paraId="4065B257" w14:textId="77777777" w:rsidR="00B36348" w:rsidRDefault="00B36348" w:rsidP="00B36348">
            <w:pPr>
              <w:pStyle w:val="MDPI63Notes"/>
              <w:jc w:val="both"/>
            </w:pPr>
            <w:r w:rsidRPr="00B36348">
              <w:rPr>
                <w:b/>
              </w:rPr>
              <w:t>Publisher’s Note:</w:t>
            </w:r>
            <w:r w:rsidRPr="00B36348">
              <w:t xml:space="preserve"> MDPI stays neutral with regard to jurisdictional claims in published maps and institutional affiliations.</w:t>
            </w:r>
          </w:p>
          <w:p w14:paraId="18E77898" w14:textId="77777777" w:rsidR="00B36348" w:rsidRDefault="00B36348" w:rsidP="00B36348">
            <w:pPr>
              <w:pStyle w:val="MDPI63Notes"/>
              <w:spacing w:before="120" w:after="0"/>
              <w:jc w:val="both"/>
            </w:pPr>
            <w:r>
              <w:rPr>
                <w:noProof/>
                <w:snapToGrid/>
                <w:lang w:val="en-GB" w:eastAsia="en-GB" w:bidi="ar-SA"/>
              </w:rPr>
              <w:drawing>
                <wp:inline distT="0" distB="0" distL="0" distR="0" wp14:anchorId="5FACE7FE" wp14:editId="5419F6C9">
                  <wp:extent cx="694800" cy="248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a:xfrm>
                            <a:off x="0" y="0"/>
                            <a:ext cx="694800" cy="248400"/>
                          </a:xfrm>
                          <a:prstGeom prst="rect">
                            <a:avLst/>
                          </a:prstGeom>
                        </pic:spPr>
                      </pic:pic>
                    </a:graphicData>
                  </a:graphic>
                </wp:inline>
              </w:drawing>
            </w:r>
          </w:p>
          <w:p w14:paraId="575E6EDC" w14:textId="030A26EE" w:rsidR="00B36348" w:rsidRPr="00B36348" w:rsidRDefault="00B36348" w:rsidP="00B36348">
            <w:pPr>
              <w:pStyle w:val="MDPI63Notes"/>
              <w:spacing w:before="60" w:after="0"/>
              <w:jc w:val="both"/>
            </w:pPr>
            <w:r w:rsidRPr="00B36348">
              <w:rPr>
                <w:b/>
              </w:rPr>
              <w:t>Copyright:</w:t>
            </w:r>
            <w:r w:rsidRPr="00B36348">
              <w:t xml:space="preserve"> © 2022 by the authors. Submitted for possible open access publication under the terms and conditions of the Creative Commons Attribution (CC BY) license (https://creativecommons.org/licenses/by/4.0/).</w:t>
            </w:r>
          </w:p>
        </w:tc>
      </w:tr>
    </w:tbl>
    <w:p w14:paraId="61CACF1B" w14:textId="43D3349B" w:rsidR="00087D8E" w:rsidRDefault="0090122C" w:rsidP="0090122C">
      <w:pPr>
        <w:pStyle w:val="MDPI16affiliation"/>
        <w:rPr>
          <w:rFonts w:eastAsia="DengXian"/>
        </w:rPr>
      </w:pPr>
      <w:r w:rsidRPr="0090122C">
        <w:rPr>
          <w:rFonts w:eastAsia="DengXian"/>
          <w:vertAlign w:val="superscript"/>
        </w:rPr>
        <w:t>1</w:t>
      </w:r>
      <w:r w:rsidRPr="0090122C">
        <w:rPr>
          <w:rFonts w:eastAsia="DengXian"/>
        </w:rPr>
        <w:tab/>
      </w:r>
      <w:r w:rsidR="00A76D92" w:rsidRPr="00283866">
        <w:rPr>
          <w:rFonts w:eastAsia="DengXian"/>
        </w:rPr>
        <w:t xml:space="preserve">Plastics Collaboratory, </w:t>
      </w:r>
      <w:r w:rsidR="00087D8E" w:rsidRPr="005768D7">
        <w:rPr>
          <w:rFonts w:eastAsia="DengXian"/>
        </w:rPr>
        <w:t xml:space="preserve">Department of Chemistry, </w:t>
      </w:r>
      <w:r w:rsidR="00A76D92">
        <w:rPr>
          <w:rFonts w:eastAsia="DengXian"/>
        </w:rPr>
        <w:t>School of Natural Sciences, University of Hull, Cottingham Road, Hull HU6 RRX, UK;</w:t>
      </w:r>
      <w:r w:rsidR="00A76D92" w:rsidRPr="00A76D92">
        <w:rPr>
          <w:rFonts w:eastAsia="DengXian"/>
        </w:rPr>
        <w:t xml:space="preserve"> </w:t>
      </w:r>
      <w:r w:rsidR="00A76D92" w:rsidRPr="00DF32D1">
        <w:rPr>
          <w:rFonts w:eastAsia="DengXian"/>
        </w:rPr>
        <w:t>c.redshaw@hull.ac.uk</w:t>
      </w:r>
    </w:p>
    <w:p w14:paraId="41732304" w14:textId="54E9ED72" w:rsidR="00087D8E" w:rsidRPr="00A76D92" w:rsidRDefault="0090122C" w:rsidP="00A76D92">
      <w:pPr>
        <w:pStyle w:val="MDPI16affiliation"/>
        <w:rPr>
          <w:rFonts w:eastAsia="DengXian"/>
          <w:highlight w:val="yellow"/>
        </w:rPr>
      </w:pPr>
      <w:r w:rsidRPr="0090122C">
        <w:rPr>
          <w:rFonts w:eastAsia="DengXian"/>
          <w:vertAlign w:val="superscript"/>
        </w:rPr>
        <w:t>2</w:t>
      </w:r>
      <w:r w:rsidRPr="0090122C">
        <w:rPr>
          <w:rFonts w:eastAsia="DengXian"/>
        </w:rPr>
        <w:tab/>
      </w:r>
      <w:r w:rsidR="00283866" w:rsidRPr="00283866">
        <w:rPr>
          <w:rFonts w:eastAsia="DengXian"/>
        </w:rPr>
        <w:t xml:space="preserve">Department of Chemistry, University of </w:t>
      </w:r>
      <w:r w:rsidR="00A76D92">
        <w:rPr>
          <w:rFonts w:eastAsia="DengXian"/>
        </w:rPr>
        <w:t>Leicester</w:t>
      </w:r>
      <w:r w:rsidR="00283866" w:rsidRPr="00283866">
        <w:rPr>
          <w:rFonts w:eastAsia="DengXian"/>
        </w:rPr>
        <w:t xml:space="preserve">, </w:t>
      </w:r>
      <w:r w:rsidR="00A76D92">
        <w:rPr>
          <w:rFonts w:eastAsia="DengXian"/>
        </w:rPr>
        <w:t>University</w:t>
      </w:r>
      <w:r w:rsidR="00283866" w:rsidRPr="00283866">
        <w:rPr>
          <w:rFonts w:eastAsia="DengXian"/>
        </w:rPr>
        <w:t xml:space="preserve"> Road, </w:t>
      </w:r>
      <w:r w:rsidR="00A76D92">
        <w:rPr>
          <w:rFonts w:eastAsia="DengXian"/>
        </w:rPr>
        <w:t>Leicester</w:t>
      </w:r>
      <w:r w:rsidR="00283866" w:rsidRPr="00283866">
        <w:rPr>
          <w:rFonts w:eastAsia="DengXian"/>
        </w:rPr>
        <w:t xml:space="preserve"> </w:t>
      </w:r>
      <w:r w:rsidR="00A76D92">
        <w:rPr>
          <w:rFonts w:eastAsia="DengXian"/>
        </w:rPr>
        <w:t>LE1</w:t>
      </w:r>
      <w:r w:rsidR="00283866" w:rsidRPr="00283866">
        <w:rPr>
          <w:rFonts w:eastAsia="DengXian"/>
        </w:rPr>
        <w:t xml:space="preserve"> 7R</w:t>
      </w:r>
      <w:r w:rsidR="00A76D92">
        <w:rPr>
          <w:rFonts w:eastAsia="DengXian"/>
        </w:rPr>
        <w:t>H</w:t>
      </w:r>
      <w:r w:rsidR="00283866" w:rsidRPr="00283866">
        <w:rPr>
          <w:rFonts w:eastAsia="DengXian"/>
        </w:rPr>
        <w:t>, UK</w:t>
      </w:r>
      <w:r w:rsidR="00283866">
        <w:rPr>
          <w:rFonts w:eastAsia="DengXian"/>
        </w:rPr>
        <w:t xml:space="preserve">; </w:t>
      </w:r>
      <w:r w:rsidR="00A76D92">
        <w:rPr>
          <w:rFonts w:eastAsia="DengXian"/>
        </w:rPr>
        <w:t>gas8@leicester.ac.uk</w:t>
      </w:r>
    </w:p>
    <w:p w14:paraId="5BD28448" w14:textId="79BFE2C8" w:rsidR="00087D8E" w:rsidRPr="005768D7" w:rsidRDefault="00087D8E" w:rsidP="00A76D92">
      <w:pPr>
        <w:pStyle w:val="MDPI16affiliation"/>
        <w:rPr>
          <w:rFonts w:eastAsia="DengXian"/>
        </w:rPr>
      </w:pPr>
    </w:p>
    <w:p w14:paraId="72FA5396" w14:textId="0865958F" w:rsidR="00480D95" w:rsidRDefault="00480D95" w:rsidP="00480D95">
      <w:pPr>
        <w:pStyle w:val="MDPI19line"/>
        <w:pBdr>
          <w:bottom w:val="single" w:sz="4" w:space="1" w:color="000000"/>
        </w:pBdr>
      </w:pPr>
    </w:p>
    <w:p w14:paraId="787FB6EC" w14:textId="12E09302" w:rsidR="00087D8E" w:rsidRPr="000F786F" w:rsidRDefault="003662E1" w:rsidP="0090122C">
      <w:pPr>
        <w:pStyle w:val="MDPI31text"/>
      </w:pPr>
      <w:r w:rsidRPr="003662E1">
        <w:t>For</w:t>
      </w:r>
      <w:r w:rsidR="00087D8E" w:rsidRPr="003662E1">
        <w:t xml:space="preserve"> this </w:t>
      </w:r>
      <w:r w:rsidR="007C56B6" w:rsidRPr="003662E1">
        <w:t>Special Issue</w:t>
      </w:r>
      <w:r w:rsidRPr="003662E1">
        <w:t xml:space="preserve">, </w:t>
      </w:r>
      <w:r>
        <w:t xml:space="preserve">which is part of </w:t>
      </w:r>
      <w:r w:rsidRPr="003662E1">
        <w:t>the Organic and Polymer Chemistry Section, we</w:t>
      </w:r>
      <w:r w:rsidR="00087D8E" w:rsidRPr="003662E1">
        <w:t xml:space="preserve"> would like to </w:t>
      </w:r>
      <w:r w:rsidR="007C56B6" w:rsidRPr="003662E1">
        <w:t xml:space="preserve">present </w:t>
      </w:r>
      <w:r>
        <w:t>the following</w:t>
      </w:r>
      <w:r w:rsidR="00087D8E" w:rsidRPr="003662E1">
        <w:t xml:space="preserve"> editorial message</w:t>
      </w:r>
      <w:r w:rsidR="00087D8E" w:rsidRPr="00F74145">
        <w:t>.</w:t>
      </w:r>
      <w:r w:rsidRPr="00F74145">
        <w:t xml:space="preserve"> </w:t>
      </w:r>
      <w:r w:rsidR="00F74145" w:rsidRPr="00F74145">
        <w:t>T</w:t>
      </w:r>
      <w:r w:rsidR="00F11A56" w:rsidRPr="00F74145">
        <w:t xml:space="preserve">he Special Issue </w:t>
      </w:r>
      <w:r w:rsidR="00087D8E" w:rsidRPr="00F74145">
        <w:t xml:space="preserve">accepted manuscripts related to molecular catalysis, including </w:t>
      </w:r>
      <w:r w:rsidR="00DA26D1" w:rsidRPr="00F74145">
        <w:t>metal-</w:t>
      </w:r>
      <w:r w:rsidR="00087D8E" w:rsidRPr="00F74145">
        <w:t>catalyzed polymerization</w:t>
      </w:r>
      <w:r w:rsidR="00F74145" w:rsidRPr="00F74145">
        <w:t xml:space="preserve"> of </w:t>
      </w:r>
      <w:r w:rsidR="00F74145" w:rsidRPr="00F74145">
        <w:rPr>
          <w:rFonts w:ascii="Symbol" w:hAnsi="Symbol"/>
        </w:rPr>
        <w:t></w:t>
      </w:r>
      <w:r w:rsidR="00F74145" w:rsidRPr="00F74145">
        <w:t>-olefins</w:t>
      </w:r>
      <w:r w:rsidR="00087D8E" w:rsidRPr="00F74145">
        <w:t xml:space="preserve">, </w:t>
      </w:r>
      <w:r w:rsidR="00F74145">
        <w:t>ring opening polymerization</w:t>
      </w:r>
      <w:r w:rsidR="007F15CB">
        <w:t xml:space="preserve"> (ROP)</w:t>
      </w:r>
      <w:r w:rsidR="00F74145">
        <w:t xml:space="preserve"> of cyclic esters, acyclic diene </w:t>
      </w:r>
      <w:r w:rsidR="00F74145" w:rsidRPr="00F74145">
        <w:t>metathesis</w:t>
      </w:r>
      <w:r w:rsidR="002549E0">
        <w:t xml:space="preserve"> polymerization</w:t>
      </w:r>
      <w:r w:rsidR="00F74145" w:rsidRPr="00F74145">
        <w:t xml:space="preserve">, </w:t>
      </w:r>
      <w:r w:rsidR="00087D8E" w:rsidRPr="00F74145">
        <w:t xml:space="preserve">mechanistic studies, </w:t>
      </w:r>
      <w:r w:rsidR="00F74145" w:rsidRPr="00F74145">
        <w:t>co</w:t>
      </w:r>
      <w:r w:rsidR="00F74145">
        <w:t>-</w:t>
      </w:r>
      <w:r w:rsidR="00F74145" w:rsidRPr="00F74145">
        <w:t>ca</w:t>
      </w:r>
      <w:r w:rsidR="00F74145">
        <w:t>talyst</w:t>
      </w:r>
      <w:r w:rsidR="00F74145" w:rsidRPr="00F74145">
        <w:t xml:space="preserve"> effects and DFT calculations</w:t>
      </w:r>
      <w:r w:rsidR="00DA26D1" w:rsidRPr="00F74145">
        <w:t>.</w:t>
      </w:r>
      <w:r w:rsidR="0090122C" w:rsidRPr="00F74145">
        <w:t xml:space="preserve"> </w:t>
      </w:r>
      <w:r w:rsidR="00F74145" w:rsidRPr="00F74145">
        <w:t>In t</w:t>
      </w:r>
      <w:r w:rsidR="00087D8E" w:rsidRPr="00F74145">
        <w:t xml:space="preserve">his </w:t>
      </w:r>
      <w:r w:rsidR="007C56B6" w:rsidRPr="00F74145">
        <w:t>Special Issue</w:t>
      </w:r>
      <w:r w:rsidR="00F74145" w:rsidRPr="00F74145">
        <w:t xml:space="preserve">, there is one </w:t>
      </w:r>
      <w:r w:rsidR="00F41E77" w:rsidRPr="00F74145">
        <w:t xml:space="preserve">entitled </w:t>
      </w:r>
      <w:r w:rsidR="00087D8E" w:rsidRPr="00F74145">
        <w:t>“</w:t>
      </w:r>
      <w:r w:rsidR="00F74145" w:rsidRPr="00F74145">
        <w:t>Synthesis of Biodegradable Polymers: A Review on the Use of Schiff-Base metal Complexes as catalysts for the Ring Opening Polymerization (ROP) of Cyclic Esters</w:t>
      </w:r>
      <w:r w:rsidR="00087D8E" w:rsidRPr="00F74145">
        <w:t>”</w:t>
      </w:r>
      <w:r w:rsidR="00F74145">
        <w:t>.</w:t>
      </w:r>
      <w:r w:rsidR="001D2A1D">
        <w:t xml:space="preserve"> [1]</w:t>
      </w:r>
      <w:r w:rsidR="00087D8E" w:rsidRPr="00F74145">
        <w:t xml:space="preserve"> As expected from the beginning, the scope </w:t>
      </w:r>
      <w:r w:rsidR="00F74145" w:rsidRPr="00F74145">
        <w:t>of catalysts covered in this issue</w:t>
      </w:r>
      <w:r w:rsidR="00087D8E" w:rsidRPr="00F74145">
        <w:t xml:space="preserve"> is broad</w:t>
      </w:r>
      <w:r w:rsidR="00F41E77" w:rsidRPr="000F786F">
        <w:t>,</w:t>
      </w:r>
      <w:r w:rsidR="00087D8E" w:rsidRPr="000F786F">
        <w:t xml:space="preserve"> </w:t>
      </w:r>
      <w:r w:rsidR="000F786F" w:rsidRPr="000F786F">
        <w:t>from zirconium and hafnium to iron and cobalt-based</w:t>
      </w:r>
      <w:r w:rsidR="00087D8E" w:rsidRPr="000F786F">
        <w:t xml:space="preserve"> catalysts.</w:t>
      </w:r>
    </w:p>
    <w:p w14:paraId="6679DDD7" w14:textId="2358C2F5" w:rsidR="001D2A1D" w:rsidRPr="007F15CB" w:rsidRDefault="00087D8E" w:rsidP="007F15CB">
      <w:pPr>
        <w:pStyle w:val="MDPI31text"/>
      </w:pPr>
      <w:r w:rsidRPr="001D2A1D">
        <w:t xml:space="preserve">For example, the </w:t>
      </w:r>
      <w:r w:rsidR="007C56B6" w:rsidRPr="001D2A1D">
        <w:t>Special Issue</w:t>
      </w:r>
      <w:r w:rsidRPr="001D2A1D">
        <w:t xml:space="preserve"> summarizes efforts in </w:t>
      </w:r>
      <w:r w:rsidR="00F41E77" w:rsidRPr="001D2A1D">
        <w:t xml:space="preserve">the area of </w:t>
      </w:r>
      <w:r w:rsidRPr="001D2A1D">
        <w:t>homogeneous catalysts concerning</w:t>
      </w:r>
      <w:r w:rsidR="001D2A1D" w:rsidRPr="001D2A1D">
        <w:t xml:space="preserve"> iron</w:t>
      </w:r>
      <w:r w:rsidRPr="001D2A1D">
        <w:t xml:space="preserve"> catalysts containing </w:t>
      </w:r>
      <w:proofErr w:type="spellStart"/>
      <w:proofErr w:type="gramStart"/>
      <w:r w:rsidR="001D2A1D" w:rsidRPr="001D2A1D">
        <w:t>bis</w:t>
      </w:r>
      <w:proofErr w:type="spellEnd"/>
      <w:r w:rsidR="001D2A1D" w:rsidRPr="001D2A1D">
        <w:t>(</w:t>
      </w:r>
      <w:proofErr w:type="spellStart"/>
      <w:proofErr w:type="gramEnd"/>
      <w:r w:rsidR="001D2A1D" w:rsidRPr="001D2A1D">
        <w:t>arylimino</w:t>
      </w:r>
      <w:proofErr w:type="spellEnd"/>
      <w:r w:rsidR="001D2A1D" w:rsidRPr="001D2A1D">
        <w:t>)</w:t>
      </w:r>
      <w:proofErr w:type="spellStart"/>
      <w:r w:rsidR="001D2A1D" w:rsidRPr="001D2A1D">
        <w:t>tetrahydrocyclohepta</w:t>
      </w:r>
      <w:proofErr w:type="spellEnd"/>
      <w:r w:rsidR="001D2A1D" w:rsidRPr="001D2A1D">
        <w:t>[</w:t>
      </w:r>
      <w:r w:rsidR="001D2A1D" w:rsidRPr="001D2A1D">
        <w:rPr>
          <w:i/>
        </w:rPr>
        <w:t>b</w:t>
      </w:r>
      <w:r w:rsidR="001D2A1D" w:rsidRPr="001D2A1D">
        <w:t xml:space="preserve">]pyridine </w:t>
      </w:r>
      <w:r w:rsidRPr="001D2A1D">
        <w:t xml:space="preserve">ligands applied to </w:t>
      </w:r>
      <w:r w:rsidR="00F41E77" w:rsidRPr="001D2A1D">
        <w:t xml:space="preserve">the </w:t>
      </w:r>
      <w:r w:rsidR="001D2A1D" w:rsidRPr="001D2A1D">
        <w:t>polymerization of ethylene.</w:t>
      </w:r>
      <w:r w:rsidR="001D2A1D">
        <w:t xml:space="preserve"> Structure/activity revealed that the activity dropped as the </w:t>
      </w:r>
      <w:proofErr w:type="spellStart"/>
      <w:r w:rsidR="001D2A1D" w:rsidRPr="001D2A1D">
        <w:rPr>
          <w:i/>
        </w:rPr>
        <w:t>ortho</w:t>
      </w:r>
      <w:r w:rsidR="001D2A1D">
        <w:t>-cycloalkyl</w:t>
      </w:r>
      <w:proofErr w:type="spellEnd"/>
      <w:r w:rsidR="001D2A1D">
        <w:t xml:space="preserve"> ring size increased; polymer molecular weights were also found to be related to the </w:t>
      </w:r>
      <w:proofErr w:type="spellStart"/>
      <w:r w:rsidR="001D2A1D" w:rsidRPr="001D2A1D">
        <w:rPr>
          <w:i/>
        </w:rPr>
        <w:t>ortho</w:t>
      </w:r>
      <w:r w:rsidR="001D2A1D">
        <w:t>-cycloalkyl</w:t>
      </w:r>
      <w:proofErr w:type="spellEnd"/>
      <w:r w:rsidR="001D2A1D">
        <w:t xml:space="preserve"> ring size. [2] DFT calculations on neural and cationic </w:t>
      </w:r>
      <w:proofErr w:type="spellStart"/>
      <w:proofErr w:type="gramStart"/>
      <w:r w:rsidR="001D2A1D">
        <w:t>bis</w:t>
      </w:r>
      <w:proofErr w:type="spellEnd"/>
      <w:r w:rsidR="001D2A1D">
        <w:t>(</w:t>
      </w:r>
      <w:proofErr w:type="spellStart"/>
      <w:proofErr w:type="gramEnd"/>
      <w:r w:rsidR="001D2A1D">
        <w:t>imino</w:t>
      </w:r>
      <w:proofErr w:type="spellEnd"/>
      <w:r w:rsidR="001D2A1D">
        <w:t xml:space="preserve">)pyridine iron and cobalt systems have been employed to shed light on the nature of the active species and </w:t>
      </w:r>
      <w:r w:rsidR="001D2A1D" w:rsidRPr="001D2A1D">
        <w:rPr>
          <w:i/>
        </w:rPr>
        <w:t>modus operandi</w:t>
      </w:r>
      <w:r w:rsidR="001D2A1D">
        <w:t xml:space="preserve"> of the polymerization system. </w:t>
      </w:r>
      <w:r w:rsidR="006C4E36">
        <w:t>Results revealed the reactivity was more closely associated with valence electron numbers rather than charge numbers. Moreover, an electron was found to be lost form the ligand set rather than the metal, with the metal retaining an oxidation state of +2 for the duration of the process. [3] DFT calculations have also been conducted on systems involving acyclic and cyclic MAO species, and their complexation with [L(R</w:t>
      </w:r>
      <w:proofErr w:type="gramStart"/>
      <w:r w:rsidR="006C4E36">
        <w:t>)</w:t>
      </w:r>
      <w:r w:rsidR="006C4E36" w:rsidRPr="006C4E36">
        <w:rPr>
          <w:vertAlign w:val="subscript"/>
        </w:rPr>
        <w:t>2</w:t>
      </w:r>
      <w:r w:rsidR="006C4E36">
        <w:t>FeCl</w:t>
      </w:r>
      <w:proofErr w:type="gramEnd"/>
      <w:r w:rsidR="006C4E36">
        <w:t>]</w:t>
      </w:r>
      <w:r w:rsidR="006C4E36" w:rsidRPr="006C4E36">
        <w:rPr>
          <w:vertAlign w:val="superscript"/>
        </w:rPr>
        <w:t>+</w:t>
      </w:r>
      <w:r w:rsidR="006C4E36">
        <w:t xml:space="preserve"> (L = pyridine-2,6-diyldimethanimine; R = Me, </w:t>
      </w:r>
      <w:proofErr w:type="spellStart"/>
      <w:r w:rsidR="006C4E36">
        <w:t>Ph</w:t>
      </w:r>
      <w:proofErr w:type="spellEnd"/>
      <w:r w:rsidR="006C4E36">
        <w:t xml:space="preserve">). Data demonstrated </w:t>
      </w:r>
      <w:r w:rsidR="000F786F">
        <w:t>the presence of</w:t>
      </w:r>
      <w:r w:rsidR="006C4E36">
        <w:t xml:space="preserve"> intramolecular O</w:t>
      </w:r>
      <w:r w:rsidR="000F786F">
        <w:t xml:space="preserve"> to Al dative bonding for the cyclic species, which resulted in the latter being a much better ligand for the iron complexes of interest. [4] </w:t>
      </w:r>
      <w:r w:rsidR="000F786F" w:rsidRPr="000F786F">
        <w:rPr>
          <w:rFonts w:ascii="Symbol" w:hAnsi="Symbol"/>
        </w:rPr>
        <w:t></w:t>
      </w:r>
      <w:r w:rsidR="000F786F">
        <w:t>-</w:t>
      </w:r>
      <w:proofErr w:type="spellStart"/>
      <w:r w:rsidR="000F786F">
        <w:t>Diimine</w:t>
      </w:r>
      <w:proofErr w:type="spellEnd"/>
      <w:r w:rsidR="000F786F">
        <w:t xml:space="preserve"> type ligation</w:t>
      </w:r>
      <w:r w:rsidR="002549E0">
        <w:t xml:space="preserve"> at </w:t>
      </w:r>
      <w:proofErr w:type="spellStart"/>
      <w:r w:rsidR="002549E0">
        <w:t>Zr</w:t>
      </w:r>
      <w:proofErr w:type="spellEnd"/>
      <w:r w:rsidR="002549E0">
        <w:t xml:space="preserve"> and </w:t>
      </w:r>
      <w:proofErr w:type="spellStart"/>
      <w:r w:rsidR="002549E0">
        <w:t>Hf</w:t>
      </w:r>
      <w:proofErr w:type="spellEnd"/>
      <w:r w:rsidR="002549E0">
        <w:t>,</w:t>
      </w:r>
      <w:r w:rsidR="000F786F">
        <w:t xml:space="preserve"> in which there is a camphor backbone </w:t>
      </w:r>
      <w:r w:rsidR="002549E0">
        <w:t xml:space="preserve">in the chelate ligand, </w:t>
      </w:r>
      <w:r w:rsidR="000F786F">
        <w:t xml:space="preserve">has been employed in </w:t>
      </w:r>
      <w:r w:rsidR="002549E0">
        <w:t>ethylene/1—</w:t>
      </w:r>
      <w:proofErr w:type="spellStart"/>
      <w:r w:rsidR="002549E0">
        <w:t>octene</w:t>
      </w:r>
      <w:proofErr w:type="spellEnd"/>
      <w:r w:rsidR="002549E0">
        <w:t xml:space="preserve"> copolymerization. Ultrahigh molecular weight products </w:t>
      </w:r>
      <w:proofErr w:type="gramStart"/>
      <w:r w:rsidR="002549E0">
        <w:t>were obtained</w:t>
      </w:r>
      <w:proofErr w:type="gramEnd"/>
      <w:r w:rsidR="002549E0">
        <w:t xml:space="preserve"> from catalysis runs with </w:t>
      </w:r>
      <w:proofErr w:type="spellStart"/>
      <w:r w:rsidR="002549E0">
        <w:t>Zr</w:t>
      </w:r>
      <w:proofErr w:type="spellEnd"/>
      <w:r w:rsidR="002549E0">
        <w:t xml:space="preserve"> conducted at 120 </w:t>
      </w:r>
      <w:proofErr w:type="spellStart"/>
      <w:r w:rsidR="002549E0" w:rsidRPr="002549E0">
        <w:rPr>
          <w:vertAlign w:val="superscript"/>
        </w:rPr>
        <w:t>o</w:t>
      </w:r>
      <w:r w:rsidR="002549E0">
        <w:t>C</w:t>
      </w:r>
      <w:proofErr w:type="spellEnd"/>
      <w:r w:rsidR="002549E0">
        <w:t xml:space="preserve"> and 3 MPa ethylene</w:t>
      </w:r>
      <w:r w:rsidR="00D95FF7">
        <w:t>, while</w:t>
      </w:r>
      <w:r w:rsidR="002549E0">
        <w:t xml:space="preserve"> </w:t>
      </w:r>
      <w:proofErr w:type="spellStart"/>
      <w:r w:rsidR="002549E0">
        <w:t>Hf</w:t>
      </w:r>
      <w:proofErr w:type="spellEnd"/>
      <w:r w:rsidR="002549E0">
        <w:t xml:space="preserve"> complexes were virtually inactive. [5] The remaining two contributions to this Special issue focus on alternatives to petroleum-based polymers. Acyclic diene metathesis (ADMET) polymerization, conducted in the presence of a Ru-</w:t>
      </w:r>
      <w:proofErr w:type="spellStart"/>
      <w:r w:rsidR="002549E0">
        <w:t>carbene</w:t>
      </w:r>
      <w:proofErr w:type="spellEnd"/>
      <w:r w:rsidR="002549E0">
        <w:t xml:space="preserve"> catalyst, </w:t>
      </w:r>
      <w:r w:rsidR="001C6D57">
        <w:t>followed in tandem by hydrogenation using a small amount of Al</w:t>
      </w:r>
      <w:r w:rsidR="001C6D57" w:rsidRPr="001C6D57">
        <w:rPr>
          <w:vertAlign w:val="subscript"/>
        </w:rPr>
        <w:t>2</w:t>
      </w:r>
      <w:r w:rsidR="001C6D57">
        <w:t>O</w:t>
      </w:r>
      <w:r w:rsidR="001C6D57" w:rsidRPr="001C6D57">
        <w:rPr>
          <w:vertAlign w:val="subscript"/>
        </w:rPr>
        <w:t>3</w:t>
      </w:r>
      <w:r w:rsidR="001C6D57">
        <w:t>.</w:t>
      </w:r>
      <w:r w:rsidR="002549E0">
        <w:t xml:space="preserve"> </w:t>
      </w:r>
      <w:r w:rsidR="001C6D57">
        <w:t xml:space="preserve">The </w:t>
      </w:r>
      <w:proofErr w:type="spellStart"/>
      <w:r w:rsidR="001C6D57">
        <w:t>copolymerizations</w:t>
      </w:r>
      <w:proofErr w:type="spellEnd"/>
      <w:r w:rsidR="001C6D57">
        <w:t xml:space="preserve"> employed </w:t>
      </w:r>
      <w:proofErr w:type="spellStart"/>
      <w:r w:rsidR="001C6D57">
        <w:t>dianhydro</w:t>
      </w:r>
      <w:proofErr w:type="spellEnd"/>
      <w:r w:rsidR="001C6D57">
        <w:t>-</w:t>
      </w:r>
      <w:r w:rsidR="001C6D57" w:rsidRPr="001C6D57">
        <w:rPr>
          <w:i/>
        </w:rPr>
        <w:t>D</w:t>
      </w:r>
      <w:r w:rsidR="001C6D57">
        <w:t>-</w:t>
      </w:r>
      <w:proofErr w:type="spellStart"/>
      <w:r w:rsidR="001C6D57">
        <w:t>glucityl</w:t>
      </w:r>
      <w:proofErr w:type="spellEnd"/>
      <w:r w:rsidR="001C6D57">
        <w:t xml:space="preserve"> </w:t>
      </w:r>
      <w:proofErr w:type="spellStart"/>
      <w:proofErr w:type="gramStart"/>
      <w:r w:rsidR="001C6D57">
        <w:t>bis</w:t>
      </w:r>
      <w:proofErr w:type="spellEnd"/>
      <w:r w:rsidR="001C6D57">
        <w:t>(</w:t>
      </w:r>
      <w:proofErr w:type="gramEnd"/>
      <w:r w:rsidR="001C6D57">
        <w:t>undec-10-enoate) and 1,9-decadiene, and under the conditions employed (H</w:t>
      </w:r>
      <w:r w:rsidR="001C6D57" w:rsidRPr="001C6D57">
        <w:rPr>
          <w:vertAlign w:val="subscript"/>
        </w:rPr>
        <w:t>2</w:t>
      </w:r>
      <w:r w:rsidR="001C6D57">
        <w:t xml:space="preserve"> 1.0 MPa, 50 </w:t>
      </w:r>
      <w:proofErr w:type="spellStart"/>
      <w:r w:rsidR="001C6D57" w:rsidRPr="001C6D57">
        <w:rPr>
          <w:vertAlign w:val="superscript"/>
        </w:rPr>
        <w:t>o</w:t>
      </w:r>
      <w:r w:rsidR="001C6D57">
        <w:t>C</w:t>
      </w:r>
      <w:proofErr w:type="spellEnd"/>
      <w:r w:rsidR="001C6D57">
        <w:t xml:space="preserve">) high molecular weight unsaturated polyesters were afforded. [6] </w:t>
      </w:r>
    </w:p>
    <w:p w14:paraId="5699769E" w14:textId="7891A759" w:rsidR="00087D8E" w:rsidRPr="00C54FA5" w:rsidRDefault="00087D8E" w:rsidP="0090122C">
      <w:pPr>
        <w:pStyle w:val="MDPI31text"/>
      </w:pPr>
      <w:r w:rsidRPr="007F15CB">
        <w:t xml:space="preserve">Moreover, this </w:t>
      </w:r>
      <w:r w:rsidR="007C56B6" w:rsidRPr="007F15CB">
        <w:t>Special Issue</w:t>
      </w:r>
      <w:r w:rsidRPr="007F15CB">
        <w:t xml:space="preserve"> introduces efforts concerning ring opening polymerization using </w:t>
      </w:r>
      <w:r w:rsidR="007F15CB" w:rsidRPr="007F15CB">
        <w:t xml:space="preserve">air and moisture stable polymetallic </w:t>
      </w:r>
      <w:proofErr w:type="spellStart"/>
      <w:r w:rsidR="007F15CB" w:rsidRPr="007F15CB">
        <w:t>Ti</w:t>
      </w:r>
      <w:proofErr w:type="spellEnd"/>
      <w:r w:rsidR="007F15CB" w:rsidRPr="007F15CB">
        <w:t xml:space="preserve"> and </w:t>
      </w:r>
      <w:proofErr w:type="spellStart"/>
      <w:r w:rsidR="007F15CB" w:rsidRPr="007F15CB">
        <w:t>Zr</w:t>
      </w:r>
      <w:proofErr w:type="spellEnd"/>
      <w:r w:rsidR="007F15CB" w:rsidRPr="007F15CB">
        <w:t xml:space="preserve"> complex catalysts. [7] In these systems, the ligation involved amine </w:t>
      </w:r>
      <w:proofErr w:type="spellStart"/>
      <w:proofErr w:type="gramStart"/>
      <w:r w:rsidR="007F15CB" w:rsidRPr="007F15CB">
        <w:t>bis</w:t>
      </w:r>
      <w:proofErr w:type="spellEnd"/>
      <w:r w:rsidR="007F15CB" w:rsidRPr="007F15CB">
        <w:t>(</w:t>
      </w:r>
      <w:proofErr w:type="spellStart"/>
      <w:proofErr w:type="gramEnd"/>
      <w:r w:rsidR="007F15CB" w:rsidRPr="007F15CB">
        <w:t>phenolates</w:t>
      </w:r>
      <w:proofErr w:type="spellEnd"/>
      <w:r w:rsidR="007F15CB">
        <w:t xml:space="preserve">) into which </w:t>
      </w:r>
      <w:r w:rsidR="00280B35">
        <w:t xml:space="preserve">an </w:t>
      </w:r>
      <w:r w:rsidR="007F15CB">
        <w:t xml:space="preserve">amino acid functionality had been incorporated, </w:t>
      </w:r>
      <w:r w:rsidR="007F15CB" w:rsidRPr="007F15CB">
        <w:rPr>
          <w:i/>
        </w:rPr>
        <w:t>i.e</w:t>
      </w:r>
      <w:r w:rsidR="007F15CB">
        <w:t xml:space="preserve">. amino acid ethyl ester-derived </w:t>
      </w:r>
      <w:proofErr w:type="spellStart"/>
      <w:r w:rsidR="007F15CB">
        <w:t>bis</w:t>
      </w:r>
      <w:proofErr w:type="spellEnd"/>
      <w:r w:rsidR="007F15CB">
        <w:t>(</w:t>
      </w:r>
      <w:proofErr w:type="spellStart"/>
      <w:r w:rsidR="007F15CB">
        <w:t>phenolate</w:t>
      </w:r>
      <w:proofErr w:type="spellEnd"/>
      <w:r w:rsidR="007F15CB">
        <w:t xml:space="preserve">) ligands. Aggregate size was controlled by the steric bulk of the pendant arm. In the ROP of </w:t>
      </w:r>
      <w:proofErr w:type="spellStart"/>
      <w:r w:rsidR="007F15CB" w:rsidRPr="007F15CB">
        <w:rPr>
          <w:i/>
        </w:rPr>
        <w:t>rac</w:t>
      </w:r>
      <w:r w:rsidR="007F15CB">
        <w:t>-lactide</w:t>
      </w:r>
      <w:proofErr w:type="spellEnd"/>
      <w:r w:rsidR="007F15CB">
        <w:t xml:space="preserve">, </w:t>
      </w:r>
      <w:r w:rsidR="007F15CB">
        <w:lastRenderedPageBreak/>
        <w:t>faster rates were observed for binuclear (</w:t>
      </w:r>
      <w:r w:rsidR="007F15CB" w:rsidRPr="007F15CB">
        <w:rPr>
          <w:i/>
        </w:rPr>
        <w:t>versus</w:t>
      </w:r>
      <w:r w:rsidR="007F15CB">
        <w:t xml:space="preserve"> </w:t>
      </w:r>
      <w:proofErr w:type="spellStart"/>
      <w:r w:rsidR="007F15CB">
        <w:t>tetranuclear</w:t>
      </w:r>
      <w:proofErr w:type="spellEnd"/>
      <w:r w:rsidR="007F15CB">
        <w:t xml:space="preserve">) </w:t>
      </w:r>
      <w:proofErr w:type="spellStart"/>
      <w:r w:rsidR="007F15CB">
        <w:t>Ti</w:t>
      </w:r>
      <w:proofErr w:type="spellEnd"/>
      <w:r w:rsidR="007F15CB">
        <w:t xml:space="preserve"> complexes, whilst for </w:t>
      </w:r>
      <w:proofErr w:type="spellStart"/>
      <w:r w:rsidR="007F15CB">
        <w:t>Zr</w:t>
      </w:r>
      <w:proofErr w:type="spellEnd"/>
      <w:r w:rsidR="007F15CB">
        <w:t xml:space="preserve">, </w:t>
      </w:r>
      <w:r w:rsidR="008559A2">
        <w:t xml:space="preserve">a </w:t>
      </w:r>
      <w:proofErr w:type="spellStart"/>
      <w:r w:rsidR="008559A2">
        <w:t>trimetallic</w:t>
      </w:r>
      <w:proofErr w:type="spellEnd"/>
      <w:r w:rsidR="008559A2">
        <w:t xml:space="preserve"> derivative revealed best control over </w:t>
      </w:r>
      <w:proofErr w:type="spellStart"/>
      <w:r w:rsidR="008559A2">
        <w:t>tacticity</w:t>
      </w:r>
      <w:proofErr w:type="spellEnd"/>
      <w:r w:rsidR="008559A2">
        <w:t>.</w:t>
      </w:r>
      <w:r w:rsidR="007F15CB">
        <w:t xml:space="preserve">    </w:t>
      </w:r>
    </w:p>
    <w:p w14:paraId="5868610A" w14:textId="125B9886" w:rsidR="00087D8E" w:rsidRDefault="00A76D92" w:rsidP="0090122C">
      <w:pPr>
        <w:pStyle w:val="MDPI31text"/>
      </w:pPr>
      <w:r>
        <w:t>Finally</w:t>
      </w:r>
      <w:r w:rsidR="00087D8E" w:rsidRPr="00C54FA5">
        <w:t xml:space="preserve">, </w:t>
      </w:r>
      <w:r>
        <w:t>we</w:t>
      </w:r>
      <w:r w:rsidR="00087D8E" w:rsidRPr="00C54FA5">
        <w:t xml:space="preserve"> would like to express our sincere thanks to </w:t>
      </w:r>
      <w:r w:rsidR="00F41E77">
        <w:t xml:space="preserve">those who </w:t>
      </w:r>
      <w:r w:rsidR="00087D8E" w:rsidRPr="00C54FA5">
        <w:t>submi</w:t>
      </w:r>
      <w:r w:rsidR="00F41E77">
        <w:t>tted</w:t>
      </w:r>
      <w:r w:rsidR="00087D8E" w:rsidRPr="00C54FA5">
        <w:t xml:space="preserve"> articles </w:t>
      </w:r>
      <w:r>
        <w:t>of such</w:t>
      </w:r>
      <w:r w:rsidR="00087D8E" w:rsidRPr="00C54FA5">
        <w:t xml:space="preserve"> good quality</w:t>
      </w:r>
      <w:r>
        <w:t xml:space="preserve"> to this special issue</w:t>
      </w:r>
      <w:r w:rsidR="00087D8E" w:rsidRPr="00C54FA5">
        <w:t>.</w:t>
      </w:r>
      <w:r w:rsidR="0090122C">
        <w:t xml:space="preserve"> </w:t>
      </w:r>
      <w:r w:rsidR="00840F4F">
        <w:t>We</w:t>
      </w:r>
      <w:r w:rsidR="00087D8E" w:rsidRPr="00C54FA5">
        <w:t xml:space="preserve"> hope you </w:t>
      </w:r>
      <w:r w:rsidR="00840F4F">
        <w:t xml:space="preserve">the readers </w:t>
      </w:r>
      <w:r w:rsidR="00087D8E" w:rsidRPr="00C54FA5">
        <w:t xml:space="preserve">can </w:t>
      </w:r>
      <w:r w:rsidR="00840F4F">
        <w:t xml:space="preserve">also </w:t>
      </w:r>
      <w:r w:rsidR="00087D8E" w:rsidRPr="00C54FA5">
        <w:t xml:space="preserve">enjoy this </w:t>
      </w:r>
      <w:r w:rsidR="007C56B6">
        <w:t>Special Issue</w:t>
      </w:r>
      <w:r w:rsidR="00087D8E" w:rsidRPr="00C54FA5">
        <w:t>.</w:t>
      </w:r>
    </w:p>
    <w:p w14:paraId="52128342" w14:textId="59C77B4F" w:rsidR="0090122C" w:rsidRPr="00561A26" w:rsidRDefault="0090122C" w:rsidP="00561A26">
      <w:pPr>
        <w:pStyle w:val="MDPI62BackMatter"/>
        <w:spacing w:before="240"/>
      </w:pPr>
      <w:r w:rsidRPr="00561A26">
        <w:rPr>
          <w:b/>
        </w:rPr>
        <w:t>Funding:</w:t>
      </w:r>
      <w:r w:rsidRPr="00561A26">
        <w:t xml:space="preserve"> </w:t>
      </w:r>
      <w:r w:rsidR="00561A26" w:rsidRPr="00561A26">
        <w:t>This research received no external funding.</w:t>
      </w:r>
    </w:p>
    <w:p w14:paraId="2EF387F0" w14:textId="77777777" w:rsidR="000F285C" w:rsidRDefault="0090122C" w:rsidP="000F285C">
      <w:pPr>
        <w:pStyle w:val="MDPI62BackMatter"/>
      </w:pPr>
      <w:r w:rsidRPr="000F285C">
        <w:rPr>
          <w:b/>
        </w:rPr>
        <w:t xml:space="preserve">Conflicts of Interest: </w:t>
      </w:r>
      <w:r w:rsidR="00DF0EC9" w:rsidRPr="00DF0EC9">
        <w:t>The authors declare no conflict of interest.</w:t>
      </w:r>
    </w:p>
    <w:p w14:paraId="23317430" w14:textId="68415F57" w:rsidR="000F285C" w:rsidRPr="00C54FA5" w:rsidRDefault="000F285C" w:rsidP="000F285C">
      <w:pPr>
        <w:pStyle w:val="MDPI21heading1"/>
        <w:ind w:left="0"/>
      </w:pPr>
      <w:r w:rsidRPr="007F3F33">
        <w:t>R</w:t>
      </w:r>
      <w:r>
        <w:t>eferences</w:t>
      </w:r>
    </w:p>
    <w:p w14:paraId="57AFDED4" w14:textId="5FBD68BB" w:rsidR="001C11B3" w:rsidRDefault="001C11B3" w:rsidP="001C11B3">
      <w:pPr>
        <w:pStyle w:val="MDPI71References"/>
        <w:numPr>
          <w:ilvl w:val="0"/>
          <w:numId w:val="17"/>
        </w:numPr>
      </w:pPr>
      <w:r w:rsidRPr="003662E1">
        <w:t xml:space="preserve">Santoro, O.; Zhang, X.; Redshaw, C. Synthesis of Biodegradable Polymers: A Review on the Use of Schiff-Base Metal Complexes as catalysts for the Ring Opening Polymerization (ROP) of Cyclic Esters. </w:t>
      </w:r>
      <w:r w:rsidRPr="003662E1">
        <w:rPr>
          <w:i/>
          <w:iCs/>
        </w:rPr>
        <w:t>Catalysts</w:t>
      </w:r>
      <w:r w:rsidRPr="003662E1">
        <w:t xml:space="preserve"> </w:t>
      </w:r>
      <w:r w:rsidRPr="003662E1">
        <w:rPr>
          <w:b/>
        </w:rPr>
        <w:t>2022</w:t>
      </w:r>
      <w:r w:rsidRPr="003662E1">
        <w:t xml:space="preserve">, </w:t>
      </w:r>
      <w:r w:rsidRPr="003662E1">
        <w:rPr>
          <w:i/>
        </w:rPr>
        <w:t>12</w:t>
      </w:r>
      <w:r w:rsidRPr="003662E1">
        <w:t xml:space="preserve">, 800. </w:t>
      </w:r>
      <w:hyperlink r:id="rId8" w:history="1">
        <w:r w:rsidRPr="005B704B">
          <w:rPr>
            <w:rStyle w:val="Hyperlink"/>
          </w:rPr>
          <w:t>https://doi.org/10.3390/catal10070800</w:t>
        </w:r>
      </w:hyperlink>
      <w:r w:rsidRPr="003662E1">
        <w:t>.</w:t>
      </w:r>
    </w:p>
    <w:p w14:paraId="40566562" w14:textId="58655D43" w:rsidR="001C11B3" w:rsidRDefault="001C11B3" w:rsidP="001C11B3">
      <w:pPr>
        <w:pStyle w:val="MDPI71References"/>
        <w:numPr>
          <w:ilvl w:val="0"/>
          <w:numId w:val="17"/>
        </w:numPr>
      </w:pPr>
      <w:r w:rsidRPr="003662E1">
        <w:t xml:space="preserve">Han, M.; Zhang, Q.; </w:t>
      </w:r>
      <w:proofErr w:type="spellStart"/>
      <w:r>
        <w:t>Oleynik</w:t>
      </w:r>
      <w:proofErr w:type="spellEnd"/>
      <w:r>
        <w:t xml:space="preserve">, I. I.; </w:t>
      </w:r>
      <w:proofErr w:type="spellStart"/>
      <w:r>
        <w:t>Suo</w:t>
      </w:r>
      <w:proofErr w:type="spellEnd"/>
      <w:r>
        <w:t xml:space="preserve">, H.; </w:t>
      </w:r>
      <w:proofErr w:type="spellStart"/>
      <w:r>
        <w:t>Oleynik</w:t>
      </w:r>
      <w:proofErr w:type="spellEnd"/>
      <w:r>
        <w:t>, I. V.; Solan, G. A.; Ma, Y.; Liang, T.; Sun, W. –H</w:t>
      </w:r>
      <w:r w:rsidRPr="003662E1">
        <w:t>. Adjusting</w:t>
      </w:r>
      <w:r w:rsidRPr="00DA4042">
        <w:t xml:space="preserve"> </w:t>
      </w:r>
      <w:r w:rsidRPr="00DA4042">
        <w:rPr>
          <w:i/>
        </w:rPr>
        <w:t>Ortho</w:t>
      </w:r>
      <w:r w:rsidRPr="00DA4042">
        <w:t>-</w:t>
      </w:r>
      <w:proofErr w:type="spellStart"/>
      <w:r w:rsidRPr="00DA4042">
        <w:t>Cycloalkyl</w:t>
      </w:r>
      <w:proofErr w:type="spellEnd"/>
      <w:r w:rsidRPr="00DA4042">
        <w:t xml:space="preserve"> </w:t>
      </w:r>
      <w:r w:rsidRPr="003662E1">
        <w:t xml:space="preserve">Ring Size in a </w:t>
      </w:r>
      <w:proofErr w:type="spellStart"/>
      <w:r w:rsidRPr="003662E1">
        <w:t>Cycloheptyl</w:t>
      </w:r>
      <w:proofErr w:type="spellEnd"/>
      <w:r w:rsidRPr="003662E1">
        <w:t xml:space="preserve">-Fused </w:t>
      </w:r>
      <w:r w:rsidRPr="003662E1">
        <w:rPr>
          <w:i/>
        </w:rPr>
        <w:t>N</w:t>
      </w:r>
      <w:r w:rsidRPr="003662E1">
        <w:t>,</w:t>
      </w:r>
      <w:r w:rsidRPr="003662E1">
        <w:rPr>
          <w:i/>
        </w:rPr>
        <w:t>N</w:t>
      </w:r>
      <w:r w:rsidRPr="003662E1">
        <w:t>,</w:t>
      </w:r>
      <w:r w:rsidRPr="003662E1">
        <w:rPr>
          <w:i/>
        </w:rPr>
        <w:t>N</w:t>
      </w:r>
      <w:r w:rsidRPr="003662E1">
        <w:t xml:space="preserve">-Iron Catalysts as Means to Control Catalytic Activity and Polyethylene Properties. </w:t>
      </w:r>
      <w:r w:rsidRPr="003662E1">
        <w:rPr>
          <w:i/>
          <w:iCs/>
        </w:rPr>
        <w:t>Catalysts</w:t>
      </w:r>
      <w:r w:rsidRPr="003662E1">
        <w:t xml:space="preserve"> </w:t>
      </w:r>
      <w:r w:rsidRPr="003662E1">
        <w:rPr>
          <w:b/>
        </w:rPr>
        <w:t>2022</w:t>
      </w:r>
      <w:r w:rsidRPr="003662E1">
        <w:t xml:space="preserve">, </w:t>
      </w:r>
      <w:r w:rsidRPr="003662E1">
        <w:rPr>
          <w:i/>
        </w:rPr>
        <w:t>12</w:t>
      </w:r>
      <w:r w:rsidRPr="003662E1">
        <w:t xml:space="preserve">, 1002. </w:t>
      </w:r>
      <w:hyperlink r:id="rId9" w:history="1">
        <w:r w:rsidRPr="005B704B">
          <w:rPr>
            <w:rStyle w:val="Hyperlink"/>
          </w:rPr>
          <w:t>https://doi.org/10.3390/catal10091002</w:t>
        </w:r>
      </w:hyperlink>
      <w:r w:rsidRPr="003662E1">
        <w:t>.</w:t>
      </w:r>
    </w:p>
    <w:p w14:paraId="43BDF8F5" w14:textId="544263A5" w:rsidR="000F285C" w:rsidRDefault="00DA4042" w:rsidP="000F285C">
      <w:pPr>
        <w:pStyle w:val="MDPI71References"/>
        <w:numPr>
          <w:ilvl w:val="0"/>
          <w:numId w:val="17"/>
        </w:numPr>
      </w:pPr>
      <w:r w:rsidRPr="003662E1">
        <w:t>Li</w:t>
      </w:r>
      <w:r w:rsidR="000F285C" w:rsidRPr="003662E1">
        <w:t xml:space="preserve">, </w:t>
      </w:r>
      <w:r w:rsidRPr="003662E1">
        <w:t>Z</w:t>
      </w:r>
      <w:r w:rsidR="000F285C" w:rsidRPr="003662E1">
        <w:t xml:space="preserve">.; </w:t>
      </w:r>
      <w:r w:rsidRPr="003662E1">
        <w:t>M</w:t>
      </w:r>
      <w:r w:rsidR="000F285C" w:rsidRPr="003662E1">
        <w:t xml:space="preserve">a, </w:t>
      </w:r>
      <w:r w:rsidRPr="003662E1">
        <w:t>Y</w:t>
      </w:r>
      <w:r w:rsidR="000F285C" w:rsidRPr="003662E1">
        <w:t xml:space="preserve">.; </w:t>
      </w:r>
      <w:r w:rsidRPr="003662E1">
        <w:t>Sun</w:t>
      </w:r>
      <w:r w:rsidR="000F285C" w:rsidRPr="003662E1">
        <w:t xml:space="preserve">, </w:t>
      </w:r>
      <w:r w:rsidRPr="003662E1">
        <w:t>W. -H</w:t>
      </w:r>
      <w:r w:rsidR="000F285C" w:rsidRPr="003662E1">
        <w:t xml:space="preserve">. </w:t>
      </w:r>
      <w:r w:rsidRPr="003662E1">
        <w:t>Comparison</w:t>
      </w:r>
      <w:r w:rsidR="000F285C" w:rsidRPr="003662E1">
        <w:t xml:space="preserve"> of </w:t>
      </w:r>
      <w:r w:rsidRPr="003662E1">
        <w:t xml:space="preserve">the Reactivity and Structures for the Neutral and Cationic </w:t>
      </w:r>
      <w:proofErr w:type="spellStart"/>
      <w:r w:rsidRPr="003662E1">
        <w:t>Bis</w:t>
      </w:r>
      <w:proofErr w:type="spellEnd"/>
      <w:r w:rsidRPr="003662E1">
        <w:t>(</w:t>
      </w:r>
      <w:proofErr w:type="spellStart"/>
      <w:r w:rsidRPr="003662E1">
        <w:t>imino</w:t>
      </w:r>
      <w:proofErr w:type="spellEnd"/>
      <w:r w:rsidRPr="003662E1">
        <w:t>)</w:t>
      </w:r>
      <w:proofErr w:type="spellStart"/>
      <w:r w:rsidRPr="003662E1">
        <w:t>pyridyl</w:t>
      </w:r>
      <w:proofErr w:type="spellEnd"/>
      <w:r w:rsidRPr="003662E1">
        <w:t xml:space="preserve"> Iron and Cobalt Species</w:t>
      </w:r>
      <w:r>
        <w:t xml:space="preserve"> by DFT Calculations. </w:t>
      </w:r>
      <w:r w:rsidR="000F285C" w:rsidRPr="00DA4042">
        <w:rPr>
          <w:i/>
          <w:iCs/>
        </w:rPr>
        <w:t>Catalysts</w:t>
      </w:r>
      <w:r w:rsidR="000F285C" w:rsidRPr="00DA4042">
        <w:t xml:space="preserve"> </w:t>
      </w:r>
      <w:r w:rsidR="000F285C" w:rsidRPr="00DA4042">
        <w:rPr>
          <w:b/>
        </w:rPr>
        <w:t>202</w:t>
      </w:r>
      <w:r w:rsidRPr="00DA4042">
        <w:rPr>
          <w:b/>
        </w:rPr>
        <w:t>2</w:t>
      </w:r>
      <w:r w:rsidR="000F285C" w:rsidRPr="00DA4042">
        <w:t xml:space="preserve">, </w:t>
      </w:r>
      <w:r w:rsidR="000F285C" w:rsidRPr="00DA4042">
        <w:rPr>
          <w:i/>
        </w:rPr>
        <w:t>1</w:t>
      </w:r>
      <w:r w:rsidRPr="00DA4042">
        <w:rPr>
          <w:i/>
        </w:rPr>
        <w:t>2</w:t>
      </w:r>
      <w:r w:rsidR="000F285C" w:rsidRPr="00DA4042">
        <w:t>, 1</w:t>
      </w:r>
      <w:r w:rsidRPr="00DA4042">
        <w:t>396</w:t>
      </w:r>
      <w:r w:rsidR="000F285C" w:rsidRPr="00DA4042">
        <w:t xml:space="preserve">. </w:t>
      </w:r>
      <w:hyperlink r:id="rId10" w:history="1">
        <w:r w:rsidR="001C11B3" w:rsidRPr="005B704B">
          <w:rPr>
            <w:rStyle w:val="Hyperlink"/>
          </w:rPr>
          <w:t>https://doi.org/10.3390/catal10121396</w:t>
        </w:r>
      </w:hyperlink>
      <w:r w:rsidR="000F285C" w:rsidRPr="00DA4042">
        <w:t>.</w:t>
      </w:r>
    </w:p>
    <w:p w14:paraId="6E94728E" w14:textId="48DAAC86" w:rsidR="001C11B3" w:rsidRDefault="001C11B3" w:rsidP="001C11B3">
      <w:pPr>
        <w:pStyle w:val="MDPI71References"/>
        <w:numPr>
          <w:ilvl w:val="0"/>
          <w:numId w:val="17"/>
        </w:numPr>
      </w:pPr>
      <w:r>
        <w:t xml:space="preserve">Yang, K.; Glaser, R. Transition Metal-Catalyzed and MAO-Assisted Olefin Polymerization; Cyclic Isomers of Sinn’s Dimer Are Excellent Ligands in Iron Complexes and Great </w:t>
      </w:r>
      <w:proofErr w:type="spellStart"/>
      <w:r>
        <w:t>Methylating</w:t>
      </w:r>
      <w:proofErr w:type="spellEnd"/>
      <w:r>
        <w:t xml:space="preserve"> Reagents</w:t>
      </w:r>
      <w:r w:rsidRPr="00C578BB">
        <w:t xml:space="preserve">. </w:t>
      </w:r>
      <w:r w:rsidRPr="00C578BB">
        <w:rPr>
          <w:i/>
          <w:iCs/>
        </w:rPr>
        <w:t xml:space="preserve">Catalysts </w:t>
      </w:r>
      <w:r w:rsidRPr="00C578BB">
        <w:rPr>
          <w:b/>
        </w:rPr>
        <w:t>202</w:t>
      </w:r>
      <w:r>
        <w:rPr>
          <w:b/>
        </w:rPr>
        <w:t>2</w:t>
      </w:r>
      <w:r w:rsidRPr="00C578BB">
        <w:t xml:space="preserve">, </w:t>
      </w:r>
      <w:r w:rsidRPr="00C578BB">
        <w:rPr>
          <w:i/>
        </w:rPr>
        <w:t>1</w:t>
      </w:r>
      <w:r>
        <w:rPr>
          <w:i/>
        </w:rPr>
        <w:t>2</w:t>
      </w:r>
      <w:r w:rsidRPr="00C578BB">
        <w:t>, 3</w:t>
      </w:r>
      <w:r>
        <w:t>12</w:t>
      </w:r>
      <w:r w:rsidRPr="00C578BB">
        <w:t xml:space="preserve">. </w:t>
      </w:r>
      <w:hyperlink r:id="rId11" w:history="1">
        <w:r w:rsidRPr="005B704B">
          <w:rPr>
            <w:rStyle w:val="Hyperlink"/>
          </w:rPr>
          <w:t>https://doi.org/10.3390/catal12030312</w:t>
        </w:r>
      </w:hyperlink>
      <w:r w:rsidRPr="00C578BB">
        <w:t>.</w:t>
      </w:r>
    </w:p>
    <w:p w14:paraId="72C11089" w14:textId="713BC2E4" w:rsidR="001C11B3" w:rsidRDefault="001C11B3" w:rsidP="001C11B3">
      <w:pPr>
        <w:pStyle w:val="MDPI71References"/>
        <w:numPr>
          <w:ilvl w:val="0"/>
          <w:numId w:val="17"/>
        </w:numPr>
      </w:pPr>
      <w:r w:rsidRPr="003662E1">
        <w:t xml:space="preserve">Feng, C.; Gou, Q.; Liu, S.; Gao, R.; Li, Z. Synthesis of Ethylene/1-Octene Copolymers with Ultra High Molecular Weights by </w:t>
      </w:r>
      <w:proofErr w:type="spellStart"/>
      <w:r w:rsidRPr="003662E1">
        <w:t>Zr</w:t>
      </w:r>
      <w:proofErr w:type="spellEnd"/>
      <w:r w:rsidRPr="003662E1">
        <w:t xml:space="preserve"> and </w:t>
      </w:r>
      <w:proofErr w:type="spellStart"/>
      <w:r w:rsidRPr="003662E1">
        <w:t>Hf</w:t>
      </w:r>
      <w:proofErr w:type="spellEnd"/>
      <w:r w:rsidRPr="003662E1">
        <w:t xml:space="preserve"> Complexes Bearing NN Ligands with the </w:t>
      </w:r>
      <w:proofErr w:type="spellStart"/>
      <w:r w:rsidRPr="003662E1">
        <w:t>Camphyl</w:t>
      </w:r>
      <w:proofErr w:type="spellEnd"/>
      <w:r w:rsidRPr="003662E1">
        <w:t xml:space="preserve"> Linkers. </w:t>
      </w:r>
      <w:r w:rsidRPr="003662E1">
        <w:rPr>
          <w:i/>
          <w:iCs/>
        </w:rPr>
        <w:t>Catalysts</w:t>
      </w:r>
      <w:r w:rsidRPr="003662E1">
        <w:t xml:space="preserve"> </w:t>
      </w:r>
      <w:r w:rsidRPr="003662E1">
        <w:rPr>
          <w:b/>
        </w:rPr>
        <w:t>2022</w:t>
      </w:r>
      <w:r w:rsidRPr="003662E1">
        <w:t xml:space="preserve">, </w:t>
      </w:r>
      <w:r w:rsidRPr="003662E1">
        <w:rPr>
          <w:i/>
        </w:rPr>
        <w:t>12</w:t>
      </w:r>
      <w:r w:rsidRPr="003662E1">
        <w:t xml:space="preserve">, 276. </w:t>
      </w:r>
      <w:hyperlink r:id="rId12" w:history="1">
        <w:r w:rsidRPr="005B704B">
          <w:rPr>
            <w:rStyle w:val="Hyperlink"/>
          </w:rPr>
          <w:t>https://doi.org/10.3390/catal11020276</w:t>
        </w:r>
      </w:hyperlink>
      <w:r w:rsidRPr="003662E1">
        <w:t>.</w:t>
      </w:r>
    </w:p>
    <w:p w14:paraId="74E854B7" w14:textId="0B29D389" w:rsidR="001C11B3" w:rsidRDefault="001C11B3" w:rsidP="001C11B3">
      <w:pPr>
        <w:pStyle w:val="MDPI71References"/>
        <w:numPr>
          <w:ilvl w:val="0"/>
          <w:numId w:val="17"/>
        </w:numPr>
      </w:pPr>
      <w:r w:rsidRPr="00D46463">
        <w:t xml:space="preserve">Kojima, M.; </w:t>
      </w:r>
      <w:proofErr w:type="spellStart"/>
      <w:r w:rsidRPr="00D46463">
        <w:t>Abdellatif</w:t>
      </w:r>
      <w:proofErr w:type="spellEnd"/>
      <w:r w:rsidRPr="00D46463">
        <w:t xml:space="preserve">, M. M.; Nomura, K. Synthesis of </w:t>
      </w:r>
      <w:proofErr w:type="spellStart"/>
      <w:r w:rsidRPr="00D46463">
        <w:t>Semicrystalline</w:t>
      </w:r>
      <w:proofErr w:type="spellEnd"/>
      <w:r w:rsidRPr="00D46463">
        <w:t xml:space="preserve"> Long Chain Aliphatic Polyesters by ADMET Copolymerization of </w:t>
      </w:r>
      <w:proofErr w:type="spellStart"/>
      <w:r w:rsidRPr="00D46463">
        <w:t>Dianhydro</w:t>
      </w:r>
      <w:proofErr w:type="spellEnd"/>
      <w:r w:rsidRPr="00D46463">
        <w:t>-</w:t>
      </w:r>
      <w:r w:rsidRPr="00D46463">
        <w:rPr>
          <w:i/>
        </w:rPr>
        <w:t>D</w:t>
      </w:r>
      <w:r w:rsidRPr="00D46463">
        <w:t>-</w:t>
      </w:r>
      <w:proofErr w:type="spellStart"/>
      <w:r w:rsidRPr="00D46463">
        <w:t>glucityl</w:t>
      </w:r>
      <w:proofErr w:type="spellEnd"/>
      <w:r w:rsidRPr="00D46463">
        <w:t xml:space="preserve"> </w:t>
      </w:r>
      <w:proofErr w:type="spellStart"/>
      <w:proofErr w:type="gramStart"/>
      <w:r w:rsidRPr="00D46463">
        <w:t>bis</w:t>
      </w:r>
      <w:proofErr w:type="spellEnd"/>
      <w:r w:rsidRPr="00D46463">
        <w:t>(</w:t>
      </w:r>
      <w:proofErr w:type="gramEnd"/>
      <w:r w:rsidRPr="00D46463">
        <w:t xml:space="preserve">undec-10-enoate) with 1,9-Decadiene and Tandem Hydrogenation. </w:t>
      </w:r>
      <w:r w:rsidRPr="00D46463">
        <w:rPr>
          <w:i/>
          <w:iCs/>
        </w:rPr>
        <w:t>Catalysts</w:t>
      </w:r>
      <w:r w:rsidRPr="00D46463">
        <w:t xml:space="preserve"> </w:t>
      </w:r>
      <w:r w:rsidRPr="00D46463">
        <w:rPr>
          <w:b/>
        </w:rPr>
        <w:t>2022</w:t>
      </w:r>
      <w:r w:rsidRPr="00D46463">
        <w:t xml:space="preserve">, </w:t>
      </w:r>
      <w:r w:rsidRPr="00D46463">
        <w:rPr>
          <w:i/>
        </w:rPr>
        <w:t>12</w:t>
      </w:r>
      <w:r w:rsidRPr="00D46463">
        <w:t xml:space="preserve">, 89. </w:t>
      </w:r>
      <w:hyperlink r:id="rId13" w:history="1">
        <w:r w:rsidRPr="005B704B">
          <w:rPr>
            <w:rStyle w:val="Hyperlink"/>
          </w:rPr>
          <w:t>https://doi.org/10.3390/catal11091098</w:t>
        </w:r>
      </w:hyperlink>
      <w:r>
        <w:t>.</w:t>
      </w:r>
    </w:p>
    <w:p w14:paraId="2B83E8C1" w14:textId="5E240541" w:rsidR="001C11B3" w:rsidRDefault="001C11B3" w:rsidP="001C11B3">
      <w:pPr>
        <w:pStyle w:val="MDPI71References"/>
        <w:numPr>
          <w:ilvl w:val="0"/>
          <w:numId w:val="17"/>
        </w:numPr>
      </w:pPr>
      <w:r w:rsidRPr="002805E8">
        <w:t xml:space="preserve">Jenkins, </w:t>
      </w:r>
      <w:r w:rsidRPr="003662E1">
        <w:t xml:space="preserve">D. T.; </w:t>
      </w:r>
      <w:proofErr w:type="spellStart"/>
      <w:r w:rsidRPr="003662E1">
        <w:t>Fazekas</w:t>
      </w:r>
      <w:proofErr w:type="spellEnd"/>
      <w:r w:rsidRPr="003662E1">
        <w:t xml:space="preserve">, E.; Patterson, S. B. H.; </w:t>
      </w:r>
      <w:proofErr w:type="spellStart"/>
      <w:r w:rsidRPr="003662E1">
        <w:t>Rosair</w:t>
      </w:r>
      <w:proofErr w:type="spellEnd"/>
      <w:r w:rsidRPr="003662E1">
        <w:t xml:space="preserve">, G. M.; </w:t>
      </w:r>
      <w:proofErr w:type="spellStart"/>
      <w:r w:rsidRPr="003662E1">
        <w:t>Vilela</w:t>
      </w:r>
      <w:proofErr w:type="spellEnd"/>
      <w:r w:rsidRPr="003662E1">
        <w:t xml:space="preserve">, F.; McIntosh, R. D. Polymetallic Group 4 Complexes: Catalysts for the Ring Opening Polymerization of </w:t>
      </w:r>
      <w:proofErr w:type="spellStart"/>
      <w:r w:rsidRPr="003662E1">
        <w:rPr>
          <w:i/>
        </w:rPr>
        <w:t>rac</w:t>
      </w:r>
      <w:r w:rsidRPr="003662E1">
        <w:t>-Lactide</w:t>
      </w:r>
      <w:proofErr w:type="spellEnd"/>
      <w:r w:rsidRPr="003662E1">
        <w:t xml:space="preserve">. </w:t>
      </w:r>
      <w:r w:rsidRPr="003662E1">
        <w:rPr>
          <w:i/>
          <w:iCs/>
        </w:rPr>
        <w:t>Catalysts</w:t>
      </w:r>
      <w:r w:rsidRPr="003662E1">
        <w:t xml:space="preserve"> </w:t>
      </w:r>
      <w:r w:rsidRPr="003662E1">
        <w:rPr>
          <w:b/>
        </w:rPr>
        <w:t>2022</w:t>
      </w:r>
      <w:r w:rsidRPr="003662E1">
        <w:t xml:space="preserve">, </w:t>
      </w:r>
      <w:r w:rsidRPr="003662E1">
        <w:rPr>
          <w:i/>
        </w:rPr>
        <w:t>12</w:t>
      </w:r>
      <w:r w:rsidRPr="003662E1">
        <w:t xml:space="preserve">, 551. </w:t>
      </w:r>
      <w:hyperlink r:id="rId14" w:history="1">
        <w:r w:rsidRPr="005B704B">
          <w:rPr>
            <w:rStyle w:val="Hyperlink"/>
          </w:rPr>
          <w:t>https://doi.org/10.3390/catal11050551</w:t>
        </w:r>
      </w:hyperlink>
      <w:r w:rsidRPr="003662E1">
        <w:t>.</w:t>
      </w:r>
    </w:p>
    <w:p w14:paraId="169CA958" w14:textId="77777777" w:rsidR="001C11B3" w:rsidRPr="003662E1" w:rsidRDefault="001C11B3" w:rsidP="001C11B3">
      <w:pPr>
        <w:pStyle w:val="MDPI71References"/>
        <w:numPr>
          <w:ilvl w:val="0"/>
          <w:numId w:val="0"/>
        </w:numPr>
        <w:ind w:left="425"/>
      </w:pPr>
    </w:p>
    <w:p w14:paraId="7B7CBC8A" w14:textId="77777777" w:rsidR="001C11B3" w:rsidRPr="003662E1" w:rsidRDefault="001C11B3" w:rsidP="001C11B3">
      <w:pPr>
        <w:pStyle w:val="MDPI71References"/>
        <w:numPr>
          <w:ilvl w:val="0"/>
          <w:numId w:val="0"/>
        </w:numPr>
        <w:ind w:left="425"/>
      </w:pPr>
    </w:p>
    <w:p w14:paraId="662F9BEB" w14:textId="77777777" w:rsidR="001C11B3" w:rsidRPr="003662E1" w:rsidRDefault="001C11B3" w:rsidP="001C11B3">
      <w:pPr>
        <w:pStyle w:val="MDPI71References"/>
        <w:numPr>
          <w:ilvl w:val="0"/>
          <w:numId w:val="0"/>
        </w:numPr>
        <w:ind w:left="425"/>
      </w:pPr>
    </w:p>
    <w:p w14:paraId="40103C89" w14:textId="7F7CB8C9" w:rsidR="000F285C" w:rsidRPr="00840F4F" w:rsidRDefault="000F285C" w:rsidP="00840F4F">
      <w:pPr>
        <w:pStyle w:val="MDPI71References"/>
        <w:numPr>
          <w:ilvl w:val="0"/>
          <w:numId w:val="0"/>
        </w:numPr>
        <w:ind w:left="425"/>
        <w:rPr>
          <w:highlight w:val="yellow"/>
        </w:rPr>
      </w:pPr>
      <w:bookmarkStart w:id="1" w:name="noRef"/>
      <w:bookmarkEnd w:id="1"/>
    </w:p>
    <w:sectPr w:rsidR="000F285C" w:rsidRPr="00840F4F" w:rsidSect="0090122C">
      <w:headerReference w:type="even" r:id="rId15"/>
      <w:headerReference w:type="default" r:id="rId16"/>
      <w:footerReference w:type="default" r:id="rId17"/>
      <w:headerReference w:type="first" r:id="rId18"/>
      <w:footerReference w:type="first" r:id="rId19"/>
      <w:type w:val="continuous"/>
      <w:pgSz w:w="11906" w:h="16838" w:code="9"/>
      <w:pgMar w:top="1417" w:right="720" w:bottom="1077" w:left="720" w:header="1020" w:footer="340" w:gutter="0"/>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F52" w16cex:dateUtc="2022-12-02T16:26:00Z"/>
  <w16cex:commentExtensible w16cex:durableId="27345FC7" w16cex:dateUtc="2022-12-02T16:28:00Z"/>
  <w16cex:commentExtensible w16cex:durableId="27345EF0" w16cex:dateUtc="2022-12-02T0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C971" w14:textId="77777777" w:rsidR="008732C6" w:rsidRDefault="008732C6">
      <w:pPr>
        <w:spacing w:line="240" w:lineRule="auto"/>
      </w:pPr>
      <w:r>
        <w:separator/>
      </w:r>
    </w:p>
  </w:endnote>
  <w:endnote w:type="continuationSeparator" w:id="0">
    <w:p w14:paraId="04CEF5E8" w14:textId="77777777" w:rsidR="008732C6" w:rsidRDefault="00873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9F93" w14:textId="77777777" w:rsidR="002960D6" w:rsidRPr="00BD5D38" w:rsidRDefault="002960D6" w:rsidP="002960D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EA5" w14:textId="77777777" w:rsidR="00600FE1" w:rsidRDefault="00600FE1" w:rsidP="00EA593C">
    <w:pPr>
      <w:pBdr>
        <w:top w:val="single" w:sz="4" w:space="0" w:color="000000"/>
      </w:pBdr>
      <w:tabs>
        <w:tab w:val="right" w:pos="8844"/>
      </w:tabs>
      <w:adjustRightInd w:val="0"/>
      <w:snapToGrid w:val="0"/>
      <w:spacing w:before="480" w:line="100" w:lineRule="exact"/>
      <w:jc w:val="left"/>
      <w:rPr>
        <w:i/>
        <w:sz w:val="16"/>
        <w:szCs w:val="16"/>
      </w:rPr>
    </w:pPr>
  </w:p>
  <w:p w14:paraId="2CD28B5C" w14:textId="77777777" w:rsidR="002960D6" w:rsidRPr="00372FCD" w:rsidRDefault="002960D6" w:rsidP="000C0E8A">
    <w:pPr>
      <w:tabs>
        <w:tab w:val="right" w:pos="10466"/>
      </w:tabs>
      <w:adjustRightInd w:val="0"/>
      <w:snapToGrid w:val="0"/>
      <w:spacing w:line="240" w:lineRule="auto"/>
      <w:rPr>
        <w:sz w:val="16"/>
        <w:szCs w:val="16"/>
        <w:lang w:val="fr-CH"/>
      </w:rPr>
    </w:pPr>
    <w:r w:rsidRPr="008573B0">
      <w:rPr>
        <w:i/>
        <w:sz w:val="16"/>
        <w:szCs w:val="16"/>
      </w:rPr>
      <w:t>Catalysts</w:t>
    </w:r>
    <w:r>
      <w:rPr>
        <w:i/>
        <w:sz w:val="16"/>
        <w:szCs w:val="16"/>
      </w:rPr>
      <w:t xml:space="preserve"> </w:t>
    </w:r>
    <w:r w:rsidR="00EE4A41">
      <w:rPr>
        <w:b/>
        <w:bCs/>
        <w:iCs/>
        <w:sz w:val="16"/>
        <w:szCs w:val="16"/>
      </w:rPr>
      <w:t>2022</w:t>
    </w:r>
    <w:r w:rsidR="00FF09E8" w:rsidRPr="00FF09E8">
      <w:rPr>
        <w:bCs/>
        <w:iCs/>
        <w:sz w:val="16"/>
        <w:szCs w:val="16"/>
      </w:rPr>
      <w:t>,</w:t>
    </w:r>
    <w:r w:rsidR="00EE4A41">
      <w:rPr>
        <w:bCs/>
        <w:i/>
        <w:iCs/>
        <w:sz w:val="16"/>
        <w:szCs w:val="16"/>
      </w:rPr>
      <w:t xml:space="preserve"> 12</w:t>
    </w:r>
    <w:r w:rsidR="00FF09E8" w:rsidRPr="00FF09E8">
      <w:rPr>
        <w:bCs/>
        <w:iCs/>
        <w:sz w:val="16"/>
        <w:szCs w:val="16"/>
      </w:rPr>
      <w:t xml:space="preserve">, </w:t>
    </w:r>
    <w:r w:rsidR="00F33CC0">
      <w:rPr>
        <w:bCs/>
        <w:iCs/>
        <w:sz w:val="16"/>
        <w:szCs w:val="16"/>
      </w:rPr>
      <w:t>x</w:t>
    </w:r>
    <w:r w:rsidR="00600FE1">
      <w:rPr>
        <w:bCs/>
        <w:iCs/>
        <w:sz w:val="16"/>
        <w:szCs w:val="16"/>
      </w:rPr>
      <w:t>. https://doi.org/10.3390/xxxxx</w:t>
    </w:r>
    <w:r w:rsidR="000C0E8A" w:rsidRPr="00372FCD">
      <w:rPr>
        <w:sz w:val="16"/>
        <w:szCs w:val="16"/>
        <w:lang w:val="fr-CH"/>
      </w:rPr>
      <w:tab/>
    </w:r>
    <w:r w:rsidRPr="00372FCD">
      <w:rPr>
        <w:sz w:val="16"/>
        <w:szCs w:val="16"/>
        <w:lang w:val="fr-CH"/>
      </w:rPr>
      <w:t>www.mdpi.com/journal/</w:t>
    </w:r>
    <w:r w:rsidRPr="008573B0">
      <w:rPr>
        <w:sz w:val="16"/>
        <w:szCs w:val="16"/>
      </w:rPr>
      <w:t>catalysts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153C" w14:textId="77777777" w:rsidR="008732C6" w:rsidRDefault="008732C6">
      <w:pPr>
        <w:spacing w:line="240" w:lineRule="auto"/>
      </w:pPr>
      <w:r>
        <w:separator/>
      </w:r>
    </w:p>
  </w:footnote>
  <w:footnote w:type="continuationSeparator" w:id="0">
    <w:p w14:paraId="3958C31E" w14:textId="77777777" w:rsidR="008732C6" w:rsidRDefault="00873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93A8" w14:textId="77777777" w:rsidR="002960D6" w:rsidRDefault="002960D6" w:rsidP="002960D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6C0B" w14:textId="2E1014D8" w:rsidR="00600FE1" w:rsidRDefault="002960D6" w:rsidP="000C0E8A">
    <w:pPr>
      <w:tabs>
        <w:tab w:val="right" w:pos="10466"/>
      </w:tabs>
      <w:adjustRightInd w:val="0"/>
      <w:snapToGrid w:val="0"/>
      <w:spacing w:line="240" w:lineRule="auto"/>
      <w:rPr>
        <w:sz w:val="16"/>
      </w:rPr>
    </w:pPr>
    <w:r>
      <w:rPr>
        <w:i/>
        <w:sz w:val="16"/>
      </w:rPr>
      <w:t xml:space="preserve">Catalysts </w:t>
    </w:r>
    <w:r w:rsidR="00EE4A41">
      <w:rPr>
        <w:b/>
        <w:sz w:val="16"/>
      </w:rPr>
      <w:t>2022</w:t>
    </w:r>
    <w:r w:rsidR="00FF09E8" w:rsidRPr="00FF09E8">
      <w:rPr>
        <w:sz w:val="16"/>
      </w:rPr>
      <w:t>,</w:t>
    </w:r>
    <w:r w:rsidR="00EE4A41">
      <w:rPr>
        <w:i/>
        <w:sz w:val="16"/>
      </w:rPr>
      <w:t xml:space="preserve"> 12</w:t>
    </w:r>
    <w:r w:rsidR="00F33CC0">
      <w:rPr>
        <w:sz w:val="16"/>
      </w:rPr>
      <w:t>, x FOR PEER REVIEW</w:t>
    </w:r>
    <w:r w:rsidR="000C0E8A">
      <w:rPr>
        <w:sz w:val="16"/>
      </w:rPr>
      <w:tab/>
    </w:r>
    <w:r w:rsidR="00F33CC0">
      <w:rPr>
        <w:sz w:val="16"/>
      </w:rPr>
      <w:fldChar w:fldCharType="begin"/>
    </w:r>
    <w:r w:rsidR="00F33CC0">
      <w:rPr>
        <w:sz w:val="16"/>
      </w:rPr>
      <w:instrText xml:space="preserve"> PAGE   \* MERGEFORMAT </w:instrText>
    </w:r>
    <w:r w:rsidR="00F33CC0">
      <w:rPr>
        <w:sz w:val="16"/>
      </w:rPr>
      <w:fldChar w:fldCharType="separate"/>
    </w:r>
    <w:r w:rsidR="00DD723C">
      <w:rPr>
        <w:sz w:val="16"/>
      </w:rPr>
      <w:t>2</w:t>
    </w:r>
    <w:r w:rsidR="00F33CC0">
      <w:rPr>
        <w:sz w:val="16"/>
      </w:rPr>
      <w:fldChar w:fldCharType="end"/>
    </w:r>
    <w:r w:rsidR="00F33CC0">
      <w:rPr>
        <w:sz w:val="16"/>
      </w:rPr>
      <w:t xml:space="preserve"> of </w:t>
    </w:r>
    <w:r w:rsidR="00F33CC0">
      <w:rPr>
        <w:sz w:val="16"/>
      </w:rPr>
      <w:fldChar w:fldCharType="begin"/>
    </w:r>
    <w:r w:rsidR="00F33CC0">
      <w:rPr>
        <w:sz w:val="16"/>
      </w:rPr>
      <w:instrText xml:space="preserve"> NUMPAGES   \* MERGEFORMAT </w:instrText>
    </w:r>
    <w:r w:rsidR="00F33CC0">
      <w:rPr>
        <w:sz w:val="16"/>
      </w:rPr>
      <w:fldChar w:fldCharType="separate"/>
    </w:r>
    <w:r w:rsidR="00DD723C">
      <w:rPr>
        <w:sz w:val="16"/>
      </w:rPr>
      <w:t>2</w:t>
    </w:r>
    <w:r w:rsidR="00F33CC0">
      <w:rPr>
        <w:sz w:val="16"/>
      </w:rPr>
      <w:fldChar w:fldCharType="end"/>
    </w:r>
  </w:p>
  <w:p w14:paraId="43B7A4C2" w14:textId="77777777" w:rsidR="002960D6" w:rsidRPr="001B1E3B" w:rsidRDefault="002960D6" w:rsidP="00EA593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600FE1" w:rsidRPr="000C0E8A" w14:paraId="03BE6B05" w14:textId="77777777" w:rsidTr="00AB5A41">
      <w:trPr>
        <w:trHeight w:val="686"/>
      </w:trPr>
      <w:tc>
        <w:tcPr>
          <w:tcW w:w="3679" w:type="dxa"/>
          <w:shd w:val="clear" w:color="auto" w:fill="auto"/>
          <w:vAlign w:val="center"/>
        </w:tcPr>
        <w:p w14:paraId="522784A1" w14:textId="77777777" w:rsidR="00600FE1" w:rsidRPr="00EB7461" w:rsidRDefault="007946C1" w:rsidP="000C0E8A">
          <w:pPr>
            <w:pStyle w:val="Header"/>
            <w:pBdr>
              <w:bottom w:val="none" w:sz="0" w:space="0" w:color="auto"/>
            </w:pBdr>
            <w:jc w:val="left"/>
            <w:rPr>
              <w:rFonts w:eastAsia="DengXian"/>
              <w:b/>
              <w:bCs/>
            </w:rPr>
          </w:pPr>
          <w:r w:rsidRPr="00EB7461">
            <w:rPr>
              <w:rFonts w:eastAsia="DengXian"/>
              <w:b/>
              <w:bCs/>
              <w:lang w:val="en-GB" w:eastAsia="en-GB"/>
            </w:rPr>
            <w:drawing>
              <wp:inline distT="0" distB="0" distL="0" distR="0" wp14:anchorId="32E9512B" wp14:editId="3BDBB1F1">
                <wp:extent cx="1607185" cy="429260"/>
                <wp:effectExtent l="0" t="0" r="0" b="0"/>
                <wp:docPr id="1" name="Picture 3" descr="C:\Users\home\AppData\Local\Temp\HZ$D.003.482\catalys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2\catalyst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29260"/>
                        </a:xfrm>
                        <a:prstGeom prst="rect">
                          <a:avLst/>
                        </a:prstGeom>
                        <a:noFill/>
                        <a:ln>
                          <a:noFill/>
                        </a:ln>
                      </pic:spPr>
                    </pic:pic>
                  </a:graphicData>
                </a:graphic>
              </wp:inline>
            </w:drawing>
          </w:r>
        </w:p>
      </w:tc>
      <w:tc>
        <w:tcPr>
          <w:tcW w:w="4535" w:type="dxa"/>
          <w:shd w:val="clear" w:color="auto" w:fill="auto"/>
          <w:vAlign w:val="center"/>
        </w:tcPr>
        <w:p w14:paraId="5117ECD4" w14:textId="77777777" w:rsidR="00600FE1" w:rsidRPr="00EB7461" w:rsidRDefault="00600FE1" w:rsidP="000C0E8A">
          <w:pPr>
            <w:pStyle w:val="Header"/>
            <w:pBdr>
              <w:bottom w:val="none" w:sz="0" w:space="0" w:color="auto"/>
            </w:pBdr>
            <w:rPr>
              <w:rFonts w:eastAsia="DengXian"/>
              <w:b/>
              <w:bCs/>
            </w:rPr>
          </w:pPr>
        </w:p>
      </w:tc>
      <w:tc>
        <w:tcPr>
          <w:tcW w:w="2273" w:type="dxa"/>
          <w:shd w:val="clear" w:color="auto" w:fill="auto"/>
          <w:vAlign w:val="center"/>
        </w:tcPr>
        <w:p w14:paraId="1DE560C7" w14:textId="77777777" w:rsidR="00600FE1" w:rsidRPr="00EB7461" w:rsidRDefault="00AB5A41" w:rsidP="00AB5A41">
          <w:pPr>
            <w:pStyle w:val="Header"/>
            <w:pBdr>
              <w:bottom w:val="none" w:sz="0" w:space="0" w:color="auto"/>
            </w:pBdr>
            <w:jc w:val="right"/>
            <w:rPr>
              <w:rFonts w:eastAsia="DengXian"/>
              <w:b/>
              <w:bCs/>
            </w:rPr>
          </w:pPr>
          <w:r>
            <w:rPr>
              <w:rFonts w:eastAsia="DengXian"/>
              <w:b/>
              <w:bCs/>
              <w:lang w:val="en-GB" w:eastAsia="en-GB"/>
            </w:rPr>
            <w:drawing>
              <wp:inline distT="0" distB="0" distL="0" distR="0" wp14:anchorId="764643CA" wp14:editId="00A3830A">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B1C3F30" w14:textId="77777777" w:rsidR="002960D6" w:rsidRPr="00600FE1" w:rsidRDefault="002960D6" w:rsidP="00EA593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105"/>
    <w:multiLevelType w:val="hybridMultilevel"/>
    <w:tmpl w:val="7660C7F0"/>
    <w:lvl w:ilvl="0" w:tplc="B6FECEEC">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74AEA"/>
    <w:multiLevelType w:val="hybridMultilevel"/>
    <w:tmpl w:val="CE2E67EA"/>
    <w:lvl w:ilvl="0" w:tplc="1382B596">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2"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F2C62D66"/>
    <w:lvl w:ilvl="0" w:tplc="3036048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B354A"/>
    <w:multiLevelType w:val="hybridMultilevel"/>
    <w:tmpl w:val="05D2CB54"/>
    <w:lvl w:ilvl="0" w:tplc="A336FD0A">
      <w:start w:val="1"/>
      <w:numFmt w:val="bullet"/>
      <w:lvlRestart w:val="0"/>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1E0C6F5D"/>
    <w:multiLevelType w:val="hybridMultilevel"/>
    <w:tmpl w:val="05004AA2"/>
    <w:lvl w:ilvl="0" w:tplc="C3D2FE2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0570E"/>
    <w:multiLevelType w:val="singleLevel"/>
    <w:tmpl w:val="1FB6DFA2"/>
    <w:lvl w:ilvl="0">
      <w:start w:val="1"/>
      <w:numFmt w:val="decimal"/>
      <w:lvlRestart w:val="0"/>
      <w:lvlText w:val="%1."/>
      <w:lvlJc w:val="left"/>
      <w:pPr>
        <w:ind w:left="288" w:hanging="288"/>
      </w:pPr>
      <w:rPr>
        <w:b w:val="0"/>
        <w:i w:val="0"/>
        <w:sz w:val="20"/>
        <w:vertAlign w:val="superscript"/>
      </w:r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46945673"/>
    <w:multiLevelType w:val="hybridMultilevel"/>
    <w:tmpl w:val="1BC00ED4"/>
    <w:lvl w:ilvl="0" w:tplc="E744C864">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2A7E939A"/>
    <w:lvl w:ilvl="0" w:tplc="2D88194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2500C"/>
    <w:multiLevelType w:val="hybridMultilevel"/>
    <w:tmpl w:val="6D781FD0"/>
    <w:lvl w:ilvl="0" w:tplc="FBDE404E">
      <w:start w:val="1"/>
      <w:numFmt w:val="decimal"/>
      <w:lvlText w:val="%1"/>
      <w:lvlJc w:val="left"/>
      <w:pPr>
        <w:ind w:left="2968" w:hanging="360"/>
      </w:pPr>
      <w:rPr>
        <w:rFonts w:hint="default"/>
      </w:rPr>
    </w:lvl>
    <w:lvl w:ilvl="1" w:tplc="04090019" w:tentative="1">
      <w:start w:val="1"/>
      <w:numFmt w:val="lowerLetter"/>
      <w:lvlText w:val="%2)"/>
      <w:lvlJc w:val="left"/>
      <w:pPr>
        <w:ind w:left="3448" w:hanging="420"/>
      </w:pPr>
    </w:lvl>
    <w:lvl w:ilvl="2" w:tplc="0409001B" w:tentative="1">
      <w:start w:val="1"/>
      <w:numFmt w:val="lowerRoman"/>
      <w:lvlText w:val="%3."/>
      <w:lvlJc w:val="right"/>
      <w:pPr>
        <w:ind w:left="3868" w:hanging="420"/>
      </w:pPr>
    </w:lvl>
    <w:lvl w:ilvl="3" w:tplc="0409000F" w:tentative="1">
      <w:start w:val="1"/>
      <w:numFmt w:val="decimal"/>
      <w:lvlText w:val="%4."/>
      <w:lvlJc w:val="left"/>
      <w:pPr>
        <w:ind w:left="4288" w:hanging="420"/>
      </w:pPr>
    </w:lvl>
    <w:lvl w:ilvl="4" w:tplc="04090019" w:tentative="1">
      <w:start w:val="1"/>
      <w:numFmt w:val="lowerLetter"/>
      <w:lvlText w:val="%5)"/>
      <w:lvlJc w:val="left"/>
      <w:pPr>
        <w:ind w:left="4708" w:hanging="420"/>
      </w:pPr>
    </w:lvl>
    <w:lvl w:ilvl="5" w:tplc="0409001B" w:tentative="1">
      <w:start w:val="1"/>
      <w:numFmt w:val="lowerRoman"/>
      <w:lvlText w:val="%6."/>
      <w:lvlJc w:val="right"/>
      <w:pPr>
        <w:ind w:left="5128" w:hanging="420"/>
      </w:pPr>
    </w:lvl>
    <w:lvl w:ilvl="6" w:tplc="0409000F" w:tentative="1">
      <w:start w:val="1"/>
      <w:numFmt w:val="decimal"/>
      <w:lvlText w:val="%7."/>
      <w:lvlJc w:val="left"/>
      <w:pPr>
        <w:ind w:left="5548" w:hanging="420"/>
      </w:pPr>
    </w:lvl>
    <w:lvl w:ilvl="7" w:tplc="04090019" w:tentative="1">
      <w:start w:val="1"/>
      <w:numFmt w:val="lowerLetter"/>
      <w:lvlText w:val="%8)"/>
      <w:lvlJc w:val="left"/>
      <w:pPr>
        <w:ind w:left="5968" w:hanging="420"/>
      </w:pPr>
    </w:lvl>
    <w:lvl w:ilvl="8" w:tplc="0409001B" w:tentative="1">
      <w:start w:val="1"/>
      <w:numFmt w:val="lowerRoman"/>
      <w:lvlText w:val="%9."/>
      <w:lvlJc w:val="right"/>
      <w:pPr>
        <w:ind w:left="6388" w:hanging="420"/>
      </w:pPr>
    </w:lvl>
  </w:abstractNum>
  <w:abstractNum w:abstractNumId="16"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13"/>
  </w:num>
  <w:num w:numId="6">
    <w:abstractNumId w:val="5"/>
  </w:num>
  <w:num w:numId="7">
    <w:abstractNumId w:val="13"/>
  </w:num>
  <w:num w:numId="8">
    <w:abstractNumId w:val="5"/>
  </w:num>
  <w:num w:numId="9">
    <w:abstractNumId w:val="1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6"/>
  </w:num>
  <w:num w:numId="15">
    <w:abstractNumId w:val="13"/>
  </w:num>
  <w:num w:numId="16">
    <w:abstractNumId w:val="5"/>
  </w:num>
  <w:num w:numId="17">
    <w:abstractNumId w:val="3"/>
  </w:num>
  <w:num w:numId="18">
    <w:abstractNumId w:val="12"/>
  </w:num>
  <w:num w:numId="19">
    <w:abstractNumId w:val="1"/>
  </w:num>
  <w:num w:numId="20">
    <w:abstractNumId w:val="13"/>
  </w:num>
  <w:num w:numId="21">
    <w:abstractNumId w:val="5"/>
  </w:num>
  <w:num w:numId="22">
    <w:abstractNumId w:val="3"/>
  </w:num>
  <w:num w:numId="23">
    <w:abstractNumId w:val="4"/>
  </w:num>
  <w:num w:numId="24">
    <w:abstractNumId w:val="1"/>
  </w:num>
  <w:num w:numId="25">
    <w:abstractNumId w:val="11"/>
  </w:num>
  <w:num w:numId="26">
    <w:abstractNumId w:val="15"/>
  </w:num>
  <w:num w:numId="27">
    <w:abstractNumId w:val="13"/>
  </w:num>
  <w:num w:numId="28">
    <w:abstractNumId w:val="5"/>
  </w:num>
  <w:num w:numId="29">
    <w:abstractNumId w:val="0"/>
  </w:num>
  <w:num w:numId="30">
    <w:abstractNumId w:val="3"/>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xN7QwN7U0NjexMDRS0lEKTi0uzszPAykwrAUAmqo7PCwAAAA="/>
  </w:docVars>
  <w:rsids>
    <w:rsidRoot w:val="00087D8E"/>
    <w:rsid w:val="000011E0"/>
    <w:rsid w:val="0000367C"/>
    <w:rsid w:val="0001548D"/>
    <w:rsid w:val="000273CE"/>
    <w:rsid w:val="00054C31"/>
    <w:rsid w:val="00070C63"/>
    <w:rsid w:val="000779C5"/>
    <w:rsid w:val="00087D8E"/>
    <w:rsid w:val="000B2A92"/>
    <w:rsid w:val="000C0E8A"/>
    <w:rsid w:val="000C4D95"/>
    <w:rsid w:val="000D2681"/>
    <w:rsid w:val="000E499C"/>
    <w:rsid w:val="000F0B7A"/>
    <w:rsid w:val="000F285C"/>
    <w:rsid w:val="000F4E10"/>
    <w:rsid w:val="000F786F"/>
    <w:rsid w:val="00117931"/>
    <w:rsid w:val="00117B7E"/>
    <w:rsid w:val="00130D16"/>
    <w:rsid w:val="00144F9B"/>
    <w:rsid w:val="0015686E"/>
    <w:rsid w:val="00174071"/>
    <w:rsid w:val="00192076"/>
    <w:rsid w:val="001C084A"/>
    <w:rsid w:val="001C11B3"/>
    <w:rsid w:val="001C6D57"/>
    <w:rsid w:val="001D2A1D"/>
    <w:rsid w:val="001E2AEB"/>
    <w:rsid w:val="002335DE"/>
    <w:rsid w:val="00237840"/>
    <w:rsid w:val="00251332"/>
    <w:rsid w:val="002549E0"/>
    <w:rsid w:val="00271BE8"/>
    <w:rsid w:val="002805E8"/>
    <w:rsid w:val="0028096F"/>
    <w:rsid w:val="00280B35"/>
    <w:rsid w:val="00283866"/>
    <w:rsid w:val="00284E90"/>
    <w:rsid w:val="0029223B"/>
    <w:rsid w:val="00293025"/>
    <w:rsid w:val="002960D6"/>
    <w:rsid w:val="002C062D"/>
    <w:rsid w:val="002D33E7"/>
    <w:rsid w:val="002F7211"/>
    <w:rsid w:val="003245AE"/>
    <w:rsid w:val="00326141"/>
    <w:rsid w:val="00333656"/>
    <w:rsid w:val="003357DF"/>
    <w:rsid w:val="003441E2"/>
    <w:rsid w:val="003650CC"/>
    <w:rsid w:val="003662E1"/>
    <w:rsid w:val="00367FED"/>
    <w:rsid w:val="00370741"/>
    <w:rsid w:val="00380C7A"/>
    <w:rsid w:val="003A158E"/>
    <w:rsid w:val="003D73BB"/>
    <w:rsid w:val="00401D30"/>
    <w:rsid w:val="004044CE"/>
    <w:rsid w:val="004074EC"/>
    <w:rsid w:val="004154F7"/>
    <w:rsid w:val="00434598"/>
    <w:rsid w:val="0047598D"/>
    <w:rsid w:val="00480C0E"/>
    <w:rsid w:val="00480D95"/>
    <w:rsid w:val="004C2A66"/>
    <w:rsid w:val="004E211C"/>
    <w:rsid w:val="004E2FB7"/>
    <w:rsid w:val="00500769"/>
    <w:rsid w:val="005230BB"/>
    <w:rsid w:val="00523505"/>
    <w:rsid w:val="005469C4"/>
    <w:rsid w:val="00546ACE"/>
    <w:rsid w:val="0055118B"/>
    <w:rsid w:val="00561A26"/>
    <w:rsid w:val="00561D88"/>
    <w:rsid w:val="00565528"/>
    <w:rsid w:val="0057027A"/>
    <w:rsid w:val="00584D8F"/>
    <w:rsid w:val="00591EEC"/>
    <w:rsid w:val="005C539D"/>
    <w:rsid w:val="005C74B6"/>
    <w:rsid w:val="005D0845"/>
    <w:rsid w:val="005D4E89"/>
    <w:rsid w:val="005E013A"/>
    <w:rsid w:val="006001DE"/>
    <w:rsid w:val="00600FE1"/>
    <w:rsid w:val="00603482"/>
    <w:rsid w:val="00634375"/>
    <w:rsid w:val="006363E2"/>
    <w:rsid w:val="00646DC9"/>
    <w:rsid w:val="00661AB3"/>
    <w:rsid w:val="006748DB"/>
    <w:rsid w:val="0067540B"/>
    <w:rsid w:val="006857EF"/>
    <w:rsid w:val="00692393"/>
    <w:rsid w:val="006B034B"/>
    <w:rsid w:val="006B5B1F"/>
    <w:rsid w:val="006C4E36"/>
    <w:rsid w:val="006E574C"/>
    <w:rsid w:val="006F336F"/>
    <w:rsid w:val="00716E96"/>
    <w:rsid w:val="007301CD"/>
    <w:rsid w:val="00730DA9"/>
    <w:rsid w:val="007416E4"/>
    <w:rsid w:val="00747EA1"/>
    <w:rsid w:val="00767E69"/>
    <w:rsid w:val="007715BF"/>
    <w:rsid w:val="00790B14"/>
    <w:rsid w:val="00793178"/>
    <w:rsid w:val="007946C1"/>
    <w:rsid w:val="00797F16"/>
    <w:rsid w:val="007B2458"/>
    <w:rsid w:val="007B2692"/>
    <w:rsid w:val="007C2FE5"/>
    <w:rsid w:val="007C56B6"/>
    <w:rsid w:val="007E3150"/>
    <w:rsid w:val="007F15CB"/>
    <w:rsid w:val="007F76A0"/>
    <w:rsid w:val="00801B3D"/>
    <w:rsid w:val="00806B12"/>
    <w:rsid w:val="00807E37"/>
    <w:rsid w:val="00813FC0"/>
    <w:rsid w:val="00823AD6"/>
    <w:rsid w:val="00840F4F"/>
    <w:rsid w:val="008559A2"/>
    <w:rsid w:val="00866D4E"/>
    <w:rsid w:val="00871E3D"/>
    <w:rsid w:val="008732C6"/>
    <w:rsid w:val="008778C2"/>
    <w:rsid w:val="00894A8E"/>
    <w:rsid w:val="008A7DEB"/>
    <w:rsid w:val="008B002F"/>
    <w:rsid w:val="008E2B62"/>
    <w:rsid w:val="008E3A5F"/>
    <w:rsid w:val="00900026"/>
    <w:rsid w:val="00900A4E"/>
    <w:rsid w:val="0090122C"/>
    <w:rsid w:val="009101FB"/>
    <w:rsid w:val="0091628D"/>
    <w:rsid w:val="00933D0F"/>
    <w:rsid w:val="009449D6"/>
    <w:rsid w:val="0095518E"/>
    <w:rsid w:val="00961339"/>
    <w:rsid w:val="00966423"/>
    <w:rsid w:val="00985672"/>
    <w:rsid w:val="00992A65"/>
    <w:rsid w:val="009A0A71"/>
    <w:rsid w:val="009A1C5A"/>
    <w:rsid w:val="009B4312"/>
    <w:rsid w:val="009B4E3E"/>
    <w:rsid w:val="009D0406"/>
    <w:rsid w:val="009D655B"/>
    <w:rsid w:val="009E4CD6"/>
    <w:rsid w:val="009F3691"/>
    <w:rsid w:val="009F3B8C"/>
    <w:rsid w:val="009F70E6"/>
    <w:rsid w:val="00A0435D"/>
    <w:rsid w:val="00A144EF"/>
    <w:rsid w:val="00A20B72"/>
    <w:rsid w:val="00A24C2B"/>
    <w:rsid w:val="00A30D86"/>
    <w:rsid w:val="00A31F19"/>
    <w:rsid w:val="00A40E6E"/>
    <w:rsid w:val="00A747A7"/>
    <w:rsid w:val="00A76D92"/>
    <w:rsid w:val="00A863AC"/>
    <w:rsid w:val="00A87726"/>
    <w:rsid w:val="00A9006D"/>
    <w:rsid w:val="00A9339D"/>
    <w:rsid w:val="00AA4497"/>
    <w:rsid w:val="00AB06AA"/>
    <w:rsid w:val="00AB5A40"/>
    <w:rsid w:val="00AB5A41"/>
    <w:rsid w:val="00AC0328"/>
    <w:rsid w:val="00AC42CA"/>
    <w:rsid w:val="00AD6BC5"/>
    <w:rsid w:val="00AD778A"/>
    <w:rsid w:val="00AE2F71"/>
    <w:rsid w:val="00B005A6"/>
    <w:rsid w:val="00B03314"/>
    <w:rsid w:val="00B32ED2"/>
    <w:rsid w:val="00B36348"/>
    <w:rsid w:val="00B835BB"/>
    <w:rsid w:val="00BA10A7"/>
    <w:rsid w:val="00BA2818"/>
    <w:rsid w:val="00BA5FCE"/>
    <w:rsid w:val="00BB22D8"/>
    <w:rsid w:val="00BD523B"/>
    <w:rsid w:val="00BD759A"/>
    <w:rsid w:val="00BD7AE2"/>
    <w:rsid w:val="00BE33B4"/>
    <w:rsid w:val="00BE7213"/>
    <w:rsid w:val="00BE729E"/>
    <w:rsid w:val="00C01C7F"/>
    <w:rsid w:val="00C01E4D"/>
    <w:rsid w:val="00C0255E"/>
    <w:rsid w:val="00C03906"/>
    <w:rsid w:val="00C13D53"/>
    <w:rsid w:val="00C55047"/>
    <w:rsid w:val="00C55482"/>
    <w:rsid w:val="00C5674B"/>
    <w:rsid w:val="00C578BB"/>
    <w:rsid w:val="00C60885"/>
    <w:rsid w:val="00C61727"/>
    <w:rsid w:val="00C804C9"/>
    <w:rsid w:val="00C92B6E"/>
    <w:rsid w:val="00CC1DAF"/>
    <w:rsid w:val="00CC48F8"/>
    <w:rsid w:val="00CE4EA5"/>
    <w:rsid w:val="00CF2B3C"/>
    <w:rsid w:val="00CF669A"/>
    <w:rsid w:val="00D04592"/>
    <w:rsid w:val="00D16D62"/>
    <w:rsid w:val="00D43394"/>
    <w:rsid w:val="00D46463"/>
    <w:rsid w:val="00D54C5A"/>
    <w:rsid w:val="00D73D32"/>
    <w:rsid w:val="00D836B9"/>
    <w:rsid w:val="00D844FC"/>
    <w:rsid w:val="00D90C0E"/>
    <w:rsid w:val="00D92BC2"/>
    <w:rsid w:val="00D95FF7"/>
    <w:rsid w:val="00DA26D1"/>
    <w:rsid w:val="00DA4042"/>
    <w:rsid w:val="00DB4BD3"/>
    <w:rsid w:val="00DC470B"/>
    <w:rsid w:val="00DD723C"/>
    <w:rsid w:val="00DF0EC9"/>
    <w:rsid w:val="00DF32D1"/>
    <w:rsid w:val="00DF62C6"/>
    <w:rsid w:val="00DF7396"/>
    <w:rsid w:val="00E526A1"/>
    <w:rsid w:val="00E70B87"/>
    <w:rsid w:val="00E84887"/>
    <w:rsid w:val="00E8599C"/>
    <w:rsid w:val="00EA593C"/>
    <w:rsid w:val="00EB7461"/>
    <w:rsid w:val="00EC550F"/>
    <w:rsid w:val="00EE4A41"/>
    <w:rsid w:val="00EF076F"/>
    <w:rsid w:val="00EF1973"/>
    <w:rsid w:val="00EF2874"/>
    <w:rsid w:val="00EF6103"/>
    <w:rsid w:val="00EF6629"/>
    <w:rsid w:val="00EF7CCF"/>
    <w:rsid w:val="00F114CE"/>
    <w:rsid w:val="00F11A56"/>
    <w:rsid w:val="00F17AF9"/>
    <w:rsid w:val="00F317EB"/>
    <w:rsid w:val="00F31D41"/>
    <w:rsid w:val="00F32D76"/>
    <w:rsid w:val="00F33CC0"/>
    <w:rsid w:val="00F348A1"/>
    <w:rsid w:val="00F41E77"/>
    <w:rsid w:val="00F51790"/>
    <w:rsid w:val="00F60F1F"/>
    <w:rsid w:val="00F70368"/>
    <w:rsid w:val="00F74145"/>
    <w:rsid w:val="00F76E4F"/>
    <w:rsid w:val="00F9014C"/>
    <w:rsid w:val="00F945C2"/>
    <w:rsid w:val="00FA3129"/>
    <w:rsid w:val="00FC35B4"/>
    <w:rsid w:val="00FD5106"/>
    <w:rsid w:val="00FE4121"/>
    <w:rsid w:val="00FF09E8"/>
    <w:rsid w:val="00FF2264"/>
    <w:rsid w:val="00FF5B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E6C46B"/>
  <w15:chartTrackingRefBased/>
  <w15:docId w15:val="{0CA515ED-072F-49AF-9DC9-5661C4D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4C"/>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0122C"/>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0122C"/>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0122C"/>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0122C"/>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0122C"/>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0122C"/>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0122C"/>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80D95"/>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807E3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E574C"/>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574C"/>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6E574C"/>
    <w:rPr>
      <w:rFonts w:ascii="Palatino Linotype" w:hAnsi="Palatino Linotype"/>
      <w:noProof/>
      <w:color w:val="000000"/>
      <w:szCs w:val="18"/>
    </w:rPr>
  </w:style>
  <w:style w:type="paragraph" w:styleId="Header">
    <w:name w:val="header"/>
    <w:basedOn w:val="Normal"/>
    <w:link w:val="HeaderChar"/>
    <w:uiPriority w:val="99"/>
    <w:rsid w:val="006E574C"/>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6E574C"/>
    <w:rPr>
      <w:rFonts w:ascii="Palatino Linotype" w:hAnsi="Palatino Linotype"/>
      <w:noProof/>
      <w:color w:val="000000"/>
      <w:szCs w:val="18"/>
    </w:rPr>
  </w:style>
  <w:style w:type="paragraph" w:customStyle="1" w:styleId="MDPIheaderjournallogo">
    <w:name w:val="MDPI_header_journal_logo"/>
    <w:qFormat/>
    <w:rsid w:val="0090122C"/>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0122C"/>
    <w:pPr>
      <w:ind w:firstLine="0"/>
    </w:pPr>
  </w:style>
  <w:style w:type="paragraph" w:customStyle="1" w:styleId="MDPI31text">
    <w:name w:val="MDPI_3.1_text"/>
    <w:qFormat/>
    <w:rsid w:val="0090122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0122C"/>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90122C"/>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0122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0122C"/>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0122C"/>
    <w:pPr>
      <w:numPr>
        <w:numId w:val="2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90122C"/>
    <w:pPr>
      <w:numPr>
        <w:numId w:val="2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0122C"/>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0122C"/>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0122C"/>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90122C"/>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0122C"/>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0122C"/>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90122C"/>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90122C"/>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0122C"/>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90122C"/>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0122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0122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0122C"/>
    <w:pPr>
      <w:numPr>
        <w:numId w:val="30"/>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6E574C"/>
    <w:rPr>
      <w:rFonts w:cs="Tahoma"/>
      <w:szCs w:val="18"/>
    </w:rPr>
  </w:style>
  <w:style w:type="character" w:customStyle="1" w:styleId="BalloonTextChar">
    <w:name w:val="Balloon Text Char"/>
    <w:link w:val="BalloonText"/>
    <w:uiPriority w:val="99"/>
    <w:rsid w:val="006E574C"/>
    <w:rPr>
      <w:rFonts w:ascii="Palatino Linotype" w:hAnsi="Palatino Linotype" w:cs="Tahoma"/>
      <w:noProof/>
      <w:color w:val="000000"/>
      <w:szCs w:val="18"/>
    </w:rPr>
  </w:style>
  <w:style w:type="character" w:styleId="LineNumber">
    <w:name w:val="line number"/>
    <w:uiPriority w:val="99"/>
    <w:rsid w:val="00F17AF9"/>
    <w:rPr>
      <w:rFonts w:ascii="Palatino Linotype" w:hAnsi="Palatino Linotype"/>
      <w:sz w:val="16"/>
    </w:rPr>
  </w:style>
  <w:style w:type="table" w:customStyle="1" w:styleId="MDPI41threelinetable">
    <w:name w:val="MDPI_4.1_three_line_table"/>
    <w:basedOn w:val="TableNormal"/>
    <w:uiPriority w:val="99"/>
    <w:rsid w:val="0090122C"/>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6E574C"/>
    <w:rPr>
      <w:color w:val="0000FF"/>
      <w:u w:val="single"/>
    </w:rPr>
  </w:style>
  <w:style w:type="character" w:customStyle="1" w:styleId="UnresolvedMention1">
    <w:name w:val="Unresolved Mention1"/>
    <w:uiPriority w:val="99"/>
    <w:semiHidden/>
    <w:unhideWhenUsed/>
    <w:rsid w:val="00C60885"/>
    <w:rPr>
      <w:color w:val="605E5C"/>
      <w:shd w:val="clear" w:color="auto" w:fill="E1DFDD"/>
    </w:rPr>
  </w:style>
  <w:style w:type="table" w:styleId="PlainTable4">
    <w:name w:val="Plain Table 4"/>
    <w:basedOn w:val="TableNormal"/>
    <w:uiPriority w:val="44"/>
    <w:rsid w:val="00FF09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0122C"/>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0122C"/>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0122C"/>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90122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0122C"/>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0122C"/>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90122C"/>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90122C"/>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90122C"/>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0122C"/>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0122C"/>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90122C"/>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90122C"/>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0122C"/>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0122C"/>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0122C"/>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90122C"/>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0122C"/>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E574C"/>
  </w:style>
  <w:style w:type="paragraph" w:styleId="Bibliography">
    <w:name w:val="Bibliography"/>
    <w:basedOn w:val="Normal"/>
    <w:next w:val="Normal"/>
    <w:uiPriority w:val="37"/>
    <w:semiHidden/>
    <w:unhideWhenUsed/>
    <w:rsid w:val="006E574C"/>
  </w:style>
  <w:style w:type="paragraph" w:styleId="BodyText">
    <w:name w:val="Body Text"/>
    <w:link w:val="BodyTextChar"/>
    <w:rsid w:val="006E574C"/>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6E574C"/>
    <w:rPr>
      <w:rFonts w:ascii="Palatino Linotype" w:hAnsi="Palatino Linotype"/>
      <w:color w:val="000000"/>
      <w:sz w:val="24"/>
      <w:lang w:eastAsia="de-DE"/>
    </w:rPr>
  </w:style>
  <w:style w:type="character" w:styleId="CommentReference">
    <w:name w:val="annotation reference"/>
    <w:rsid w:val="006E574C"/>
    <w:rPr>
      <w:sz w:val="21"/>
      <w:szCs w:val="21"/>
    </w:rPr>
  </w:style>
  <w:style w:type="paragraph" w:styleId="CommentText">
    <w:name w:val="annotation text"/>
    <w:basedOn w:val="Normal"/>
    <w:link w:val="CommentTextChar"/>
    <w:rsid w:val="006E574C"/>
  </w:style>
  <w:style w:type="character" w:customStyle="1" w:styleId="CommentTextChar">
    <w:name w:val="Comment Text Char"/>
    <w:link w:val="CommentText"/>
    <w:rsid w:val="006E574C"/>
    <w:rPr>
      <w:rFonts w:ascii="Palatino Linotype" w:hAnsi="Palatino Linotype"/>
      <w:noProof/>
      <w:color w:val="000000"/>
    </w:rPr>
  </w:style>
  <w:style w:type="paragraph" w:styleId="CommentSubject">
    <w:name w:val="annotation subject"/>
    <w:basedOn w:val="CommentText"/>
    <w:next w:val="CommentText"/>
    <w:link w:val="CommentSubjectChar"/>
    <w:rsid w:val="006E574C"/>
    <w:rPr>
      <w:b/>
      <w:bCs/>
    </w:rPr>
  </w:style>
  <w:style w:type="character" w:customStyle="1" w:styleId="CommentSubjectChar">
    <w:name w:val="Comment Subject Char"/>
    <w:link w:val="CommentSubject"/>
    <w:rsid w:val="006E574C"/>
    <w:rPr>
      <w:rFonts w:ascii="Palatino Linotype" w:hAnsi="Palatino Linotype"/>
      <w:b/>
      <w:bCs/>
      <w:noProof/>
      <w:color w:val="000000"/>
    </w:rPr>
  </w:style>
  <w:style w:type="character" w:styleId="EndnoteReference">
    <w:name w:val="endnote reference"/>
    <w:rsid w:val="006E574C"/>
    <w:rPr>
      <w:vertAlign w:val="superscript"/>
    </w:rPr>
  </w:style>
  <w:style w:type="paragraph" w:styleId="EndnoteText">
    <w:name w:val="endnote text"/>
    <w:basedOn w:val="Normal"/>
    <w:link w:val="EndnoteTextChar"/>
    <w:semiHidden/>
    <w:unhideWhenUsed/>
    <w:rsid w:val="006E574C"/>
    <w:pPr>
      <w:spacing w:line="240" w:lineRule="auto"/>
    </w:pPr>
  </w:style>
  <w:style w:type="character" w:customStyle="1" w:styleId="EndnoteTextChar">
    <w:name w:val="Endnote Text Char"/>
    <w:link w:val="EndnoteText"/>
    <w:semiHidden/>
    <w:rsid w:val="006E574C"/>
    <w:rPr>
      <w:rFonts w:ascii="Palatino Linotype" w:hAnsi="Palatino Linotype"/>
      <w:noProof/>
      <w:color w:val="000000"/>
    </w:rPr>
  </w:style>
  <w:style w:type="character" w:styleId="FollowedHyperlink">
    <w:name w:val="FollowedHyperlink"/>
    <w:rsid w:val="006E574C"/>
    <w:rPr>
      <w:color w:val="954F72"/>
      <w:u w:val="single"/>
    </w:rPr>
  </w:style>
  <w:style w:type="paragraph" w:styleId="FootnoteText">
    <w:name w:val="footnote text"/>
    <w:basedOn w:val="Normal"/>
    <w:link w:val="FootnoteTextChar"/>
    <w:semiHidden/>
    <w:unhideWhenUsed/>
    <w:rsid w:val="006E574C"/>
    <w:pPr>
      <w:spacing w:line="240" w:lineRule="auto"/>
    </w:pPr>
  </w:style>
  <w:style w:type="character" w:customStyle="1" w:styleId="FootnoteTextChar">
    <w:name w:val="Footnote Text Char"/>
    <w:link w:val="FootnoteText"/>
    <w:semiHidden/>
    <w:rsid w:val="006E574C"/>
    <w:rPr>
      <w:rFonts w:ascii="Palatino Linotype" w:hAnsi="Palatino Linotype"/>
      <w:noProof/>
      <w:color w:val="000000"/>
    </w:rPr>
  </w:style>
  <w:style w:type="paragraph" w:styleId="NormalWeb">
    <w:name w:val="Normal (Web)"/>
    <w:basedOn w:val="Normal"/>
    <w:uiPriority w:val="99"/>
    <w:rsid w:val="006E574C"/>
    <w:rPr>
      <w:szCs w:val="24"/>
    </w:rPr>
  </w:style>
  <w:style w:type="paragraph" w:customStyle="1" w:styleId="MsoFootnoteText0">
    <w:name w:val="MsoFootnoteText"/>
    <w:basedOn w:val="NormalWeb"/>
    <w:qFormat/>
    <w:rsid w:val="006E574C"/>
    <w:rPr>
      <w:rFonts w:ascii="Times New Roman" w:hAnsi="Times New Roman"/>
    </w:rPr>
  </w:style>
  <w:style w:type="character" w:styleId="PageNumber">
    <w:name w:val="page number"/>
    <w:rsid w:val="006E574C"/>
  </w:style>
  <w:style w:type="character" w:styleId="PlaceholderText">
    <w:name w:val="Placeholder Text"/>
    <w:uiPriority w:val="99"/>
    <w:semiHidden/>
    <w:rsid w:val="006E574C"/>
    <w:rPr>
      <w:color w:val="808080"/>
    </w:rPr>
  </w:style>
  <w:style w:type="paragraph" w:customStyle="1" w:styleId="MDPI71FootNotes">
    <w:name w:val="MDPI_7.1_FootNotes"/>
    <w:qFormat/>
    <w:rsid w:val="0090122C"/>
    <w:pPr>
      <w:numPr>
        <w:numId w:val="31"/>
      </w:numPr>
      <w:adjustRightInd w:val="0"/>
      <w:snapToGrid w:val="0"/>
      <w:spacing w:line="228" w:lineRule="auto"/>
    </w:pPr>
    <w:rPr>
      <w:rFonts w:ascii="Palatino Linotype" w:eastAsiaTheme="minorEastAsia" w:hAnsi="Palatino Linotype"/>
      <w:noProof/>
      <w:color w:val="000000"/>
      <w:sz w:val="18"/>
    </w:rPr>
  </w:style>
  <w:style w:type="paragraph" w:styleId="Revision">
    <w:name w:val="Revision"/>
    <w:hidden/>
    <w:uiPriority w:val="99"/>
    <w:semiHidden/>
    <w:rsid w:val="0090122C"/>
    <w:rPr>
      <w:rFonts w:ascii="Palatino Linotype" w:hAnsi="Palatino Linotype"/>
      <w:noProof/>
      <w:color w:val="000000"/>
    </w:rPr>
  </w:style>
  <w:style w:type="character" w:customStyle="1" w:styleId="lrzxr">
    <w:name w:val="lrzxr"/>
    <w:basedOn w:val="DefaultParagraphFont"/>
    <w:rsid w:val="00DF32D1"/>
  </w:style>
  <w:style w:type="character" w:customStyle="1" w:styleId="rynqvb">
    <w:name w:val="rynqvb"/>
    <w:basedOn w:val="DefaultParagraphFont"/>
    <w:rsid w:val="00CF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1776">
      <w:bodyDiv w:val="1"/>
      <w:marLeft w:val="0"/>
      <w:marRight w:val="0"/>
      <w:marTop w:val="0"/>
      <w:marBottom w:val="0"/>
      <w:divBdr>
        <w:top w:val="none" w:sz="0" w:space="0" w:color="auto"/>
        <w:left w:val="none" w:sz="0" w:space="0" w:color="auto"/>
        <w:bottom w:val="none" w:sz="0" w:space="0" w:color="auto"/>
        <w:right w:val="none" w:sz="0" w:space="0" w:color="auto"/>
      </w:divBdr>
      <w:divsChild>
        <w:div w:id="1317148520">
          <w:marLeft w:val="0"/>
          <w:marRight w:val="0"/>
          <w:marTop w:val="0"/>
          <w:marBottom w:val="0"/>
          <w:divBdr>
            <w:top w:val="none" w:sz="0" w:space="0" w:color="auto"/>
            <w:left w:val="none" w:sz="0" w:space="0" w:color="auto"/>
            <w:bottom w:val="none" w:sz="0" w:space="0" w:color="auto"/>
            <w:right w:val="none" w:sz="0" w:space="0" w:color="auto"/>
          </w:divBdr>
        </w:div>
      </w:divsChild>
    </w:div>
    <w:div w:id="291256046">
      <w:bodyDiv w:val="1"/>
      <w:marLeft w:val="0"/>
      <w:marRight w:val="0"/>
      <w:marTop w:val="0"/>
      <w:marBottom w:val="0"/>
      <w:divBdr>
        <w:top w:val="none" w:sz="0" w:space="0" w:color="auto"/>
        <w:left w:val="none" w:sz="0" w:space="0" w:color="auto"/>
        <w:bottom w:val="none" w:sz="0" w:space="0" w:color="auto"/>
        <w:right w:val="none" w:sz="0" w:space="0" w:color="auto"/>
      </w:divBdr>
      <w:divsChild>
        <w:div w:id="1164976761">
          <w:marLeft w:val="0"/>
          <w:marRight w:val="0"/>
          <w:marTop w:val="0"/>
          <w:marBottom w:val="0"/>
          <w:divBdr>
            <w:top w:val="none" w:sz="0" w:space="0" w:color="auto"/>
            <w:left w:val="none" w:sz="0" w:space="0" w:color="auto"/>
            <w:bottom w:val="none" w:sz="0" w:space="0" w:color="auto"/>
            <w:right w:val="none" w:sz="0" w:space="0" w:color="auto"/>
          </w:divBdr>
        </w:div>
      </w:divsChild>
    </w:div>
    <w:div w:id="858197089">
      <w:bodyDiv w:val="1"/>
      <w:marLeft w:val="0"/>
      <w:marRight w:val="0"/>
      <w:marTop w:val="0"/>
      <w:marBottom w:val="0"/>
      <w:divBdr>
        <w:top w:val="none" w:sz="0" w:space="0" w:color="auto"/>
        <w:left w:val="none" w:sz="0" w:space="0" w:color="auto"/>
        <w:bottom w:val="none" w:sz="0" w:space="0" w:color="auto"/>
        <w:right w:val="none" w:sz="0" w:space="0" w:color="auto"/>
      </w:divBdr>
      <w:divsChild>
        <w:div w:id="313342387">
          <w:marLeft w:val="0"/>
          <w:marRight w:val="0"/>
          <w:marTop w:val="0"/>
          <w:marBottom w:val="0"/>
          <w:divBdr>
            <w:top w:val="none" w:sz="0" w:space="0" w:color="auto"/>
            <w:left w:val="none" w:sz="0" w:space="0" w:color="auto"/>
            <w:bottom w:val="none" w:sz="0" w:space="0" w:color="auto"/>
            <w:right w:val="none" w:sz="0" w:space="0" w:color="auto"/>
          </w:divBdr>
        </w:div>
      </w:divsChild>
    </w:div>
    <w:div w:id="1139373103">
      <w:bodyDiv w:val="1"/>
      <w:marLeft w:val="0"/>
      <w:marRight w:val="0"/>
      <w:marTop w:val="0"/>
      <w:marBottom w:val="0"/>
      <w:divBdr>
        <w:top w:val="none" w:sz="0" w:space="0" w:color="auto"/>
        <w:left w:val="none" w:sz="0" w:space="0" w:color="auto"/>
        <w:bottom w:val="none" w:sz="0" w:space="0" w:color="auto"/>
        <w:right w:val="none" w:sz="0" w:space="0" w:color="auto"/>
      </w:divBdr>
      <w:divsChild>
        <w:div w:id="694309305">
          <w:marLeft w:val="0"/>
          <w:marRight w:val="0"/>
          <w:marTop w:val="0"/>
          <w:marBottom w:val="0"/>
          <w:divBdr>
            <w:top w:val="none" w:sz="0" w:space="0" w:color="auto"/>
            <w:left w:val="none" w:sz="0" w:space="0" w:color="auto"/>
            <w:bottom w:val="none" w:sz="0" w:space="0" w:color="auto"/>
            <w:right w:val="none" w:sz="0" w:space="0" w:color="auto"/>
          </w:divBdr>
        </w:div>
      </w:divsChild>
    </w:div>
    <w:div w:id="1516731567">
      <w:bodyDiv w:val="1"/>
      <w:marLeft w:val="0"/>
      <w:marRight w:val="0"/>
      <w:marTop w:val="0"/>
      <w:marBottom w:val="0"/>
      <w:divBdr>
        <w:top w:val="none" w:sz="0" w:space="0" w:color="auto"/>
        <w:left w:val="none" w:sz="0" w:space="0" w:color="auto"/>
        <w:bottom w:val="none" w:sz="0" w:space="0" w:color="auto"/>
        <w:right w:val="none" w:sz="0" w:space="0" w:color="auto"/>
      </w:divBdr>
      <w:divsChild>
        <w:div w:id="1224608110">
          <w:marLeft w:val="0"/>
          <w:marRight w:val="0"/>
          <w:marTop w:val="0"/>
          <w:marBottom w:val="0"/>
          <w:divBdr>
            <w:top w:val="none" w:sz="0" w:space="0" w:color="auto"/>
            <w:left w:val="none" w:sz="0" w:space="0" w:color="auto"/>
            <w:bottom w:val="none" w:sz="0" w:space="0" w:color="auto"/>
            <w:right w:val="none" w:sz="0" w:space="0" w:color="auto"/>
          </w:divBdr>
        </w:div>
      </w:divsChild>
    </w:div>
    <w:div w:id="1836190604">
      <w:bodyDiv w:val="1"/>
      <w:marLeft w:val="0"/>
      <w:marRight w:val="0"/>
      <w:marTop w:val="0"/>
      <w:marBottom w:val="0"/>
      <w:divBdr>
        <w:top w:val="none" w:sz="0" w:space="0" w:color="auto"/>
        <w:left w:val="none" w:sz="0" w:space="0" w:color="auto"/>
        <w:bottom w:val="none" w:sz="0" w:space="0" w:color="auto"/>
        <w:right w:val="none" w:sz="0" w:space="0" w:color="auto"/>
      </w:divBdr>
    </w:div>
    <w:div w:id="1925646016">
      <w:bodyDiv w:val="1"/>
      <w:marLeft w:val="0"/>
      <w:marRight w:val="0"/>
      <w:marTop w:val="0"/>
      <w:marBottom w:val="0"/>
      <w:divBdr>
        <w:top w:val="none" w:sz="0" w:space="0" w:color="auto"/>
        <w:left w:val="none" w:sz="0" w:space="0" w:color="auto"/>
        <w:bottom w:val="none" w:sz="0" w:space="0" w:color="auto"/>
        <w:right w:val="none" w:sz="0" w:space="0" w:color="auto"/>
      </w:divBdr>
      <w:divsChild>
        <w:div w:id="18829414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catal10070800" TargetMode="External"/><Relationship Id="rId13" Type="http://schemas.openxmlformats.org/officeDocument/2006/relationships/hyperlink" Target="https://doi.org/10.3390/catal1109109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i.org/10.3390/catal1102027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catal12030312"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doi.org/10.3390/catal1012139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3390/catal10091002" TargetMode="External"/><Relationship Id="rId14" Type="http://schemas.openxmlformats.org/officeDocument/2006/relationships/hyperlink" Target="https://doi.org/10.3390/catal1105055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Solan, Gregory A. (Dr.)</cp:lastModifiedBy>
  <cp:revision>11</cp:revision>
  <cp:lastPrinted>2022-12-07T09:33:00Z</cp:lastPrinted>
  <dcterms:created xsi:type="dcterms:W3CDTF">2022-12-05T10:05:00Z</dcterms:created>
  <dcterms:modified xsi:type="dcterms:W3CDTF">2022-12-30T12:55:00Z</dcterms:modified>
</cp:coreProperties>
</file>